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D8E5FDC" w14:textId="77777777" w:rsidR="00B322E0" w:rsidRPr="00752C57" w:rsidRDefault="00B322E0" w:rsidP="009C2D59">
      <w:pPr>
        <w:rPr>
          <w:b/>
          <w:i/>
          <w:color w:val="auto"/>
          <w:sz w:val="88"/>
          <w:szCs w:val="88"/>
        </w:rPr>
      </w:pPr>
      <w:bookmarkStart w:id="0" w:name="__RefHeading___Toc82856599"/>
      <w:bookmarkEnd w:id="0"/>
    </w:p>
    <w:p w14:paraId="6C905CAE" w14:textId="77777777" w:rsidR="006B6FA0" w:rsidRDefault="006B6FA0" w:rsidP="00F579A4">
      <w:pPr>
        <w:rPr>
          <w:b/>
          <w:sz w:val="56"/>
          <w:szCs w:val="56"/>
        </w:rPr>
      </w:pPr>
    </w:p>
    <w:p w14:paraId="7940658F" w14:textId="77777777" w:rsidR="008C5894" w:rsidRDefault="006B6FA0" w:rsidP="00A87747">
      <w:pPr>
        <w:jc w:val="center"/>
        <w:rPr>
          <w:b/>
          <w:sz w:val="56"/>
          <w:szCs w:val="56"/>
        </w:rPr>
      </w:pPr>
      <w:r w:rsidRPr="006B6FA0">
        <w:rPr>
          <w:b/>
          <w:sz w:val="56"/>
          <w:szCs w:val="56"/>
        </w:rPr>
        <w:t>Case Study</w:t>
      </w:r>
      <w:r>
        <w:rPr>
          <w:b/>
          <w:sz w:val="56"/>
          <w:szCs w:val="56"/>
        </w:rPr>
        <w:t xml:space="preserve"> Report</w:t>
      </w:r>
      <w:r w:rsidRPr="006B6FA0">
        <w:rPr>
          <w:b/>
          <w:sz w:val="56"/>
          <w:szCs w:val="56"/>
        </w:rPr>
        <w:t>: Mr Ahmed</w:t>
      </w:r>
    </w:p>
    <w:p w14:paraId="5BAE44EF" w14:textId="257B7084" w:rsidR="00CD0E49" w:rsidRPr="00CD0E49" w:rsidRDefault="00CD0E49" w:rsidP="00A87747">
      <w:pPr>
        <w:jc w:val="center"/>
        <w:rPr>
          <w:bCs/>
          <w:i/>
          <w:color w:val="auto"/>
          <w:sz w:val="56"/>
          <w:szCs w:val="56"/>
        </w:rPr>
      </w:pPr>
      <w:r w:rsidRPr="00CD0E49">
        <w:rPr>
          <w:bCs/>
          <w:sz w:val="56"/>
          <w:szCs w:val="56"/>
        </w:rPr>
        <w:t xml:space="preserve">Introduction to </w:t>
      </w:r>
      <w:r>
        <w:rPr>
          <w:bCs/>
          <w:sz w:val="56"/>
          <w:szCs w:val="56"/>
        </w:rPr>
        <w:t>health and social care</w:t>
      </w:r>
    </w:p>
    <w:p w14:paraId="551B7348" w14:textId="77777777" w:rsidR="00CD0E49" w:rsidRDefault="001A23A4" w:rsidP="00CD0E49">
      <w:pPr>
        <w:jc w:val="center"/>
        <w:rPr>
          <w:iCs/>
          <w:color w:val="auto"/>
          <w:sz w:val="48"/>
          <w:szCs w:val="48"/>
        </w:rPr>
      </w:pPr>
      <w:r>
        <w:rPr>
          <w:iCs/>
          <w:color w:val="auto"/>
          <w:sz w:val="48"/>
          <w:szCs w:val="48"/>
        </w:rPr>
        <w:t>Samaria bibi (2513707)</w:t>
      </w:r>
    </w:p>
    <w:p w14:paraId="087A1BA2" w14:textId="6CCE6434" w:rsidR="00CD0E49" w:rsidRDefault="00CD0E49" w:rsidP="00CD0E49">
      <w:pPr>
        <w:jc w:val="center"/>
        <w:rPr>
          <w:iCs/>
          <w:color w:val="auto"/>
          <w:sz w:val="48"/>
          <w:szCs w:val="48"/>
        </w:rPr>
      </w:pPr>
      <w:r>
        <w:rPr>
          <w:iCs/>
          <w:color w:val="auto"/>
          <w:sz w:val="48"/>
          <w:szCs w:val="48"/>
        </w:rPr>
        <w:t>Lecturer: Mumtaz Goolam</w:t>
      </w:r>
    </w:p>
    <w:p w14:paraId="4EFF5C85" w14:textId="54F4F9AE" w:rsidR="00CD0E49" w:rsidRDefault="001A23A4" w:rsidP="00CD0E49">
      <w:pPr>
        <w:jc w:val="center"/>
        <w:rPr>
          <w:iCs/>
          <w:color w:val="auto"/>
          <w:sz w:val="48"/>
          <w:szCs w:val="48"/>
        </w:rPr>
      </w:pPr>
      <w:r>
        <w:rPr>
          <w:iCs/>
          <w:color w:val="auto"/>
          <w:sz w:val="48"/>
          <w:szCs w:val="48"/>
        </w:rPr>
        <w:t>LCHS4003</w:t>
      </w:r>
    </w:p>
    <w:p w14:paraId="6CEB7166" w14:textId="383A455B" w:rsidR="00CD0E49" w:rsidRDefault="00CD0E49" w:rsidP="00CD0E49">
      <w:pPr>
        <w:jc w:val="center"/>
        <w:rPr>
          <w:iCs/>
          <w:color w:val="auto"/>
          <w:sz w:val="48"/>
          <w:szCs w:val="48"/>
        </w:rPr>
      </w:pPr>
    </w:p>
    <w:p w14:paraId="6668D31E" w14:textId="77777777" w:rsidR="00CD0E49" w:rsidRDefault="00CD0E49">
      <w:pPr>
        <w:jc w:val="center"/>
        <w:rPr>
          <w:iCs/>
          <w:color w:val="auto"/>
          <w:sz w:val="48"/>
          <w:szCs w:val="48"/>
        </w:rPr>
      </w:pPr>
    </w:p>
    <w:p w14:paraId="368523CC" w14:textId="081955DB" w:rsidR="00793373" w:rsidRPr="00752C57" w:rsidRDefault="009C2D59">
      <w:pPr>
        <w:jc w:val="center"/>
        <w:rPr>
          <w:b/>
          <w:i/>
          <w:color w:val="auto"/>
          <w:sz w:val="72"/>
          <w:szCs w:val="72"/>
        </w:rPr>
      </w:pPr>
      <w:r w:rsidRPr="00752C57">
        <w:rPr>
          <w:b/>
          <w:bCs/>
          <w:i/>
          <w:color w:val="auto"/>
          <w:sz w:val="72"/>
          <w:szCs w:val="72"/>
        </w:rPr>
        <w:t> </w:t>
      </w:r>
      <w:r w:rsidR="00B57A65" w:rsidRPr="00752C57">
        <w:rPr>
          <w:b/>
          <w:i/>
          <w:color w:val="auto"/>
          <w:sz w:val="72"/>
          <w:szCs w:val="72"/>
        </w:rPr>
        <w:t xml:space="preserve"> </w:t>
      </w:r>
    </w:p>
    <w:p w14:paraId="2CBB24E6" w14:textId="77777777" w:rsidR="00793373" w:rsidRPr="00752C57" w:rsidRDefault="00793373">
      <w:pPr>
        <w:pStyle w:val="ContentsHeading"/>
        <w:pageBreakBefore/>
        <w:rPr>
          <w:color w:val="auto"/>
        </w:rPr>
      </w:pPr>
      <w:r w:rsidRPr="00752C57">
        <w:rPr>
          <w:color w:val="auto"/>
        </w:rPr>
        <w:lastRenderedPageBreak/>
        <w:t>Table of Contents</w:t>
      </w:r>
    </w:p>
    <w:p w14:paraId="22835297" w14:textId="77777777" w:rsidR="00B9195C" w:rsidRPr="00450132" w:rsidRDefault="00793373">
      <w:pPr>
        <w:pStyle w:val="TOC1"/>
        <w:rPr>
          <w:rFonts w:ascii="Calibri" w:eastAsia="Times New Roman" w:hAnsi="Calibri" w:cs="Times New Roman"/>
          <w:noProof/>
          <w:color w:val="auto"/>
          <w:sz w:val="22"/>
          <w:lang w:eastAsia="en-GB"/>
        </w:rPr>
      </w:pPr>
      <w:r w:rsidRPr="00752C57">
        <w:rPr>
          <w:rFonts w:cs="Times New Roman"/>
          <w:color w:val="auto"/>
        </w:rPr>
        <w:fldChar w:fldCharType="begin"/>
      </w:r>
      <w:r w:rsidRPr="00752C57">
        <w:rPr>
          <w:rFonts w:cs="Times New Roman"/>
          <w:color w:val="auto"/>
        </w:rPr>
        <w:instrText xml:space="preserve"> TOC \f \o "1-9" \o "1-9" </w:instrText>
      </w:r>
      <w:r w:rsidRPr="00752C57">
        <w:rPr>
          <w:rFonts w:cs="Times New Roman"/>
          <w:color w:val="auto"/>
        </w:rPr>
        <w:fldChar w:fldCharType="separate"/>
      </w:r>
      <w:r w:rsidR="00B9195C">
        <w:rPr>
          <w:noProof/>
        </w:rPr>
        <w:t>Introduction</w:t>
      </w:r>
      <w:r w:rsidR="00B9195C">
        <w:rPr>
          <w:noProof/>
        </w:rPr>
        <w:tab/>
      </w:r>
      <w:r w:rsidR="00B9195C">
        <w:rPr>
          <w:noProof/>
        </w:rPr>
        <w:fldChar w:fldCharType="begin"/>
      </w:r>
      <w:r w:rsidR="00B9195C">
        <w:rPr>
          <w:noProof/>
        </w:rPr>
        <w:instrText xml:space="preserve"> PAGEREF _Toc224902942 \h </w:instrText>
      </w:r>
      <w:r w:rsidR="00B9195C">
        <w:rPr>
          <w:noProof/>
        </w:rPr>
      </w:r>
      <w:r w:rsidR="00B9195C">
        <w:rPr>
          <w:noProof/>
        </w:rPr>
        <w:fldChar w:fldCharType="separate"/>
      </w:r>
      <w:r w:rsidR="00B9195C">
        <w:rPr>
          <w:noProof/>
        </w:rPr>
        <w:t>3</w:t>
      </w:r>
      <w:r w:rsidR="00B9195C">
        <w:rPr>
          <w:noProof/>
        </w:rPr>
        <w:fldChar w:fldCharType="end"/>
      </w:r>
    </w:p>
    <w:p w14:paraId="230425D3" w14:textId="77777777" w:rsidR="00B9195C" w:rsidRPr="00450132" w:rsidRDefault="00B9195C">
      <w:pPr>
        <w:pStyle w:val="TOC1"/>
        <w:rPr>
          <w:rFonts w:ascii="Calibri" w:eastAsia="Times New Roman" w:hAnsi="Calibri" w:cs="Times New Roman"/>
          <w:noProof/>
          <w:color w:val="auto"/>
          <w:sz w:val="22"/>
          <w:lang w:eastAsia="en-GB"/>
        </w:rPr>
      </w:pPr>
      <w:r>
        <w:rPr>
          <w:noProof/>
        </w:rPr>
        <w:t>1. Effective Communication</w:t>
      </w:r>
      <w:r>
        <w:rPr>
          <w:noProof/>
        </w:rPr>
        <w:tab/>
      </w:r>
      <w:r>
        <w:rPr>
          <w:noProof/>
        </w:rPr>
        <w:fldChar w:fldCharType="begin"/>
      </w:r>
      <w:r>
        <w:rPr>
          <w:noProof/>
        </w:rPr>
        <w:instrText xml:space="preserve"> PAGEREF _Toc224902943 \h </w:instrText>
      </w:r>
      <w:r>
        <w:rPr>
          <w:noProof/>
        </w:rPr>
      </w:r>
      <w:r>
        <w:rPr>
          <w:noProof/>
        </w:rPr>
        <w:fldChar w:fldCharType="separate"/>
      </w:r>
      <w:r>
        <w:rPr>
          <w:noProof/>
        </w:rPr>
        <w:t>3</w:t>
      </w:r>
      <w:r>
        <w:rPr>
          <w:noProof/>
        </w:rPr>
        <w:fldChar w:fldCharType="end"/>
      </w:r>
    </w:p>
    <w:p w14:paraId="712BE79E" w14:textId="77777777" w:rsidR="00B9195C" w:rsidRPr="00450132" w:rsidRDefault="00B9195C">
      <w:pPr>
        <w:pStyle w:val="TOC1"/>
        <w:rPr>
          <w:rFonts w:ascii="Calibri" w:eastAsia="Times New Roman" w:hAnsi="Calibri" w:cs="Times New Roman"/>
          <w:noProof/>
          <w:color w:val="auto"/>
          <w:sz w:val="22"/>
          <w:lang w:eastAsia="en-GB"/>
        </w:rPr>
      </w:pPr>
      <w:r>
        <w:rPr>
          <w:noProof/>
        </w:rPr>
        <w:t>2. Administrative Skill and Records keeping</w:t>
      </w:r>
      <w:r>
        <w:rPr>
          <w:noProof/>
        </w:rPr>
        <w:tab/>
      </w:r>
      <w:r>
        <w:rPr>
          <w:noProof/>
        </w:rPr>
        <w:fldChar w:fldCharType="begin"/>
      </w:r>
      <w:r>
        <w:rPr>
          <w:noProof/>
        </w:rPr>
        <w:instrText xml:space="preserve"> PAGEREF _Toc224902944 \h </w:instrText>
      </w:r>
      <w:r>
        <w:rPr>
          <w:noProof/>
        </w:rPr>
      </w:r>
      <w:r>
        <w:rPr>
          <w:noProof/>
        </w:rPr>
        <w:fldChar w:fldCharType="separate"/>
      </w:r>
      <w:r>
        <w:rPr>
          <w:noProof/>
        </w:rPr>
        <w:t>4</w:t>
      </w:r>
      <w:r>
        <w:rPr>
          <w:noProof/>
        </w:rPr>
        <w:fldChar w:fldCharType="end"/>
      </w:r>
    </w:p>
    <w:p w14:paraId="3C617BAE" w14:textId="77777777" w:rsidR="00B9195C" w:rsidRPr="00450132" w:rsidRDefault="00B9195C">
      <w:pPr>
        <w:pStyle w:val="TOC1"/>
        <w:rPr>
          <w:rFonts w:ascii="Calibri" w:eastAsia="Times New Roman" w:hAnsi="Calibri" w:cs="Times New Roman"/>
          <w:noProof/>
          <w:color w:val="auto"/>
          <w:sz w:val="22"/>
          <w:lang w:eastAsia="en-GB"/>
        </w:rPr>
      </w:pPr>
      <w:r>
        <w:rPr>
          <w:noProof/>
        </w:rPr>
        <w:t>3. Cooperation with Other professionals</w:t>
      </w:r>
      <w:r>
        <w:rPr>
          <w:noProof/>
        </w:rPr>
        <w:tab/>
      </w:r>
      <w:r>
        <w:rPr>
          <w:noProof/>
        </w:rPr>
        <w:fldChar w:fldCharType="begin"/>
      </w:r>
      <w:r>
        <w:rPr>
          <w:noProof/>
        </w:rPr>
        <w:instrText xml:space="preserve"> PAGEREF _Toc224902945 \h </w:instrText>
      </w:r>
      <w:r>
        <w:rPr>
          <w:noProof/>
        </w:rPr>
      </w:r>
      <w:r>
        <w:rPr>
          <w:noProof/>
        </w:rPr>
        <w:fldChar w:fldCharType="separate"/>
      </w:r>
      <w:r>
        <w:rPr>
          <w:noProof/>
        </w:rPr>
        <w:t>6</w:t>
      </w:r>
      <w:r>
        <w:rPr>
          <w:noProof/>
        </w:rPr>
        <w:fldChar w:fldCharType="end"/>
      </w:r>
    </w:p>
    <w:p w14:paraId="02D28F9E" w14:textId="77777777" w:rsidR="00B9195C" w:rsidRPr="00450132" w:rsidRDefault="00B9195C">
      <w:pPr>
        <w:pStyle w:val="TOC1"/>
        <w:rPr>
          <w:rFonts w:ascii="Calibri" w:eastAsia="Times New Roman" w:hAnsi="Calibri" w:cs="Times New Roman"/>
          <w:noProof/>
          <w:color w:val="auto"/>
          <w:sz w:val="22"/>
          <w:lang w:eastAsia="en-GB"/>
        </w:rPr>
      </w:pPr>
      <w:r>
        <w:rPr>
          <w:noProof/>
        </w:rPr>
        <w:t>CONCLUSION</w:t>
      </w:r>
      <w:r>
        <w:rPr>
          <w:noProof/>
        </w:rPr>
        <w:tab/>
      </w:r>
      <w:r>
        <w:rPr>
          <w:noProof/>
        </w:rPr>
        <w:fldChar w:fldCharType="begin"/>
      </w:r>
      <w:r>
        <w:rPr>
          <w:noProof/>
        </w:rPr>
        <w:instrText xml:space="preserve"> PAGEREF _Toc224902946 \h </w:instrText>
      </w:r>
      <w:r>
        <w:rPr>
          <w:noProof/>
        </w:rPr>
      </w:r>
      <w:r>
        <w:rPr>
          <w:noProof/>
        </w:rPr>
        <w:fldChar w:fldCharType="separate"/>
      </w:r>
      <w:r>
        <w:rPr>
          <w:noProof/>
        </w:rPr>
        <w:t>7</w:t>
      </w:r>
      <w:r>
        <w:rPr>
          <w:noProof/>
        </w:rPr>
        <w:fldChar w:fldCharType="end"/>
      </w:r>
    </w:p>
    <w:p w14:paraId="62DC45DC" w14:textId="77777777" w:rsidR="00B9195C" w:rsidRPr="00450132" w:rsidRDefault="00B9195C">
      <w:pPr>
        <w:pStyle w:val="TOC1"/>
        <w:rPr>
          <w:rFonts w:ascii="Calibri" w:eastAsia="Times New Roman" w:hAnsi="Calibri" w:cs="Times New Roman"/>
          <w:noProof/>
          <w:color w:val="auto"/>
          <w:sz w:val="22"/>
          <w:lang w:eastAsia="en-GB"/>
        </w:rPr>
      </w:pPr>
      <w:r>
        <w:rPr>
          <w:noProof/>
        </w:rPr>
        <w:t>REFERENCES</w:t>
      </w:r>
      <w:r>
        <w:rPr>
          <w:noProof/>
        </w:rPr>
        <w:tab/>
      </w:r>
      <w:r>
        <w:rPr>
          <w:noProof/>
        </w:rPr>
        <w:fldChar w:fldCharType="begin"/>
      </w:r>
      <w:r>
        <w:rPr>
          <w:noProof/>
        </w:rPr>
        <w:instrText xml:space="preserve"> PAGEREF _Toc224902947 \h </w:instrText>
      </w:r>
      <w:r>
        <w:rPr>
          <w:noProof/>
        </w:rPr>
      </w:r>
      <w:r>
        <w:rPr>
          <w:noProof/>
        </w:rPr>
        <w:fldChar w:fldCharType="separate"/>
      </w:r>
      <w:r>
        <w:rPr>
          <w:noProof/>
        </w:rPr>
        <w:t>8</w:t>
      </w:r>
      <w:r>
        <w:rPr>
          <w:noProof/>
        </w:rPr>
        <w:fldChar w:fldCharType="end"/>
      </w:r>
    </w:p>
    <w:p w14:paraId="3771023C" w14:textId="77777777" w:rsidR="005901D0" w:rsidRPr="00752C57" w:rsidRDefault="00793373" w:rsidP="005901D0">
      <w:pPr>
        <w:pStyle w:val="TOC1"/>
        <w:rPr>
          <w:rFonts w:cs="Times New Roman"/>
          <w:color w:val="auto"/>
          <w:szCs w:val="24"/>
        </w:rPr>
      </w:pPr>
      <w:r w:rsidRPr="00752C57">
        <w:rPr>
          <w:rFonts w:cs="Times New Roman"/>
          <w:color w:val="auto"/>
        </w:rPr>
        <w:fldChar w:fldCharType="end"/>
      </w:r>
    </w:p>
    <w:p w14:paraId="056F8534" w14:textId="77777777" w:rsidR="00793373" w:rsidRPr="00752C57" w:rsidRDefault="00793373">
      <w:pPr>
        <w:rPr>
          <w:color w:val="auto"/>
          <w:szCs w:val="24"/>
        </w:rPr>
      </w:pPr>
    </w:p>
    <w:p w14:paraId="2255C15B" w14:textId="77777777" w:rsidR="00FA3835" w:rsidRPr="00752C57" w:rsidRDefault="00FA3835">
      <w:pPr>
        <w:rPr>
          <w:color w:val="auto"/>
          <w:szCs w:val="24"/>
        </w:rPr>
      </w:pPr>
    </w:p>
    <w:p w14:paraId="4EE79301" w14:textId="77777777" w:rsidR="00FA3835" w:rsidRPr="00752C57" w:rsidRDefault="00FA3835">
      <w:pPr>
        <w:rPr>
          <w:color w:val="auto"/>
          <w:szCs w:val="24"/>
        </w:rPr>
      </w:pPr>
    </w:p>
    <w:p w14:paraId="24FF6A20" w14:textId="77777777" w:rsidR="0093725C" w:rsidRDefault="006407FE" w:rsidP="00607926">
      <w:pPr>
        <w:pStyle w:val="Heading1"/>
      </w:pPr>
      <w:r w:rsidRPr="00752C57">
        <w:br w:type="page"/>
      </w:r>
      <w:bookmarkStart w:id="1" w:name="_Toc224902942"/>
      <w:r w:rsidR="00607926" w:rsidRPr="00752C57">
        <w:lastRenderedPageBreak/>
        <w:t>Introduction</w:t>
      </w:r>
      <w:bookmarkEnd w:id="1"/>
    </w:p>
    <w:p w14:paraId="75972284" w14:textId="08AFF931" w:rsidR="00325AC6" w:rsidRDefault="00F136C4" w:rsidP="00325AC6">
      <w:r w:rsidRPr="00F136C4">
        <w:t xml:space="preserve">The patient is a 68 </w:t>
      </w:r>
      <w:bookmarkStart w:id="2" w:name="_Int_34ktmafB"/>
      <w:r w:rsidRPr="00F136C4">
        <w:t>years</w:t>
      </w:r>
      <w:bookmarkEnd w:id="2"/>
      <w:r w:rsidRPr="00F136C4">
        <w:t xml:space="preserve"> old male patient- Mr. Ahmed who has just left the hospital after being in treatment in the hospital due to a stroke. His current residence is an apartment </w:t>
      </w:r>
      <w:r w:rsidR="00021AA2">
        <w:t>on</w:t>
      </w:r>
      <w:r w:rsidRPr="00F136C4">
        <w:t xml:space="preserve"> the ground floor where he resides with his wife and he has been offered domiciliary facility three times a day, as an effort of helping him in the management of his personalities, pulling medication, and food preparation. Mr. Ahmed has a communication issue because he has suffered stroke and his language is Bengali and barely speaks English. His care three important provisions will be devoted to in the report, including the ability to communicate successfully and effectively with Mr. Ahmed and his family, the value of record-keeping which includes data protection regulations, and the teamwork of multidisciplinary which will guarantee his health and his recovery.</w:t>
      </w:r>
    </w:p>
    <w:p w14:paraId="42141A70" w14:textId="77777777" w:rsidR="00F136C4" w:rsidRDefault="00F136C4" w:rsidP="00325AC6"/>
    <w:p w14:paraId="18471787" w14:textId="77777777" w:rsidR="00325AC6" w:rsidRDefault="00325AC6" w:rsidP="00325AC6">
      <w:pPr>
        <w:pStyle w:val="Heading1"/>
      </w:pPr>
      <w:bookmarkStart w:id="3" w:name="_Toc224902943"/>
      <w:r>
        <w:t>1. Effective Communication</w:t>
      </w:r>
      <w:bookmarkEnd w:id="3"/>
    </w:p>
    <w:p w14:paraId="7A5E4B8A" w14:textId="65D9EAD4" w:rsidR="00325AC6" w:rsidRPr="00F136C4" w:rsidRDefault="00325AC6" w:rsidP="00F136C4">
      <w:pPr>
        <w:suppressAutoHyphens w:val="0"/>
        <w:rPr>
          <w:rFonts w:eastAsia="Times New Roman"/>
          <w:color w:val="auto"/>
          <w:szCs w:val="24"/>
          <w:lang w:eastAsia="en-GB"/>
        </w:rPr>
      </w:pPr>
      <w:r>
        <w:t xml:space="preserve">Communication is a core element of health and social care as it is a core </w:t>
      </w:r>
      <w:r w:rsidR="00021AA2">
        <w:t>part</w:t>
      </w:r>
      <w:r>
        <w:t xml:space="preserve"> of </w:t>
      </w:r>
      <w:r w:rsidR="00021AA2">
        <w:t>patient-centred</w:t>
      </w:r>
      <w:r>
        <w:t xml:space="preserve"> care that guarantees that patients understand the right thing, feel important, and </w:t>
      </w:r>
      <w:r w:rsidR="00B72833">
        <w:t>can</w:t>
      </w:r>
      <w:r>
        <w:t xml:space="preserve"> actively involve themselves in their care</w:t>
      </w:r>
      <w:r w:rsidR="00F136C4">
        <w:t xml:space="preserve"> </w:t>
      </w:r>
      <w:r w:rsidR="00F136C4" w:rsidRPr="00F136C4">
        <w:rPr>
          <w:rFonts w:eastAsia="Times New Roman"/>
          <w:color w:val="auto"/>
          <w:szCs w:val="24"/>
          <w:lang w:eastAsia="en-GB"/>
        </w:rPr>
        <w:t>(Kwame &amp; Petrucka, 2021)</w:t>
      </w:r>
      <w:r>
        <w:t>. It is imperative to the development of trust and establishment of reliable relations among patients, their families, and healthcare providers. Communication is especially essential in the case of Mr. Ahmed, who has cognitive problems of the stroke and communicative language barriers. Mr. The key to Ahmed recovering involves comprehension of medical instructions and expression of his needs, and the communication needs require intervention as a central part of the high-quality care delivery based on the specific context of his situation.</w:t>
      </w:r>
    </w:p>
    <w:p w14:paraId="0E84E180" w14:textId="228D2DE6" w:rsidR="00325AC6" w:rsidRDefault="00325AC6" w:rsidP="006B6FA0">
      <w:pPr>
        <w:ind w:firstLine="720"/>
      </w:pPr>
      <w:r>
        <w:t xml:space="preserve">To communicate effectively with Mr. Ahmed, the methods of communication will have to consider his cognitive and linguistic impairments. Since Mr. Ahmed speaks Bengali as his first language, his poor command of the English language is also a major obstacle to </w:t>
      </w:r>
      <w:r w:rsidR="00B72833">
        <w:t>understanding</w:t>
      </w:r>
      <w:r>
        <w:t xml:space="preserve"> complicated medical information and making decisions related to his care. In order to communicate effectively, medical professionals are encouraged to use language assistance through the assistance of professional translators or translated handouts and assist Mr. Ahmed in comprehensively understanding the instructions, </w:t>
      </w:r>
      <w:r w:rsidR="00B72833">
        <w:t>medications,</w:t>
      </w:r>
      <w:r>
        <w:t xml:space="preserve"> and health news. </w:t>
      </w:r>
    </w:p>
    <w:p w14:paraId="1ACBA26D" w14:textId="77777777" w:rsidR="00325AC6" w:rsidRDefault="00325AC6" w:rsidP="00325AC6"/>
    <w:p w14:paraId="1122E88C" w14:textId="77777777" w:rsidR="00A0505F" w:rsidRDefault="00325AC6" w:rsidP="006B6FA0">
      <w:pPr>
        <w:ind w:firstLine="720"/>
      </w:pPr>
      <w:r>
        <w:lastRenderedPageBreak/>
        <w:t xml:space="preserve">Communication can also </w:t>
      </w:r>
      <w:bookmarkStart w:id="4" w:name="_Int_CHTETzwL"/>
      <w:r>
        <w:t>be achieved</w:t>
      </w:r>
      <w:bookmarkEnd w:id="4"/>
      <w:r>
        <w:t xml:space="preserve"> by involving the wife of Mr. Ahmed who is fluent in English. She can also serve as a mediator, </w:t>
      </w:r>
      <w:bookmarkStart w:id="5" w:name="_Int_DGbmxhje"/>
      <w:r>
        <w:t>facilitate</w:t>
      </w:r>
      <w:bookmarkEnd w:id="5"/>
      <w:r>
        <w:t xml:space="preserve"> the translation of complicated medical knowledge and make sure that his medical requirements are properly conveyed to the medical staff. </w:t>
      </w:r>
    </w:p>
    <w:p w14:paraId="033FF823" w14:textId="77777777" w:rsidR="006B6FA0" w:rsidRDefault="00325AC6" w:rsidP="006B6FA0">
      <w:pPr>
        <w:ind w:firstLine="720"/>
      </w:pPr>
      <w:r>
        <w:t>Equality Act 2010 stipulates that people must be treated in a fair way, their needs and rights having to be respected</w:t>
      </w:r>
      <w:r w:rsidR="00F136C4">
        <w:t xml:space="preserve"> </w:t>
      </w:r>
      <w:r w:rsidR="00F136C4" w:rsidRPr="00F136C4">
        <w:rPr>
          <w:rFonts w:eastAsia="Times New Roman"/>
          <w:color w:val="auto"/>
          <w:szCs w:val="24"/>
          <w:lang w:eastAsia="en-GB"/>
        </w:rPr>
        <w:t>(GOV.UK, 2013)</w:t>
      </w:r>
      <w:r>
        <w:t>. This law model helps Mr. Ahmed to have his right of communicating clearly in a manner that does not prejudice his culture and language. Through having the use of communication techniques that are inclined to promote equality, respect, and dignity; healthcare providers can create an inclusive care setting, where Mr. Ahmed needs can be attended accordingly without marginalization or miscommunication.</w:t>
      </w:r>
    </w:p>
    <w:p w14:paraId="481F0FCF" w14:textId="6D21F05B" w:rsidR="00325AC6" w:rsidRDefault="00325AC6" w:rsidP="006B6FA0">
      <w:pPr>
        <w:ind w:firstLine="720"/>
      </w:pPr>
      <w:r>
        <w:t>The Model of Communication created by Shannon and Weaver can be used to understand communication in the case of Mr. Ahmed, especially as to the noise that can disrupt the communication process. Here, the messages are sent by the sender (caregiver</w:t>
      </w:r>
      <w:r w:rsidR="00B72833">
        <w:t>) and</w:t>
      </w:r>
      <w:r>
        <w:t xml:space="preserve"> received by the receiver (Mr. Ahmed). The message, however, can be misconstrued by noise, e.g. the limited English level of Mr. Ahmed or his cognitive problems. This noise can be mitigated by making the communication simple by use of interpreters, aids or the use of simple language to bring out clarity in communication. It is necessary to obtain feedback of Mr. Ahmed and his family to ensure proper understanding and fill in any loopholes.</w:t>
      </w:r>
    </w:p>
    <w:p w14:paraId="6AAE61C6" w14:textId="77777777" w:rsidR="00325AC6" w:rsidRDefault="00325AC6" w:rsidP="00325AC6"/>
    <w:p w14:paraId="3EE9D726" w14:textId="77777777" w:rsidR="00325AC6" w:rsidRDefault="00B9195C" w:rsidP="00325AC6">
      <w:pPr>
        <w:pStyle w:val="Heading1"/>
      </w:pPr>
      <w:bookmarkStart w:id="6" w:name="_Toc224902944"/>
      <w:r>
        <w:t xml:space="preserve">2. </w:t>
      </w:r>
      <w:r w:rsidR="00325AC6">
        <w:t>Administrative Skill and Records keeping</w:t>
      </w:r>
      <w:bookmarkEnd w:id="6"/>
    </w:p>
    <w:p w14:paraId="2BEFAE10" w14:textId="77777777" w:rsidR="00325AC6" w:rsidRPr="006B6FA0" w:rsidRDefault="00325AC6" w:rsidP="006B6FA0">
      <w:pPr>
        <w:suppressAutoHyphens w:val="0"/>
        <w:rPr>
          <w:rFonts w:eastAsia="Times New Roman"/>
          <w:color w:val="auto"/>
          <w:szCs w:val="24"/>
          <w:lang w:eastAsia="en-GB"/>
        </w:rPr>
      </w:pPr>
      <w:r>
        <w:t>The skills required in administrative health and social care are that the processes, procedures and documentation required are handled in an efficient way. Such skills are essential towards keeping proper and current records, coordination of care plan and compliance with legal requirements</w:t>
      </w:r>
      <w:r w:rsidR="006B6FA0">
        <w:t xml:space="preserve"> </w:t>
      </w:r>
      <w:r w:rsidR="006B6FA0" w:rsidRPr="006B6FA0">
        <w:rPr>
          <w:rFonts w:eastAsia="Times New Roman"/>
          <w:color w:val="auto"/>
          <w:szCs w:val="24"/>
          <w:lang w:eastAsia="en-GB"/>
        </w:rPr>
        <w:t>(</w:t>
      </w:r>
      <w:proofErr w:type="spellStart"/>
      <w:r w:rsidR="006B6FA0" w:rsidRPr="006B6FA0">
        <w:rPr>
          <w:rFonts w:eastAsia="Times New Roman"/>
          <w:color w:val="auto"/>
          <w:szCs w:val="24"/>
          <w:lang w:eastAsia="en-GB"/>
        </w:rPr>
        <w:t>Demsash</w:t>
      </w:r>
      <w:proofErr w:type="spellEnd"/>
      <w:r w:rsidR="006B6FA0" w:rsidRPr="006B6FA0">
        <w:rPr>
          <w:rFonts w:eastAsia="Times New Roman"/>
          <w:color w:val="auto"/>
          <w:szCs w:val="24"/>
          <w:lang w:eastAsia="en-GB"/>
        </w:rPr>
        <w:t xml:space="preserve"> et al., 2023)</w:t>
      </w:r>
      <w:r>
        <w:t>. In the case of Mr. Ahmed, he requires a complex care plan that would incorporate medication, physical examinations, and continuous communication among other providers to deliver proper care.</w:t>
      </w:r>
    </w:p>
    <w:p w14:paraId="24F56CD0" w14:textId="7EE86C34" w:rsidR="00A0505F" w:rsidRDefault="00325AC6" w:rsidP="006B6FA0">
      <w:pPr>
        <w:ind w:firstLine="720"/>
      </w:pPr>
      <w:r>
        <w:t xml:space="preserve">Proper record keeping is important to Mr. Ahmed, his well-being and continuity of treatment. He has a variety of professionals who provide care to him, who include his GP, district nurse, domiciliary care workers, and speech and language therapist. The interaction, since the administration of medications until the course of the wound care session and including speech therapy, must be recorded clearly and precisely. These records make sure that everyone is working </w:t>
      </w:r>
      <w:r>
        <w:lastRenderedPageBreak/>
        <w:t>towards the same direction and this prevents mistakes, e.g. missing</w:t>
      </w:r>
      <w:r w:rsidR="00F579A4">
        <w:t xml:space="preserve"> medication </w:t>
      </w:r>
      <w:r>
        <w:t xml:space="preserve">or incompatible treatment schedule. </w:t>
      </w:r>
    </w:p>
    <w:p w14:paraId="765C2899" w14:textId="77777777" w:rsidR="006B6FA0" w:rsidRDefault="00325AC6" w:rsidP="006B6FA0">
      <w:pPr>
        <w:ind w:firstLine="720"/>
      </w:pPr>
      <w:r>
        <w:t>The Data Protection Act 2018 emphasizes the need to keep confidential data and ensuring that data is not destroyed, lost, altered, or used in an unjustified manner in case of health and social care</w:t>
      </w:r>
      <w:r w:rsidR="006B6FA0">
        <w:t xml:space="preserve"> </w:t>
      </w:r>
      <w:r w:rsidR="006B6FA0" w:rsidRPr="006B6FA0">
        <w:rPr>
          <w:rFonts w:eastAsia="Times New Roman"/>
          <w:color w:val="auto"/>
          <w:szCs w:val="24"/>
          <w:lang w:eastAsia="en-GB"/>
        </w:rPr>
        <w:t>(GOV.UK, 2018)</w:t>
      </w:r>
      <w:r>
        <w:t>. Mr. Ahmed, in his case, medical history, care plan and any details provided by his family or caregivers needs to be handled with utmost care. This information should be accessible solely to authorized personnel and should be employed to the purpose with which it was gathered such as facilitating care. This should be stored in a secure manner, either electronically with encryption or otherwise in paper form in a secure place and should be taken care of in order to prevent a</w:t>
      </w:r>
      <w:r w:rsidR="00B9195C">
        <w:t>ny disclosure in the wrong way.</w:t>
      </w:r>
    </w:p>
    <w:p w14:paraId="488E68E5" w14:textId="77777777" w:rsidR="006B6FA0" w:rsidRDefault="00325AC6" w:rsidP="006B6FA0">
      <w:pPr>
        <w:ind w:firstLine="720"/>
      </w:pPr>
      <w:r>
        <w:t xml:space="preserve">Clearly recorded care plans, medication schedules and continuous assessment are fundamental in the provision of Mr. Ahmed with the necessary care at the right time and in the right manner. The accurate recordkeeping would ensure that medical practitioners are able to detect any changes in his health promptly, modify the care plans depending on the situation, and prevent any redundancy </w:t>
      </w:r>
      <w:r w:rsidR="00B9195C">
        <w:t>or oversights in care delivery.</w:t>
      </w:r>
    </w:p>
    <w:p w14:paraId="1A5B0803" w14:textId="77777777" w:rsidR="00325AC6" w:rsidRDefault="00325AC6" w:rsidP="006B6FA0">
      <w:pPr>
        <w:ind w:firstLine="720"/>
      </w:pPr>
      <w:r>
        <w:t>In health and social care, there are a number of major legislations and policy frameworks to watch in record-keeping. Health and social care Act 2012 lays focus on accurate and available documentation as a measure of enhancing safety and quality of care to patients</w:t>
      </w:r>
      <w:r w:rsidR="006B6FA0">
        <w:t xml:space="preserve"> </w:t>
      </w:r>
      <w:r w:rsidR="006B6FA0" w:rsidRPr="006B6FA0">
        <w:rPr>
          <w:rFonts w:eastAsia="Times New Roman"/>
          <w:color w:val="auto"/>
          <w:szCs w:val="24"/>
          <w:lang w:eastAsia="en-GB"/>
        </w:rPr>
        <w:t>(UK Government, 2012)</w:t>
      </w:r>
      <w:r>
        <w:t>. Another obvious implication of this Act is the necessity of the transparent exchange of patient information between care providers, which requires an explicit record-keeping requirement in the multidisciplinary environment. Further, the Data Protection Act 2018 guarantees that the personal information, including medical records, of the patients is stored and shared in adherence to the privacy standards. Having both these laws deter rape of the rights of patients and integrity of care provided to them.</w:t>
      </w:r>
    </w:p>
    <w:p w14:paraId="314F275E" w14:textId="77777777" w:rsidR="00A0505F" w:rsidRPr="006B6FA0" w:rsidRDefault="00A0505F" w:rsidP="006B6FA0">
      <w:pPr>
        <w:ind w:firstLine="720"/>
      </w:pPr>
    </w:p>
    <w:p w14:paraId="44A6178A" w14:textId="77777777" w:rsidR="00B9195C" w:rsidRDefault="00B9195C" w:rsidP="006B6FA0">
      <w:pPr>
        <w:pStyle w:val="Heading1"/>
      </w:pPr>
      <w:bookmarkStart w:id="7" w:name="_Toc224902945"/>
      <w:r>
        <w:t>3. Cooperation with Other professionals</w:t>
      </w:r>
      <w:bookmarkEnd w:id="7"/>
    </w:p>
    <w:p w14:paraId="32E1F388" w14:textId="4492C298" w:rsidR="00B9195C" w:rsidRPr="006B6FA0" w:rsidRDefault="00B9195C" w:rsidP="006B6FA0">
      <w:pPr>
        <w:suppressAutoHyphens w:val="0"/>
        <w:rPr>
          <w:rFonts w:eastAsia="Times New Roman"/>
          <w:color w:val="auto"/>
          <w:szCs w:val="24"/>
          <w:lang w:eastAsia="en-GB"/>
        </w:rPr>
      </w:pPr>
      <w:r>
        <w:t xml:space="preserve">Multi-agency working is critical in health and social care as it ensures the integrative and holistic care that is </w:t>
      </w:r>
      <w:r w:rsidR="00F77948">
        <w:t>personal</w:t>
      </w:r>
      <w:r w:rsidR="006B6FA0">
        <w:t xml:space="preserve"> </w:t>
      </w:r>
      <w:r w:rsidR="006B6FA0" w:rsidRPr="006B6FA0">
        <w:rPr>
          <w:rFonts w:eastAsia="Times New Roman"/>
          <w:color w:val="auto"/>
          <w:szCs w:val="24"/>
          <w:lang w:eastAsia="en-GB"/>
        </w:rPr>
        <w:t>(Jobe et al., 2020)</w:t>
      </w:r>
      <w:r>
        <w:t xml:space="preserve">. It entails maintaining a synergistic working relationship with professionals in the various fields and each of them provides his or her expertise to guarantee comprehensive care to persons with intricate needs. Through proper cooperation, the outcomes would be better, and they include patient safety, less error, and patient satisfaction. </w:t>
      </w:r>
    </w:p>
    <w:p w14:paraId="21487F8D" w14:textId="77777777" w:rsidR="006B6FA0" w:rsidRDefault="00B9195C" w:rsidP="006B6FA0">
      <w:pPr>
        <w:ind w:firstLine="720"/>
      </w:pPr>
      <w:r>
        <w:lastRenderedPageBreak/>
        <w:t>The care of Mr. Ahmed is operated by a professional team, which consists of a set of team positions:</w:t>
      </w:r>
    </w:p>
    <w:p w14:paraId="75520136" w14:textId="77777777" w:rsidR="006B6FA0" w:rsidRDefault="00B9195C" w:rsidP="006B6FA0">
      <w:pPr>
        <w:numPr>
          <w:ilvl w:val="0"/>
          <w:numId w:val="30"/>
        </w:numPr>
      </w:pPr>
      <w:r>
        <w:t>GP: Monitors the overall condition of Mr. Ahmed and makes medical prescriptions and advice on how he is generally treated.</w:t>
      </w:r>
    </w:p>
    <w:p w14:paraId="66056F46" w14:textId="77777777" w:rsidR="006B6FA0" w:rsidRDefault="00B9195C" w:rsidP="006B6FA0">
      <w:pPr>
        <w:numPr>
          <w:ilvl w:val="0"/>
          <w:numId w:val="30"/>
        </w:numPr>
      </w:pPr>
      <w:r>
        <w:t>District Nurse: Checks the blood pressure level of Mr. Ahmed and takes care of the wound at the home.</w:t>
      </w:r>
    </w:p>
    <w:p w14:paraId="798AB79A" w14:textId="77777777" w:rsidR="006B6FA0" w:rsidRDefault="00B9195C" w:rsidP="006B6FA0">
      <w:pPr>
        <w:numPr>
          <w:ilvl w:val="0"/>
          <w:numId w:val="30"/>
        </w:numPr>
      </w:pPr>
      <w:r>
        <w:t>Domiciliary Care Workers: Personal care, medication administration, and meal preparation to ensure that the Mr. Ahmed needs are taken care of on a daily basis.</w:t>
      </w:r>
    </w:p>
    <w:p w14:paraId="59B293B8" w14:textId="77777777" w:rsidR="006B6FA0" w:rsidRDefault="00B9195C" w:rsidP="006B6FA0">
      <w:pPr>
        <w:numPr>
          <w:ilvl w:val="0"/>
          <w:numId w:val="30"/>
        </w:numPr>
      </w:pPr>
      <w:r>
        <w:t>Speech and Language Therapist: Novel to Mr. Ahmed to assist him in his communication and swallowing syndrome, which is crucial following his stroke.</w:t>
      </w:r>
    </w:p>
    <w:p w14:paraId="32D9CE97" w14:textId="77777777" w:rsidR="006B6FA0" w:rsidRDefault="00B9195C" w:rsidP="006B6FA0">
      <w:pPr>
        <w:ind w:firstLine="720"/>
      </w:pPr>
      <w:r>
        <w:t>The multidisciplinary meetings and care planning should be taken regularly in order to maintain the effective collaboration. Good communication in such sessions will ensure that all the team parties are in agreement of how they should approach the situation and that Mr. Ahmed gets the best possible treatment.</w:t>
      </w:r>
    </w:p>
    <w:p w14:paraId="68D73B0A" w14:textId="77777777" w:rsidR="00F17CBC" w:rsidRDefault="00B9195C" w:rsidP="006B6FA0">
      <w:pPr>
        <w:ind w:firstLine="720"/>
      </w:pPr>
      <w:r>
        <w:t xml:space="preserve">Miscommunication is one of the frequent obstacles to cooperation as Mr. Ahmed has a language barrier, and several caregivers are involved. In order to get over this, the care coordination tools (e.g., shared digital platforms) must be implemented where all the professionals can access the updated care plans, medication schedules, and notes. Role conflict is another difficulty wherein professionals can overlap or lack roles. This will be controlled by imposing the strong demarcation of role, at team meetings so that every professional is aware of his or her individual responsibility and that there is no duplication of responsibilities. </w:t>
      </w:r>
    </w:p>
    <w:p w14:paraId="2400D3B7" w14:textId="77777777" w:rsidR="00B9195C" w:rsidRPr="00752C57" w:rsidRDefault="00B9195C" w:rsidP="00B9195C"/>
    <w:p w14:paraId="4EC6C83B" w14:textId="77777777" w:rsidR="00607926" w:rsidRDefault="0082293E" w:rsidP="00607926">
      <w:pPr>
        <w:pStyle w:val="Heading1"/>
      </w:pPr>
      <w:bookmarkStart w:id="8" w:name="_Toc224902946"/>
      <w:r w:rsidRPr="00752C57">
        <w:t>CONCLUSION</w:t>
      </w:r>
      <w:bookmarkEnd w:id="8"/>
    </w:p>
    <w:p w14:paraId="3AFC547A" w14:textId="77777777" w:rsidR="00A0505F" w:rsidRPr="00A0505F" w:rsidRDefault="00A0505F" w:rsidP="00A0505F">
      <w:r w:rsidRPr="00A0505F">
        <w:t xml:space="preserve">Overall, the areas that deserve attention the most with regards to the care of Mr. Ahmed are the communication that is well-developed, the appropriate record-keeping, and the teamwork. Effective communication and this would include effective communication, since he has a language barrier, which is putting in the connotation, his care plan and is active in its enactment. Continuity and safety of care are ensured by following the conditions of the Data Protection Act of 2018, which states that the correct records should be stored. Care coordination between his primary care doctor, his district nurse, and speech therapist makes collaboration possible and this system promotes the adoption of a holistic approach towards his physical and mental health. These </w:t>
      </w:r>
      <w:r w:rsidRPr="00A0505F">
        <w:lastRenderedPageBreak/>
        <w:t>measures will ensure that the care provided to Mr. Ahmed is coordinated, respectful, and individualistic in nature. This will eventually result in the well-being of his being and will give a positive effect to the quality of his rehabilitation process.</w:t>
      </w:r>
    </w:p>
    <w:p w14:paraId="7D41AC60" w14:textId="77777777" w:rsidR="0074789A" w:rsidRDefault="00E61475" w:rsidP="00073CCE">
      <w:pPr>
        <w:pStyle w:val="Heading1"/>
        <w:ind w:left="0" w:firstLine="0"/>
      </w:pPr>
      <w:r w:rsidRPr="00752C57">
        <w:br w:type="page"/>
      </w:r>
      <w:bookmarkStart w:id="9" w:name="_Toc224902947"/>
      <w:r w:rsidR="0082293E" w:rsidRPr="00752C57">
        <w:lastRenderedPageBreak/>
        <w:t>REFERENCES</w:t>
      </w:r>
      <w:bookmarkEnd w:id="9"/>
    </w:p>
    <w:p w14:paraId="5B7ED9D5" w14:textId="77777777" w:rsidR="00F136C4" w:rsidRDefault="00F136C4" w:rsidP="006B6FA0">
      <w:pPr>
        <w:numPr>
          <w:ilvl w:val="0"/>
          <w:numId w:val="1"/>
        </w:numPr>
        <w:suppressAutoHyphens w:val="0"/>
        <w:spacing w:line="240" w:lineRule="auto"/>
        <w:rPr>
          <w:rFonts w:eastAsia="Times New Roman"/>
          <w:color w:val="auto"/>
          <w:szCs w:val="24"/>
          <w:lang w:eastAsia="en-GB"/>
        </w:rPr>
      </w:pPr>
      <w:r w:rsidRPr="00F136C4">
        <w:rPr>
          <w:rFonts w:eastAsia="Times New Roman"/>
          <w:color w:val="auto"/>
          <w:szCs w:val="24"/>
          <w:lang w:eastAsia="en-GB"/>
        </w:rPr>
        <w:t xml:space="preserve">Kwame, A., &amp; Petrucka, P. (2021). A literature-based study of </w:t>
      </w:r>
      <w:proofErr w:type="spellStart"/>
      <w:r w:rsidRPr="00F136C4">
        <w:rPr>
          <w:rFonts w:eastAsia="Times New Roman"/>
          <w:color w:val="auto"/>
          <w:szCs w:val="24"/>
          <w:lang w:eastAsia="en-GB"/>
        </w:rPr>
        <w:t>patient-centered</w:t>
      </w:r>
      <w:proofErr w:type="spellEnd"/>
      <w:r w:rsidRPr="00F136C4">
        <w:rPr>
          <w:rFonts w:eastAsia="Times New Roman"/>
          <w:color w:val="auto"/>
          <w:szCs w:val="24"/>
          <w:lang w:eastAsia="en-GB"/>
        </w:rPr>
        <w:t xml:space="preserve"> care and communication in nurse-patient interactions: Barriers, facilitators, and the way forward. </w:t>
      </w:r>
      <w:r w:rsidRPr="00F136C4">
        <w:rPr>
          <w:rFonts w:eastAsia="Times New Roman"/>
          <w:i/>
          <w:iCs/>
          <w:color w:val="auto"/>
          <w:szCs w:val="24"/>
          <w:lang w:eastAsia="en-GB"/>
        </w:rPr>
        <w:t>BMC Nursing</w:t>
      </w:r>
      <w:r w:rsidRPr="00F136C4">
        <w:rPr>
          <w:rFonts w:eastAsia="Times New Roman"/>
          <w:color w:val="auto"/>
          <w:szCs w:val="24"/>
          <w:lang w:eastAsia="en-GB"/>
        </w:rPr>
        <w:t xml:space="preserve">, </w:t>
      </w:r>
      <w:r w:rsidRPr="00F136C4">
        <w:rPr>
          <w:rFonts w:eastAsia="Times New Roman"/>
          <w:i/>
          <w:iCs/>
          <w:color w:val="auto"/>
          <w:szCs w:val="24"/>
          <w:lang w:eastAsia="en-GB"/>
        </w:rPr>
        <w:t>20</w:t>
      </w:r>
      <w:r w:rsidRPr="00F136C4">
        <w:rPr>
          <w:rFonts w:eastAsia="Times New Roman"/>
          <w:color w:val="auto"/>
          <w:szCs w:val="24"/>
          <w:lang w:eastAsia="en-GB"/>
        </w:rPr>
        <w:t xml:space="preserve">(158), 1–10. </w:t>
      </w:r>
      <w:hyperlink r:id="rId8" w:history="1">
        <w:r w:rsidRPr="00793CA8">
          <w:rPr>
            <w:rStyle w:val="Hyperlink"/>
            <w:rFonts w:eastAsia="Times New Roman"/>
            <w:szCs w:val="24"/>
            <w:lang w:val="en-GB" w:eastAsia="en-GB" w:bidi="ar-SA"/>
          </w:rPr>
          <w:t>https://doi.org/10.1186/s12912-021-00684-2</w:t>
        </w:r>
      </w:hyperlink>
    </w:p>
    <w:p w14:paraId="2C779D11" w14:textId="77777777" w:rsidR="00F136C4" w:rsidRDefault="00F136C4" w:rsidP="006B6FA0">
      <w:pPr>
        <w:numPr>
          <w:ilvl w:val="0"/>
          <w:numId w:val="1"/>
        </w:numPr>
        <w:suppressAutoHyphens w:val="0"/>
        <w:spacing w:line="240" w:lineRule="auto"/>
        <w:rPr>
          <w:rFonts w:eastAsia="Times New Roman"/>
          <w:color w:val="auto"/>
          <w:szCs w:val="24"/>
          <w:lang w:eastAsia="en-GB"/>
        </w:rPr>
      </w:pPr>
      <w:r w:rsidRPr="00F136C4">
        <w:rPr>
          <w:rFonts w:eastAsia="Times New Roman"/>
          <w:color w:val="auto"/>
          <w:szCs w:val="24"/>
          <w:lang w:eastAsia="en-GB"/>
        </w:rPr>
        <w:t xml:space="preserve">GOV.UK. (2013, February 27). </w:t>
      </w:r>
      <w:r w:rsidRPr="00F136C4">
        <w:rPr>
          <w:rFonts w:eastAsia="Times New Roman"/>
          <w:i/>
          <w:iCs/>
          <w:color w:val="auto"/>
          <w:szCs w:val="24"/>
          <w:lang w:eastAsia="en-GB"/>
        </w:rPr>
        <w:t>Equality Act 2010</w:t>
      </w:r>
      <w:r w:rsidRPr="00F136C4">
        <w:rPr>
          <w:rFonts w:eastAsia="Times New Roman"/>
          <w:color w:val="auto"/>
          <w:szCs w:val="24"/>
          <w:lang w:eastAsia="en-GB"/>
        </w:rPr>
        <w:t xml:space="preserve">. GOV.UK. </w:t>
      </w:r>
      <w:hyperlink r:id="rId9" w:history="1">
        <w:r w:rsidR="006B6FA0" w:rsidRPr="00793CA8">
          <w:rPr>
            <w:rStyle w:val="Hyperlink"/>
            <w:rFonts w:eastAsia="Times New Roman"/>
            <w:szCs w:val="24"/>
            <w:lang w:val="en-GB" w:eastAsia="en-GB" w:bidi="ar-SA"/>
          </w:rPr>
          <w:t>https://www.gov.uk/guidance/equality-act-2010-guidance</w:t>
        </w:r>
      </w:hyperlink>
    </w:p>
    <w:p w14:paraId="03D1631B" w14:textId="77777777" w:rsidR="006B6FA0" w:rsidRDefault="006B6FA0" w:rsidP="006B6FA0">
      <w:pPr>
        <w:numPr>
          <w:ilvl w:val="0"/>
          <w:numId w:val="1"/>
        </w:numPr>
        <w:suppressAutoHyphens w:val="0"/>
        <w:spacing w:line="240" w:lineRule="auto"/>
        <w:rPr>
          <w:rFonts w:eastAsia="Times New Roman"/>
          <w:color w:val="auto"/>
          <w:szCs w:val="24"/>
          <w:lang w:eastAsia="en-GB"/>
        </w:rPr>
      </w:pPr>
      <w:proofErr w:type="spellStart"/>
      <w:r w:rsidRPr="006B6FA0">
        <w:rPr>
          <w:rFonts w:eastAsia="Times New Roman"/>
          <w:color w:val="auto"/>
          <w:szCs w:val="24"/>
          <w:lang w:eastAsia="en-GB"/>
        </w:rPr>
        <w:t>Demsash</w:t>
      </w:r>
      <w:proofErr w:type="spellEnd"/>
      <w:r w:rsidRPr="006B6FA0">
        <w:rPr>
          <w:rFonts w:eastAsia="Times New Roman"/>
          <w:color w:val="auto"/>
          <w:szCs w:val="24"/>
          <w:lang w:eastAsia="en-GB"/>
        </w:rPr>
        <w:t xml:space="preserve">, A. W., Kassie, S. Y., </w:t>
      </w:r>
      <w:proofErr w:type="spellStart"/>
      <w:r w:rsidRPr="006B6FA0">
        <w:rPr>
          <w:rFonts w:eastAsia="Times New Roman"/>
          <w:color w:val="auto"/>
          <w:szCs w:val="24"/>
          <w:lang w:eastAsia="en-GB"/>
        </w:rPr>
        <w:t>Dubale</w:t>
      </w:r>
      <w:proofErr w:type="spellEnd"/>
      <w:r w:rsidRPr="006B6FA0">
        <w:rPr>
          <w:rFonts w:eastAsia="Times New Roman"/>
          <w:color w:val="auto"/>
          <w:szCs w:val="24"/>
          <w:lang w:eastAsia="en-GB"/>
        </w:rPr>
        <w:t xml:space="preserve">, A. T., </w:t>
      </w:r>
      <w:proofErr w:type="spellStart"/>
      <w:r w:rsidRPr="006B6FA0">
        <w:rPr>
          <w:rFonts w:eastAsia="Times New Roman"/>
          <w:color w:val="auto"/>
          <w:szCs w:val="24"/>
          <w:lang w:eastAsia="en-GB"/>
        </w:rPr>
        <w:t>Chereka</w:t>
      </w:r>
      <w:proofErr w:type="spellEnd"/>
      <w:r w:rsidRPr="006B6FA0">
        <w:rPr>
          <w:rFonts w:eastAsia="Times New Roman"/>
          <w:color w:val="auto"/>
          <w:szCs w:val="24"/>
          <w:lang w:eastAsia="en-GB"/>
        </w:rPr>
        <w:t xml:space="preserve">, A. A., </w:t>
      </w:r>
      <w:proofErr w:type="spellStart"/>
      <w:r w:rsidRPr="006B6FA0">
        <w:rPr>
          <w:rFonts w:eastAsia="Times New Roman"/>
          <w:color w:val="auto"/>
          <w:szCs w:val="24"/>
          <w:lang w:eastAsia="en-GB"/>
        </w:rPr>
        <w:t>Ngusie</w:t>
      </w:r>
      <w:proofErr w:type="spellEnd"/>
      <w:r w:rsidRPr="006B6FA0">
        <w:rPr>
          <w:rFonts w:eastAsia="Times New Roman"/>
          <w:color w:val="auto"/>
          <w:szCs w:val="24"/>
          <w:lang w:eastAsia="en-GB"/>
        </w:rPr>
        <w:t xml:space="preserve">, H. S., </w:t>
      </w:r>
      <w:proofErr w:type="spellStart"/>
      <w:r w:rsidRPr="006B6FA0">
        <w:rPr>
          <w:rFonts w:eastAsia="Times New Roman"/>
          <w:color w:val="auto"/>
          <w:szCs w:val="24"/>
          <w:lang w:eastAsia="en-GB"/>
        </w:rPr>
        <w:t>Hunde</w:t>
      </w:r>
      <w:proofErr w:type="spellEnd"/>
      <w:r w:rsidRPr="006B6FA0">
        <w:rPr>
          <w:rFonts w:eastAsia="Times New Roman"/>
          <w:color w:val="auto"/>
          <w:szCs w:val="24"/>
          <w:lang w:eastAsia="en-GB"/>
        </w:rPr>
        <w:t xml:space="preserve">, M. K., </w:t>
      </w:r>
      <w:proofErr w:type="spellStart"/>
      <w:r w:rsidRPr="006B6FA0">
        <w:rPr>
          <w:rFonts w:eastAsia="Times New Roman"/>
          <w:color w:val="auto"/>
          <w:szCs w:val="24"/>
          <w:lang w:eastAsia="en-GB"/>
        </w:rPr>
        <w:t>Emanu</w:t>
      </w:r>
      <w:proofErr w:type="spellEnd"/>
      <w:r w:rsidRPr="006B6FA0">
        <w:rPr>
          <w:rFonts w:eastAsia="Times New Roman"/>
          <w:color w:val="auto"/>
          <w:szCs w:val="24"/>
          <w:lang w:eastAsia="en-GB"/>
        </w:rPr>
        <w:t xml:space="preserve">, M. D., </w:t>
      </w:r>
      <w:proofErr w:type="spellStart"/>
      <w:r w:rsidRPr="006B6FA0">
        <w:rPr>
          <w:rFonts w:eastAsia="Times New Roman"/>
          <w:color w:val="auto"/>
          <w:szCs w:val="24"/>
          <w:lang w:eastAsia="en-GB"/>
        </w:rPr>
        <w:t>Shibabaw</w:t>
      </w:r>
      <w:proofErr w:type="spellEnd"/>
      <w:r w:rsidRPr="006B6FA0">
        <w:rPr>
          <w:rFonts w:eastAsia="Times New Roman"/>
          <w:color w:val="auto"/>
          <w:szCs w:val="24"/>
          <w:lang w:eastAsia="en-GB"/>
        </w:rPr>
        <w:t xml:space="preserve">, A. A., &amp; Walle, A. D. (2023). Health professionals’ routine practice documentation and its associated factors in a resource-limited setting: a cross-sectional study. </w:t>
      </w:r>
      <w:r w:rsidRPr="006B6FA0">
        <w:rPr>
          <w:rFonts w:eastAsia="Times New Roman"/>
          <w:i/>
          <w:iCs/>
          <w:color w:val="auto"/>
          <w:szCs w:val="24"/>
          <w:lang w:eastAsia="en-GB"/>
        </w:rPr>
        <w:t>BMJ Health &amp; Care Informatics</w:t>
      </w:r>
      <w:r w:rsidRPr="006B6FA0">
        <w:rPr>
          <w:rFonts w:eastAsia="Times New Roman"/>
          <w:color w:val="auto"/>
          <w:szCs w:val="24"/>
          <w:lang w:eastAsia="en-GB"/>
        </w:rPr>
        <w:t xml:space="preserve">, </w:t>
      </w:r>
      <w:r w:rsidRPr="006B6FA0">
        <w:rPr>
          <w:rFonts w:eastAsia="Times New Roman"/>
          <w:i/>
          <w:iCs/>
          <w:color w:val="auto"/>
          <w:szCs w:val="24"/>
          <w:lang w:eastAsia="en-GB"/>
        </w:rPr>
        <w:t>30</w:t>
      </w:r>
      <w:r w:rsidRPr="006B6FA0">
        <w:rPr>
          <w:rFonts w:eastAsia="Times New Roman"/>
          <w:color w:val="auto"/>
          <w:szCs w:val="24"/>
          <w:lang w:eastAsia="en-GB"/>
        </w:rPr>
        <w:t xml:space="preserve">(1), 1–7. </w:t>
      </w:r>
      <w:hyperlink r:id="rId10" w:history="1">
        <w:r w:rsidRPr="00793CA8">
          <w:rPr>
            <w:rStyle w:val="Hyperlink"/>
            <w:rFonts w:eastAsia="Times New Roman"/>
            <w:szCs w:val="24"/>
            <w:lang w:val="en-GB" w:eastAsia="en-GB" w:bidi="ar-SA"/>
          </w:rPr>
          <w:t>https://doi.org/10.1136/bmjhci-2022-100699</w:t>
        </w:r>
      </w:hyperlink>
    </w:p>
    <w:p w14:paraId="12D3B2B1" w14:textId="77777777" w:rsidR="006B6FA0" w:rsidRDefault="006B6FA0" w:rsidP="006B6FA0">
      <w:pPr>
        <w:numPr>
          <w:ilvl w:val="0"/>
          <w:numId w:val="1"/>
        </w:numPr>
        <w:suppressAutoHyphens w:val="0"/>
        <w:spacing w:line="240" w:lineRule="auto"/>
        <w:rPr>
          <w:rFonts w:eastAsia="Times New Roman"/>
          <w:color w:val="auto"/>
          <w:szCs w:val="24"/>
          <w:lang w:eastAsia="en-GB"/>
        </w:rPr>
      </w:pPr>
      <w:r w:rsidRPr="006B6FA0">
        <w:rPr>
          <w:rFonts w:eastAsia="Times New Roman"/>
          <w:color w:val="auto"/>
          <w:szCs w:val="24"/>
          <w:lang w:eastAsia="en-GB"/>
        </w:rPr>
        <w:t xml:space="preserve">GOV.UK. (2018). </w:t>
      </w:r>
      <w:r w:rsidRPr="006B6FA0">
        <w:rPr>
          <w:rFonts w:eastAsia="Times New Roman"/>
          <w:i/>
          <w:iCs/>
          <w:color w:val="auto"/>
          <w:szCs w:val="24"/>
          <w:lang w:eastAsia="en-GB"/>
        </w:rPr>
        <w:t>Data Protection Act 2018</w:t>
      </w:r>
      <w:r w:rsidRPr="006B6FA0">
        <w:rPr>
          <w:rFonts w:eastAsia="Times New Roman"/>
          <w:color w:val="auto"/>
          <w:szCs w:val="24"/>
          <w:lang w:eastAsia="en-GB"/>
        </w:rPr>
        <w:t xml:space="preserve">. Legislation.gov.uk. </w:t>
      </w:r>
      <w:hyperlink r:id="rId11" w:history="1">
        <w:r w:rsidRPr="00793CA8">
          <w:rPr>
            <w:rStyle w:val="Hyperlink"/>
            <w:rFonts w:eastAsia="Times New Roman"/>
            <w:szCs w:val="24"/>
            <w:lang w:val="en-GB" w:eastAsia="en-GB" w:bidi="ar-SA"/>
          </w:rPr>
          <w:t>https://www.legislation.gov.uk/ukpga/2018/12/contents</w:t>
        </w:r>
      </w:hyperlink>
    </w:p>
    <w:p w14:paraId="5E7AE666" w14:textId="77777777" w:rsidR="006B6FA0" w:rsidRDefault="006B6FA0" w:rsidP="006B6FA0">
      <w:pPr>
        <w:numPr>
          <w:ilvl w:val="0"/>
          <w:numId w:val="1"/>
        </w:numPr>
        <w:suppressAutoHyphens w:val="0"/>
        <w:spacing w:line="240" w:lineRule="auto"/>
        <w:rPr>
          <w:rFonts w:eastAsia="Times New Roman"/>
          <w:color w:val="auto"/>
          <w:szCs w:val="24"/>
          <w:lang w:eastAsia="en-GB"/>
        </w:rPr>
      </w:pPr>
      <w:r w:rsidRPr="006B6FA0">
        <w:rPr>
          <w:rFonts w:eastAsia="Times New Roman"/>
          <w:color w:val="auto"/>
          <w:szCs w:val="24"/>
          <w:lang w:eastAsia="en-GB"/>
        </w:rPr>
        <w:t xml:space="preserve">UK Government. (2012). </w:t>
      </w:r>
      <w:r w:rsidRPr="006B6FA0">
        <w:rPr>
          <w:rFonts w:eastAsia="Times New Roman"/>
          <w:i/>
          <w:iCs/>
          <w:color w:val="auto"/>
          <w:szCs w:val="24"/>
          <w:lang w:eastAsia="en-GB"/>
        </w:rPr>
        <w:t>Health and Social Care Act 2012</w:t>
      </w:r>
      <w:r w:rsidRPr="006B6FA0">
        <w:rPr>
          <w:rFonts w:eastAsia="Times New Roman"/>
          <w:color w:val="auto"/>
          <w:szCs w:val="24"/>
          <w:lang w:eastAsia="en-GB"/>
        </w:rPr>
        <w:t xml:space="preserve">. Legislation.gov.uk. </w:t>
      </w:r>
      <w:hyperlink r:id="rId12" w:history="1">
        <w:r w:rsidRPr="00793CA8">
          <w:rPr>
            <w:rStyle w:val="Hyperlink"/>
            <w:rFonts w:eastAsia="Times New Roman"/>
            <w:szCs w:val="24"/>
            <w:lang w:val="en-GB" w:eastAsia="en-GB" w:bidi="ar-SA"/>
          </w:rPr>
          <w:t>https://www.legislation.gov.uk/ukpga/2012/7/contents</w:t>
        </w:r>
      </w:hyperlink>
    </w:p>
    <w:p w14:paraId="2BE5B671" w14:textId="77777777" w:rsidR="006B6FA0" w:rsidRPr="006B6FA0" w:rsidRDefault="006B6FA0" w:rsidP="006B6FA0">
      <w:pPr>
        <w:numPr>
          <w:ilvl w:val="0"/>
          <w:numId w:val="1"/>
        </w:numPr>
        <w:suppressAutoHyphens w:val="0"/>
        <w:spacing w:line="240" w:lineRule="auto"/>
        <w:rPr>
          <w:rFonts w:eastAsia="Times New Roman"/>
          <w:color w:val="auto"/>
          <w:szCs w:val="24"/>
          <w:lang w:eastAsia="en-GB"/>
        </w:rPr>
      </w:pPr>
      <w:r w:rsidRPr="006B6FA0">
        <w:rPr>
          <w:rFonts w:eastAsia="Times New Roman"/>
          <w:color w:val="auto"/>
          <w:szCs w:val="24"/>
          <w:lang w:eastAsia="en-GB"/>
        </w:rPr>
        <w:t xml:space="preserve">Jobe, I., Lindberg, B., &amp; </w:t>
      </w:r>
      <w:proofErr w:type="spellStart"/>
      <w:r w:rsidRPr="006B6FA0">
        <w:rPr>
          <w:rFonts w:eastAsia="Times New Roman"/>
          <w:color w:val="auto"/>
          <w:szCs w:val="24"/>
          <w:lang w:eastAsia="en-GB"/>
        </w:rPr>
        <w:t>Engström</w:t>
      </w:r>
      <w:proofErr w:type="spellEnd"/>
      <w:r w:rsidRPr="006B6FA0">
        <w:rPr>
          <w:rFonts w:eastAsia="Times New Roman"/>
          <w:color w:val="auto"/>
          <w:szCs w:val="24"/>
          <w:lang w:eastAsia="en-GB"/>
        </w:rPr>
        <w:t xml:space="preserve">, Å. (2020). Health and social care professionals’ experiences of collaborative planning—Applying the person‐centred practice framework. </w:t>
      </w:r>
      <w:r w:rsidRPr="006B6FA0">
        <w:rPr>
          <w:rFonts w:eastAsia="Times New Roman"/>
          <w:i/>
          <w:iCs/>
          <w:color w:val="auto"/>
          <w:szCs w:val="24"/>
          <w:lang w:eastAsia="en-GB"/>
        </w:rPr>
        <w:t>Nursing Open</w:t>
      </w:r>
      <w:r w:rsidRPr="006B6FA0">
        <w:rPr>
          <w:rFonts w:eastAsia="Times New Roman"/>
          <w:color w:val="auto"/>
          <w:szCs w:val="24"/>
          <w:lang w:eastAsia="en-GB"/>
        </w:rPr>
        <w:t xml:space="preserve">, </w:t>
      </w:r>
      <w:r w:rsidRPr="006B6FA0">
        <w:rPr>
          <w:rFonts w:eastAsia="Times New Roman"/>
          <w:i/>
          <w:iCs/>
          <w:color w:val="auto"/>
          <w:szCs w:val="24"/>
          <w:lang w:eastAsia="en-GB"/>
        </w:rPr>
        <w:t>7</w:t>
      </w:r>
      <w:r w:rsidRPr="006B6FA0">
        <w:rPr>
          <w:rFonts w:eastAsia="Times New Roman"/>
          <w:color w:val="auto"/>
          <w:szCs w:val="24"/>
          <w:lang w:eastAsia="en-GB"/>
        </w:rPr>
        <w:t>(6). https://doi.org/10.1002/nop2.597</w:t>
      </w:r>
    </w:p>
    <w:p w14:paraId="2694C94C" w14:textId="77777777" w:rsidR="006B6FA0" w:rsidRPr="006B6FA0" w:rsidRDefault="006B6FA0" w:rsidP="006B6FA0">
      <w:pPr>
        <w:numPr>
          <w:ilvl w:val="0"/>
          <w:numId w:val="1"/>
        </w:numPr>
        <w:suppressAutoHyphens w:val="0"/>
        <w:spacing w:line="480" w:lineRule="auto"/>
        <w:jc w:val="left"/>
        <w:rPr>
          <w:rFonts w:eastAsia="Times New Roman"/>
          <w:color w:val="auto"/>
          <w:szCs w:val="24"/>
          <w:lang w:eastAsia="en-GB"/>
        </w:rPr>
      </w:pPr>
    </w:p>
    <w:p w14:paraId="34FB1D96" w14:textId="77777777" w:rsidR="006B6FA0" w:rsidRPr="006B6FA0" w:rsidRDefault="006B6FA0" w:rsidP="006B6FA0">
      <w:pPr>
        <w:numPr>
          <w:ilvl w:val="0"/>
          <w:numId w:val="1"/>
        </w:numPr>
        <w:suppressAutoHyphens w:val="0"/>
        <w:spacing w:line="480" w:lineRule="auto"/>
        <w:jc w:val="left"/>
        <w:rPr>
          <w:rFonts w:eastAsia="Times New Roman"/>
          <w:color w:val="auto"/>
          <w:szCs w:val="24"/>
          <w:lang w:eastAsia="en-GB"/>
        </w:rPr>
      </w:pPr>
    </w:p>
    <w:p w14:paraId="20AAC714" w14:textId="77777777" w:rsidR="006B6FA0" w:rsidRPr="006B6FA0" w:rsidRDefault="006B6FA0" w:rsidP="006B6FA0">
      <w:pPr>
        <w:numPr>
          <w:ilvl w:val="0"/>
          <w:numId w:val="1"/>
        </w:numPr>
        <w:suppressAutoHyphens w:val="0"/>
        <w:spacing w:line="480" w:lineRule="auto"/>
        <w:jc w:val="left"/>
        <w:rPr>
          <w:rFonts w:eastAsia="Times New Roman"/>
          <w:color w:val="auto"/>
          <w:szCs w:val="24"/>
          <w:lang w:eastAsia="en-GB"/>
        </w:rPr>
      </w:pPr>
    </w:p>
    <w:p w14:paraId="52A41DF6" w14:textId="77777777" w:rsidR="006B6FA0" w:rsidRPr="00F136C4" w:rsidRDefault="006B6FA0" w:rsidP="00F136C4">
      <w:pPr>
        <w:numPr>
          <w:ilvl w:val="0"/>
          <w:numId w:val="1"/>
        </w:numPr>
        <w:suppressAutoHyphens w:val="0"/>
        <w:spacing w:line="480" w:lineRule="auto"/>
        <w:jc w:val="left"/>
        <w:rPr>
          <w:rFonts w:eastAsia="Times New Roman"/>
          <w:color w:val="auto"/>
          <w:szCs w:val="24"/>
          <w:lang w:eastAsia="en-GB"/>
        </w:rPr>
      </w:pPr>
    </w:p>
    <w:p w14:paraId="7D1E3C15" w14:textId="77777777" w:rsidR="00F136C4" w:rsidRPr="00F136C4" w:rsidRDefault="00F136C4" w:rsidP="00F136C4">
      <w:pPr>
        <w:numPr>
          <w:ilvl w:val="0"/>
          <w:numId w:val="1"/>
        </w:numPr>
        <w:suppressAutoHyphens w:val="0"/>
        <w:spacing w:line="480" w:lineRule="auto"/>
        <w:jc w:val="left"/>
        <w:rPr>
          <w:rFonts w:eastAsia="Times New Roman"/>
          <w:color w:val="auto"/>
          <w:szCs w:val="24"/>
          <w:lang w:eastAsia="en-GB"/>
        </w:rPr>
      </w:pPr>
    </w:p>
    <w:p w14:paraId="0BF3EA0B" w14:textId="77777777" w:rsidR="00F136C4" w:rsidRPr="00F136C4" w:rsidRDefault="00F136C4" w:rsidP="00F136C4"/>
    <w:sectPr w:rsidR="00F136C4" w:rsidRPr="00F136C4">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CD1EE7" w14:textId="77777777" w:rsidR="002C5B52" w:rsidRDefault="002C5B52" w:rsidP="00A87747">
      <w:pPr>
        <w:spacing w:line="240" w:lineRule="auto"/>
      </w:pPr>
      <w:r>
        <w:separator/>
      </w:r>
    </w:p>
  </w:endnote>
  <w:endnote w:type="continuationSeparator" w:id="0">
    <w:p w14:paraId="1717063E" w14:textId="77777777" w:rsidR="002C5B52" w:rsidRDefault="002C5B52"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Droid Sans">
    <w:panose1 w:val="020B0604020202020204"/>
    <w:charset w:val="80"/>
    <w:family w:val="auto"/>
    <w:pitch w:val="variable"/>
  </w:font>
  <w:font w:name="OpenSymbol">
    <w:altName w:val="Arial Unicode MS"/>
    <w:panose1 w:val="020B0604020202020204"/>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jaVu Sans">
    <w:altName w:val="Yu Gothic"/>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panose1 w:val="020B0604020202020204"/>
    <w:charset w:val="80"/>
    <w:family w:val="roman"/>
    <w:pitch w:val="variable"/>
  </w:font>
  <w:font w:name="DejaVu Sans Mono">
    <w:panose1 w:val="020B0604020202020204"/>
    <w:charset w:val="80"/>
    <w:family w:val="modern"/>
    <w:pitch w:val="default"/>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38B13C" w14:textId="77777777" w:rsidR="003E5C3A" w:rsidRDefault="003E5C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475840" w14:textId="77777777" w:rsidR="00A87747" w:rsidRDefault="00A87747">
    <w:pPr>
      <w:pStyle w:val="Footer"/>
      <w:jc w:val="center"/>
    </w:pPr>
    <w:r>
      <w:fldChar w:fldCharType="begin"/>
    </w:r>
    <w:r>
      <w:instrText xml:space="preserve"> PAGE   \* MERGEFORMAT </w:instrText>
    </w:r>
    <w:r>
      <w:fldChar w:fldCharType="separate"/>
    </w:r>
    <w:r w:rsidR="00A0505F">
      <w:rPr>
        <w:noProof/>
      </w:rPr>
      <w:t>7</w:t>
    </w:r>
    <w:r>
      <w:rPr>
        <w:noProof/>
      </w:rPr>
      <w:fldChar w:fldCharType="end"/>
    </w:r>
  </w:p>
  <w:p w14:paraId="27115216" w14:textId="77777777" w:rsidR="00A87747" w:rsidRDefault="00A877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511544" w14:textId="77777777" w:rsidR="003E5C3A" w:rsidRDefault="003E5C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B43191" w14:textId="77777777" w:rsidR="002C5B52" w:rsidRDefault="002C5B52" w:rsidP="00A87747">
      <w:pPr>
        <w:spacing w:line="240" w:lineRule="auto"/>
      </w:pPr>
      <w:r>
        <w:separator/>
      </w:r>
    </w:p>
  </w:footnote>
  <w:footnote w:type="continuationSeparator" w:id="0">
    <w:p w14:paraId="24A6EC4C" w14:textId="77777777" w:rsidR="002C5B52" w:rsidRDefault="002C5B52" w:rsidP="00A877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42D90D" w14:textId="77777777" w:rsidR="003E5C3A" w:rsidRDefault="003E5C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0585C2" w14:textId="77777777" w:rsidR="003E5C3A" w:rsidRDefault="003E5C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CE0E7F" w14:textId="77777777" w:rsidR="003E5C3A" w:rsidRDefault="003E5C3A">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34ktmafB" int2:invalidationBookmarkName="" int2:hashCode="4h7nfVAJEKEZWb" int2:id="fDhOcM1W">
      <int2:state int2:value="Rejected" int2:type="gram"/>
    </int2:bookmark>
    <int2:bookmark int2:bookmarkName="_Int_CHTETzwL" int2:invalidationBookmarkName="" int2:hashCode="WFMMxYjAgS+MCk" int2:id="kVlqjCze">
      <int2:state int2:value="Rejected" int2:type="style"/>
    </int2:bookmark>
    <int2:bookmark int2:bookmarkName="_Int_DGbmxhje" int2:invalidationBookmarkName="" int2:hashCode="BP722YIMEjO0Sh" int2:id="Igis26Xj">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45A30C6"/>
    <w:multiLevelType w:val="hybridMultilevel"/>
    <w:tmpl w:val="98F099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0553694">
    <w:abstractNumId w:val="0"/>
  </w:num>
  <w:num w:numId="2" w16cid:durableId="654142585">
    <w:abstractNumId w:val="1"/>
  </w:num>
  <w:num w:numId="3" w16cid:durableId="1040591368">
    <w:abstractNumId w:val="11"/>
  </w:num>
  <w:num w:numId="4" w16cid:durableId="1015576336">
    <w:abstractNumId w:val="25"/>
  </w:num>
  <w:num w:numId="5" w16cid:durableId="1846288569">
    <w:abstractNumId w:val="10"/>
  </w:num>
  <w:num w:numId="6" w16cid:durableId="187565979">
    <w:abstractNumId w:val="24"/>
  </w:num>
  <w:num w:numId="7" w16cid:durableId="1986273104">
    <w:abstractNumId w:val="28"/>
  </w:num>
  <w:num w:numId="8" w16cid:durableId="1761948115">
    <w:abstractNumId w:val="20"/>
  </w:num>
  <w:num w:numId="9" w16cid:durableId="641352445">
    <w:abstractNumId w:val="7"/>
  </w:num>
  <w:num w:numId="10" w16cid:durableId="460072574">
    <w:abstractNumId w:val="17"/>
  </w:num>
  <w:num w:numId="11" w16cid:durableId="1845244840">
    <w:abstractNumId w:val="21"/>
  </w:num>
  <w:num w:numId="12" w16cid:durableId="1633635737">
    <w:abstractNumId w:val="12"/>
  </w:num>
  <w:num w:numId="13" w16cid:durableId="630206032">
    <w:abstractNumId w:val="5"/>
  </w:num>
  <w:num w:numId="14" w16cid:durableId="1973517569">
    <w:abstractNumId w:val="18"/>
  </w:num>
  <w:num w:numId="15" w16cid:durableId="1383360319">
    <w:abstractNumId w:val="6"/>
  </w:num>
  <w:num w:numId="16" w16cid:durableId="471488895">
    <w:abstractNumId w:val="23"/>
  </w:num>
  <w:num w:numId="17" w16cid:durableId="411902450">
    <w:abstractNumId w:val="3"/>
  </w:num>
  <w:num w:numId="18" w16cid:durableId="2065324706">
    <w:abstractNumId w:val="19"/>
  </w:num>
  <w:num w:numId="19" w16cid:durableId="1388190771">
    <w:abstractNumId w:val="2"/>
  </w:num>
  <w:num w:numId="20" w16cid:durableId="1953585320">
    <w:abstractNumId w:val="27"/>
  </w:num>
  <w:num w:numId="21" w16cid:durableId="2146464627">
    <w:abstractNumId w:val="14"/>
  </w:num>
  <w:num w:numId="22" w16cid:durableId="1123621344">
    <w:abstractNumId w:val="13"/>
  </w:num>
  <w:num w:numId="23" w16cid:durableId="1430737102">
    <w:abstractNumId w:val="26"/>
  </w:num>
  <w:num w:numId="24" w16cid:durableId="665786481">
    <w:abstractNumId w:val="29"/>
  </w:num>
  <w:num w:numId="25" w16cid:durableId="1256398107">
    <w:abstractNumId w:val="8"/>
  </w:num>
  <w:num w:numId="26" w16cid:durableId="1435587075">
    <w:abstractNumId w:val="16"/>
  </w:num>
  <w:num w:numId="27" w16cid:durableId="282075049">
    <w:abstractNumId w:val="15"/>
  </w:num>
  <w:num w:numId="28" w16cid:durableId="1048838341">
    <w:abstractNumId w:val="22"/>
  </w:num>
  <w:num w:numId="29" w16cid:durableId="1183201447">
    <w:abstractNumId w:val="9"/>
  </w:num>
  <w:num w:numId="30" w16cid:durableId="3567339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formatting="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yNbcwNTM0BXKMLJV0lIJTi4sz8/NACsxrAfOzWGUsAAAA"/>
  </w:docVars>
  <w:rsids>
    <w:rsidRoot w:val="008D09FF"/>
    <w:rsid w:val="000143B4"/>
    <w:rsid w:val="000157F7"/>
    <w:rsid w:val="000169FC"/>
    <w:rsid w:val="00021AA2"/>
    <w:rsid w:val="00026F62"/>
    <w:rsid w:val="0003210E"/>
    <w:rsid w:val="00033E1E"/>
    <w:rsid w:val="00043DD1"/>
    <w:rsid w:val="00044E03"/>
    <w:rsid w:val="00051B13"/>
    <w:rsid w:val="0005499F"/>
    <w:rsid w:val="00073CCE"/>
    <w:rsid w:val="00077B6D"/>
    <w:rsid w:val="000824D7"/>
    <w:rsid w:val="0009752E"/>
    <w:rsid w:val="000A0300"/>
    <w:rsid w:val="000A2736"/>
    <w:rsid w:val="000A693F"/>
    <w:rsid w:val="000B55F1"/>
    <w:rsid w:val="000B7C25"/>
    <w:rsid w:val="000C54FA"/>
    <w:rsid w:val="000D13F2"/>
    <w:rsid w:val="000D1E89"/>
    <w:rsid w:val="000D5F91"/>
    <w:rsid w:val="000E3657"/>
    <w:rsid w:val="000E5B1D"/>
    <w:rsid w:val="000E7C63"/>
    <w:rsid w:val="000F7A29"/>
    <w:rsid w:val="0010080F"/>
    <w:rsid w:val="001127EC"/>
    <w:rsid w:val="00115FA2"/>
    <w:rsid w:val="0011725C"/>
    <w:rsid w:val="0012311E"/>
    <w:rsid w:val="00124129"/>
    <w:rsid w:val="00131CE2"/>
    <w:rsid w:val="00135FA8"/>
    <w:rsid w:val="0014081F"/>
    <w:rsid w:val="0014236D"/>
    <w:rsid w:val="001543C4"/>
    <w:rsid w:val="00155DFF"/>
    <w:rsid w:val="00171AB7"/>
    <w:rsid w:val="001959E7"/>
    <w:rsid w:val="001A2386"/>
    <w:rsid w:val="001A23A4"/>
    <w:rsid w:val="001A6CE4"/>
    <w:rsid w:val="001B148D"/>
    <w:rsid w:val="001B293F"/>
    <w:rsid w:val="001B2B71"/>
    <w:rsid w:val="001B3DA5"/>
    <w:rsid w:val="001C4B30"/>
    <w:rsid w:val="001C6C19"/>
    <w:rsid w:val="001C7C69"/>
    <w:rsid w:val="001D1CAC"/>
    <w:rsid w:val="001D46FF"/>
    <w:rsid w:val="001F2F9D"/>
    <w:rsid w:val="002037AB"/>
    <w:rsid w:val="00203ADA"/>
    <w:rsid w:val="00207BF7"/>
    <w:rsid w:val="0021152B"/>
    <w:rsid w:val="00214B85"/>
    <w:rsid w:val="002157B6"/>
    <w:rsid w:val="00245957"/>
    <w:rsid w:val="00245FD9"/>
    <w:rsid w:val="0024714F"/>
    <w:rsid w:val="00251842"/>
    <w:rsid w:val="00255300"/>
    <w:rsid w:val="00267D0D"/>
    <w:rsid w:val="00273F83"/>
    <w:rsid w:val="002923C2"/>
    <w:rsid w:val="0029461D"/>
    <w:rsid w:val="002A218E"/>
    <w:rsid w:val="002B1C88"/>
    <w:rsid w:val="002B6D16"/>
    <w:rsid w:val="002C58C6"/>
    <w:rsid w:val="002C5976"/>
    <w:rsid w:val="002C5AFE"/>
    <w:rsid w:val="002C5B52"/>
    <w:rsid w:val="002C5DF6"/>
    <w:rsid w:val="002D5608"/>
    <w:rsid w:val="002E2445"/>
    <w:rsid w:val="002F3715"/>
    <w:rsid w:val="002F4C8F"/>
    <w:rsid w:val="00306373"/>
    <w:rsid w:val="00325AC6"/>
    <w:rsid w:val="003347F4"/>
    <w:rsid w:val="003407C3"/>
    <w:rsid w:val="00341F1F"/>
    <w:rsid w:val="00352949"/>
    <w:rsid w:val="00354A83"/>
    <w:rsid w:val="003559FD"/>
    <w:rsid w:val="00355AA6"/>
    <w:rsid w:val="0035740A"/>
    <w:rsid w:val="00363625"/>
    <w:rsid w:val="003644F3"/>
    <w:rsid w:val="00371215"/>
    <w:rsid w:val="0037352A"/>
    <w:rsid w:val="00377720"/>
    <w:rsid w:val="00380505"/>
    <w:rsid w:val="00390787"/>
    <w:rsid w:val="003915E6"/>
    <w:rsid w:val="003A21CE"/>
    <w:rsid w:val="003B2223"/>
    <w:rsid w:val="003D2B08"/>
    <w:rsid w:val="003D6472"/>
    <w:rsid w:val="003E3CE3"/>
    <w:rsid w:val="003E5C3A"/>
    <w:rsid w:val="003F321A"/>
    <w:rsid w:val="003F58CF"/>
    <w:rsid w:val="003F652C"/>
    <w:rsid w:val="003F6A34"/>
    <w:rsid w:val="004001C6"/>
    <w:rsid w:val="0040516B"/>
    <w:rsid w:val="00406F8A"/>
    <w:rsid w:val="004118BC"/>
    <w:rsid w:val="00412D04"/>
    <w:rsid w:val="00426EFB"/>
    <w:rsid w:val="004275E6"/>
    <w:rsid w:val="00430271"/>
    <w:rsid w:val="0043392D"/>
    <w:rsid w:val="00435F23"/>
    <w:rsid w:val="00450132"/>
    <w:rsid w:val="00454D5E"/>
    <w:rsid w:val="00455304"/>
    <w:rsid w:val="00460545"/>
    <w:rsid w:val="0046208D"/>
    <w:rsid w:val="0047293C"/>
    <w:rsid w:val="00480840"/>
    <w:rsid w:val="004836C4"/>
    <w:rsid w:val="0049537E"/>
    <w:rsid w:val="00496C57"/>
    <w:rsid w:val="004A17F2"/>
    <w:rsid w:val="004A42D9"/>
    <w:rsid w:val="004A6F78"/>
    <w:rsid w:val="004A78C8"/>
    <w:rsid w:val="004B2DC1"/>
    <w:rsid w:val="004B6253"/>
    <w:rsid w:val="004B637E"/>
    <w:rsid w:val="004D5B16"/>
    <w:rsid w:val="004D5BFC"/>
    <w:rsid w:val="004E44CC"/>
    <w:rsid w:val="004F372C"/>
    <w:rsid w:val="00500202"/>
    <w:rsid w:val="005007FB"/>
    <w:rsid w:val="005025FB"/>
    <w:rsid w:val="0050612C"/>
    <w:rsid w:val="00514B64"/>
    <w:rsid w:val="00514C27"/>
    <w:rsid w:val="005244D0"/>
    <w:rsid w:val="00526156"/>
    <w:rsid w:val="00526B25"/>
    <w:rsid w:val="00531793"/>
    <w:rsid w:val="005363C9"/>
    <w:rsid w:val="00545BE1"/>
    <w:rsid w:val="005466F4"/>
    <w:rsid w:val="00556141"/>
    <w:rsid w:val="005575BB"/>
    <w:rsid w:val="00563005"/>
    <w:rsid w:val="00565E1A"/>
    <w:rsid w:val="00572E0C"/>
    <w:rsid w:val="00583DDF"/>
    <w:rsid w:val="005901D0"/>
    <w:rsid w:val="00591D3F"/>
    <w:rsid w:val="00592304"/>
    <w:rsid w:val="005955CD"/>
    <w:rsid w:val="005978A5"/>
    <w:rsid w:val="00597C27"/>
    <w:rsid w:val="005A4881"/>
    <w:rsid w:val="005B1D0F"/>
    <w:rsid w:val="005B3892"/>
    <w:rsid w:val="005C2B38"/>
    <w:rsid w:val="005C6F1F"/>
    <w:rsid w:val="005C729D"/>
    <w:rsid w:val="005C740A"/>
    <w:rsid w:val="005D49B9"/>
    <w:rsid w:val="005F292C"/>
    <w:rsid w:val="0060463A"/>
    <w:rsid w:val="00607926"/>
    <w:rsid w:val="0061173B"/>
    <w:rsid w:val="00615B24"/>
    <w:rsid w:val="00621B9C"/>
    <w:rsid w:val="006237FB"/>
    <w:rsid w:val="006302B6"/>
    <w:rsid w:val="006407FE"/>
    <w:rsid w:val="006438EC"/>
    <w:rsid w:val="006475FF"/>
    <w:rsid w:val="00654A6E"/>
    <w:rsid w:val="00661773"/>
    <w:rsid w:val="0066496D"/>
    <w:rsid w:val="00671F66"/>
    <w:rsid w:val="00674A76"/>
    <w:rsid w:val="00682A76"/>
    <w:rsid w:val="00682D74"/>
    <w:rsid w:val="00684916"/>
    <w:rsid w:val="006948E8"/>
    <w:rsid w:val="00697727"/>
    <w:rsid w:val="006A724A"/>
    <w:rsid w:val="006B65D2"/>
    <w:rsid w:val="006B6FA0"/>
    <w:rsid w:val="006C51DB"/>
    <w:rsid w:val="006C5469"/>
    <w:rsid w:val="006C5728"/>
    <w:rsid w:val="006D07E0"/>
    <w:rsid w:val="006D6837"/>
    <w:rsid w:val="006D7C5E"/>
    <w:rsid w:val="006E177F"/>
    <w:rsid w:val="00705F33"/>
    <w:rsid w:val="007130F3"/>
    <w:rsid w:val="00720A6F"/>
    <w:rsid w:val="0072548E"/>
    <w:rsid w:val="00732B9B"/>
    <w:rsid w:val="00746466"/>
    <w:rsid w:val="0074789A"/>
    <w:rsid w:val="007515C4"/>
    <w:rsid w:val="00752C57"/>
    <w:rsid w:val="0075424F"/>
    <w:rsid w:val="00755616"/>
    <w:rsid w:val="00755E7B"/>
    <w:rsid w:val="007626C2"/>
    <w:rsid w:val="00764092"/>
    <w:rsid w:val="00772400"/>
    <w:rsid w:val="007739F9"/>
    <w:rsid w:val="00777727"/>
    <w:rsid w:val="00781B1F"/>
    <w:rsid w:val="007847BC"/>
    <w:rsid w:val="00784EBE"/>
    <w:rsid w:val="00793373"/>
    <w:rsid w:val="00796A0C"/>
    <w:rsid w:val="007B6BA5"/>
    <w:rsid w:val="007C0686"/>
    <w:rsid w:val="007C1004"/>
    <w:rsid w:val="007C3193"/>
    <w:rsid w:val="007D0A05"/>
    <w:rsid w:val="007D1B17"/>
    <w:rsid w:val="007D4E7D"/>
    <w:rsid w:val="007D6079"/>
    <w:rsid w:val="007E5D62"/>
    <w:rsid w:val="007E61B3"/>
    <w:rsid w:val="007E79B8"/>
    <w:rsid w:val="007F543B"/>
    <w:rsid w:val="007F5B80"/>
    <w:rsid w:val="007F654B"/>
    <w:rsid w:val="00814EE5"/>
    <w:rsid w:val="0082293E"/>
    <w:rsid w:val="0083045C"/>
    <w:rsid w:val="0083094A"/>
    <w:rsid w:val="008309B1"/>
    <w:rsid w:val="00831ABD"/>
    <w:rsid w:val="00841350"/>
    <w:rsid w:val="00853117"/>
    <w:rsid w:val="008645D9"/>
    <w:rsid w:val="0087207B"/>
    <w:rsid w:val="00872FDC"/>
    <w:rsid w:val="00884801"/>
    <w:rsid w:val="008934D6"/>
    <w:rsid w:val="008A4FEE"/>
    <w:rsid w:val="008A5AAC"/>
    <w:rsid w:val="008B1D5E"/>
    <w:rsid w:val="008B6785"/>
    <w:rsid w:val="008C4464"/>
    <w:rsid w:val="008C5894"/>
    <w:rsid w:val="008D09FF"/>
    <w:rsid w:val="008E6B1D"/>
    <w:rsid w:val="008F29E6"/>
    <w:rsid w:val="00900DD5"/>
    <w:rsid w:val="009022FD"/>
    <w:rsid w:val="0090744C"/>
    <w:rsid w:val="009125AD"/>
    <w:rsid w:val="00913FA1"/>
    <w:rsid w:val="00914249"/>
    <w:rsid w:val="009172DB"/>
    <w:rsid w:val="00924407"/>
    <w:rsid w:val="00932737"/>
    <w:rsid w:val="0093725C"/>
    <w:rsid w:val="00941F56"/>
    <w:rsid w:val="0094548E"/>
    <w:rsid w:val="00956173"/>
    <w:rsid w:val="009561AE"/>
    <w:rsid w:val="00957CD0"/>
    <w:rsid w:val="00963740"/>
    <w:rsid w:val="00964B2F"/>
    <w:rsid w:val="00970C40"/>
    <w:rsid w:val="00975F56"/>
    <w:rsid w:val="009812B8"/>
    <w:rsid w:val="00982038"/>
    <w:rsid w:val="00991B22"/>
    <w:rsid w:val="00993BA5"/>
    <w:rsid w:val="009A205A"/>
    <w:rsid w:val="009A2AD5"/>
    <w:rsid w:val="009B08FC"/>
    <w:rsid w:val="009B0B1B"/>
    <w:rsid w:val="009B2391"/>
    <w:rsid w:val="009B53D8"/>
    <w:rsid w:val="009C2D59"/>
    <w:rsid w:val="009D18F1"/>
    <w:rsid w:val="009D1961"/>
    <w:rsid w:val="009D507B"/>
    <w:rsid w:val="009D7AE7"/>
    <w:rsid w:val="009E0198"/>
    <w:rsid w:val="009E22EF"/>
    <w:rsid w:val="009E31A5"/>
    <w:rsid w:val="009F0254"/>
    <w:rsid w:val="00A008EC"/>
    <w:rsid w:val="00A0505F"/>
    <w:rsid w:val="00A0522A"/>
    <w:rsid w:val="00A06682"/>
    <w:rsid w:val="00A2542B"/>
    <w:rsid w:val="00A31089"/>
    <w:rsid w:val="00A60F2E"/>
    <w:rsid w:val="00A62491"/>
    <w:rsid w:val="00A630B9"/>
    <w:rsid w:val="00A654E6"/>
    <w:rsid w:val="00A7011E"/>
    <w:rsid w:val="00A70CE1"/>
    <w:rsid w:val="00A73945"/>
    <w:rsid w:val="00A75675"/>
    <w:rsid w:val="00A801A0"/>
    <w:rsid w:val="00A82125"/>
    <w:rsid w:val="00A87747"/>
    <w:rsid w:val="00A90D99"/>
    <w:rsid w:val="00A9411B"/>
    <w:rsid w:val="00A954C7"/>
    <w:rsid w:val="00A97BE1"/>
    <w:rsid w:val="00AA470E"/>
    <w:rsid w:val="00AB326F"/>
    <w:rsid w:val="00AB5583"/>
    <w:rsid w:val="00AB5B5E"/>
    <w:rsid w:val="00AB73A8"/>
    <w:rsid w:val="00AC3A95"/>
    <w:rsid w:val="00AC52A2"/>
    <w:rsid w:val="00AD0E28"/>
    <w:rsid w:val="00AD2CBF"/>
    <w:rsid w:val="00AD2D58"/>
    <w:rsid w:val="00AD58AA"/>
    <w:rsid w:val="00AD7F58"/>
    <w:rsid w:val="00AE6BC8"/>
    <w:rsid w:val="00AF1F9B"/>
    <w:rsid w:val="00AF526C"/>
    <w:rsid w:val="00AF6143"/>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5F"/>
    <w:rsid w:val="00B322E0"/>
    <w:rsid w:val="00B34CA4"/>
    <w:rsid w:val="00B462F2"/>
    <w:rsid w:val="00B465CF"/>
    <w:rsid w:val="00B46E41"/>
    <w:rsid w:val="00B51613"/>
    <w:rsid w:val="00B56352"/>
    <w:rsid w:val="00B57A65"/>
    <w:rsid w:val="00B61DB0"/>
    <w:rsid w:val="00B61FED"/>
    <w:rsid w:val="00B671A3"/>
    <w:rsid w:val="00B7065F"/>
    <w:rsid w:val="00B71230"/>
    <w:rsid w:val="00B72833"/>
    <w:rsid w:val="00B74848"/>
    <w:rsid w:val="00B87943"/>
    <w:rsid w:val="00B91486"/>
    <w:rsid w:val="00B9195C"/>
    <w:rsid w:val="00B97BB3"/>
    <w:rsid w:val="00BA2FDA"/>
    <w:rsid w:val="00BA45F5"/>
    <w:rsid w:val="00BA67AD"/>
    <w:rsid w:val="00BC3B3A"/>
    <w:rsid w:val="00BD180E"/>
    <w:rsid w:val="00BD411F"/>
    <w:rsid w:val="00BE6EAE"/>
    <w:rsid w:val="00BF4E4E"/>
    <w:rsid w:val="00BF5CCF"/>
    <w:rsid w:val="00BF6034"/>
    <w:rsid w:val="00C00C12"/>
    <w:rsid w:val="00C106CE"/>
    <w:rsid w:val="00C14BE6"/>
    <w:rsid w:val="00C24BF1"/>
    <w:rsid w:val="00C41329"/>
    <w:rsid w:val="00C42CEC"/>
    <w:rsid w:val="00C433FF"/>
    <w:rsid w:val="00C47BCC"/>
    <w:rsid w:val="00C52007"/>
    <w:rsid w:val="00C53CCD"/>
    <w:rsid w:val="00C57D30"/>
    <w:rsid w:val="00C66F95"/>
    <w:rsid w:val="00C73ADD"/>
    <w:rsid w:val="00C74D7D"/>
    <w:rsid w:val="00C8669D"/>
    <w:rsid w:val="00C8743A"/>
    <w:rsid w:val="00C919FB"/>
    <w:rsid w:val="00CA59F2"/>
    <w:rsid w:val="00CC3413"/>
    <w:rsid w:val="00CC671B"/>
    <w:rsid w:val="00CD0E49"/>
    <w:rsid w:val="00CD2539"/>
    <w:rsid w:val="00CE4E4E"/>
    <w:rsid w:val="00CE5BDB"/>
    <w:rsid w:val="00CF15D8"/>
    <w:rsid w:val="00CF5F42"/>
    <w:rsid w:val="00D20ECD"/>
    <w:rsid w:val="00D2166C"/>
    <w:rsid w:val="00D23569"/>
    <w:rsid w:val="00D30910"/>
    <w:rsid w:val="00D35421"/>
    <w:rsid w:val="00D4151E"/>
    <w:rsid w:val="00D444CD"/>
    <w:rsid w:val="00D50037"/>
    <w:rsid w:val="00D73C7F"/>
    <w:rsid w:val="00D81130"/>
    <w:rsid w:val="00D942AF"/>
    <w:rsid w:val="00D9463B"/>
    <w:rsid w:val="00DA3189"/>
    <w:rsid w:val="00DA3A21"/>
    <w:rsid w:val="00DA5D0B"/>
    <w:rsid w:val="00DB19D0"/>
    <w:rsid w:val="00DB5216"/>
    <w:rsid w:val="00DC13DA"/>
    <w:rsid w:val="00DC49BD"/>
    <w:rsid w:val="00DC5F06"/>
    <w:rsid w:val="00DD45E3"/>
    <w:rsid w:val="00DD6A76"/>
    <w:rsid w:val="00DE0958"/>
    <w:rsid w:val="00DE64C4"/>
    <w:rsid w:val="00DF037E"/>
    <w:rsid w:val="00DF2060"/>
    <w:rsid w:val="00DF6304"/>
    <w:rsid w:val="00E000B9"/>
    <w:rsid w:val="00E039C5"/>
    <w:rsid w:val="00E03A4B"/>
    <w:rsid w:val="00E27145"/>
    <w:rsid w:val="00E315EE"/>
    <w:rsid w:val="00E37264"/>
    <w:rsid w:val="00E41AB6"/>
    <w:rsid w:val="00E5396E"/>
    <w:rsid w:val="00E61475"/>
    <w:rsid w:val="00E62EF6"/>
    <w:rsid w:val="00E71F36"/>
    <w:rsid w:val="00E811C1"/>
    <w:rsid w:val="00E859FA"/>
    <w:rsid w:val="00E85B3F"/>
    <w:rsid w:val="00E90A5A"/>
    <w:rsid w:val="00E928CA"/>
    <w:rsid w:val="00E94410"/>
    <w:rsid w:val="00E9780D"/>
    <w:rsid w:val="00EA0745"/>
    <w:rsid w:val="00EA2106"/>
    <w:rsid w:val="00EA7C96"/>
    <w:rsid w:val="00EB02D9"/>
    <w:rsid w:val="00EB0C0B"/>
    <w:rsid w:val="00EB32F9"/>
    <w:rsid w:val="00EB6093"/>
    <w:rsid w:val="00EC3B38"/>
    <w:rsid w:val="00EC3CED"/>
    <w:rsid w:val="00EC74AE"/>
    <w:rsid w:val="00ED6A6B"/>
    <w:rsid w:val="00EE04C1"/>
    <w:rsid w:val="00EE2BBA"/>
    <w:rsid w:val="00EE58F1"/>
    <w:rsid w:val="00EF0350"/>
    <w:rsid w:val="00F05440"/>
    <w:rsid w:val="00F10C64"/>
    <w:rsid w:val="00F136C4"/>
    <w:rsid w:val="00F16569"/>
    <w:rsid w:val="00F17CBC"/>
    <w:rsid w:val="00F31831"/>
    <w:rsid w:val="00F320B3"/>
    <w:rsid w:val="00F35020"/>
    <w:rsid w:val="00F42555"/>
    <w:rsid w:val="00F52B0E"/>
    <w:rsid w:val="00F579A4"/>
    <w:rsid w:val="00F71CCB"/>
    <w:rsid w:val="00F77948"/>
    <w:rsid w:val="00FA1905"/>
    <w:rsid w:val="00FA3835"/>
    <w:rsid w:val="00FB012C"/>
    <w:rsid w:val="00FB44DD"/>
    <w:rsid w:val="00FB5913"/>
    <w:rsid w:val="00FB636C"/>
    <w:rsid w:val="00FD08F7"/>
    <w:rsid w:val="00FE007F"/>
    <w:rsid w:val="00FE1106"/>
    <w:rsid w:val="00FE22D5"/>
    <w:rsid w:val="00FE2AD0"/>
    <w:rsid w:val="00FE3A7A"/>
    <w:rsid w:val="00FE5D8F"/>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4:docId w14:val="2D5740CA"/>
  <w15:chartTrackingRefBased/>
  <w15:docId w15:val="{0D8BA3F8-F16C-C34D-882C-1AA82057F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styleId="DefaultParagraphFont0">
    <w:name w:val="Default Paragraph Font"/>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styleId="UnresolvedMention">
    <w:name w:val="Unresolved Mention"/>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289940430">
      <w:bodyDiv w:val="1"/>
      <w:marLeft w:val="0"/>
      <w:marRight w:val="0"/>
      <w:marTop w:val="0"/>
      <w:marBottom w:val="0"/>
      <w:divBdr>
        <w:top w:val="none" w:sz="0" w:space="0" w:color="auto"/>
        <w:left w:val="none" w:sz="0" w:space="0" w:color="auto"/>
        <w:bottom w:val="none" w:sz="0" w:space="0" w:color="auto"/>
        <w:right w:val="none" w:sz="0" w:space="0" w:color="auto"/>
      </w:divBdr>
      <w:divsChild>
        <w:div w:id="673799568">
          <w:marLeft w:val="-720"/>
          <w:marRight w:val="0"/>
          <w:marTop w:val="0"/>
          <w:marBottom w:val="0"/>
          <w:divBdr>
            <w:top w:val="none" w:sz="0" w:space="0" w:color="auto"/>
            <w:left w:val="none" w:sz="0" w:space="0" w:color="auto"/>
            <w:bottom w:val="none" w:sz="0" w:space="0" w:color="auto"/>
            <w:right w:val="none" w:sz="0" w:space="0" w:color="auto"/>
          </w:divBdr>
        </w:div>
      </w:divsChild>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52147117">
      <w:bodyDiv w:val="1"/>
      <w:marLeft w:val="0"/>
      <w:marRight w:val="0"/>
      <w:marTop w:val="0"/>
      <w:marBottom w:val="0"/>
      <w:divBdr>
        <w:top w:val="none" w:sz="0" w:space="0" w:color="auto"/>
        <w:left w:val="none" w:sz="0" w:space="0" w:color="auto"/>
        <w:bottom w:val="none" w:sz="0" w:space="0" w:color="auto"/>
        <w:right w:val="none" w:sz="0" w:space="0" w:color="auto"/>
      </w:divBdr>
      <w:divsChild>
        <w:div w:id="447939485">
          <w:marLeft w:val="-720"/>
          <w:marRight w:val="0"/>
          <w:marTop w:val="0"/>
          <w:marBottom w:val="0"/>
          <w:divBdr>
            <w:top w:val="none" w:sz="0" w:space="0" w:color="auto"/>
            <w:left w:val="none" w:sz="0" w:space="0" w:color="auto"/>
            <w:bottom w:val="none" w:sz="0" w:space="0" w:color="auto"/>
            <w:right w:val="none" w:sz="0" w:space="0" w:color="auto"/>
          </w:divBdr>
        </w:div>
      </w:divsChild>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462964641">
      <w:bodyDiv w:val="1"/>
      <w:marLeft w:val="0"/>
      <w:marRight w:val="0"/>
      <w:marTop w:val="0"/>
      <w:marBottom w:val="0"/>
      <w:divBdr>
        <w:top w:val="none" w:sz="0" w:space="0" w:color="auto"/>
        <w:left w:val="none" w:sz="0" w:space="0" w:color="auto"/>
        <w:bottom w:val="none" w:sz="0" w:space="0" w:color="auto"/>
        <w:right w:val="none" w:sz="0" w:space="0" w:color="auto"/>
      </w:divBdr>
      <w:divsChild>
        <w:div w:id="538006171">
          <w:marLeft w:val="-720"/>
          <w:marRight w:val="0"/>
          <w:marTop w:val="0"/>
          <w:marBottom w:val="0"/>
          <w:divBdr>
            <w:top w:val="none" w:sz="0" w:space="0" w:color="auto"/>
            <w:left w:val="none" w:sz="0" w:space="0" w:color="auto"/>
            <w:bottom w:val="none" w:sz="0" w:space="0" w:color="auto"/>
            <w:right w:val="none" w:sz="0" w:space="0" w:color="auto"/>
          </w:divBdr>
        </w:div>
      </w:divsChild>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899707574">
      <w:bodyDiv w:val="1"/>
      <w:marLeft w:val="0"/>
      <w:marRight w:val="0"/>
      <w:marTop w:val="0"/>
      <w:marBottom w:val="0"/>
      <w:divBdr>
        <w:top w:val="none" w:sz="0" w:space="0" w:color="auto"/>
        <w:left w:val="none" w:sz="0" w:space="0" w:color="auto"/>
        <w:bottom w:val="none" w:sz="0" w:space="0" w:color="auto"/>
        <w:right w:val="none" w:sz="0" w:space="0" w:color="auto"/>
      </w:divBdr>
      <w:divsChild>
        <w:div w:id="1407603732">
          <w:marLeft w:val="-720"/>
          <w:marRight w:val="0"/>
          <w:marTop w:val="0"/>
          <w:marBottom w:val="0"/>
          <w:divBdr>
            <w:top w:val="none" w:sz="0" w:space="0" w:color="auto"/>
            <w:left w:val="none" w:sz="0" w:space="0" w:color="auto"/>
            <w:bottom w:val="none" w:sz="0" w:space="0" w:color="auto"/>
            <w:right w:val="none" w:sz="0" w:space="0" w:color="auto"/>
          </w:divBdr>
        </w:div>
      </w:divsChild>
    </w:div>
    <w:div w:id="912735598">
      <w:bodyDiv w:val="1"/>
      <w:marLeft w:val="0"/>
      <w:marRight w:val="0"/>
      <w:marTop w:val="0"/>
      <w:marBottom w:val="0"/>
      <w:divBdr>
        <w:top w:val="none" w:sz="0" w:space="0" w:color="auto"/>
        <w:left w:val="none" w:sz="0" w:space="0" w:color="auto"/>
        <w:bottom w:val="none" w:sz="0" w:space="0" w:color="auto"/>
        <w:right w:val="none" w:sz="0" w:space="0" w:color="auto"/>
      </w:divBdr>
      <w:divsChild>
        <w:div w:id="301086208">
          <w:marLeft w:val="-720"/>
          <w:marRight w:val="0"/>
          <w:marTop w:val="0"/>
          <w:marBottom w:val="0"/>
          <w:divBdr>
            <w:top w:val="none" w:sz="0" w:space="0" w:color="auto"/>
            <w:left w:val="none" w:sz="0" w:space="0" w:color="auto"/>
            <w:bottom w:val="none" w:sz="0" w:space="0" w:color="auto"/>
            <w:right w:val="none" w:sz="0" w:space="0" w:color="auto"/>
          </w:divBdr>
        </w:div>
      </w:divsChild>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5790779">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57723910">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264267243">
      <w:bodyDiv w:val="1"/>
      <w:marLeft w:val="0"/>
      <w:marRight w:val="0"/>
      <w:marTop w:val="0"/>
      <w:marBottom w:val="0"/>
      <w:divBdr>
        <w:top w:val="none" w:sz="0" w:space="0" w:color="auto"/>
        <w:left w:val="none" w:sz="0" w:space="0" w:color="auto"/>
        <w:bottom w:val="none" w:sz="0" w:space="0" w:color="auto"/>
        <w:right w:val="none" w:sz="0" w:space="0" w:color="auto"/>
      </w:divBdr>
    </w:div>
    <w:div w:id="1290090100">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383402977">
      <w:bodyDiv w:val="1"/>
      <w:marLeft w:val="0"/>
      <w:marRight w:val="0"/>
      <w:marTop w:val="0"/>
      <w:marBottom w:val="0"/>
      <w:divBdr>
        <w:top w:val="none" w:sz="0" w:space="0" w:color="auto"/>
        <w:left w:val="none" w:sz="0" w:space="0" w:color="auto"/>
        <w:bottom w:val="none" w:sz="0" w:space="0" w:color="auto"/>
        <w:right w:val="none" w:sz="0" w:space="0" w:color="auto"/>
      </w:divBdr>
      <w:divsChild>
        <w:div w:id="889460276">
          <w:marLeft w:val="-720"/>
          <w:marRight w:val="0"/>
          <w:marTop w:val="0"/>
          <w:marBottom w:val="0"/>
          <w:divBdr>
            <w:top w:val="none" w:sz="0" w:space="0" w:color="auto"/>
            <w:left w:val="none" w:sz="0" w:space="0" w:color="auto"/>
            <w:bottom w:val="none" w:sz="0" w:space="0" w:color="auto"/>
            <w:right w:val="none" w:sz="0" w:space="0" w:color="auto"/>
          </w:divBdr>
        </w:div>
      </w:divsChild>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697193267">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38252413">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12-021-00684-2"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21"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hyperlink" Target="https://www.legislation.gov.uk/ukpga/2012/7/contents"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8/12/content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136/bmjhci-2022-100699"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v.uk/guidance/equality-act-2010-guidance"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4D42F0-31C3-4935-BB8A-40647FF3773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1807</Words>
  <Characters>10301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12084</CharactersWithSpaces>
  <SharedDoc>false</SharedDoc>
  <HLinks>
    <vt:vector size="30" baseType="variant">
      <vt:variant>
        <vt:i4>5636127</vt:i4>
      </vt:variant>
      <vt:variant>
        <vt:i4>33</vt:i4>
      </vt:variant>
      <vt:variant>
        <vt:i4>0</vt:i4>
      </vt:variant>
      <vt:variant>
        <vt:i4>5</vt:i4>
      </vt:variant>
      <vt:variant>
        <vt:lpwstr>https://www.legislation.gov.uk/ukpga/2012/7/contents</vt:lpwstr>
      </vt:variant>
      <vt:variant>
        <vt:lpwstr/>
      </vt:variant>
      <vt:variant>
        <vt:i4>5308501</vt:i4>
      </vt:variant>
      <vt:variant>
        <vt:i4>30</vt:i4>
      </vt:variant>
      <vt:variant>
        <vt:i4>0</vt:i4>
      </vt:variant>
      <vt:variant>
        <vt:i4>5</vt:i4>
      </vt:variant>
      <vt:variant>
        <vt:lpwstr>https://www.legislation.gov.uk/ukpga/2018/12/contents</vt:lpwstr>
      </vt:variant>
      <vt:variant>
        <vt:lpwstr/>
      </vt:variant>
      <vt:variant>
        <vt:i4>7208993</vt:i4>
      </vt:variant>
      <vt:variant>
        <vt:i4>27</vt:i4>
      </vt:variant>
      <vt:variant>
        <vt:i4>0</vt:i4>
      </vt:variant>
      <vt:variant>
        <vt:i4>5</vt:i4>
      </vt:variant>
      <vt:variant>
        <vt:lpwstr>https://doi.org/10.1136/bmjhci-2022-100699</vt:lpwstr>
      </vt:variant>
      <vt:variant>
        <vt:lpwstr/>
      </vt:variant>
      <vt:variant>
        <vt:i4>6291574</vt:i4>
      </vt:variant>
      <vt:variant>
        <vt:i4>24</vt:i4>
      </vt:variant>
      <vt:variant>
        <vt:i4>0</vt:i4>
      </vt:variant>
      <vt:variant>
        <vt:i4>5</vt:i4>
      </vt:variant>
      <vt:variant>
        <vt:lpwstr>https://www.gov.uk/guidance/equality-act-2010-guidance</vt:lpwstr>
      </vt:variant>
      <vt:variant>
        <vt:lpwstr/>
      </vt:variant>
      <vt:variant>
        <vt:i4>2097210</vt:i4>
      </vt:variant>
      <vt:variant>
        <vt:i4>21</vt:i4>
      </vt:variant>
      <vt:variant>
        <vt:i4>0</vt:i4>
      </vt:variant>
      <vt:variant>
        <vt:i4>5</vt:i4>
      </vt:variant>
      <vt:variant>
        <vt:lpwstr>https://doi.org/10.1186/s12912-021-00684-2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Mehvish Ahmed (2513708)</cp:lastModifiedBy>
  <cp:revision>8</cp:revision>
  <cp:lastPrinted>1601-01-01T00:00:00Z</cp:lastPrinted>
  <dcterms:created xsi:type="dcterms:W3CDTF">2026-03-26T00:13:00Z</dcterms:created>
  <dcterms:modified xsi:type="dcterms:W3CDTF">2026-03-26T00:25:00Z</dcterms:modified>
</cp:coreProperties>
</file>