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2D73C" w14:textId="6E4509D4" w:rsidR="00295231" w:rsidRPr="0044101C" w:rsidRDefault="00295231"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44101C">
        <w:rPr>
          <w:rFonts w:ascii="Arial" w:eastAsia="Times New Roman" w:hAnsi="Arial" w:cs="Arial"/>
          <w:kern w:val="36"/>
          <w:lang w:eastAsia="en-GB"/>
          <w14:ligatures w14:val="none"/>
        </w:rPr>
        <w:t>Student name: Nadia Muriel Grobry</w:t>
      </w:r>
    </w:p>
    <w:p w14:paraId="60FA28E7" w14:textId="18E4876F" w:rsidR="00295231" w:rsidRPr="0044101C" w:rsidRDefault="00295231"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44101C">
        <w:rPr>
          <w:rFonts w:ascii="Arial" w:eastAsia="Times New Roman" w:hAnsi="Arial" w:cs="Arial"/>
          <w:kern w:val="36"/>
          <w:lang w:eastAsia="en-GB"/>
          <w14:ligatures w14:val="none"/>
        </w:rPr>
        <w:t>Student ID number: 2244710</w:t>
      </w:r>
    </w:p>
    <w:p w14:paraId="4A9BD4E1" w14:textId="1FFA4A7D" w:rsidR="00295231" w:rsidRPr="0044101C" w:rsidRDefault="00295231"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44101C">
        <w:rPr>
          <w:rFonts w:ascii="Arial" w:eastAsia="Times New Roman" w:hAnsi="Arial" w:cs="Arial"/>
          <w:kern w:val="36"/>
          <w:lang w:eastAsia="en-GB"/>
          <w14:ligatures w14:val="none"/>
        </w:rPr>
        <w:t>Programme: BSc (Hons) Health and Social Care</w:t>
      </w:r>
    </w:p>
    <w:p w14:paraId="3A28053B" w14:textId="4AB09737" w:rsidR="00295231" w:rsidRPr="0044101C" w:rsidRDefault="00295231"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44101C">
        <w:rPr>
          <w:rFonts w:ascii="Arial" w:eastAsia="Times New Roman" w:hAnsi="Arial" w:cs="Arial"/>
          <w:kern w:val="36"/>
          <w:lang w:eastAsia="en-GB"/>
          <w14:ligatures w14:val="none"/>
        </w:rPr>
        <w:t>Module: Psychological Classifications and Provisions</w:t>
      </w:r>
    </w:p>
    <w:p w14:paraId="25814C8C" w14:textId="00774597" w:rsidR="00C861F1" w:rsidRPr="0044101C" w:rsidRDefault="00295231"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44101C">
        <w:rPr>
          <w:rFonts w:ascii="Arial" w:eastAsia="Times New Roman" w:hAnsi="Arial" w:cs="Arial"/>
          <w:kern w:val="36"/>
          <w:lang w:eastAsia="en-GB"/>
          <w14:ligatures w14:val="none"/>
        </w:rPr>
        <w:t>Module code: BMHP6029</w:t>
      </w:r>
    </w:p>
    <w:p w14:paraId="051856A8" w14:textId="7AB55824" w:rsidR="00C861F1" w:rsidRPr="0044101C" w:rsidRDefault="00295231"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44101C">
        <w:rPr>
          <w:rFonts w:ascii="Arial" w:eastAsia="Times New Roman" w:hAnsi="Arial" w:cs="Arial"/>
          <w:kern w:val="36"/>
          <w:lang w:eastAsia="en-GB"/>
          <w14:ligatures w14:val="none"/>
        </w:rPr>
        <w:t>Lecturer: Neale Haddo</w:t>
      </w:r>
      <w:r w:rsidR="00C861F1" w:rsidRPr="0044101C">
        <w:rPr>
          <w:rFonts w:ascii="Arial" w:eastAsia="Times New Roman" w:hAnsi="Arial" w:cs="Arial"/>
          <w:kern w:val="36"/>
          <w:lang w:eastAsia="en-GB"/>
          <w14:ligatures w14:val="none"/>
        </w:rPr>
        <w:t>n</w:t>
      </w:r>
    </w:p>
    <w:p w14:paraId="0BBBD5A4" w14:textId="1439B66E" w:rsidR="00C861F1" w:rsidRPr="0044101C" w:rsidRDefault="00C861F1"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44101C">
        <w:rPr>
          <w:rFonts w:ascii="Arial" w:eastAsia="Times New Roman" w:hAnsi="Arial" w:cs="Arial"/>
          <w:kern w:val="36"/>
          <w:lang w:eastAsia="en-GB"/>
          <w14:ligatures w14:val="none"/>
        </w:rPr>
        <w:t>Assignment Title: Component 2: Writing Assignment (Report)</w:t>
      </w:r>
    </w:p>
    <w:p w14:paraId="44E44935" w14:textId="1E6F6536" w:rsidR="00295231" w:rsidRPr="0044101C" w:rsidRDefault="009D6AEC"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(Final</w:t>
      </w:r>
      <w:r w:rsidR="003F04E3">
        <w:rPr>
          <w:rFonts w:ascii="Arial" w:eastAsia="Times New Roman" w:hAnsi="Arial" w:cs="Arial"/>
          <w:kern w:val="36"/>
          <w:lang w:eastAsia="en-GB"/>
          <w14:ligatures w14:val="none"/>
        </w:rPr>
        <w:t>,</w:t>
      </w:r>
      <w:r>
        <w:rPr>
          <w:rFonts w:ascii="Arial" w:eastAsia="Times New Roman" w:hAnsi="Arial" w:cs="Arial"/>
          <w:kern w:val="36"/>
          <w:lang w:eastAsia="en-GB"/>
          <w14:ligatures w14:val="none"/>
        </w:rPr>
        <w:t xml:space="preserve"> report.)</w:t>
      </w:r>
    </w:p>
    <w:p w14:paraId="2118906A" w14:textId="77777777" w:rsidR="00295231" w:rsidRPr="0044101C" w:rsidRDefault="0029523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4334703C" w14:textId="77777777" w:rsidR="00295231" w:rsidRPr="0044101C" w:rsidRDefault="0029523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3947DBFE" w14:textId="77777777" w:rsidR="00295231" w:rsidRPr="0044101C" w:rsidRDefault="0029523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768E5D65" w14:textId="77777777" w:rsidR="00295231" w:rsidRPr="0044101C" w:rsidRDefault="0029523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31ECA415" w14:textId="77777777" w:rsidR="00295231" w:rsidRPr="0044101C" w:rsidRDefault="0029523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10F47370" w14:textId="77777777" w:rsidR="00295231" w:rsidRPr="0044101C" w:rsidRDefault="0029523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6A515C13" w14:textId="77777777" w:rsidR="00295231" w:rsidRPr="0044101C" w:rsidRDefault="0029523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4F24D331" w14:textId="77777777" w:rsidR="00C861F1" w:rsidRPr="0044101C" w:rsidRDefault="00C861F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33F8A027" w14:textId="77777777" w:rsidR="00C861F1" w:rsidRPr="0044101C" w:rsidRDefault="00C861F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728E146C" w14:textId="77777777" w:rsidR="00C861F1" w:rsidRPr="0044101C" w:rsidRDefault="00C861F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0BE3C2C9" w14:textId="77777777" w:rsidR="00C861F1" w:rsidRPr="0044101C" w:rsidRDefault="00C861F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0FE18A8F" w14:textId="77777777" w:rsidR="00C861F1" w:rsidRPr="0044101C" w:rsidRDefault="00C861F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7C1233B8" w14:textId="77777777" w:rsidR="00C861F1" w:rsidRPr="0044101C" w:rsidRDefault="00C861F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p>
    <w:p w14:paraId="4A9B1A6D" w14:textId="1CC1EFCE" w:rsidR="00295231" w:rsidRPr="0044101C" w:rsidRDefault="00C861F1" w:rsidP="0044101C">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44101C">
        <w:rPr>
          <w:rFonts w:ascii="Arial" w:eastAsia="Times New Roman" w:hAnsi="Arial" w:cs="Arial"/>
          <w:kern w:val="36"/>
          <w:lang w:eastAsia="en-GB"/>
          <w14:ligatures w14:val="none"/>
        </w:rPr>
        <w:lastRenderedPageBreak/>
        <w:t>Assignment Report</w:t>
      </w:r>
      <w:r w:rsidR="009D6AEC">
        <w:rPr>
          <w:rFonts w:ascii="Arial" w:eastAsia="Times New Roman" w:hAnsi="Arial" w:cs="Arial"/>
          <w:kern w:val="36"/>
          <w:lang w:eastAsia="en-GB"/>
          <w14:ligatures w14:val="none"/>
        </w:rPr>
        <w:t xml:space="preserve"> (Final Report). </w:t>
      </w:r>
    </w:p>
    <w:p w14:paraId="1B6D97FF" w14:textId="22927C63" w:rsidR="00295231" w:rsidRPr="0044101C" w:rsidRDefault="00295231" w:rsidP="0044101C">
      <w:pPr>
        <w:spacing w:before="100" w:beforeAutospacing="1" w:after="100" w:afterAutospacing="1" w:line="360" w:lineRule="auto"/>
        <w:jc w:val="both"/>
        <w:outlineLvl w:val="0"/>
        <w:rPr>
          <w:rFonts w:ascii="Arial" w:eastAsia="Times New Roman" w:hAnsi="Arial" w:cs="Arial"/>
          <w:bCs/>
          <w:kern w:val="36"/>
          <w:lang w:eastAsia="en-GB"/>
          <w14:ligatures w14:val="none"/>
        </w:rPr>
      </w:pPr>
      <w:r w:rsidRPr="0044101C">
        <w:rPr>
          <w:rFonts w:ascii="Arial" w:eastAsia="Times New Roman" w:hAnsi="Arial" w:cs="Arial"/>
          <w:kern w:val="0"/>
          <w:lang w:eastAsia="en-GB"/>
          <w14:ligatures w14:val="none"/>
        </w:rPr>
        <w:t>Anorexia Nervosa: Classification</w:t>
      </w:r>
      <w:r w:rsidR="009D6AEC">
        <w:rPr>
          <w:rFonts w:ascii="Arial" w:eastAsia="Times New Roman" w:hAnsi="Arial" w:cs="Arial"/>
          <w:kern w:val="0"/>
          <w:lang w:eastAsia="en-GB"/>
          <w14:ligatures w14:val="none"/>
        </w:rPr>
        <w:t>s</w:t>
      </w:r>
      <w:r w:rsidRPr="0044101C">
        <w:rPr>
          <w:rFonts w:ascii="Arial" w:eastAsia="Times New Roman" w:hAnsi="Arial" w:cs="Arial"/>
          <w:kern w:val="0"/>
          <w:lang w:eastAsia="en-GB"/>
          <w14:ligatures w14:val="none"/>
        </w:rPr>
        <w:t>, Diagnosis, Treatment</w:t>
      </w:r>
      <w:r w:rsidR="009D6AEC">
        <w:rPr>
          <w:rFonts w:ascii="Arial" w:eastAsia="Times New Roman" w:hAnsi="Arial" w:cs="Arial"/>
          <w:kern w:val="0"/>
          <w:lang w:eastAsia="en-GB"/>
          <w14:ligatures w14:val="none"/>
        </w:rPr>
        <w:t>s</w:t>
      </w:r>
      <w:r w:rsidRPr="0044101C">
        <w:rPr>
          <w:rFonts w:ascii="Arial" w:eastAsia="Times New Roman" w:hAnsi="Arial" w:cs="Arial"/>
          <w:kern w:val="0"/>
          <w:lang w:eastAsia="en-GB"/>
          <w14:ligatures w14:val="none"/>
        </w:rPr>
        <w:t xml:space="preserve"> and Rehabilitation</w:t>
      </w:r>
      <w:r w:rsidR="009D6AEC">
        <w:rPr>
          <w:rFonts w:ascii="Arial" w:eastAsia="Times New Roman" w:hAnsi="Arial" w:cs="Arial"/>
          <w:kern w:val="0"/>
          <w:lang w:eastAsia="en-GB"/>
          <w14:ligatures w14:val="none"/>
        </w:rPr>
        <w:t>s</w:t>
      </w:r>
      <w:r w:rsidRPr="0044101C">
        <w:rPr>
          <w:rFonts w:ascii="Arial" w:eastAsia="Times New Roman" w:hAnsi="Arial" w:cs="Arial"/>
          <w:bCs/>
          <w:kern w:val="0"/>
          <w:lang w:eastAsia="en-GB"/>
          <w14:ligatures w14:val="none"/>
        </w:rPr>
        <w:t>.</w:t>
      </w:r>
    </w:p>
    <w:p w14:paraId="1FEBB121" w14:textId="51BB7D30" w:rsidR="00295231" w:rsidRPr="009D6AEC" w:rsidRDefault="00295231" w:rsidP="0044101C">
      <w:pPr>
        <w:spacing w:before="100" w:beforeAutospacing="1" w:after="100" w:afterAutospacing="1" w:line="360" w:lineRule="auto"/>
        <w:jc w:val="both"/>
        <w:rPr>
          <w:rFonts w:ascii="Arial" w:eastAsia="Times New Roman" w:hAnsi="Arial" w:cs="Arial"/>
          <w:b/>
          <w:bCs/>
          <w:kern w:val="0"/>
          <w:lang w:eastAsia="en-GB"/>
          <w14:ligatures w14:val="none"/>
        </w:rPr>
      </w:pPr>
      <w:r w:rsidRPr="009D6AEC">
        <w:rPr>
          <w:rFonts w:ascii="Arial" w:eastAsia="Times New Roman" w:hAnsi="Arial" w:cs="Arial"/>
          <w:b/>
          <w:bCs/>
          <w:kern w:val="0"/>
          <w:lang w:eastAsia="en-GB"/>
          <w14:ligatures w14:val="none"/>
        </w:rPr>
        <w:t>Introduction</w:t>
      </w:r>
    </w:p>
    <w:p w14:paraId="1A8147A2" w14:textId="23C9009E" w:rsidR="00D640AE" w:rsidRPr="0044101C" w:rsidRDefault="009D6AEC" w:rsidP="0044101C">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w:t>
      </w:r>
      <w:r w:rsidR="00295231" w:rsidRPr="0044101C">
        <w:rPr>
          <w:rFonts w:ascii="Arial" w:eastAsia="Times New Roman" w:hAnsi="Arial" w:cs="Arial"/>
          <w:kern w:val="0"/>
          <w:lang w:eastAsia="en-GB"/>
          <w14:ligatures w14:val="none"/>
        </w:rPr>
        <w:t xml:space="preserve">Anorexia nervosa </w:t>
      </w:r>
      <w:r w:rsidR="00295231" w:rsidRPr="0044101C">
        <w:rPr>
          <w:rFonts w:ascii="Arial" w:eastAsia="Times New Roman" w:hAnsi="Arial" w:cs="Arial"/>
          <w:kern w:val="0"/>
          <w:lang w:eastAsia="en-GB"/>
          <w14:ligatures w14:val="none"/>
        </w:rPr>
        <w:t xml:space="preserve">(AN) is a serious feeding and eating disorder involving persistent restriction of energy intake, significantly low body weight, intense fear of gaining weight and disturbances in the experience or evaluation of body weight or shape. It is particularly important during adolescence because nutritional deprivation can affect physical growth, puberty, bone health, cognition, education and social development. </w:t>
      </w:r>
      <w:proofErr w:type="gramStart"/>
      <w:r w:rsidR="00295231" w:rsidRPr="0044101C">
        <w:rPr>
          <w:rFonts w:ascii="Arial" w:eastAsia="Times New Roman" w:hAnsi="Arial" w:cs="Arial"/>
          <w:kern w:val="0"/>
          <w:lang w:eastAsia="en-GB"/>
          <w14:ligatures w14:val="none"/>
        </w:rPr>
        <w:t>AN</w:t>
      </w:r>
      <w:proofErr w:type="gramEnd"/>
      <w:r w:rsidR="00295231" w:rsidRPr="0044101C">
        <w:rPr>
          <w:rFonts w:ascii="Arial" w:eastAsia="Times New Roman" w:hAnsi="Arial" w:cs="Arial"/>
          <w:kern w:val="0"/>
          <w:lang w:eastAsia="en-GB"/>
          <w14:ligatures w14:val="none"/>
        </w:rPr>
        <w:t xml:space="preserve"> is also associated with psychological distress, medical complications, relapse and increased mortality. This report analyses how AN is classified in the International Classification of Diseases, Eleventh Revision (ICD-11), examines diagnostic criteria and assessment processes, and critically evaluates current treatment and rehabilitation. The discussion emphasises early, multidisciplinary and person-centred care, while recognising that recovery cannot be reduced to weight restoration alone.</w:t>
      </w:r>
    </w:p>
    <w:p w14:paraId="7C03C8E8" w14:textId="014A8DBB" w:rsidR="00D640AE" w:rsidRPr="009D6AEC" w:rsidRDefault="00D640AE" w:rsidP="0044101C">
      <w:pPr>
        <w:pStyle w:val="ListParagraph"/>
        <w:numPr>
          <w:ilvl w:val="0"/>
          <w:numId w:val="3"/>
        </w:numPr>
        <w:spacing w:before="100" w:beforeAutospacing="1" w:after="100" w:afterAutospacing="1" w:line="360" w:lineRule="auto"/>
        <w:jc w:val="both"/>
        <w:rPr>
          <w:rFonts w:ascii="Arial" w:eastAsia="Times New Roman" w:hAnsi="Arial" w:cs="Arial"/>
          <w:b/>
          <w:kern w:val="0"/>
          <w:lang w:eastAsia="en-GB"/>
          <w14:ligatures w14:val="none"/>
        </w:rPr>
      </w:pPr>
      <w:r w:rsidRPr="009D6AEC">
        <w:rPr>
          <w:rFonts w:ascii="Arial" w:eastAsia="Times New Roman" w:hAnsi="Arial" w:cs="Arial"/>
          <w:b/>
          <w:kern w:val="0"/>
          <w:lang w:eastAsia="en-GB"/>
          <w14:ligatures w14:val="none"/>
        </w:rPr>
        <w:t>Classification and diagnosis</w:t>
      </w:r>
    </w:p>
    <w:p w14:paraId="3B19AC92" w14:textId="71C70B2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 xml:space="preserve">The World Health Organization (WHO) classifies AN in ICD-11 under Chapter 06, Mental, Behavioural or Neurodevelopmental Disorders, within Feeding or </w:t>
      </w:r>
      <w:proofErr w:type="gramStart"/>
      <w:r w:rsidRPr="0044101C">
        <w:rPr>
          <w:rFonts w:ascii="Arial" w:eastAsia="Times New Roman" w:hAnsi="Arial" w:cs="Arial"/>
          <w:kern w:val="0"/>
          <w:lang w:eastAsia="en-GB"/>
          <w14:ligatures w14:val="none"/>
        </w:rPr>
        <w:t>Eating Disorders</w:t>
      </w:r>
      <w:proofErr w:type="gramEnd"/>
      <w:r w:rsidRPr="0044101C">
        <w:rPr>
          <w:rFonts w:ascii="Arial" w:eastAsia="Times New Roman" w:hAnsi="Arial" w:cs="Arial"/>
          <w:kern w:val="0"/>
          <w:lang w:eastAsia="en-GB"/>
          <w14:ligatures w14:val="none"/>
        </w:rPr>
        <w:t>. The diagnostic category is 6B80, Anorexia nervosa. ICD-11 therefore uses the language of a mental and behavioural disorder rather than describing AN as a lifestyle choice or temporary problem. This classification is clinically important because it recognises AN as a condition requiring professional assessment and treatment. However, diagnostic terminology should be used sensitively because labelling can contribute to stigma. Person-centred communication should distinguish the individual from the diagnosis and recognise the person's identity, strengths and recovery goals (WHO, 2024a).</w:t>
      </w:r>
    </w:p>
    <w:p w14:paraId="62FE1E13"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ICD-11 describes AN as a disorder characterised by significantly low body weight for the person's age, developmental stage and physical health status. The low weight results from persistent restriction of energy intake or other behaviours that prevent weight gain. A central feature is an intense fear of gaining weight or persistent behaviour that interferes with weight gain. The individual may also experience excessive influence of body weight or shape on self-evaluation, or persistent behaviours such as dietary restriction, excessive exercise, self-induced vomiting or misuse of laxatives. Importantly, the individual may perceive themselves as having a normal or high weight despite being significantly underweight (WHO, 2024a).</w:t>
      </w:r>
    </w:p>
    <w:p w14:paraId="49D4B237"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lastRenderedPageBreak/>
        <w:t xml:space="preserve">A strength of ICD-11 is that it provides clinically meaningful specifications of weight status and behavioural pattern. </w:t>
      </w:r>
      <w:proofErr w:type="gramStart"/>
      <w:r w:rsidRPr="0044101C">
        <w:rPr>
          <w:rFonts w:ascii="Arial" w:eastAsia="Times New Roman" w:hAnsi="Arial" w:cs="Arial"/>
          <w:kern w:val="0"/>
          <w:lang w:eastAsia="en-GB"/>
          <w14:ligatures w14:val="none"/>
        </w:rPr>
        <w:t>AN</w:t>
      </w:r>
      <w:proofErr w:type="gramEnd"/>
      <w:r w:rsidRPr="0044101C">
        <w:rPr>
          <w:rFonts w:ascii="Arial" w:eastAsia="Times New Roman" w:hAnsi="Arial" w:cs="Arial"/>
          <w:kern w:val="0"/>
          <w:lang w:eastAsia="en-GB"/>
          <w14:ligatures w14:val="none"/>
        </w:rPr>
        <w:t xml:space="preserve"> may be specified according to significantly low or dangerously low body weight, or recovery with normal body weight. It can also be identified according to restricting or binge-purge patterns. This improves clinical communication and allows greater recognition of severity and recovery status than a single undifferentiated diagnosis. It also challenges the misconception that an individual must appear extremely thin to have a serious eating disorder. Nevertheless, weight-based classifications should never replace clinical judgement. Physical risk, psychological symptoms and rapid weight loss may be clinically significant even when an individual's weight does not appear extremely low.</w:t>
      </w:r>
    </w:p>
    <w:p w14:paraId="7FC5D6B9"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Diagnosis is a clinical process rather than a laboratory test. Assessment should explore eating patterns, restriction, fear of weight gain, body image, exercise, binge eating and compensatory behaviours. It should also examine physical health, mental health, developmental history, family and social circumstances, medication and safeguarding concerns. NICE (2020) advises that screening tools such as SCOFF should not be used as the sole basis for diagnosis. A comprehensive assessment is essential because AN can coexist with depression, anxiety, obsessive-compulsive symptoms, self-harm and suicidal risk.</w:t>
      </w:r>
    </w:p>
    <w:p w14:paraId="63CB62E1"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Early identification is particularly important during adolescence. Professionals in primary care, education, social care and acute healthcare should recognise changes in eating, weight, exercise, menstruation and other indicators of malnutrition. However, diagnosis should avoid over-reliance on appearance or body mass index alone. A young person may be seriously unwell despite not appearing extremely underweight. Assessment should therefore combine ICD-11 diagnostic requirements with physical monitoring, psychological formulation and consideration of developmental needs. Multidisciplinary assessment is a strength because different professionals can evaluate physical, psychological and social needs. However, delayed referral and unequal access to specialist services remain significant barriers to early intervention.</w:t>
      </w:r>
    </w:p>
    <w:p w14:paraId="760BC3FD" w14:textId="20BE6D3C" w:rsidR="00D640AE"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 xml:space="preserve">Assessment should also be culturally responsive and inclusive. Eating disorders can affect people across genders, ethnicities, socioeconomic groups and body sizes, yet stereotypes may delay recognition when a person does not fit the traditional image of AN. Clinicians should ask directly about eating, weight-control behaviours and body image rather than relying on assumptions. Poverty, food insecurity, social media pressures, discrimination, trauma and family stress may influence presentation and recovery. Recognising these factors strengthens person-centred care because treatment engagement is shaped by social circumstances as </w:t>
      </w:r>
      <w:r w:rsidRPr="0044101C">
        <w:rPr>
          <w:rFonts w:ascii="Arial" w:eastAsia="Times New Roman" w:hAnsi="Arial" w:cs="Arial"/>
          <w:kern w:val="0"/>
          <w:lang w:eastAsia="en-GB"/>
          <w14:ligatures w14:val="none"/>
        </w:rPr>
        <w:lastRenderedPageBreak/>
        <w:t>well as symptoms. It can also support earlier referral and more equitable access to specialist services.</w:t>
      </w:r>
    </w:p>
    <w:p w14:paraId="4015702A" w14:textId="4471659F" w:rsidR="00D640AE" w:rsidRPr="009D6AEC" w:rsidRDefault="00D640AE" w:rsidP="0044101C">
      <w:pPr>
        <w:pStyle w:val="ListParagraph"/>
        <w:numPr>
          <w:ilvl w:val="0"/>
          <w:numId w:val="3"/>
        </w:numPr>
        <w:spacing w:before="100" w:beforeAutospacing="1" w:after="100" w:afterAutospacing="1" w:line="360" w:lineRule="auto"/>
        <w:jc w:val="both"/>
        <w:rPr>
          <w:rFonts w:ascii="Arial" w:eastAsia="Times New Roman" w:hAnsi="Arial" w:cs="Arial"/>
          <w:b/>
          <w:kern w:val="0"/>
          <w:lang w:eastAsia="en-GB"/>
          <w14:ligatures w14:val="none"/>
        </w:rPr>
      </w:pPr>
      <w:r w:rsidRPr="009D6AEC">
        <w:rPr>
          <w:rFonts w:ascii="Arial" w:eastAsia="Times New Roman" w:hAnsi="Arial" w:cs="Arial"/>
          <w:b/>
          <w:kern w:val="0"/>
          <w:lang w:eastAsia="en-GB"/>
          <w14:ligatures w14:val="none"/>
        </w:rPr>
        <w:t>Treatment and rehabilitation</w:t>
      </w:r>
    </w:p>
    <w:p w14:paraId="7C942AFB" w14:textId="6307DF7B" w:rsidR="00295231" w:rsidRPr="0044101C" w:rsidRDefault="00295231" w:rsidP="0044101C">
      <w:pPr>
        <w:spacing w:before="100" w:beforeAutospacing="1" w:after="100" w:afterAutospacing="1" w:line="360" w:lineRule="auto"/>
        <w:jc w:val="both"/>
        <w:outlineLvl w:val="1"/>
        <w:rPr>
          <w:rFonts w:ascii="Arial" w:eastAsia="Times New Roman" w:hAnsi="Arial" w:cs="Arial"/>
          <w:bCs/>
          <w:kern w:val="0"/>
          <w:lang w:eastAsia="en-GB"/>
          <w14:ligatures w14:val="none"/>
        </w:rPr>
      </w:pPr>
      <w:r w:rsidRPr="0044101C">
        <w:rPr>
          <w:rFonts w:ascii="Arial" w:eastAsia="Times New Roman" w:hAnsi="Arial" w:cs="Arial"/>
          <w:kern w:val="0"/>
          <w:lang w:eastAsia="en-GB"/>
          <w14:ligatures w14:val="none"/>
        </w:rPr>
        <w:t>Treatment for AN must address immediate physical risk and the psychological processes maintaining the disorder. Nutritional rehabilitation and weight restoration are central because starvation can worsen concentration, emotional regulation, rigid thinking and obsessive concerns about food and weight. NICE (2020) identifies achieving a healthy body weight as a key treatment goal because nutritional improvement can support psychological, physical and quality-of-life outcomes. However, a narrow focus on weight restoration is insufficient because weight gain alone does not guarantee psychological recovery. Effective rehabilitation should therefore combine nutrition, psychological therapy, medical monitoring and social recovery.</w:t>
      </w:r>
    </w:p>
    <w:p w14:paraId="5B41D784"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For children and adolescents, family-based treatment (FBT), or anorexia-nervosa-focused family therapy, is an important evidence-based approach. Parents or carers are supported to take an active role in helping the young person eat and interrupt eating-disorder behaviours. This is appropriate because families can provide daily support outside clinical appointments and adolescence remains an important developmental period for family relationships. NICE (2020) recommends family therapy for children and young people. However, FBT should not be interpreted as blaming families. Therapeutic relationships, family involvement and attention to the young person's wider emotional and social development may support change, whereas rigid adherence to a treatment script or excessive focus on food and weight may hinder recovery (Cripps, Serpell and Pugh, 2024).</w:t>
      </w:r>
    </w:p>
    <w:p w14:paraId="07F5D85F"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The evidence for family approaches is encouraging but should be interpreted critically. A Cochrane review found some evidence that family therapy may improve remission compared with treatment as usual, but the quality of evidence was limited and several studies had methodological weaknesses, including unclear risk of bias and selective reporting (Fisher et al., 2019). Therefore, FBT should be considered an important first-line approach for many adolescents, but not a universally effective intervention. Treatment should be adapted when family therapy is unacceptable, contraindicated or ineffective, while ensuring that the young person's voice and developmental autonomy are respected.</w:t>
      </w:r>
    </w:p>
    <w:p w14:paraId="7D7A59D3"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 xml:space="preserve">For adults, NICE recommends three principal psychological options: eating-disorder-focused cognitive behavioural therapy (CBT-ED), Maudsley Anorexia Nervosa Treatment for Adults (MANTRA), and specialist supportive clinical management (SSCM). CBT-ED targets eating behaviours, cognitive distortions, body image, mood regulation, self-esteem and relapse </w:t>
      </w:r>
      <w:r w:rsidRPr="0044101C">
        <w:rPr>
          <w:rFonts w:ascii="Arial" w:eastAsia="Times New Roman" w:hAnsi="Arial" w:cs="Arial"/>
          <w:kern w:val="0"/>
          <w:lang w:eastAsia="en-GB"/>
          <w14:ligatures w14:val="none"/>
        </w:rPr>
        <w:lastRenderedPageBreak/>
        <w:t>prevention. Its strength is its structured and formulation-based approach, although engagement can be difficult when starvation strengthens rigid beliefs and ambivalence about recovery. MANTRA focuses on cognitive style, emotional regulation, interpersonal relationships and the function of the eating disorder. Evidence indicates improvements in BMI, eating symptoms and emotional state, but methodological limitations mean that its superiority over alternative treatments remains uncertain (Murray et al., 2024). SSCM provides supportive care, psychoeducation and medical monitoring and may be appropriate for people who prefer a less intensive psychological approach.</w:t>
      </w:r>
    </w:p>
    <w:p w14:paraId="5F1AD452" w14:textId="77777777" w:rsidR="009B1A12"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Overall, evidence does not demonstrate one universally superior psychological therapy. A network meta-analysis found no clear superiority of a specific psychotherapy, although treatment response differed between adolescents and adults and between service levels (Zeeck et al., 2018). This supports shared decision-making and personalised treatment rather than a one-size-fits-all model. Treatment should consider age, developmental stage, illness severity, comorbidity, motivation, family circumstances and patient preference.</w:t>
      </w:r>
    </w:p>
    <w:p w14:paraId="40FF9771" w14:textId="50B9CDC4" w:rsidR="009B1A12" w:rsidRPr="009D6AEC" w:rsidRDefault="009B1A12" w:rsidP="0044101C">
      <w:pPr>
        <w:pStyle w:val="ListParagraph"/>
        <w:numPr>
          <w:ilvl w:val="0"/>
          <w:numId w:val="3"/>
        </w:numPr>
        <w:spacing w:before="100" w:beforeAutospacing="1" w:after="100" w:afterAutospacing="1" w:line="360" w:lineRule="auto"/>
        <w:jc w:val="both"/>
        <w:rPr>
          <w:rFonts w:ascii="Arial" w:eastAsia="Times New Roman" w:hAnsi="Arial" w:cs="Arial"/>
          <w:b/>
          <w:kern w:val="0"/>
          <w:lang w:eastAsia="en-GB"/>
          <w14:ligatures w14:val="none"/>
        </w:rPr>
      </w:pPr>
      <w:r w:rsidRPr="009D6AEC">
        <w:rPr>
          <w:rFonts w:ascii="Arial" w:eastAsia="Times New Roman" w:hAnsi="Arial" w:cs="Arial"/>
          <w:b/>
          <w:kern w:val="0"/>
          <w:lang w:eastAsia="en-GB"/>
          <w14:ligatures w14:val="none"/>
        </w:rPr>
        <w:t xml:space="preserve">Current </w:t>
      </w:r>
      <w:r w:rsidR="009D6AEC" w:rsidRPr="009D6AEC">
        <w:rPr>
          <w:rFonts w:ascii="Arial" w:eastAsia="Times New Roman" w:hAnsi="Arial" w:cs="Arial"/>
          <w:b/>
          <w:kern w:val="0"/>
          <w:lang w:eastAsia="en-GB"/>
          <w14:ligatures w14:val="none"/>
        </w:rPr>
        <w:t>Debates</w:t>
      </w:r>
      <w:r w:rsidRPr="009D6AEC">
        <w:rPr>
          <w:rFonts w:ascii="Arial" w:eastAsia="Times New Roman" w:hAnsi="Arial" w:cs="Arial"/>
          <w:b/>
          <w:kern w:val="0"/>
          <w:lang w:eastAsia="en-GB"/>
          <w14:ligatures w14:val="none"/>
        </w:rPr>
        <w:t xml:space="preserve"> and </w:t>
      </w:r>
      <w:r w:rsidR="009D6AEC" w:rsidRPr="009D6AEC">
        <w:rPr>
          <w:rFonts w:ascii="Arial" w:eastAsia="Times New Roman" w:hAnsi="Arial" w:cs="Arial"/>
          <w:b/>
          <w:kern w:val="0"/>
          <w:lang w:eastAsia="en-GB"/>
          <w14:ligatures w14:val="none"/>
        </w:rPr>
        <w:t>Emergent</w:t>
      </w:r>
      <w:r w:rsidRPr="009D6AEC">
        <w:rPr>
          <w:rFonts w:ascii="Arial" w:eastAsia="Times New Roman" w:hAnsi="Arial" w:cs="Arial"/>
          <w:b/>
          <w:kern w:val="0"/>
          <w:lang w:eastAsia="en-GB"/>
          <w14:ligatures w14:val="none"/>
        </w:rPr>
        <w:t xml:space="preserve"> </w:t>
      </w:r>
      <w:r w:rsidR="009D6AEC" w:rsidRPr="009D6AEC">
        <w:rPr>
          <w:rFonts w:ascii="Arial" w:eastAsia="Times New Roman" w:hAnsi="Arial" w:cs="Arial"/>
          <w:b/>
          <w:kern w:val="0"/>
          <w:lang w:eastAsia="en-GB"/>
          <w14:ligatures w14:val="none"/>
        </w:rPr>
        <w:t>Issues</w:t>
      </w:r>
    </w:p>
    <w:p w14:paraId="567CCE42" w14:textId="5F14EE1C"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Medical management is essential because AN can cause cardiovascular, endocrine, gastrointestinal, neurological and skeletal complications. Physical monitoring should include appropriate assessment of vital signs, hydration, nutritional status and relevant investigations. In severe cases, inpatient or day-patient care may be required. Refeeding must be managed by appropriately trained professionals because medically unstable patients require close observation. Medication should not be offered as the sole treatment for AN, although medication may be considered for coexisting mental health conditions when clinically appropriate (NICE, 2020).</w:t>
      </w:r>
    </w:p>
    <w:p w14:paraId="0D019518"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Rehabilitation extends beyond symptom reduction. It includes restoring nutritional health, rebuilding relationships, returning to education or employment, developing coping skills, improving body image and preventing relapse. Relapse prevention should identify early warning signs, stressful situations, changes in eating or exercise and strategies for obtaining help. Continuity between specialist services, primary care, education and family support is particularly important during transitions. Recovery should also be evaluated using outcomes beyond weight, including quality of life, psychological wellbeing, social functioning and the individual's own goals.</w:t>
      </w:r>
    </w:p>
    <w:p w14:paraId="56814959" w14:textId="0317B3C5" w:rsidR="00C861F1" w:rsidRPr="009D6AEC" w:rsidRDefault="00295231" w:rsidP="009D6AE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 xml:space="preserve">Ethical and legal considerations are especially important when AN causes serious physical deterioration and the person </w:t>
      </w:r>
      <w:proofErr w:type="gramStart"/>
      <w:r w:rsidRPr="0044101C">
        <w:rPr>
          <w:rFonts w:ascii="Arial" w:eastAsia="Times New Roman" w:hAnsi="Arial" w:cs="Arial"/>
          <w:kern w:val="0"/>
          <w:lang w:eastAsia="en-GB"/>
          <w14:ligatures w14:val="none"/>
        </w:rPr>
        <w:t>refuses</w:t>
      </w:r>
      <w:proofErr w:type="gramEnd"/>
      <w:r w:rsidRPr="0044101C">
        <w:rPr>
          <w:rFonts w:ascii="Arial" w:eastAsia="Times New Roman" w:hAnsi="Arial" w:cs="Arial"/>
          <w:kern w:val="0"/>
          <w:lang w:eastAsia="en-GB"/>
          <w14:ligatures w14:val="none"/>
        </w:rPr>
        <w:t xml:space="preserve"> treatment. Compulsory treatment may sometimes be </w:t>
      </w:r>
      <w:r w:rsidRPr="0044101C">
        <w:rPr>
          <w:rFonts w:ascii="Arial" w:eastAsia="Times New Roman" w:hAnsi="Arial" w:cs="Arial"/>
          <w:kern w:val="0"/>
          <w:lang w:eastAsia="en-GB"/>
          <w14:ligatures w14:val="none"/>
        </w:rPr>
        <w:lastRenderedPageBreak/>
        <w:t>necessary to prevent death or serious harm, but it creates tension between autonomy, capacity, beneficence and least restrictive practice. NICE (2020) recommends that compulsory treatment is considered within the relevant legal framework and delivered by competent multidisciplinary teams. Coercive intervention may preserve life but can also damage trust and increase distress. Consequently, professionals should use collaborative engagement wherever possible, communicate transparently and review compulsory measures regularly.</w:t>
      </w:r>
    </w:p>
    <w:p w14:paraId="26C8E2F0" w14:textId="05763FA8" w:rsidR="00006E05" w:rsidRPr="009D6AEC" w:rsidRDefault="00006E05" w:rsidP="0044101C">
      <w:pPr>
        <w:pStyle w:val="ListParagraph"/>
        <w:numPr>
          <w:ilvl w:val="0"/>
          <w:numId w:val="3"/>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9D6AEC">
        <w:rPr>
          <w:rFonts w:ascii="Arial" w:eastAsia="Times New Roman" w:hAnsi="Arial" w:cs="Arial"/>
          <w:b/>
          <w:bCs/>
          <w:kern w:val="0"/>
          <w:lang w:eastAsia="en-GB"/>
          <w14:ligatures w14:val="none"/>
        </w:rPr>
        <w:t>Recommendations</w:t>
      </w:r>
      <w:r w:rsidR="00C861F1" w:rsidRPr="009D6AEC">
        <w:rPr>
          <w:rFonts w:ascii="Arial" w:eastAsia="Times New Roman" w:hAnsi="Arial" w:cs="Arial"/>
          <w:b/>
          <w:bCs/>
          <w:kern w:val="0"/>
          <w:lang w:eastAsia="en-GB"/>
          <w14:ligatures w14:val="none"/>
        </w:rPr>
        <w:t xml:space="preserve"> and conclusions</w:t>
      </w:r>
    </w:p>
    <w:p w14:paraId="2C04BA21" w14:textId="09F568FA" w:rsidR="00295231" w:rsidRPr="0044101C" w:rsidRDefault="00006E05" w:rsidP="0044101C">
      <w:pPr>
        <w:spacing w:before="100" w:beforeAutospacing="1" w:after="100" w:afterAutospacing="1" w:line="360" w:lineRule="auto"/>
        <w:jc w:val="both"/>
        <w:outlineLvl w:val="1"/>
        <w:rPr>
          <w:rFonts w:ascii="Arial" w:eastAsia="Times New Roman" w:hAnsi="Arial" w:cs="Arial"/>
          <w:bCs/>
          <w:kern w:val="0"/>
          <w:lang w:eastAsia="en-GB"/>
          <w14:ligatures w14:val="none"/>
        </w:rPr>
      </w:pPr>
      <w:proofErr w:type="gramStart"/>
      <w:r w:rsidRPr="0044101C">
        <w:rPr>
          <w:rFonts w:ascii="Arial" w:eastAsia="Times New Roman" w:hAnsi="Arial" w:cs="Arial"/>
          <w:kern w:val="0"/>
          <w:lang w:eastAsia="en-GB"/>
          <w14:ligatures w14:val="none"/>
        </w:rPr>
        <w:t>AN</w:t>
      </w:r>
      <w:proofErr w:type="gramEnd"/>
      <w:r w:rsidR="00295231" w:rsidRPr="0044101C">
        <w:rPr>
          <w:rFonts w:ascii="Arial" w:eastAsia="Times New Roman" w:hAnsi="Arial" w:cs="Arial"/>
          <w:kern w:val="0"/>
          <w:lang w:eastAsia="en-GB"/>
          <w14:ligatures w14:val="none"/>
        </w:rPr>
        <w:t xml:space="preserve"> is classified by ICD-11 as a mental and behavioural disorder within Feeding or </w:t>
      </w:r>
      <w:proofErr w:type="gramStart"/>
      <w:r w:rsidR="00295231" w:rsidRPr="0044101C">
        <w:rPr>
          <w:rFonts w:ascii="Arial" w:eastAsia="Times New Roman" w:hAnsi="Arial" w:cs="Arial"/>
          <w:kern w:val="0"/>
          <w:lang w:eastAsia="en-GB"/>
          <w14:ligatures w14:val="none"/>
        </w:rPr>
        <w:t>Eating Disorders</w:t>
      </w:r>
      <w:proofErr w:type="gramEnd"/>
      <w:r w:rsidR="00295231" w:rsidRPr="0044101C">
        <w:rPr>
          <w:rFonts w:ascii="Arial" w:eastAsia="Times New Roman" w:hAnsi="Arial" w:cs="Arial"/>
          <w:kern w:val="0"/>
          <w:lang w:eastAsia="en-GB"/>
          <w14:ligatures w14:val="none"/>
        </w:rPr>
        <w:t>, with diagnostic specifications recognising different levels of low weight, behavioural patterns and recovery status. Diagnosis requires comprehensive clinical assessment rather than reliance on appearance, BMI or screening tools alone. Current treatment supports nutritional rehabilitation, physical monitoring and psychological intervention. Family-based approaches are particularly important for adolescents, while CBT-ED, MANTRA and SSCM provide evidence-based options for adults. However, research does not establish one universally superior therapy, and evidence quality remains variable.</w:t>
      </w:r>
    </w:p>
    <w:p w14:paraId="4C656099" w14:textId="77777777" w:rsidR="00295231" w:rsidRPr="0044101C" w:rsidRDefault="00295231" w:rsidP="0044101C">
      <w:pPr>
        <w:spacing w:before="100" w:beforeAutospacing="1" w:after="100" w:afterAutospacing="1" w:line="360" w:lineRule="auto"/>
        <w:jc w:val="both"/>
        <w:rPr>
          <w:rFonts w:ascii="Arial" w:eastAsia="Times New Roman" w:hAnsi="Arial" w:cs="Arial"/>
          <w:kern w:val="0"/>
          <w:lang w:eastAsia="en-GB"/>
          <w14:ligatures w14:val="none"/>
        </w:rPr>
      </w:pPr>
      <w:r w:rsidRPr="0044101C">
        <w:rPr>
          <w:rFonts w:ascii="Arial" w:eastAsia="Times New Roman" w:hAnsi="Arial" w:cs="Arial"/>
          <w:kern w:val="0"/>
          <w:lang w:eastAsia="en-GB"/>
          <w14:ligatures w14:val="none"/>
        </w:rPr>
        <w:t>The strongest recommendation is therefore for early, multidisciplinary and individualised intervention. Services should provide rapid access to specialist assessment, involve families and carers appropriately, protect the young person's voice, monitor physical and psychological health, and provide coordinated transition and relapse-prevention support. Future research should use larger and more diverse samples, longer follow-up and outcomes reflecting patient-defined recovery as well as weight and symptom change. Ultimately, effective rehabilitation should aim not merely to increase weight, but to restore physical health, psychological flexibility, relationships, education, independence and meaningful quality of life.</w:t>
      </w:r>
    </w:p>
    <w:p w14:paraId="5697692B" w14:textId="77777777" w:rsidR="00006E05" w:rsidRPr="0044101C" w:rsidRDefault="00006E05" w:rsidP="0044101C">
      <w:pPr>
        <w:spacing w:before="100" w:beforeAutospacing="1" w:after="100" w:afterAutospacing="1" w:line="360" w:lineRule="auto"/>
        <w:jc w:val="both"/>
        <w:outlineLvl w:val="1"/>
        <w:rPr>
          <w:rFonts w:ascii="Arial" w:eastAsia="Times New Roman" w:hAnsi="Arial" w:cs="Arial"/>
          <w:bCs/>
          <w:kern w:val="0"/>
          <w:lang w:eastAsia="en-GB"/>
          <w14:ligatures w14:val="none"/>
        </w:rPr>
      </w:pPr>
    </w:p>
    <w:p w14:paraId="6C66BC7E" w14:textId="77777777" w:rsidR="00006E05" w:rsidRPr="0044101C" w:rsidRDefault="00006E05" w:rsidP="0044101C">
      <w:pPr>
        <w:spacing w:before="100" w:beforeAutospacing="1" w:after="100" w:afterAutospacing="1" w:line="360" w:lineRule="auto"/>
        <w:jc w:val="both"/>
        <w:outlineLvl w:val="1"/>
        <w:rPr>
          <w:rFonts w:ascii="Arial" w:eastAsia="Times New Roman" w:hAnsi="Arial" w:cs="Arial"/>
          <w:bCs/>
          <w:kern w:val="0"/>
          <w:lang w:eastAsia="en-GB"/>
          <w14:ligatures w14:val="none"/>
        </w:rPr>
      </w:pPr>
    </w:p>
    <w:p w14:paraId="66D42D55" w14:textId="77777777" w:rsidR="00006E05" w:rsidRPr="0044101C" w:rsidRDefault="00006E05" w:rsidP="0044101C">
      <w:pPr>
        <w:spacing w:before="100" w:beforeAutospacing="1" w:after="100" w:afterAutospacing="1" w:line="360" w:lineRule="auto"/>
        <w:jc w:val="both"/>
        <w:outlineLvl w:val="1"/>
        <w:rPr>
          <w:rFonts w:ascii="Arial" w:eastAsia="Times New Roman" w:hAnsi="Arial" w:cs="Arial"/>
          <w:bCs/>
          <w:kern w:val="0"/>
          <w:lang w:eastAsia="en-GB"/>
          <w14:ligatures w14:val="none"/>
        </w:rPr>
      </w:pPr>
    </w:p>
    <w:p w14:paraId="614BB84F" w14:textId="77777777" w:rsidR="00C861F1" w:rsidRPr="0044101C" w:rsidRDefault="00C861F1" w:rsidP="0044101C">
      <w:pPr>
        <w:spacing w:before="100" w:beforeAutospacing="1" w:after="100" w:afterAutospacing="1" w:line="360" w:lineRule="auto"/>
        <w:jc w:val="both"/>
        <w:outlineLvl w:val="1"/>
        <w:rPr>
          <w:rFonts w:ascii="Arial" w:eastAsia="Times New Roman" w:hAnsi="Arial" w:cs="Arial"/>
          <w:bCs/>
          <w:kern w:val="0"/>
          <w:lang w:eastAsia="en-GB"/>
          <w14:ligatures w14:val="none"/>
        </w:rPr>
      </w:pPr>
    </w:p>
    <w:p w14:paraId="3769FA00" w14:textId="77777777" w:rsidR="009D6AEC" w:rsidRDefault="009D6AEC" w:rsidP="0044101C">
      <w:pPr>
        <w:spacing w:before="100" w:beforeAutospacing="1" w:after="100" w:afterAutospacing="1" w:line="360" w:lineRule="auto"/>
        <w:jc w:val="both"/>
        <w:outlineLvl w:val="1"/>
        <w:rPr>
          <w:rFonts w:ascii="Arial" w:eastAsia="Times New Roman" w:hAnsi="Arial" w:cs="Arial"/>
          <w:b/>
          <w:kern w:val="0"/>
          <w:lang w:eastAsia="en-GB"/>
          <w14:ligatures w14:val="none"/>
        </w:rPr>
      </w:pPr>
    </w:p>
    <w:p w14:paraId="1A14E877" w14:textId="77777777" w:rsidR="009D6AEC" w:rsidRDefault="009D6AEC" w:rsidP="0044101C">
      <w:pPr>
        <w:spacing w:before="100" w:beforeAutospacing="1" w:after="100" w:afterAutospacing="1" w:line="360" w:lineRule="auto"/>
        <w:jc w:val="both"/>
        <w:outlineLvl w:val="1"/>
        <w:rPr>
          <w:rFonts w:ascii="Arial" w:eastAsia="Times New Roman" w:hAnsi="Arial" w:cs="Arial"/>
          <w:b/>
          <w:kern w:val="0"/>
          <w:lang w:eastAsia="en-GB"/>
          <w14:ligatures w14:val="none"/>
        </w:rPr>
      </w:pPr>
    </w:p>
    <w:p w14:paraId="6837BAE6" w14:textId="2F26DC8C" w:rsidR="00295231" w:rsidRPr="0044101C" w:rsidRDefault="00295231" w:rsidP="0044101C">
      <w:pPr>
        <w:spacing w:before="100" w:beforeAutospacing="1" w:after="100" w:afterAutospacing="1" w:line="360" w:lineRule="auto"/>
        <w:jc w:val="both"/>
        <w:outlineLvl w:val="1"/>
        <w:rPr>
          <w:rFonts w:ascii="Arial" w:eastAsia="Times New Roman" w:hAnsi="Arial" w:cs="Arial"/>
          <w:b/>
          <w:kern w:val="0"/>
          <w:lang w:eastAsia="en-GB"/>
          <w14:ligatures w14:val="none"/>
        </w:rPr>
      </w:pPr>
      <w:r w:rsidRPr="0044101C">
        <w:rPr>
          <w:rFonts w:ascii="Arial" w:eastAsia="Times New Roman" w:hAnsi="Arial" w:cs="Arial"/>
          <w:b/>
          <w:kern w:val="0"/>
          <w:lang w:eastAsia="en-GB"/>
          <w14:ligatures w14:val="none"/>
        </w:rPr>
        <w:lastRenderedPageBreak/>
        <w:t>References</w:t>
      </w:r>
    </w:p>
    <w:p w14:paraId="3B6DD333" w14:textId="77777777" w:rsidR="009D6AEC" w:rsidRDefault="00295231" w:rsidP="009D6AE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American Psychiatric Association (2022) </w:t>
      </w:r>
      <w:r w:rsidRPr="009D6AEC">
        <w:rPr>
          <w:rFonts w:ascii="Arial" w:eastAsia="Times New Roman" w:hAnsi="Arial" w:cs="Arial"/>
          <w:iCs/>
          <w:kern w:val="0"/>
          <w:lang w:eastAsia="en-GB"/>
          <w14:ligatures w14:val="none"/>
        </w:rPr>
        <w:t>Diagnostic and statistical manual of mental disorders</w:t>
      </w:r>
      <w:r w:rsidRPr="009D6AEC">
        <w:rPr>
          <w:rFonts w:ascii="Arial" w:eastAsia="Times New Roman" w:hAnsi="Arial" w:cs="Arial"/>
          <w:kern w:val="0"/>
          <w:lang w:eastAsia="en-GB"/>
          <w14:ligatures w14:val="none"/>
        </w:rPr>
        <w:t xml:space="preserve">. 5th </w:t>
      </w:r>
      <w:proofErr w:type="spellStart"/>
      <w:r w:rsidRPr="009D6AEC">
        <w:rPr>
          <w:rFonts w:ascii="Arial" w:eastAsia="Times New Roman" w:hAnsi="Arial" w:cs="Arial"/>
          <w:kern w:val="0"/>
          <w:lang w:eastAsia="en-GB"/>
          <w14:ligatures w14:val="none"/>
        </w:rPr>
        <w:t>edn</w:t>
      </w:r>
      <w:proofErr w:type="spellEnd"/>
      <w:r w:rsidRPr="009D6AEC">
        <w:rPr>
          <w:rFonts w:ascii="Arial" w:eastAsia="Times New Roman" w:hAnsi="Arial" w:cs="Arial"/>
          <w:kern w:val="0"/>
          <w:lang w:eastAsia="en-GB"/>
          <w14:ligatures w14:val="none"/>
        </w:rPr>
        <w:t>, text revision. Washington, DC: American Psychiatric Association.</w:t>
      </w:r>
    </w:p>
    <w:p w14:paraId="44B4CEEB" w14:textId="6772D54D" w:rsidR="009D6AEC" w:rsidRDefault="0044101C" w:rsidP="009D6AEC">
      <w:pPr>
        <w:pStyle w:val="ListParagraph"/>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 </w:t>
      </w:r>
    </w:p>
    <w:p w14:paraId="65D22E7C"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Cripps, S., Serpell, L. and Pugh, M. (2024) ‘Processes of change in family therapies for anorexia nervosa: a systematic review and meta-synthesis of qualitative data’, </w:t>
      </w:r>
      <w:r w:rsidRPr="009D6AEC">
        <w:rPr>
          <w:rFonts w:ascii="Arial" w:eastAsia="Times New Roman" w:hAnsi="Arial" w:cs="Arial"/>
          <w:iCs/>
          <w:kern w:val="0"/>
          <w:lang w:eastAsia="en-GB"/>
          <w14:ligatures w14:val="none"/>
        </w:rPr>
        <w:t>Journal of Eating Disorders</w:t>
      </w:r>
      <w:r w:rsidRPr="009D6AEC">
        <w:rPr>
          <w:rFonts w:ascii="Arial" w:eastAsia="Times New Roman" w:hAnsi="Arial" w:cs="Arial"/>
          <w:kern w:val="0"/>
          <w:lang w:eastAsia="en-GB"/>
          <w14:ligatures w14:val="none"/>
        </w:rPr>
        <w:t>, 12(1), p. 104.</w:t>
      </w:r>
    </w:p>
    <w:p w14:paraId="4B4E2CAE" w14:textId="77777777" w:rsidR="009D6AEC" w:rsidRPr="009D6AEC" w:rsidRDefault="009D6AEC" w:rsidP="009D6AEC">
      <w:pPr>
        <w:pStyle w:val="ListParagraph"/>
        <w:rPr>
          <w:rFonts w:ascii="Arial" w:eastAsia="Times New Roman" w:hAnsi="Arial" w:cs="Arial"/>
          <w:kern w:val="0"/>
          <w:lang w:eastAsia="en-GB"/>
          <w14:ligatures w14:val="none"/>
        </w:rPr>
      </w:pPr>
    </w:p>
    <w:p w14:paraId="0A859EBA"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Fisher, C.A., </w:t>
      </w:r>
      <w:proofErr w:type="spellStart"/>
      <w:r w:rsidRPr="009D6AEC">
        <w:rPr>
          <w:rFonts w:ascii="Arial" w:eastAsia="Times New Roman" w:hAnsi="Arial" w:cs="Arial"/>
          <w:kern w:val="0"/>
          <w:lang w:eastAsia="en-GB"/>
          <w14:ligatures w14:val="none"/>
        </w:rPr>
        <w:t>Skocic</w:t>
      </w:r>
      <w:proofErr w:type="spellEnd"/>
      <w:r w:rsidRPr="009D6AEC">
        <w:rPr>
          <w:rFonts w:ascii="Arial" w:eastAsia="Times New Roman" w:hAnsi="Arial" w:cs="Arial"/>
          <w:kern w:val="0"/>
          <w:lang w:eastAsia="en-GB"/>
          <w14:ligatures w14:val="none"/>
        </w:rPr>
        <w:t xml:space="preserve">, S., Rutherford, K.A. and Hetrick, S.E. (2019) ‘Family therapy approaches for anorexia nervosa’, </w:t>
      </w:r>
      <w:r w:rsidRPr="009D6AEC">
        <w:rPr>
          <w:rFonts w:ascii="Arial" w:eastAsia="Times New Roman" w:hAnsi="Arial" w:cs="Arial"/>
          <w:iCs/>
          <w:kern w:val="0"/>
          <w:lang w:eastAsia="en-GB"/>
          <w14:ligatures w14:val="none"/>
        </w:rPr>
        <w:t>Cochrane Database of Systematic Reviews</w:t>
      </w:r>
      <w:r w:rsidRPr="009D6AEC">
        <w:rPr>
          <w:rFonts w:ascii="Arial" w:eastAsia="Times New Roman" w:hAnsi="Arial" w:cs="Arial"/>
          <w:kern w:val="0"/>
          <w:lang w:eastAsia="en-GB"/>
          <w14:ligatures w14:val="none"/>
        </w:rPr>
        <w:t>, 5, CD004780.</w:t>
      </w:r>
    </w:p>
    <w:p w14:paraId="4326E93C" w14:textId="77777777" w:rsidR="009D6AEC" w:rsidRPr="009D6AEC" w:rsidRDefault="009D6AEC" w:rsidP="009D6AEC">
      <w:pPr>
        <w:pStyle w:val="ListParagraph"/>
        <w:rPr>
          <w:rFonts w:ascii="Arial" w:eastAsia="Times New Roman" w:hAnsi="Arial" w:cs="Arial"/>
          <w:kern w:val="0"/>
          <w:lang w:eastAsia="en-GB"/>
          <w14:ligatures w14:val="none"/>
        </w:rPr>
      </w:pPr>
    </w:p>
    <w:p w14:paraId="61256C5C"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Minuti, A., Bianchi, S., Pula, G., </w:t>
      </w:r>
      <w:proofErr w:type="spellStart"/>
      <w:r w:rsidRPr="009D6AEC">
        <w:rPr>
          <w:rFonts w:ascii="Arial" w:eastAsia="Times New Roman" w:hAnsi="Arial" w:cs="Arial"/>
          <w:kern w:val="0"/>
          <w:lang w:eastAsia="en-GB"/>
          <w14:ligatures w14:val="none"/>
        </w:rPr>
        <w:t>Perlangeli</w:t>
      </w:r>
      <w:proofErr w:type="spellEnd"/>
      <w:r w:rsidRPr="009D6AEC">
        <w:rPr>
          <w:rFonts w:ascii="Arial" w:eastAsia="Times New Roman" w:hAnsi="Arial" w:cs="Arial"/>
          <w:kern w:val="0"/>
          <w:lang w:eastAsia="en-GB"/>
          <w14:ligatures w14:val="none"/>
        </w:rPr>
        <w:t xml:space="preserve">, A., </w:t>
      </w:r>
      <w:proofErr w:type="spellStart"/>
      <w:r w:rsidRPr="009D6AEC">
        <w:rPr>
          <w:rFonts w:ascii="Arial" w:eastAsia="Times New Roman" w:hAnsi="Arial" w:cs="Arial"/>
          <w:kern w:val="0"/>
          <w:lang w:eastAsia="en-GB"/>
          <w14:ligatures w14:val="none"/>
        </w:rPr>
        <w:t>Tardani</w:t>
      </w:r>
      <w:proofErr w:type="spellEnd"/>
      <w:r w:rsidRPr="009D6AEC">
        <w:rPr>
          <w:rFonts w:ascii="Arial" w:eastAsia="Times New Roman" w:hAnsi="Arial" w:cs="Arial"/>
          <w:kern w:val="0"/>
          <w:lang w:eastAsia="en-GB"/>
          <w14:ligatures w14:val="none"/>
        </w:rPr>
        <w:t xml:space="preserve">, M., </w:t>
      </w:r>
      <w:proofErr w:type="spellStart"/>
      <w:r w:rsidRPr="009D6AEC">
        <w:rPr>
          <w:rFonts w:ascii="Arial" w:eastAsia="Times New Roman" w:hAnsi="Arial" w:cs="Arial"/>
          <w:kern w:val="0"/>
          <w:lang w:eastAsia="en-GB"/>
          <w14:ligatures w14:val="none"/>
        </w:rPr>
        <w:t>Cuzzucoli</w:t>
      </w:r>
      <w:proofErr w:type="spellEnd"/>
      <w:r w:rsidRPr="009D6AEC">
        <w:rPr>
          <w:rFonts w:ascii="Arial" w:eastAsia="Times New Roman" w:hAnsi="Arial" w:cs="Arial"/>
          <w:kern w:val="0"/>
          <w:lang w:eastAsia="en-GB"/>
          <w14:ligatures w14:val="none"/>
        </w:rPr>
        <w:t xml:space="preserve">, L., Pastorino, L., </w:t>
      </w:r>
      <w:proofErr w:type="spellStart"/>
      <w:r w:rsidRPr="009D6AEC">
        <w:rPr>
          <w:rFonts w:ascii="Arial" w:eastAsia="Times New Roman" w:hAnsi="Arial" w:cs="Arial"/>
          <w:kern w:val="0"/>
          <w:lang w:eastAsia="en-GB"/>
          <w14:ligatures w14:val="none"/>
        </w:rPr>
        <w:t>Menculini</w:t>
      </w:r>
      <w:proofErr w:type="spellEnd"/>
      <w:r w:rsidRPr="009D6AEC">
        <w:rPr>
          <w:rFonts w:ascii="Arial" w:eastAsia="Times New Roman" w:hAnsi="Arial" w:cs="Arial"/>
          <w:kern w:val="0"/>
          <w:lang w:eastAsia="en-GB"/>
          <w14:ligatures w14:val="none"/>
        </w:rPr>
        <w:t xml:space="preserve">, G. and Moretti, P. (2023) ‘Coercion and compulsory treatment in anorexia nervosa: a systematic review on legal and ethical issues’, </w:t>
      </w:r>
      <w:proofErr w:type="spellStart"/>
      <w:r w:rsidRPr="009D6AEC">
        <w:rPr>
          <w:rFonts w:ascii="Arial" w:eastAsia="Times New Roman" w:hAnsi="Arial" w:cs="Arial"/>
          <w:iCs/>
          <w:kern w:val="0"/>
          <w:lang w:eastAsia="en-GB"/>
          <w14:ligatures w14:val="none"/>
        </w:rPr>
        <w:t>Psychiatria</w:t>
      </w:r>
      <w:proofErr w:type="spellEnd"/>
      <w:r w:rsidRPr="009D6AEC">
        <w:rPr>
          <w:rFonts w:ascii="Arial" w:eastAsia="Times New Roman" w:hAnsi="Arial" w:cs="Arial"/>
          <w:iCs/>
          <w:kern w:val="0"/>
          <w:lang w:eastAsia="en-GB"/>
          <w14:ligatures w14:val="none"/>
        </w:rPr>
        <w:t xml:space="preserve"> </w:t>
      </w:r>
      <w:proofErr w:type="spellStart"/>
      <w:r w:rsidRPr="009D6AEC">
        <w:rPr>
          <w:rFonts w:ascii="Arial" w:eastAsia="Times New Roman" w:hAnsi="Arial" w:cs="Arial"/>
          <w:iCs/>
          <w:kern w:val="0"/>
          <w:lang w:eastAsia="en-GB"/>
          <w14:ligatures w14:val="none"/>
        </w:rPr>
        <w:t>Danubina</w:t>
      </w:r>
      <w:proofErr w:type="spellEnd"/>
      <w:r w:rsidRPr="009D6AEC">
        <w:rPr>
          <w:rFonts w:ascii="Arial" w:eastAsia="Times New Roman" w:hAnsi="Arial" w:cs="Arial"/>
          <w:kern w:val="0"/>
          <w:lang w:eastAsia="en-GB"/>
          <w14:ligatures w14:val="none"/>
        </w:rPr>
        <w:t>, 35(</w:t>
      </w:r>
      <w:proofErr w:type="spellStart"/>
      <w:r w:rsidRPr="009D6AEC">
        <w:rPr>
          <w:rFonts w:ascii="Arial" w:eastAsia="Times New Roman" w:hAnsi="Arial" w:cs="Arial"/>
          <w:kern w:val="0"/>
          <w:lang w:eastAsia="en-GB"/>
          <w14:ligatures w14:val="none"/>
        </w:rPr>
        <w:t>Suppl</w:t>
      </w:r>
      <w:proofErr w:type="spellEnd"/>
      <w:r w:rsidRPr="009D6AEC">
        <w:rPr>
          <w:rFonts w:ascii="Arial" w:eastAsia="Times New Roman" w:hAnsi="Arial" w:cs="Arial"/>
          <w:kern w:val="0"/>
          <w:lang w:eastAsia="en-GB"/>
          <w14:ligatures w14:val="none"/>
        </w:rPr>
        <w:t xml:space="preserve"> 2), pp. 206–216.</w:t>
      </w:r>
    </w:p>
    <w:p w14:paraId="73BAFB35" w14:textId="77777777" w:rsidR="009D6AEC" w:rsidRPr="009D6AEC" w:rsidRDefault="009D6AEC" w:rsidP="009D6AEC">
      <w:pPr>
        <w:pStyle w:val="ListParagraph"/>
        <w:rPr>
          <w:rFonts w:ascii="Arial" w:eastAsia="Times New Roman" w:hAnsi="Arial" w:cs="Arial"/>
          <w:kern w:val="0"/>
          <w:lang w:eastAsia="en-GB"/>
          <w14:ligatures w14:val="none"/>
        </w:rPr>
      </w:pPr>
    </w:p>
    <w:p w14:paraId="74592B3E"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Murray, S.B., et al. (2024) ‘Effectiveness of the Maudsley Model of Anorexia Nervosa Treatment for Adults: a systematic review’, </w:t>
      </w:r>
      <w:r w:rsidRPr="009D6AEC">
        <w:rPr>
          <w:rFonts w:ascii="Arial" w:eastAsia="Times New Roman" w:hAnsi="Arial" w:cs="Arial"/>
          <w:iCs/>
          <w:kern w:val="0"/>
          <w:lang w:eastAsia="en-GB"/>
          <w14:ligatures w14:val="none"/>
        </w:rPr>
        <w:t>Journal of Eating Disorders</w:t>
      </w:r>
      <w:r w:rsidRPr="009D6AEC">
        <w:rPr>
          <w:rFonts w:ascii="Arial" w:eastAsia="Times New Roman" w:hAnsi="Arial" w:cs="Arial"/>
          <w:kern w:val="0"/>
          <w:lang w:eastAsia="en-GB"/>
          <w14:ligatures w14:val="none"/>
        </w:rPr>
        <w:t>, 12.</w:t>
      </w:r>
    </w:p>
    <w:p w14:paraId="1BDCDC64" w14:textId="77777777" w:rsidR="009D6AEC" w:rsidRPr="009D6AEC" w:rsidRDefault="009D6AEC" w:rsidP="009D6AEC">
      <w:pPr>
        <w:pStyle w:val="ListParagraph"/>
        <w:rPr>
          <w:rFonts w:ascii="Arial" w:eastAsia="Times New Roman" w:hAnsi="Arial" w:cs="Arial"/>
          <w:kern w:val="0"/>
          <w:lang w:eastAsia="en-GB"/>
          <w14:ligatures w14:val="none"/>
        </w:rPr>
      </w:pPr>
    </w:p>
    <w:p w14:paraId="27F62C43"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National Institute for Health and Care Excellence (NICE) (2018) </w:t>
      </w:r>
      <w:proofErr w:type="gramStart"/>
      <w:r w:rsidRPr="009D6AEC">
        <w:rPr>
          <w:rFonts w:ascii="Arial" w:eastAsia="Times New Roman" w:hAnsi="Arial" w:cs="Arial"/>
          <w:iCs/>
          <w:kern w:val="0"/>
          <w:lang w:eastAsia="en-GB"/>
          <w14:ligatures w14:val="none"/>
        </w:rPr>
        <w:t>Eating disorders</w:t>
      </w:r>
      <w:proofErr w:type="gramEnd"/>
      <w:r w:rsidRPr="009D6AEC">
        <w:rPr>
          <w:rFonts w:ascii="Arial" w:eastAsia="Times New Roman" w:hAnsi="Arial" w:cs="Arial"/>
          <w:kern w:val="0"/>
          <w:lang w:eastAsia="en-GB"/>
          <w14:ligatures w14:val="none"/>
        </w:rPr>
        <w:t>. Quality standard QS175. London: NICE.</w:t>
      </w:r>
    </w:p>
    <w:p w14:paraId="2A0CD5B1" w14:textId="77777777" w:rsidR="009D6AEC" w:rsidRPr="009D6AEC" w:rsidRDefault="009D6AEC" w:rsidP="009D6AEC">
      <w:pPr>
        <w:pStyle w:val="ListParagraph"/>
        <w:rPr>
          <w:rFonts w:ascii="Arial" w:eastAsia="Times New Roman" w:hAnsi="Arial" w:cs="Arial"/>
          <w:kern w:val="0"/>
          <w:lang w:eastAsia="en-GB"/>
          <w14:ligatures w14:val="none"/>
        </w:rPr>
      </w:pPr>
    </w:p>
    <w:p w14:paraId="623F9ABA"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National Institute for Health and Care Excellence (NICE) (2020) </w:t>
      </w:r>
      <w:proofErr w:type="gramStart"/>
      <w:r w:rsidRPr="009D6AEC">
        <w:rPr>
          <w:rFonts w:ascii="Arial" w:eastAsia="Times New Roman" w:hAnsi="Arial" w:cs="Arial"/>
          <w:iCs/>
          <w:kern w:val="0"/>
          <w:lang w:eastAsia="en-GB"/>
          <w14:ligatures w14:val="none"/>
        </w:rPr>
        <w:t>Eating disorders</w:t>
      </w:r>
      <w:proofErr w:type="gramEnd"/>
      <w:r w:rsidRPr="009D6AEC">
        <w:rPr>
          <w:rFonts w:ascii="Arial" w:eastAsia="Times New Roman" w:hAnsi="Arial" w:cs="Arial"/>
          <w:iCs/>
          <w:kern w:val="0"/>
          <w:lang w:eastAsia="en-GB"/>
          <w14:ligatures w14:val="none"/>
        </w:rPr>
        <w:t>: recognition and treatment</w:t>
      </w:r>
      <w:r w:rsidRPr="009D6AEC">
        <w:rPr>
          <w:rFonts w:ascii="Arial" w:eastAsia="Times New Roman" w:hAnsi="Arial" w:cs="Arial"/>
          <w:kern w:val="0"/>
          <w:lang w:eastAsia="en-GB"/>
          <w14:ligatures w14:val="none"/>
        </w:rPr>
        <w:t>. NICE guideline NG69. London: NICE.</w:t>
      </w:r>
    </w:p>
    <w:p w14:paraId="3D1FC4E3" w14:textId="77777777" w:rsidR="009D6AEC" w:rsidRPr="009D6AEC" w:rsidRDefault="009D6AEC" w:rsidP="009D6AEC">
      <w:pPr>
        <w:pStyle w:val="ListParagraph"/>
        <w:rPr>
          <w:rFonts w:ascii="Arial" w:eastAsia="Times New Roman" w:hAnsi="Arial" w:cs="Arial"/>
          <w:kern w:val="0"/>
          <w:lang w:eastAsia="en-GB"/>
          <w14:ligatures w14:val="none"/>
        </w:rPr>
      </w:pPr>
    </w:p>
    <w:p w14:paraId="5DEB2267"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Treasure, J., Duarte, T.A. and Schmidt, U. (2020) ‘Eating disorders’, </w:t>
      </w:r>
      <w:r w:rsidRPr="009D6AEC">
        <w:rPr>
          <w:rFonts w:ascii="Arial" w:eastAsia="Times New Roman" w:hAnsi="Arial" w:cs="Arial"/>
          <w:iCs/>
          <w:kern w:val="0"/>
          <w:lang w:eastAsia="en-GB"/>
          <w14:ligatures w14:val="none"/>
        </w:rPr>
        <w:t>The Lancet</w:t>
      </w:r>
      <w:r w:rsidRPr="009D6AEC">
        <w:rPr>
          <w:rFonts w:ascii="Arial" w:eastAsia="Times New Roman" w:hAnsi="Arial" w:cs="Arial"/>
          <w:kern w:val="0"/>
          <w:lang w:eastAsia="en-GB"/>
          <w14:ligatures w14:val="none"/>
        </w:rPr>
        <w:t>, 395(10227), pp. 899–911.</w:t>
      </w:r>
    </w:p>
    <w:p w14:paraId="2093AC67" w14:textId="77777777" w:rsidR="009D6AEC" w:rsidRPr="009D6AEC" w:rsidRDefault="009D6AEC" w:rsidP="009D6AEC">
      <w:pPr>
        <w:pStyle w:val="ListParagraph"/>
        <w:rPr>
          <w:rFonts w:ascii="Arial" w:eastAsia="Times New Roman" w:hAnsi="Arial" w:cs="Arial"/>
          <w:kern w:val="0"/>
          <w:lang w:eastAsia="en-GB"/>
          <w14:ligatures w14:val="none"/>
        </w:rPr>
      </w:pPr>
    </w:p>
    <w:p w14:paraId="7C0A1120"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World Health Organization (WHO) (2024a) </w:t>
      </w:r>
      <w:r w:rsidRPr="009D6AEC">
        <w:rPr>
          <w:rFonts w:ascii="Arial" w:eastAsia="Times New Roman" w:hAnsi="Arial" w:cs="Arial"/>
          <w:iCs/>
          <w:kern w:val="0"/>
          <w:lang w:eastAsia="en-GB"/>
          <w14:ligatures w14:val="none"/>
        </w:rPr>
        <w:t>Clinical descriptions and diagnostic requirements for ICD-11 mental, behavioural or neurodevelopmental disorders</w:t>
      </w:r>
      <w:r w:rsidRPr="009D6AEC">
        <w:rPr>
          <w:rFonts w:ascii="Arial" w:eastAsia="Times New Roman" w:hAnsi="Arial" w:cs="Arial"/>
          <w:kern w:val="0"/>
          <w:lang w:eastAsia="en-GB"/>
          <w14:ligatures w14:val="none"/>
        </w:rPr>
        <w:t>. Geneva: WHO.</w:t>
      </w:r>
    </w:p>
    <w:p w14:paraId="293FF1C9" w14:textId="77777777" w:rsidR="009D6AEC" w:rsidRPr="009D6AEC" w:rsidRDefault="009D6AEC" w:rsidP="009D6AEC">
      <w:pPr>
        <w:pStyle w:val="ListParagraph"/>
        <w:rPr>
          <w:rFonts w:ascii="Arial" w:eastAsia="Times New Roman" w:hAnsi="Arial" w:cs="Arial"/>
          <w:kern w:val="0"/>
          <w:lang w:eastAsia="en-GB"/>
          <w14:ligatures w14:val="none"/>
        </w:rPr>
      </w:pPr>
    </w:p>
    <w:p w14:paraId="1FB0126D"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World Health Organization (WHO) (2024b) </w:t>
      </w:r>
      <w:r w:rsidRPr="009D6AEC">
        <w:rPr>
          <w:rFonts w:ascii="Arial" w:eastAsia="Times New Roman" w:hAnsi="Arial" w:cs="Arial"/>
          <w:iCs/>
          <w:kern w:val="0"/>
          <w:lang w:eastAsia="en-GB"/>
          <w14:ligatures w14:val="none"/>
        </w:rPr>
        <w:t>International Classification of Diseases 11th Revision (ICD-11)</w:t>
      </w:r>
      <w:r w:rsidRPr="009D6AEC">
        <w:rPr>
          <w:rFonts w:ascii="Arial" w:eastAsia="Times New Roman" w:hAnsi="Arial" w:cs="Arial"/>
          <w:kern w:val="0"/>
          <w:lang w:eastAsia="en-GB"/>
          <w14:ligatures w14:val="none"/>
        </w:rPr>
        <w:t>. Geneva: WHO.</w:t>
      </w:r>
    </w:p>
    <w:p w14:paraId="40BFA295" w14:textId="77777777" w:rsidR="009D6AEC" w:rsidRPr="009D6AEC" w:rsidRDefault="009D6AEC" w:rsidP="009D6AEC">
      <w:pPr>
        <w:pStyle w:val="ListParagraph"/>
        <w:rPr>
          <w:rFonts w:ascii="Arial" w:eastAsia="Times New Roman" w:hAnsi="Arial" w:cs="Arial"/>
          <w:kern w:val="0"/>
          <w:lang w:eastAsia="en-GB"/>
          <w14:ligatures w14:val="none"/>
        </w:rPr>
      </w:pPr>
    </w:p>
    <w:p w14:paraId="04A34F35"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Zeeck, A., </w:t>
      </w:r>
      <w:proofErr w:type="spellStart"/>
      <w:r w:rsidRPr="009D6AEC">
        <w:rPr>
          <w:rFonts w:ascii="Arial" w:eastAsia="Times New Roman" w:hAnsi="Arial" w:cs="Arial"/>
          <w:kern w:val="0"/>
          <w:lang w:eastAsia="en-GB"/>
          <w14:ligatures w14:val="none"/>
        </w:rPr>
        <w:t>Herpertz</w:t>
      </w:r>
      <w:proofErr w:type="spellEnd"/>
      <w:r w:rsidRPr="009D6AEC">
        <w:rPr>
          <w:rFonts w:ascii="Arial" w:eastAsia="Times New Roman" w:hAnsi="Arial" w:cs="Arial"/>
          <w:kern w:val="0"/>
          <w:lang w:eastAsia="en-GB"/>
          <w14:ligatures w14:val="none"/>
        </w:rPr>
        <w:t xml:space="preserve">-Dahlmann, B., Friederich, H.-C., Brockmeyer, T., </w:t>
      </w:r>
      <w:proofErr w:type="spellStart"/>
      <w:r w:rsidRPr="009D6AEC">
        <w:rPr>
          <w:rFonts w:ascii="Arial" w:eastAsia="Times New Roman" w:hAnsi="Arial" w:cs="Arial"/>
          <w:kern w:val="0"/>
          <w:lang w:eastAsia="en-GB"/>
          <w14:ligatures w14:val="none"/>
        </w:rPr>
        <w:t>Resmark</w:t>
      </w:r>
      <w:proofErr w:type="spellEnd"/>
      <w:r w:rsidRPr="009D6AEC">
        <w:rPr>
          <w:rFonts w:ascii="Arial" w:eastAsia="Times New Roman" w:hAnsi="Arial" w:cs="Arial"/>
          <w:kern w:val="0"/>
          <w:lang w:eastAsia="en-GB"/>
          <w14:ligatures w14:val="none"/>
        </w:rPr>
        <w:t>, G., Hagenah, U., Ehrlich, S., Cuntz, U., Herzog, W. and Hartmann, A. (2018)</w:t>
      </w:r>
    </w:p>
    <w:p w14:paraId="08226931" w14:textId="77777777" w:rsidR="009D6AEC" w:rsidRPr="009D6AEC" w:rsidRDefault="009D6AEC" w:rsidP="009D6AEC">
      <w:pPr>
        <w:pStyle w:val="ListParagraph"/>
        <w:rPr>
          <w:rFonts w:ascii="Arial" w:eastAsia="Times New Roman" w:hAnsi="Arial" w:cs="Arial"/>
          <w:kern w:val="0"/>
          <w:lang w:eastAsia="en-GB"/>
          <w14:ligatures w14:val="none"/>
        </w:rPr>
      </w:pPr>
    </w:p>
    <w:p w14:paraId="681B20F9" w14:textId="77777777" w:rsid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‘Psychotherapeutic treatment for anorexia nervosa: a systematic review and network meta-analysis’, </w:t>
      </w:r>
      <w:r w:rsidRPr="009D6AEC">
        <w:rPr>
          <w:rFonts w:ascii="Arial" w:eastAsia="Times New Roman" w:hAnsi="Arial" w:cs="Arial"/>
          <w:iCs/>
          <w:kern w:val="0"/>
          <w:lang w:eastAsia="en-GB"/>
          <w14:ligatures w14:val="none"/>
        </w:rPr>
        <w:t>Frontiers in Psychiatry</w:t>
      </w:r>
      <w:r w:rsidRPr="009D6AEC">
        <w:rPr>
          <w:rFonts w:ascii="Arial" w:eastAsia="Times New Roman" w:hAnsi="Arial" w:cs="Arial"/>
          <w:kern w:val="0"/>
          <w:lang w:eastAsia="en-GB"/>
          <w14:ligatures w14:val="none"/>
        </w:rPr>
        <w:t>, 9, p. 158.</w:t>
      </w:r>
    </w:p>
    <w:p w14:paraId="73CCE9FD" w14:textId="77777777" w:rsidR="009D6AEC" w:rsidRPr="009D6AEC" w:rsidRDefault="009D6AEC" w:rsidP="009D6AEC">
      <w:pPr>
        <w:pStyle w:val="ListParagraph"/>
        <w:rPr>
          <w:rFonts w:ascii="Arial" w:eastAsia="Times New Roman" w:hAnsi="Arial" w:cs="Arial"/>
          <w:kern w:val="0"/>
          <w:lang w:eastAsia="en-GB"/>
          <w14:ligatures w14:val="none"/>
        </w:rPr>
      </w:pPr>
    </w:p>
    <w:p w14:paraId="45AB2868" w14:textId="301D1E2B" w:rsidR="00295231" w:rsidRPr="009D6AEC" w:rsidRDefault="00295231" w:rsidP="0044101C">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9D6AEC">
        <w:rPr>
          <w:rFonts w:ascii="Arial" w:eastAsia="Times New Roman" w:hAnsi="Arial" w:cs="Arial"/>
          <w:kern w:val="0"/>
          <w:lang w:eastAsia="en-GB"/>
          <w14:ligatures w14:val="none"/>
        </w:rPr>
        <w:t xml:space="preserve">Zipfel, S., Giel, K.E., Bulik, C.M., Hay, P. and Schmidt, U. (2015) ‘Anorexia nervosa: aetiology, assessment, and treatment’, </w:t>
      </w:r>
      <w:r w:rsidRPr="009D6AEC">
        <w:rPr>
          <w:rFonts w:ascii="Arial" w:eastAsia="Times New Roman" w:hAnsi="Arial" w:cs="Arial"/>
          <w:iCs/>
          <w:kern w:val="0"/>
          <w:lang w:eastAsia="en-GB"/>
          <w14:ligatures w14:val="none"/>
        </w:rPr>
        <w:t>The Lancet Psychiatry</w:t>
      </w:r>
      <w:r w:rsidRPr="009D6AEC">
        <w:rPr>
          <w:rFonts w:ascii="Arial" w:eastAsia="Times New Roman" w:hAnsi="Arial" w:cs="Arial"/>
          <w:kern w:val="0"/>
          <w:lang w:eastAsia="en-GB"/>
          <w14:ligatures w14:val="none"/>
        </w:rPr>
        <w:t>, 2(12), pp. 1099–1111.</w:t>
      </w:r>
    </w:p>
    <w:p w14:paraId="72C395A7" w14:textId="77777777" w:rsidR="009D092F" w:rsidRPr="00C861F1" w:rsidRDefault="009D092F" w:rsidP="00C861F1">
      <w:pPr>
        <w:spacing w:line="360" w:lineRule="auto"/>
        <w:jc w:val="both"/>
        <w:rPr>
          <w:rFonts w:ascii="Arial" w:hAnsi="Arial" w:cs="Arial"/>
        </w:rPr>
      </w:pPr>
    </w:p>
    <w:sectPr w:rsidR="009D092F" w:rsidRPr="00C861F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E0520" w14:textId="77777777" w:rsidR="00870AAE" w:rsidRDefault="00870AAE" w:rsidP="00004747">
      <w:pPr>
        <w:spacing w:after="0" w:line="240" w:lineRule="auto"/>
      </w:pPr>
      <w:r>
        <w:separator/>
      </w:r>
    </w:p>
  </w:endnote>
  <w:endnote w:type="continuationSeparator" w:id="0">
    <w:p w14:paraId="09A9796A" w14:textId="77777777" w:rsidR="00870AAE" w:rsidRDefault="00870AAE" w:rsidP="00004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430686"/>
      <w:docPartObj>
        <w:docPartGallery w:val="Page Numbers (Bottom of Page)"/>
        <w:docPartUnique/>
      </w:docPartObj>
    </w:sdtPr>
    <w:sdtEndPr>
      <w:rPr>
        <w:noProof/>
      </w:rPr>
    </w:sdtEndPr>
    <w:sdtContent>
      <w:p w14:paraId="288E2418" w14:textId="5986B127" w:rsidR="00004747" w:rsidRDefault="000047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6BE064" w14:textId="77777777" w:rsidR="00004747" w:rsidRDefault="00004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AF7A8" w14:textId="77777777" w:rsidR="00870AAE" w:rsidRDefault="00870AAE" w:rsidP="00004747">
      <w:pPr>
        <w:spacing w:after="0" w:line="240" w:lineRule="auto"/>
      </w:pPr>
      <w:r>
        <w:separator/>
      </w:r>
    </w:p>
  </w:footnote>
  <w:footnote w:type="continuationSeparator" w:id="0">
    <w:p w14:paraId="2C0595DD" w14:textId="77777777" w:rsidR="00870AAE" w:rsidRDefault="00870AAE" w:rsidP="00004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A652A"/>
    <w:multiLevelType w:val="hybridMultilevel"/>
    <w:tmpl w:val="9392C83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8E7113"/>
    <w:multiLevelType w:val="hybridMultilevel"/>
    <w:tmpl w:val="D95E904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0C3407B"/>
    <w:multiLevelType w:val="hybridMultilevel"/>
    <w:tmpl w:val="E8D8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2028E0"/>
    <w:multiLevelType w:val="hybridMultilevel"/>
    <w:tmpl w:val="3B28FF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0426977">
    <w:abstractNumId w:val="3"/>
  </w:num>
  <w:num w:numId="2" w16cid:durableId="1092238379">
    <w:abstractNumId w:val="1"/>
  </w:num>
  <w:num w:numId="3" w16cid:durableId="1103648321">
    <w:abstractNumId w:val="0"/>
  </w:num>
  <w:num w:numId="4" w16cid:durableId="1861508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231"/>
    <w:rsid w:val="00004747"/>
    <w:rsid w:val="00006E05"/>
    <w:rsid w:val="00295231"/>
    <w:rsid w:val="003F04E3"/>
    <w:rsid w:val="0044101C"/>
    <w:rsid w:val="00870AAE"/>
    <w:rsid w:val="009B1A12"/>
    <w:rsid w:val="009D092F"/>
    <w:rsid w:val="009D6AEC"/>
    <w:rsid w:val="00B6703D"/>
    <w:rsid w:val="00C861F1"/>
    <w:rsid w:val="00D640AE"/>
    <w:rsid w:val="00DC0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F59C"/>
  <w15:chartTrackingRefBased/>
  <w15:docId w15:val="{02A7A7BB-0423-4C56-A0DC-496FC7308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2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52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52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52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52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52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2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2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2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2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52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52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52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52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52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2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2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231"/>
    <w:rPr>
      <w:rFonts w:eastAsiaTheme="majorEastAsia" w:cstheme="majorBidi"/>
      <w:color w:val="272727" w:themeColor="text1" w:themeTint="D8"/>
    </w:rPr>
  </w:style>
  <w:style w:type="paragraph" w:styleId="Title">
    <w:name w:val="Title"/>
    <w:basedOn w:val="Normal"/>
    <w:next w:val="Normal"/>
    <w:link w:val="TitleChar"/>
    <w:uiPriority w:val="10"/>
    <w:qFormat/>
    <w:rsid w:val="00295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2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2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2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231"/>
    <w:pPr>
      <w:spacing w:before="160"/>
      <w:jc w:val="center"/>
    </w:pPr>
    <w:rPr>
      <w:i/>
      <w:iCs/>
      <w:color w:val="404040" w:themeColor="text1" w:themeTint="BF"/>
    </w:rPr>
  </w:style>
  <w:style w:type="character" w:customStyle="1" w:styleId="QuoteChar">
    <w:name w:val="Quote Char"/>
    <w:basedOn w:val="DefaultParagraphFont"/>
    <w:link w:val="Quote"/>
    <w:uiPriority w:val="29"/>
    <w:rsid w:val="00295231"/>
    <w:rPr>
      <w:i/>
      <w:iCs/>
      <w:color w:val="404040" w:themeColor="text1" w:themeTint="BF"/>
    </w:rPr>
  </w:style>
  <w:style w:type="paragraph" w:styleId="ListParagraph">
    <w:name w:val="List Paragraph"/>
    <w:basedOn w:val="Normal"/>
    <w:uiPriority w:val="34"/>
    <w:qFormat/>
    <w:rsid w:val="00295231"/>
    <w:pPr>
      <w:ind w:left="720"/>
      <w:contextualSpacing/>
    </w:pPr>
  </w:style>
  <w:style w:type="character" w:styleId="IntenseEmphasis">
    <w:name w:val="Intense Emphasis"/>
    <w:basedOn w:val="DefaultParagraphFont"/>
    <w:uiPriority w:val="21"/>
    <w:qFormat/>
    <w:rsid w:val="00295231"/>
    <w:rPr>
      <w:i/>
      <w:iCs/>
      <w:color w:val="0F4761" w:themeColor="accent1" w:themeShade="BF"/>
    </w:rPr>
  </w:style>
  <w:style w:type="paragraph" w:styleId="IntenseQuote">
    <w:name w:val="Intense Quote"/>
    <w:basedOn w:val="Normal"/>
    <w:next w:val="Normal"/>
    <w:link w:val="IntenseQuoteChar"/>
    <w:uiPriority w:val="30"/>
    <w:qFormat/>
    <w:rsid w:val="002952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5231"/>
    <w:rPr>
      <w:i/>
      <w:iCs/>
      <w:color w:val="0F4761" w:themeColor="accent1" w:themeShade="BF"/>
    </w:rPr>
  </w:style>
  <w:style w:type="character" w:styleId="IntenseReference">
    <w:name w:val="Intense Reference"/>
    <w:basedOn w:val="DefaultParagraphFont"/>
    <w:uiPriority w:val="32"/>
    <w:qFormat/>
    <w:rsid w:val="00295231"/>
    <w:rPr>
      <w:b/>
      <w:bCs/>
      <w:smallCaps/>
      <w:color w:val="0F4761" w:themeColor="accent1" w:themeShade="BF"/>
      <w:spacing w:val="5"/>
    </w:rPr>
  </w:style>
  <w:style w:type="paragraph" w:styleId="Header">
    <w:name w:val="header"/>
    <w:basedOn w:val="Normal"/>
    <w:link w:val="HeaderChar"/>
    <w:uiPriority w:val="99"/>
    <w:unhideWhenUsed/>
    <w:rsid w:val="00004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747"/>
  </w:style>
  <w:style w:type="paragraph" w:styleId="Footer">
    <w:name w:val="footer"/>
    <w:basedOn w:val="Normal"/>
    <w:link w:val="FooterChar"/>
    <w:uiPriority w:val="99"/>
    <w:unhideWhenUsed/>
    <w:rsid w:val="00004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2295</Words>
  <Characters>13085</Characters>
  <Application>Microsoft Office Word</Application>
  <DocSecurity>0</DocSecurity>
  <Lines>109</Lines>
  <Paragraphs>30</Paragraphs>
  <ScaleCrop>false</ScaleCrop>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Grobry (2244710)</dc:creator>
  <cp:keywords/>
  <dc:description/>
  <cp:lastModifiedBy>Nadia Grobry (2244710)</cp:lastModifiedBy>
  <cp:revision>2</cp:revision>
  <dcterms:created xsi:type="dcterms:W3CDTF">2026-07-18T18:37:00Z</dcterms:created>
  <dcterms:modified xsi:type="dcterms:W3CDTF">2026-07-18T18:37:00Z</dcterms:modified>
</cp:coreProperties>
</file>