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F2F2" w:themeColor="background1" w:themeShade="F2"/>
  <w:body>
    <w:p w14:paraId="4BEF8033" w14:textId="2D46DE1C" w:rsidR="00C57C8F" w:rsidRDefault="009D0657">
      <w:r>
        <w:rPr>
          <w:noProof/>
        </w:rPr>
        <w:drawing>
          <wp:inline distT="0" distB="0" distL="0" distR="0" wp14:anchorId="094EACF0" wp14:editId="60D63E47">
            <wp:extent cx="2095500" cy="695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2C3A859" w14:textId="771E1F71" w:rsidR="009D0657" w:rsidRDefault="009D0657"/>
    <w:p w14:paraId="59A92C55" w14:textId="4A16A380" w:rsidR="009D0657" w:rsidRDefault="009D0657"/>
    <w:p w14:paraId="618B518B" w14:textId="38C43EDA" w:rsidR="009D0657" w:rsidRDefault="009D0657"/>
    <w:p w14:paraId="703D523A" w14:textId="77777777" w:rsidR="006C77A5" w:rsidRDefault="006C77A5" w:rsidP="009D0657">
      <w:pPr>
        <w:jc w:val="center"/>
        <w:rPr>
          <w:b/>
          <w:bCs/>
          <w:i/>
          <w:iCs/>
          <w:sz w:val="40"/>
          <w:szCs w:val="40"/>
        </w:rPr>
      </w:pPr>
    </w:p>
    <w:p w14:paraId="397311B4" w14:textId="77777777" w:rsidR="006C77A5" w:rsidRDefault="006C77A5" w:rsidP="009D0657">
      <w:pPr>
        <w:jc w:val="center"/>
        <w:rPr>
          <w:b/>
          <w:bCs/>
          <w:i/>
          <w:iCs/>
          <w:sz w:val="40"/>
          <w:szCs w:val="40"/>
        </w:rPr>
      </w:pPr>
    </w:p>
    <w:p w14:paraId="1EEA32F0" w14:textId="77777777" w:rsidR="006C77A5" w:rsidRDefault="006C77A5" w:rsidP="009D0657">
      <w:pPr>
        <w:jc w:val="center"/>
        <w:rPr>
          <w:b/>
          <w:bCs/>
          <w:i/>
          <w:iCs/>
          <w:sz w:val="40"/>
          <w:szCs w:val="40"/>
        </w:rPr>
      </w:pPr>
    </w:p>
    <w:p w14:paraId="5BAC069D" w14:textId="0E7AFA8A" w:rsidR="009D0657" w:rsidRPr="009D0657" w:rsidRDefault="009D0657" w:rsidP="009D0657">
      <w:pPr>
        <w:jc w:val="center"/>
        <w:rPr>
          <w:b/>
          <w:bCs/>
          <w:i/>
          <w:iCs/>
          <w:sz w:val="40"/>
          <w:szCs w:val="40"/>
        </w:rPr>
      </w:pPr>
      <w:r w:rsidRPr="009D0657">
        <w:rPr>
          <w:b/>
          <w:bCs/>
          <w:i/>
          <w:iCs/>
          <w:sz w:val="40"/>
          <w:szCs w:val="40"/>
        </w:rPr>
        <w:t>ACCOUNTING FUNDAMENTALS</w:t>
      </w:r>
    </w:p>
    <w:p w14:paraId="49E80E3E" w14:textId="3B7DFA25" w:rsidR="009D0657" w:rsidRPr="009D0657" w:rsidRDefault="009D0657" w:rsidP="009D0657">
      <w:pPr>
        <w:jc w:val="center"/>
        <w:rPr>
          <w:b/>
          <w:bCs/>
          <w:i/>
          <w:iCs/>
          <w:sz w:val="40"/>
          <w:szCs w:val="40"/>
        </w:rPr>
      </w:pPr>
      <w:r w:rsidRPr="009D0657">
        <w:rPr>
          <w:b/>
          <w:bCs/>
          <w:i/>
          <w:iCs/>
          <w:sz w:val="40"/>
          <w:szCs w:val="40"/>
        </w:rPr>
        <w:t>ASS</w:t>
      </w:r>
      <w:r w:rsidR="00444E7D">
        <w:rPr>
          <w:b/>
          <w:bCs/>
          <w:i/>
          <w:iCs/>
          <w:sz w:val="40"/>
          <w:szCs w:val="40"/>
        </w:rPr>
        <w:t>ESMENT 1</w:t>
      </w:r>
    </w:p>
    <w:p w14:paraId="4B27C7EA" w14:textId="153ADFAD" w:rsidR="009D0657" w:rsidRPr="009D0657" w:rsidRDefault="009D0657" w:rsidP="009D0657">
      <w:pPr>
        <w:jc w:val="center"/>
        <w:rPr>
          <w:b/>
          <w:bCs/>
          <w:i/>
          <w:iCs/>
          <w:sz w:val="40"/>
          <w:szCs w:val="40"/>
        </w:rPr>
      </w:pPr>
      <w:r w:rsidRPr="009D0657">
        <w:rPr>
          <w:b/>
          <w:bCs/>
          <w:i/>
          <w:iCs/>
          <w:sz w:val="40"/>
          <w:szCs w:val="40"/>
        </w:rPr>
        <w:t>(by Alina Coman</w:t>
      </w:r>
      <w:r w:rsidR="00444E7D">
        <w:rPr>
          <w:b/>
          <w:bCs/>
          <w:i/>
          <w:iCs/>
          <w:sz w:val="40"/>
          <w:szCs w:val="40"/>
        </w:rPr>
        <w:t>, 1919781</w:t>
      </w:r>
      <w:r w:rsidRPr="009D0657">
        <w:rPr>
          <w:b/>
          <w:bCs/>
          <w:i/>
          <w:iCs/>
          <w:sz w:val="40"/>
          <w:szCs w:val="40"/>
        </w:rPr>
        <w:t>)</w:t>
      </w:r>
    </w:p>
    <w:p w14:paraId="70A544EB" w14:textId="19B0DA83" w:rsidR="009D0657" w:rsidRDefault="009D0657" w:rsidP="009D0657">
      <w:pPr>
        <w:jc w:val="center"/>
        <w:rPr>
          <w:b/>
          <w:bCs/>
          <w:i/>
          <w:iCs/>
          <w:sz w:val="40"/>
          <w:szCs w:val="40"/>
        </w:rPr>
      </w:pPr>
      <w:r w:rsidRPr="009D0657">
        <w:rPr>
          <w:b/>
          <w:bCs/>
          <w:i/>
          <w:iCs/>
          <w:sz w:val="40"/>
          <w:szCs w:val="40"/>
        </w:rPr>
        <w:t>LECTURER</w:t>
      </w:r>
      <w:r>
        <w:rPr>
          <w:b/>
          <w:bCs/>
          <w:i/>
          <w:iCs/>
          <w:sz w:val="40"/>
          <w:szCs w:val="40"/>
        </w:rPr>
        <w:t>- Dr Widin Bongasu Sha’ven</w:t>
      </w:r>
    </w:p>
    <w:p w14:paraId="30BB8558" w14:textId="77777777" w:rsidR="006C77A5" w:rsidRDefault="006C77A5" w:rsidP="009D0657">
      <w:pPr>
        <w:jc w:val="center"/>
        <w:rPr>
          <w:b/>
          <w:bCs/>
          <w:i/>
          <w:iCs/>
          <w:sz w:val="40"/>
          <w:szCs w:val="40"/>
        </w:rPr>
      </w:pPr>
    </w:p>
    <w:p w14:paraId="3E977C84" w14:textId="2B4E13E1" w:rsidR="00444E7D" w:rsidRDefault="00444E7D" w:rsidP="009D0657">
      <w:pPr>
        <w:jc w:val="center"/>
        <w:rPr>
          <w:b/>
          <w:bCs/>
          <w:i/>
          <w:iCs/>
        </w:rPr>
      </w:pPr>
    </w:p>
    <w:p w14:paraId="6D5D6997" w14:textId="33A8B14E" w:rsidR="00444E7D" w:rsidRDefault="00444E7D" w:rsidP="009D0657">
      <w:pPr>
        <w:jc w:val="center"/>
        <w:rPr>
          <w:b/>
          <w:bCs/>
          <w:i/>
          <w:iCs/>
        </w:rPr>
      </w:pPr>
    </w:p>
    <w:p w14:paraId="69A6C318" w14:textId="24F74BD3" w:rsidR="00444E7D" w:rsidRDefault="00444E7D" w:rsidP="009D0657">
      <w:pPr>
        <w:jc w:val="center"/>
        <w:rPr>
          <w:b/>
          <w:bCs/>
          <w:i/>
          <w:iCs/>
          <w:color w:val="000000" w:themeColor="text1"/>
        </w:rPr>
      </w:pPr>
    </w:p>
    <w:p w14:paraId="3E24A2BD" w14:textId="1E83F245" w:rsidR="006C77A5" w:rsidRDefault="006C77A5" w:rsidP="009D0657">
      <w:pPr>
        <w:jc w:val="center"/>
        <w:rPr>
          <w:b/>
          <w:bCs/>
          <w:i/>
          <w:iCs/>
          <w:color w:val="000000" w:themeColor="text1"/>
        </w:rPr>
      </w:pPr>
    </w:p>
    <w:p w14:paraId="46F21117" w14:textId="4F8678E5" w:rsidR="006C77A5" w:rsidRDefault="006C77A5" w:rsidP="009D0657">
      <w:pPr>
        <w:jc w:val="center"/>
        <w:rPr>
          <w:b/>
          <w:bCs/>
          <w:i/>
          <w:iCs/>
          <w:color w:val="000000" w:themeColor="text1"/>
        </w:rPr>
      </w:pPr>
    </w:p>
    <w:p w14:paraId="74D8C55A" w14:textId="3B17F792" w:rsidR="006C77A5" w:rsidRDefault="006C77A5" w:rsidP="009D0657">
      <w:pPr>
        <w:jc w:val="center"/>
        <w:rPr>
          <w:b/>
          <w:bCs/>
          <w:i/>
          <w:iCs/>
          <w:color w:val="000000" w:themeColor="text1"/>
        </w:rPr>
      </w:pPr>
    </w:p>
    <w:p w14:paraId="218168D8" w14:textId="7C9FE0E9" w:rsidR="006C77A5" w:rsidRDefault="006C77A5" w:rsidP="009D0657">
      <w:pPr>
        <w:jc w:val="center"/>
        <w:rPr>
          <w:b/>
          <w:bCs/>
          <w:i/>
          <w:iCs/>
          <w:color w:val="000000" w:themeColor="text1"/>
        </w:rPr>
      </w:pPr>
    </w:p>
    <w:p w14:paraId="1C843E90" w14:textId="1860CDCA" w:rsidR="006C77A5" w:rsidRDefault="006C77A5" w:rsidP="009D0657">
      <w:pPr>
        <w:jc w:val="center"/>
        <w:rPr>
          <w:b/>
          <w:bCs/>
          <w:i/>
          <w:iCs/>
          <w:color w:val="000000" w:themeColor="text1"/>
        </w:rPr>
      </w:pPr>
    </w:p>
    <w:p w14:paraId="54C3900E" w14:textId="6D7A4279" w:rsidR="006C77A5" w:rsidRDefault="006C77A5" w:rsidP="009D0657">
      <w:pPr>
        <w:jc w:val="center"/>
        <w:rPr>
          <w:b/>
          <w:bCs/>
          <w:i/>
          <w:iCs/>
          <w:color w:val="000000" w:themeColor="text1"/>
        </w:rPr>
      </w:pPr>
    </w:p>
    <w:p w14:paraId="0655108D" w14:textId="0868969E" w:rsidR="006C77A5" w:rsidRDefault="006C77A5" w:rsidP="009D0657">
      <w:pPr>
        <w:jc w:val="center"/>
        <w:rPr>
          <w:b/>
          <w:bCs/>
          <w:i/>
          <w:iCs/>
          <w:color w:val="000000" w:themeColor="text1"/>
        </w:rPr>
      </w:pPr>
    </w:p>
    <w:p w14:paraId="2F66D104" w14:textId="166D40FA" w:rsidR="006C77A5" w:rsidRDefault="006C77A5" w:rsidP="009D0657">
      <w:pPr>
        <w:jc w:val="center"/>
        <w:rPr>
          <w:b/>
          <w:bCs/>
          <w:i/>
          <w:iCs/>
          <w:color w:val="000000" w:themeColor="text1"/>
        </w:rPr>
      </w:pPr>
    </w:p>
    <w:p w14:paraId="786264F9" w14:textId="71C8A076" w:rsidR="006C77A5" w:rsidRDefault="006C77A5" w:rsidP="009D0657">
      <w:pPr>
        <w:jc w:val="center"/>
        <w:rPr>
          <w:b/>
          <w:bCs/>
          <w:i/>
          <w:iCs/>
          <w:color w:val="000000" w:themeColor="text1"/>
        </w:rPr>
      </w:pPr>
    </w:p>
    <w:p w14:paraId="38C0C062" w14:textId="55A150A2" w:rsidR="006C77A5" w:rsidRDefault="006C77A5" w:rsidP="009D0657">
      <w:pPr>
        <w:jc w:val="center"/>
        <w:rPr>
          <w:b/>
          <w:bCs/>
          <w:i/>
          <w:iCs/>
          <w:color w:val="000000" w:themeColor="text1"/>
        </w:rPr>
      </w:pPr>
    </w:p>
    <w:p w14:paraId="289F394F" w14:textId="25C3C0DC" w:rsidR="006C77A5" w:rsidRDefault="00D92D4E" w:rsidP="00D92D4E">
      <w:pPr>
        <w:rPr>
          <w:i/>
          <w:iCs/>
          <w:color w:val="000000" w:themeColor="text1"/>
          <w:sz w:val="36"/>
          <w:szCs w:val="36"/>
          <w:u w:val="single"/>
        </w:rPr>
      </w:pPr>
      <w:r w:rsidRPr="00D92D4E">
        <w:rPr>
          <w:i/>
          <w:iCs/>
          <w:color w:val="000000" w:themeColor="text1"/>
          <w:sz w:val="36"/>
          <w:szCs w:val="36"/>
          <w:u w:val="single"/>
        </w:rPr>
        <w:lastRenderedPageBreak/>
        <w:t>Table of content</w:t>
      </w:r>
    </w:p>
    <w:p w14:paraId="61CA6F11" w14:textId="2E13D364" w:rsidR="00D92D4E" w:rsidRDefault="00D92D4E" w:rsidP="00D92D4E">
      <w:pPr>
        <w:rPr>
          <w:i/>
          <w:iCs/>
          <w:color w:val="000000" w:themeColor="text1"/>
          <w:sz w:val="36"/>
          <w:szCs w:val="36"/>
          <w:u w:val="single"/>
        </w:rPr>
      </w:pPr>
    </w:p>
    <w:p w14:paraId="1DC9BE1B"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57" w:history="1">
        <w:r w:rsidRPr="00D92D4E">
          <w:rPr>
            <w:rFonts w:ascii="Times New Roman" w:hAnsi="Times New Roman" w:cs="Times New Roman"/>
            <w:noProof/>
            <w:color w:val="000000" w:themeColor="text1"/>
            <w:sz w:val="24"/>
            <w:szCs w:val="24"/>
            <w:u w:val="single"/>
          </w:rPr>
          <w:t>Introduction</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_Toc56187457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3</w:t>
        </w:r>
        <w:r w:rsidRPr="00D92D4E">
          <w:rPr>
            <w:rFonts w:ascii="Times New Roman" w:hAnsi="Times New Roman" w:cs="Times New Roman"/>
            <w:noProof/>
            <w:webHidden/>
            <w:color w:val="000000" w:themeColor="text1"/>
            <w:sz w:val="24"/>
            <w:szCs w:val="24"/>
          </w:rPr>
          <w:fldChar w:fldCharType="end"/>
        </w:r>
      </w:hyperlink>
    </w:p>
    <w:p w14:paraId="5F8EE068"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58" w:history="1">
        <w:r w:rsidRPr="00D92D4E">
          <w:rPr>
            <w:rFonts w:ascii="Times New Roman" w:hAnsi="Times New Roman" w:cs="Times New Roman"/>
            <w:noProof/>
            <w:color w:val="000000" w:themeColor="text1"/>
            <w:sz w:val="24"/>
            <w:szCs w:val="24"/>
            <w:u w:val="single"/>
          </w:rPr>
          <w:t>Question: 01 (a)</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_Toc56187458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4</w:t>
        </w:r>
        <w:r w:rsidRPr="00D92D4E">
          <w:rPr>
            <w:rFonts w:ascii="Times New Roman" w:hAnsi="Times New Roman" w:cs="Times New Roman"/>
            <w:noProof/>
            <w:webHidden/>
            <w:color w:val="000000" w:themeColor="text1"/>
            <w:sz w:val="24"/>
            <w:szCs w:val="24"/>
          </w:rPr>
          <w:fldChar w:fldCharType="end"/>
        </w:r>
      </w:hyperlink>
    </w:p>
    <w:p w14:paraId="0743E461" w14:textId="1DD7BB56"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59" w:history="1">
        <w:r w:rsidRPr="00D92D4E">
          <w:rPr>
            <w:rFonts w:ascii="Times New Roman" w:hAnsi="Times New Roman" w:cs="Times New Roman"/>
            <w:noProof/>
            <w:color w:val="000000" w:themeColor="text1"/>
            <w:sz w:val="24"/>
            <w:szCs w:val="24"/>
            <w:u w:val="single"/>
          </w:rPr>
          <w:t>Question -01 (b) Explanation of the reasons why the statement of financial position balances</w:t>
        </w:r>
        <w:r w:rsidRPr="00D92D4E">
          <w:rPr>
            <w:rFonts w:ascii="Times New Roman" w:hAnsi="Times New Roman" w:cs="Times New Roman"/>
            <w:noProof/>
            <w:webHidden/>
            <w:color w:val="000000" w:themeColor="text1"/>
            <w:sz w:val="24"/>
            <w:szCs w:val="24"/>
          </w:rPr>
          <w:tab/>
        </w:r>
        <w:r w:rsidR="00CB05EF">
          <w:rPr>
            <w:rFonts w:ascii="Times New Roman" w:hAnsi="Times New Roman" w:cs="Times New Roman"/>
            <w:noProof/>
            <w:webHidden/>
            <w:color w:val="000000" w:themeColor="text1"/>
            <w:sz w:val="24"/>
            <w:szCs w:val="24"/>
          </w:rPr>
          <w:t>5</w:t>
        </w:r>
      </w:hyperlink>
    </w:p>
    <w:p w14:paraId="529D149C"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60" w:history="1">
        <w:r w:rsidRPr="00D92D4E">
          <w:rPr>
            <w:rFonts w:ascii="Times New Roman" w:hAnsi="Times New Roman" w:cs="Times New Roman"/>
            <w:noProof/>
            <w:color w:val="000000" w:themeColor="text1"/>
            <w:sz w:val="24"/>
            <w:szCs w:val="24"/>
            <w:u w:val="single"/>
          </w:rPr>
          <w:t>Question- 02 (a) Schedule of Ratios for Choco plc</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_Toc56187460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6</w:t>
        </w:r>
        <w:r w:rsidRPr="00D92D4E">
          <w:rPr>
            <w:rFonts w:ascii="Times New Roman" w:hAnsi="Times New Roman" w:cs="Times New Roman"/>
            <w:noProof/>
            <w:webHidden/>
            <w:color w:val="000000" w:themeColor="text1"/>
            <w:sz w:val="24"/>
            <w:szCs w:val="24"/>
          </w:rPr>
          <w:fldChar w:fldCharType="end"/>
        </w:r>
      </w:hyperlink>
    </w:p>
    <w:p w14:paraId="6F2C876D"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61" w:history="1">
        <w:r w:rsidRPr="00D92D4E">
          <w:rPr>
            <w:rFonts w:ascii="Times New Roman" w:hAnsi="Times New Roman" w:cs="Times New Roman"/>
            <w:noProof/>
            <w:color w:val="000000" w:themeColor="text1"/>
            <w:sz w:val="24"/>
            <w:szCs w:val="24"/>
            <w:u w:val="single"/>
          </w:rPr>
          <w:t>Question-02 (b): commenting on the financial performance and position of Choco plc</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_Toc56187461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10</w:t>
        </w:r>
        <w:r w:rsidRPr="00D92D4E">
          <w:rPr>
            <w:rFonts w:ascii="Times New Roman" w:hAnsi="Times New Roman" w:cs="Times New Roman"/>
            <w:noProof/>
            <w:webHidden/>
            <w:color w:val="000000" w:themeColor="text1"/>
            <w:sz w:val="24"/>
            <w:szCs w:val="24"/>
          </w:rPr>
          <w:fldChar w:fldCharType="end"/>
        </w:r>
      </w:hyperlink>
    </w:p>
    <w:p w14:paraId="1A5449E0"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62" w:history="1">
        <w:r w:rsidRPr="00D92D4E">
          <w:rPr>
            <w:rFonts w:ascii="Times New Roman" w:hAnsi="Times New Roman" w:cs="Times New Roman"/>
            <w:noProof/>
            <w:color w:val="000000" w:themeColor="text1"/>
            <w:sz w:val="24"/>
            <w:szCs w:val="24"/>
            <w:u w:val="single"/>
          </w:rPr>
          <w:t>Conclusion</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_Toc56187462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11</w:t>
        </w:r>
        <w:r w:rsidRPr="00D92D4E">
          <w:rPr>
            <w:rFonts w:ascii="Times New Roman" w:hAnsi="Times New Roman" w:cs="Times New Roman"/>
            <w:noProof/>
            <w:webHidden/>
            <w:color w:val="000000" w:themeColor="text1"/>
            <w:sz w:val="24"/>
            <w:szCs w:val="24"/>
          </w:rPr>
          <w:fldChar w:fldCharType="end"/>
        </w:r>
      </w:hyperlink>
    </w:p>
    <w:p w14:paraId="2EA2D1CB" w14:textId="77777777" w:rsidR="00D92D4E" w:rsidRPr="00D92D4E" w:rsidRDefault="00D92D4E" w:rsidP="00D92D4E">
      <w:pPr>
        <w:tabs>
          <w:tab w:val="right" w:leader="dot" w:pos="9350"/>
        </w:tabs>
        <w:spacing w:after="100" w:line="360" w:lineRule="auto"/>
        <w:jc w:val="both"/>
        <w:rPr>
          <w:rFonts w:eastAsiaTheme="minorEastAsia"/>
          <w:noProof/>
          <w:color w:val="000000" w:themeColor="text1"/>
          <w:lang w:eastAsia="en-GB"/>
        </w:rPr>
      </w:pPr>
      <w:hyperlink w:anchor="_Toc56187463" w:history="1">
        <w:r w:rsidRPr="00D92D4E">
          <w:rPr>
            <w:rFonts w:ascii="Times New Roman" w:hAnsi="Times New Roman" w:cs="Times New Roman"/>
            <w:noProof/>
            <w:color w:val="000000" w:themeColor="text1"/>
            <w:sz w:val="24"/>
            <w:szCs w:val="24"/>
            <w:u w:val="single"/>
          </w:rPr>
          <w:t>References</w:t>
        </w:r>
        <w:r w:rsidRPr="00D92D4E">
          <w:rPr>
            <w:rFonts w:ascii="Times New Roman" w:hAnsi="Times New Roman" w:cs="Times New Roman"/>
            <w:noProof/>
            <w:webHidden/>
            <w:color w:val="000000" w:themeColor="text1"/>
            <w:sz w:val="24"/>
            <w:szCs w:val="24"/>
          </w:rPr>
          <w:tab/>
        </w:r>
        <w:r w:rsidRPr="00D92D4E">
          <w:rPr>
            <w:rFonts w:ascii="Times New Roman" w:hAnsi="Times New Roman" w:cs="Times New Roman"/>
            <w:noProof/>
            <w:webHidden/>
            <w:color w:val="000000" w:themeColor="text1"/>
            <w:sz w:val="24"/>
            <w:szCs w:val="24"/>
          </w:rPr>
          <w:fldChar w:fldCharType="begin"/>
        </w:r>
        <w:r w:rsidRPr="00D92D4E">
          <w:rPr>
            <w:rFonts w:ascii="Times New Roman" w:hAnsi="Times New Roman" w:cs="Times New Roman"/>
            <w:noProof/>
            <w:webHidden/>
            <w:color w:val="000000" w:themeColor="text1"/>
            <w:sz w:val="24"/>
            <w:szCs w:val="24"/>
          </w:rPr>
          <w:instrText xml:space="preserve"> PAGEREF _Toc56187463 \h </w:instrText>
        </w:r>
        <w:r w:rsidRPr="00D92D4E">
          <w:rPr>
            <w:rFonts w:ascii="Times New Roman" w:hAnsi="Times New Roman" w:cs="Times New Roman"/>
            <w:noProof/>
            <w:webHidden/>
            <w:color w:val="000000" w:themeColor="text1"/>
            <w:sz w:val="24"/>
            <w:szCs w:val="24"/>
          </w:rPr>
        </w:r>
        <w:r w:rsidRPr="00D92D4E">
          <w:rPr>
            <w:rFonts w:ascii="Times New Roman" w:hAnsi="Times New Roman" w:cs="Times New Roman"/>
            <w:noProof/>
            <w:webHidden/>
            <w:color w:val="000000" w:themeColor="text1"/>
            <w:sz w:val="24"/>
            <w:szCs w:val="24"/>
          </w:rPr>
          <w:fldChar w:fldCharType="separate"/>
        </w:r>
        <w:r w:rsidRPr="00D92D4E">
          <w:rPr>
            <w:rFonts w:ascii="Times New Roman" w:hAnsi="Times New Roman" w:cs="Times New Roman"/>
            <w:noProof/>
            <w:webHidden/>
            <w:color w:val="000000" w:themeColor="text1"/>
            <w:sz w:val="24"/>
            <w:szCs w:val="24"/>
          </w:rPr>
          <w:t>11</w:t>
        </w:r>
        <w:r w:rsidRPr="00D92D4E">
          <w:rPr>
            <w:rFonts w:ascii="Times New Roman" w:hAnsi="Times New Roman" w:cs="Times New Roman"/>
            <w:noProof/>
            <w:webHidden/>
            <w:color w:val="000000" w:themeColor="text1"/>
            <w:sz w:val="24"/>
            <w:szCs w:val="24"/>
          </w:rPr>
          <w:fldChar w:fldCharType="end"/>
        </w:r>
      </w:hyperlink>
    </w:p>
    <w:p w14:paraId="49A1729A" w14:textId="42D6F5F7" w:rsidR="00D92D4E" w:rsidRDefault="00D92D4E" w:rsidP="00D92D4E">
      <w:pPr>
        <w:rPr>
          <w:rFonts w:ascii="Times New Roman" w:hAnsi="Times New Roman"/>
          <w:color w:val="000000" w:themeColor="text1"/>
          <w:sz w:val="24"/>
        </w:rPr>
      </w:pPr>
      <w:hyperlink w:anchor="_Toc56187464" w:history="1">
        <w:r w:rsidRPr="00D92D4E">
          <w:rPr>
            <w:rFonts w:ascii="Times New Roman" w:hAnsi="Times New Roman"/>
            <w:color w:val="000000" w:themeColor="text1"/>
            <w:sz w:val="24"/>
            <w:u w:val="single"/>
          </w:rPr>
          <w:t>References:</w:t>
        </w:r>
        <w:r w:rsidRPr="00D92D4E">
          <w:rPr>
            <w:rFonts w:ascii="Times New Roman" w:hAnsi="Times New Roman"/>
            <w:webHidden/>
            <w:color w:val="000000" w:themeColor="text1"/>
            <w:sz w:val="24"/>
          </w:rPr>
          <w:tab/>
        </w:r>
        <w:r w:rsidRPr="00D92D4E">
          <w:rPr>
            <w:rFonts w:ascii="Times New Roman" w:hAnsi="Times New Roman"/>
            <w:b/>
            <w:bCs/>
            <w:webHidden/>
            <w:color w:val="000000" w:themeColor="text1"/>
            <w:sz w:val="24"/>
          </w:rPr>
          <w:fldChar w:fldCharType="begin"/>
        </w:r>
        <w:r w:rsidRPr="00D92D4E">
          <w:rPr>
            <w:rFonts w:ascii="Times New Roman" w:hAnsi="Times New Roman"/>
            <w:webHidden/>
            <w:color w:val="000000" w:themeColor="text1"/>
            <w:sz w:val="24"/>
          </w:rPr>
          <w:instrText xml:space="preserve"> PAGEREF _Toc56187464 \h </w:instrText>
        </w:r>
        <w:r w:rsidRPr="00D92D4E">
          <w:rPr>
            <w:rFonts w:ascii="Times New Roman" w:hAnsi="Times New Roman"/>
            <w:b/>
            <w:bCs/>
            <w:webHidden/>
            <w:color w:val="000000" w:themeColor="text1"/>
            <w:sz w:val="24"/>
          </w:rPr>
        </w:r>
        <w:r w:rsidRPr="00D92D4E">
          <w:rPr>
            <w:rFonts w:ascii="Times New Roman" w:hAnsi="Times New Roman"/>
            <w:b/>
            <w:bCs/>
            <w:webHidden/>
            <w:color w:val="000000" w:themeColor="text1"/>
            <w:sz w:val="24"/>
          </w:rPr>
          <w:fldChar w:fldCharType="separate"/>
        </w:r>
        <w:r w:rsidRPr="00D92D4E">
          <w:rPr>
            <w:rFonts w:ascii="Times New Roman" w:hAnsi="Times New Roman"/>
            <w:webHidden/>
            <w:color w:val="000000" w:themeColor="text1"/>
            <w:sz w:val="24"/>
          </w:rPr>
          <w:t>12</w:t>
        </w:r>
        <w:r w:rsidRPr="00D92D4E">
          <w:rPr>
            <w:rFonts w:ascii="Times New Roman" w:hAnsi="Times New Roman"/>
            <w:b/>
            <w:bCs/>
            <w:webHidden/>
            <w:color w:val="000000" w:themeColor="text1"/>
            <w:sz w:val="24"/>
          </w:rPr>
          <w:fldChar w:fldCharType="end"/>
        </w:r>
      </w:hyperlink>
    </w:p>
    <w:p w14:paraId="4BA6D4C1" w14:textId="5A3CC9A7" w:rsidR="00852139" w:rsidRDefault="00852139" w:rsidP="00D92D4E">
      <w:pPr>
        <w:rPr>
          <w:rFonts w:ascii="Times New Roman" w:hAnsi="Times New Roman"/>
          <w:color w:val="000000" w:themeColor="text1"/>
          <w:sz w:val="24"/>
        </w:rPr>
      </w:pPr>
    </w:p>
    <w:p w14:paraId="6910E7D4" w14:textId="489A99E4" w:rsidR="00852139" w:rsidRDefault="00852139" w:rsidP="00D92D4E">
      <w:pPr>
        <w:rPr>
          <w:rFonts w:ascii="Times New Roman" w:hAnsi="Times New Roman"/>
          <w:color w:val="000000" w:themeColor="text1"/>
          <w:sz w:val="24"/>
        </w:rPr>
      </w:pPr>
    </w:p>
    <w:p w14:paraId="6E0E8C8D" w14:textId="3F32FD6D" w:rsidR="00852139" w:rsidRDefault="00852139" w:rsidP="00D92D4E">
      <w:pPr>
        <w:rPr>
          <w:rFonts w:ascii="Times New Roman" w:hAnsi="Times New Roman"/>
          <w:color w:val="000000" w:themeColor="text1"/>
          <w:sz w:val="24"/>
        </w:rPr>
      </w:pPr>
    </w:p>
    <w:p w14:paraId="22311059" w14:textId="4F4CE053" w:rsidR="00852139" w:rsidRDefault="00852139" w:rsidP="00D92D4E">
      <w:pPr>
        <w:rPr>
          <w:rFonts w:ascii="Times New Roman" w:hAnsi="Times New Roman"/>
          <w:color w:val="000000" w:themeColor="text1"/>
          <w:sz w:val="24"/>
        </w:rPr>
      </w:pPr>
    </w:p>
    <w:p w14:paraId="5346C09E" w14:textId="5C585FE3" w:rsidR="00852139" w:rsidRDefault="00852139" w:rsidP="00D92D4E">
      <w:pPr>
        <w:rPr>
          <w:rFonts w:ascii="Times New Roman" w:hAnsi="Times New Roman"/>
          <w:color w:val="000000" w:themeColor="text1"/>
          <w:sz w:val="24"/>
        </w:rPr>
      </w:pPr>
    </w:p>
    <w:p w14:paraId="45637649" w14:textId="13BD9ACD" w:rsidR="00852139" w:rsidRDefault="00852139" w:rsidP="00D92D4E">
      <w:pPr>
        <w:rPr>
          <w:rFonts w:ascii="Times New Roman" w:hAnsi="Times New Roman"/>
          <w:color w:val="000000" w:themeColor="text1"/>
          <w:sz w:val="24"/>
        </w:rPr>
      </w:pPr>
    </w:p>
    <w:p w14:paraId="6BE85A80" w14:textId="4BE4CAE6" w:rsidR="00852139" w:rsidRDefault="00852139" w:rsidP="00D92D4E">
      <w:pPr>
        <w:rPr>
          <w:rFonts w:ascii="Times New Roman" w:hAnsi="Times New Roman"/>
          <w:color w:val="000000" w:themeColor="text1"/>
          <w:sz w:val="24"/>
        </w:rPr>
      </w:pPr>
    </w:p>
    <w:p w14:paraId="2348B0B3" w14:textId="36AF8005" w:rsidR="00852139" w:rsidRDefault="00852139" w:rsidP="00D92D4E">
      <w:pPr>
        <w:rPr>
          <w:rFonts w:ascii="Times New Roman" w:hAnsi="Times New Roman"/>
          <w:color w:val="000000" w:themeColor="text1"/>
          <w:sz w:val="24"/>
        </w:rPr>
      </w:pPr>
    </w:p>
    <w:p w14:paraId="05CF141D" w14:textId="74435D45" w:rsidR="00852139" w:rsidRDefault="00852139" w:rsidP="00D92D4E">
      <w:pPr>
        <w:rPr>
          <w:rFonts w:ascii="Times New Roman" w:hAnsi="Times New Roman"/>
          <w:color w:val="000000" w:themeColor="text1"/>
          <w:sz w:val="24"/>
        </w:rPr>
      </w:pPr>
    </w:p>
    <w:p w14:paraId="575E1DDF" w14:textId="50ACCCF3" w:rsidR="00852139" w:rsidRDefault="00852139" w:rsidP="00D92D4E">
      <w:pPr>
        <w:rPr>
          <w:rFonts w:ascii="Times New Roman" w:hAnsi="Times New Roman"/>
          <w:color w:val="000000" w:themeColor="text1"/>
          <w:sz w:val="24"/>
        </w:rPr>
      </w:pPr>
    </w:p>
    <w:p w14:paraId="103F776C" w14:textId="6DD52859" w:rsidR="00852139" w:rsidRDefault="00852139" w:rsidP="00D92D4E">
      <w:pPr>
        <w:rPr>
          <w:rFonts w:ascii="Times New Roman" w:hAnsi="Times New Roman"/>
          <w:color w:val="000000" w:themeColor="text1"/>
          <w:sz w:val="24"/>
        </w:rPr>
      </w:pPr>
    </w:p>
    <w:p w14:paraId="2579CE6D" w14:textId="4CF0FB3F" w:rsidR="00852139" w:rsidRDefault="00852139" w:rsidP="00D92D4E">
      <w:pPr>
        <w:rPr>
          <w:rFonts w:ascii="Times New Roman" w:hAnsi="Times New Roman"/>
          <w:color w:val="000000" w:themeColor="text1"/>
          <w:sz w:val="24"/>
        </w:rPr>
      </w:pPr>
    </w:p>
    <w:p w14:paraId="53E37CF2" w14:textId="593D40AE" w:rsidR="00852139" w:rsidRDefault="00852139" w:rsidP="00D92D4E">
      <w:pPr>
        <w:rPr>
          <w:rFonts w:ascii="Times New Roman" w:hAnsi="Times New Roman"/>
          <w:color w:val="000000" w:themeColor="text1"/>
          <w:sz w:val="24"/>
        </w:rPr>
      </w:pPr>
    </w:p>
    <w:p w14:paraId="1DE73B37" w14:textId="4AD764F4" w:rsidR="00852139" w:rsidRDefault="00852139" w:rsidP="00D92D4E">
      <w:pPr>
        <w:rPr>
          <w:rFonts w:ascii="Times New Roman" w:hAnsi="Times New Roman"/>
          <w:color w:val="000000" w:themeColor="text1"/>
          <w:sz w:val="24"/>
        </w:rPr>
      </w:pPr>
    </w:p>
    <w:p w14:paraId="4448B26B" w14:textId="33F17B2E" w:rsidR="00852139" w:rsidRDefault="00852139" w:rsidP="00D92D4E">
      <w:pPr>
        <w:rPr>
          <w:rFonts w:ascii="Times New Roman" w:hAnsi="Times New Roman"/>
          <w:color w:val="000000" w:themeColor="text1"/>
          <w:sz w:val="24"/>
        </w:rPr>
      </w:pPr>
    </w:p>
    <w:p w14:paraId="520F520D" w14:textId="30CB9B5C" w:rsidR="00852139" w:rsidRDefault="00852139" w:rsidP="00D92D4E">
      <w:pPr>
        <w:rPr>
          <w:rFonts w:ascii="Times New Roman" w:hAnsi="Times New Roman"/>
          <w:color w:val="000000" w:themeColor="text1"/>
          <w:sz w:val="24"/>
        </w:rPr>
      </w:pPr>
    </w:p>
    <w:p w14:paraId="0E13DBB6" w14:textId="2AE08CF1" w:rsidR="00852139" w:rsidRDefault="00852139" w:rsidP="00D92D4E">
      <w:pPr>
        <w:rPr>
          <w:rFonts w:ascii="Times New Roman" w:hAnsi="Times New Roman"/>
          <w:color w:val="000000" w:themeColor="text1"/>
          <w:sz w:val="24"/>
        </w:rPr>
      </w:pPr>
    </w:p>
    <w:p w14:paraId="038BB965" w14:textId="225401E1" w:rsidR="00852139" w:rsidRDefault="00852139" w:rsidP="00D92D4E">
      <w:pPr>
        <w:rPr>
          <w:rFonts w:ascii="Times New Roman" w:hAnsi="Times New Roman"/>
          <w:color w:val="000000" w:themeColor="text1"/>
          <w:sz w:val="24"/>
        </w:rPr>
      </w:pPr>
    </w:p>
    <w:p w14:paraId="0BD8D255" w14:textId="1809C632" w:rsidR="00852139" w:rsidRDefault="00852139" w:rsidP="00D92D4E">
      <w:pPr>
        <w:rPr>
          <w:rFonts w:ascii="Times New Roman" w:hAnsi="Times New Roman"/>
          <w:color w:val="000000" w:themeColor="text1"/>
          <w:sz w:val="24"/>
        </w:rPr>
      </w:pPr>
    </w:p>
    <w:p w14:paraId="32E2BFC3" w14:textId="77747C03" w:rsidR="00852139" w:rsidRDefault="00852139" w:rsidP="00852139">
      <w:pPr>
        <w:keepNext/>
        <w:keepLines/>
        <w:spacing w:before="240" w:after="0" w:line="360" w:lineRule="auto"/>
        <w:jc w:val="both"/>
        <w:outlineLvl w:val="0"/>
        <w:rPr>
          <w:rFonts w:ascii="Times New Roman" w:eastAsiaTheme="majorEastAsia" w:hAnsi="Times New Roman" w:cs="Times New Roman"/>
          <w:b/>
          <w:i/>
          <w:iCs/>
          <w:color w:val="000000" w:themeColor="text1"/>
          <w:sz w:val="32"/>
          <w:szCs w:val="32"/>
        </w:rPr>
      </w:pPr>
      <w:bookmarkStart w:id="0" w:name="_Toc56187457"/>
      <w:r w:rsidRPr="00852139">
        <w:rPr>
          <w:rFonts w:ascii="Times New Roman" w:eastAsiaTheme="majorEastAsia" w:hAnsi="Times New Roman" w:cs="Times New Roman"/>
          <w:b/>
          <w:i/>
          <w:iCs/>
          <w:color w:val="000000" w:themeColor="text1"/>
          <w:sz w:val="32"/>
          <w:szCs w:val="32"/>
        </w:rPr>
        <w:lastRenderedPageBreak/>
        <w:t>Introduction</w:t>
      </w:r>
      <w:bookmarkEnd w:id="0"/>
    </w:p>
    <w:p w14:paraId="4AC66B83" w14:textId="77777777" w:rsidR="00852139" w:rsidRPr="00852139" w:rsidRDefault="00852139" w:rsidP="00852139">
      <w:pPr>
        <w:keepNext/>
        <w:keepLines/>
        <w:spacing w:before="240" w:after="0" w:line="360" w:lineRule="auto"/>
        <w:jc w:val="both"/>
        <w:outlineLvl w:val="0"/>
        <w:rPr>
          <w:rFonts w:ascii="Times New Roman" w:eastAsiaTheme="majorEastAsia" w:hAnsi="Times New Roman" w:cs="Times New Roman"/>
          <w:b/>
          <w:i/>
          <w:iCs/>
          <w:color w:val="000000" w:themeColor="text1"/>
          <w:sz w:val="32"/>
          <w:szCs w:val="32"/>
        </w:rPr>
      </w:pPr>
    </w:p>
    <w:p w14:paraId="3FE35F33" w14:textId="77777777" w:rsidR="00852139" w:rsidRPr="00852139" w:rsidRDefault="00852139" w:rsidP="00852139">
      <w:pPr>
        <w:spacing w:line="360" w:lineRule="auto"/>
        <w:jc w:val="both"/>
        <w:rPr>
          <w:rFonts w:ascii="Times New Roman" w:hAnsi="Times New Roman"/>
          <w:sz w:val="24"/>
        </w:rPr>
      </w:pPr>
      <w:r w:rsidRPr="00852139">
        <w:rPr>
          <w:rFonts w:ascii="Times New Roman" w:hAnsi="Times New Roman"/>
          <w:sz w:val="24"/>
        </w:rPr>
        <w:t xml:space="preserve">Accounting fundamentals are the necessary standards and principles of maintaining the accounting books which organisations need to follow as per the IFRS (International Financial Reporting Standards). It is necessary to comply a unified and systematic approach of accounting practices and using these accounting fundamentals this report has been prepared for measuring the financial performance and analysing those performance of Eccles plc and later Choco Plc. Financial performance analysis is a great way an organisation can understand its financial strengths and weaknesses.  </w:t>
      </w:r>
    </w:p>
    <w:p w14:paraId="447F7553" w14:textId="79B4031D" w:rsidR="00852139" w:rsidRDefault="00852139" w:rsidP="00D92D4E">
      <w:pPr>
        <w:rPr>
          <w:color w:val="000000" w:themeColor="text1"/>
          <w:sz w:val="24"/>
          <w:szCs w:val="24"/>
        </w:rPr>
      </w:pPr>
    </w:p>
    <w:p w14:paraId="09E872D0" w14:textId="35895208" w:rsidR="00234B96" w:rsidRDefault="00234B96" w:rsidP="00D92D4E">
      <w:pPr>
        <w:rPr>
          <w:color w:val="000000" w:themeColor="text1"/>
          <w:sz w:val="24"/>
          <w:szCs w:val="24"/>
        </w:rPr>
      </w:pPr>
    </w:p>
    <w:p w14:paraId="701CC6C8" w14:textId="1B02EA9C" w:rsidR="00234B96" w:rsidRDefault="00234B96" w:rsidP="00D92D4E">
      <w:pPr>
        <w:rPr>
          <w:color w:val="000000" w:themeColor="text1"/>
          <w:sz w:val="24"/>
          <w:szCs w:val="24"/>
        </w:rPr>
      </w:pPr>
    </w:p>
    <w:p w14:paraId="59EF1133" w14:textId="4373CA03" w:rsidR="00234B96" w:rsidRDefault="00234B96" w:rsidP="00D92D4E">
      <w:pPr>
        <w:rPr>
          <w:color w:val="000000" w:themeColor="text1"/>
          <w:sz w:val="24"/>
          <w:szCs w:val="24"/>
        </w:rPr>
      </w:pPr>
    </w:p>
    <w:p w14:paraId="4C19B1ED" w14:textId="10CBACF7" w:rsidR="00234B96" w:rsidRDefault="00234B96" w:rsidP="00D92D4E">
      <w:pPr>
        <w:rPr>
          <w:color w:val="000000" w:themeColor="text1"/>
          <w:sz w:val="24"/>
          <w:szCs w:val="24"/>
        </w:rPr>
      </w:pPr>
    </w:p>
    <w:p w14:paraId="70B7275D" w14:textId="3D6E1E5C" w:rsidR="00234B96" w:rsidRDefault="00234B96" w:rsidP="00D92D4E">
      <w:pPr>
        <w:rPr>
          <w:color w:val="000000" w:themeColor="text1"/>
          <w:sz w:val="24"/>
          <w:szCs w:val="24"/>
        </w:rPr>
      </w:pPr>
    </w:p>
    <w:p w14:paraId="448F87C3" w14:textId="51582399" w:rsidR="00234B96" w:rsidRDefault="00234B96" w:rsidP="00D92D4E">
      <w:pPr>
        <w:rPr>
          <w:color w:val="000000" w:themeColor="text1"/>
          <w:sz w:val="24"/>
          <w:szCs w:val="24"/>
        </w:rPr>
      </w:pPr>
    </w:p>
    <w:p w14:paraId="3D5A83AB" w14:textId="5479FDDA" w:rsidR="00234B96" w:rsidRDefault="00234B96" w:rsidP="00D92D4E">
      <w:pPr>
        <w:rPr>
          <w:color w:val="000000" w:themeColor="text1"/>
          <w:sz w:val="24"/>
          <w:szCs w:val="24"/>
        </w:rPr>
      </w:pPr>
    </w:p>
    <w:p w14:paraId="670C8004" w14:textId="659801E7" w:rsidR="00234B96" w:rsidRDefault="00234B96" w:rsidP="00D92D4E">
      <w:pPr>
        <w:rPr>
          <w:color w:val="000000" w:themeColor="text1"/>
          <w:sz w:val="24"/>
          <w:szCs w:val="24"/>
        </w:rPr>
      </w:pPr>
    </w:p>
    <w:p w14:paraId="138DDCB4" w14:textId="44589A71" w:rsidR="00234B96" w:rsidRDefault="00234B96" w:rsidP="00D92D4E">
      <w:pPr>
        <w:rPr>
          <w:color w:val="000000" w:themeColor="text1"/>
          <w:sz w:val="24"/>
          <w:szCs w:val="24"/>
        </w:rPr>
      </w:pPr>
    </w:p>
    <w:p w14:paraId="1629AB9B" w14:textId="57A928E2" w:rsidR="00234B96" w:rsidRDefault="00234B96" w:rsidP="00D92D4E">
      <w:pPr>
        <w:rPr>
          <w:color w:val="000000" w:themeColor="text1"/>
          <w:sz w:val="24"/>
          <w:szCs w:val="24"/>
        </w:rPr>
      </w:pPr>
    </w:p>
    <w:p w14:paraId="0F923C33" w14:textId="781C18B0" w:rsidR="00234B96" w:rsidRDefault="00234B96" w:rsidP="00D92D4E">
      <w:pPr>
        <w:rPr>
          <w:color w:val="000000" w:themeColor="text1"/>
          <w:sz w:val="24"/>
          <w:szCs w:val="24"/>
        </w:rPr>
      </w:pPr>
    </w:p>
    <w:p w14:paraId="68EBFF90" w14:textId="40B8193E" w:rsidR="00234B96" w:rsidRDefault="00234B96" w:rsidP="00D92D4E">
      <w:pPr>
        <w:rPr>
          <w:color w:val="000000" w:themeColor="text1"/>
          <w:sz w:val="24"/>
          <w:szCs w:val="24"/>
        </w:rPr>
      </w:pPr>
    </w:p>
    <w:p w14:paraId="71AD48DF" w14:textId="1FD17BB0" w:rsidR="00234B96" w:rsidRDefault="00234B96" w:rsidP="00D92D4E">
      <w:pPr>
        <w:rPr>
          <w:color w:val="000000" w:themeColor="text1"/>
          <w:sz w:val="24"/>
          <w:szCs w:val="24"/>
        </w:rPr>
      </w:pPr>
    </w:p>
    <w:p w14:paraId="4282DF56" w14:textId="31BEBC43" w:rsidR="00234B96" w:rsidRDefault="00234B96" w:rsidP="00D92D4E">
      <w:pPr>
        <w:rPr>
          <w:color w:val="000000" w:themeColor="text1"/>
          <w:sz w:val="24"/>
          <w:szCs w:val="24"/>
        </w:rPr>
      </w:pPr>
    </w:p>
    <w:p w14:paraId="7D491DE5" w14:textId="790CC5EF" w:rsidR="00234B96" w:rsidRDefault="00234B96" w:rsidP="00D92D4E">
      <w:pPr>
        <w:rPr>
          <w:color w:val="000000" w:themeColor="text1"/>
          <w:sz w:val="24"/>
          <w:szCs w:val="24"/>
        </w:rPr>
      </w:pPr>
    </w:p>
    <w:p w14:paraId="7A1269D1" w14:textId="2F726AD7" w:rsidR="00234B96" w:rsidRDefault="00234B96" w:rsidP="00D92D4E">
      <w:pPr>
        <w:rPr>
          <w:color w:val="000000" w:themeColor="text1"/>
          <w:sz w:val="24"/>
          <w:szCs w:val="24"/>
        </w:rPr>
      </w:pPr>
    </w:p>
    <w:p w14:paraId="537993F2" w14:textId="7A2D7C95" w:rsidR="00234B96" w:rsidRDefault="00234B96" w:rsidP="00D92D4E">
      <w:pPr>
        <w:rPr>
          <w:color w:val="000000" w:themeColor="text1"/>
          <w:sz w:val="24"/>
          <w:szCs w:val="24"/>
        </w:rPr>
      </w:pPr>
    </w:p>
    <w:p w14:paraId="3E115FE2" w14:textId="3B982F67" w:rsidR="00234B96" w:rsidRDefault="00234B96" w:rsidP="00D92D4E">
      <w:pPr>
        <w:rPr>
          <w:color w:val="000000" w:themeColor="text1"/>
          <w:sz w:val="24"/>
          <w:szCs w:val="24"/>
        </w:rPr>
      </w:pPr>
    </w:p>
    <w:p w14:paraId="585F5523" w14:textId="5C520DEF" w:rsidR="00234B96" w:rsidRDefault="00234B96" w:rsidP="00D92D4E">
      <w:pPr>
        <w:rPr>
          <w:color w:val="000000" w:themeColor="text1"/>
          <w:sz w:val="24"/>
          <w:szCs w:val="24"/>
        </w:rPr>
      </w:pPr>
    </w:p>
    <w:p w14:paraId="5920229A" w14:textId="3B02D554" w:rsidR="00234B96" w:rsidRPr="00234B96" w:rsidRDefault="00234B96" w:rsidP="00234B9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1" w:name="_Toc56187458"/>
      <w:r w:rsidRPr="00234B96">
        <w:rPr>
          <w:rFonts w:ascii="Times New Roman" w:eastAsiaTheme="majorEastAsia" w:hAnsi="Times New Roman" w:cstheme="majorBidi"/>
          <w:b/>
          <w:color w:val="000000" w:themeColor="text1"/>
          <w:sz w:val="28"/>
          <w:szCs w:val="32"/>
        </w:rPr>
        <w:lastRenderedPageBreak/>
        <w:t>Question: 01 (a)</w:t>
      </w:r>
      <w:bookmarkEnd w:id="1"/>
    </w:p>
    <w:p w14:paraId="76BED71F" w14:textId="77777777" w:rsidR="00234B96" w:rsidRPr="00234B96" w:rsidRDefault="00234B96" w:rsidP="00234B96">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p w14:paraId="40DC5BCA" w14:textId="77777777" w:rsidR="00234B96" w:rsidRPr="00234B96" w:rsidRDefault="00234B96" w:rsidP="00234B96">
      <w:pPr>
        <w:spacing w:line="240" w:lineRule="auto"/>
        <w:jc w:val="center"/>
        <w:rPr>
          <w:rFonts w:ascii="Times New Roman" w:hAnsi="Times New Roman" w:cs="Times New Roman"/>
          <w:b/>
          <w:bCs/>
          <w:sz w:val="24"/>
          <w:szCs w:val="24"/>
        </w:rPr>
      </w:pPr>
      <w:r w:rsidRPr="00234B96">
        <w:rPr>
          <w:rFonts w:ascii="Times New Roman" w:hAnsi="Times New Roman" w:cs="Times New Roman"/>
          <w:b/>
          <w:bCs/>
          <w:sz w:val="24"/>
          <w:szCs w:val="24"/>
        </w:rPr>
        <w:t>Eccles Plc</w:t>
      </w:r>
    </w:p>
    <w:p w14:paraId="60BA3929" w14:textId="77777777" w:rsidR="00234B96" w:rsidRPr="00234B96" w:rsidRDefault="00234B96" w:rsidP="00234B96">
      <w:pPr>
        <w:spacing w:line="240" w:lineRule="auto"/>
        <w:jc w:val="center"/>
        <w:rPr>
          <w:rFonts w:ascii="Times New Roman" w:hAnsi="Times New Roman" w:cs="Times New Roman"/>
          <w:b/>
          <w:bCs/>
          <w:sz w:val="24"/>
          <w:szCs w:val="24"/>
        </w:rPr>
      </w:pPr>
      <w:r w:rsidRPr="00234B96">
        <w:rPr>
          <w:rFonts w:ascii="Times New Roman" w:hAnsi="Times New Roman" w:cs="Times New Roman"/>
          <w:b/>
          <w:bCs/>
          <w:sz w:val="24"/>
          <w:szCs w:val="24"/>
        </w:rPr>
        <w:t>Income Statement</w:t>
      </w:r>
    </w:p>
    <w:p w14:paraId="632FBF7F" w14:textId="77777777" w:rsidR="00234B96" w:rsidRPr="00234B96" w:rsidRDefault="00234B96" w:rsidP="00234B96">
      <w:pPr>
        <w:spacing w:line="240" w:lineRule="auto"/>
        <w:jc w:val="center"/>
        <w:rPr>
          <w:rFonts w:ascii="Times New Roman" w:hAnsi="Times New Roman" w:cs="Times New Roman"/>
          <w:b/>
          <w:bCs/>
          <w:sz w:val="24"/>
          <w:szCs w:val="24"/>
        </w:rPr>
      </w:pPr>
      <w:r w:rsidRPr="00234B96">
        <w:rPr>
          <w:rFonts w:ascii="Times New Roman" w:hAnsi="Times New Roman" w:cs="Times New Roman"/>
          <w:b/>
          <w:bCs/>
          <w:sz w:val="24"/>
          <w:szCs w:val="24"/>
        </w:rPr>
        <w:t>For the Year ending 31</w:t>
      </w:r>
      <w:r w:rsidRPr="00234B96">
        <w:rPr>
          <w:rFonts w:ascii="Times New Roman" w:hAnsi="Times New Roman" w:cs="Times New Roman"/>
          <w:b/>
          <w:bCs/>
          <w:sz w:val="24"/>
          <w:szCs w:val="24"/>
          <w:vertAlign w:val="superscript"/>
        </w:rPr>
        <w:t>st</w:t>
      </w:r>
      <w:r w:rsidRPr="00234B96">
        <w:rPr>
          <w:rFonts w:ascii="Times New Roman" w:hAnsi="Times New Roman" w:cs="Times New Roman"/>
          <w:b/>
          <w:bCs/>
          <w:sz w:val="24"/>
          <w:szCs w:val="24"/>
        </w:rPr>
        <w:t xml:space="preserve"> December, 2019 </w:t>
      </w:r>
    </w:p>
    <w:p w14:paraId="39D250AA" w14:textId="77777777" w:rsidR="00234B96" w:rsidRPr="00234B96" w:rsidRDefault="00234B96" w:rsidP="00234B96">
      <w:pPr>
        <w:spacing w:line="240" w:lineRule="auto"/>
        <w:jc w:val="right"/>
        <w:rPr>
          <w:rFonts w:ascii="Times New Roman" w:hAnsi="Times New Roman" w:cs="Times New Roman"/>
          <w:sz w:val="24"/>
          <w:szCs w:val="24"/>
        </w:rPr>
      </w:pPr>
      <w:r w:rsidRPr="00234B96">
        <w:rPr>
          <w:rFonts w:ascii="Times New Roman" w:hAnsi="Times New Roman" w:cs="Times New Roman"/>
          <w:sz w:val="24"/>
          <w:szCs w:val="24"/>
        </w:rPr>
        <w:t>(Amount in £)</w:t>
      </w:r>
    </w:p>
    <w:tbl>
      <w:tblPr>
        <w:tblW w:w="9511" w:type="dxa"/>
        <w:tblLook w:val="04A0" w:firstRow="1" w:lastRow="0" w:firstColumn="1" w:lastColumn="0" w:noHBand="0" w:noVBand="1"/>
      </w:tblPr>
      <w:tblGrid>
        <w:gridCol w:w="5829"/>
        <w:gridCol w:w="1228"/>
        <w:gridCol w:w="1227"/>
        <w:gridCol w:w="1227"/>
      </w:tblGrid>
      <w:tr w:rsidR="00234B96" w:rsidRPr="00234B96" w14:paraId="49EA2DDB" w14:textId="77777777" w:rsidTr="0027548D">
        <w:trPr>
          <w:trHeight w:val="473"/>
        </w:trPr>
        <w:tc>
          <w:tcPr>
            <w:tcW w:w="5829" w:type="dxa"/>
            <w:tcBorders>
              <w:top w:val="nil"/>
              <w:left w:val="nil"/>
              <w:bottom w:val="nil"/>
              <w:right w:val="nil"/>
            </w:tcBorders>
            <w:shd w:val="clear" w:color="auto" w:fill="auto"/>
            <w:noWrap/>
            <w:vAlign w:val="bottom"/>
            <w:hideMark/>
          </w:tcPr>
          <w:p w14:paraId="546D6851" w14:textId="77777777" w:rsidR="00234B96" w:rsidRPr="00234B96" w:rsidRDefault="00234B96" w:rsidP="00234B96">
            <w:pPr>
              <w:spacing w:after="0" w:line="360"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Particulars</w:t>
            </w:r>
          </w:p>
        </w:tc>
        <w:tc>
          <w:tcPr>
            <w:tcW w:w="1228" w:type="dxa"/>
            <w:tcBorders>
              <w:top w:val="nil"/>
              <w:left w:val="nil"/>
              <w:bottom w:val="nil"/>
              <w:right w:val="nil"/>
            </w:tcBorders>
            <w:shd w:val="clear" w:color="auto" w:fill="auto"/>
            <w:noWrap/>
            <w:vAlign w:val="bottom"/>
            <w:hideMark/>
          </w:tcPr>
          <w:p w14:paraId="0447CE1C" w14:textId="77777777" w:rsidR="00234B96" w:rsidRPr="00234B96" w:rsidRDefault="00234B96" w:rsidP="00234B96">
            <w:pPr>
              <w:spacing w:after="0" w:line="360"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1</w:t>
            </w:r>
          </w:p>
        </w:tc>
        <w:tc>
          <w:tcPr>
            <w:tcW w:w="1227" w:type="dxa"/>
            <w:tcBorders>
              <w:top w:val="nil"/>
              <w:left w:val="nil"/>
              <w:bottom w:val="nil"/>
              <w:right w:val="nil"/>
            </w:tcBorders>
            <w:shd w:val="clear" w:color="auto" w:fill="auto"/>
            <w:noWrap/>
            <w:vAlign w:val="bottom"/>
            <w:hideMark/>
          </w:tcPr>
          <w:p w14:paraId="51BAC41D" w14:textId="77777777" w:rsidR="00234B96" w:rsidRPr="00234B96" w:rsidRDefault="00234B96" w:rsidP="00234B96">
            <w:pPr>
              <w:spacing w:after="0" w:line="360"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2</w:t>
            </w:r>
          </w:p>
        </w:tc>
        <w:tc>
          <w:tcPr>
            <w:tcW w:w="1227" w:type="dxa"/>
            <w:tcBorders>
              <w:top w:val="nil"/>
              <w:left w:val="nil"/>
              <w:bottom w:val="nil"/>
              <w:right w:val="nil"/>
            </w:tcBorders>
            <w:shd w:val="clear" w:color="auto" w:fill="auto"/>
            <w:noWrap/>
            <w:vAlign w:val="bottom"/>
            <w:hideMark/>
          </w:tcPr>
          <w:p w14:paraId="0502725E" w14:textId="77777777" w:rsidR="00234B96" w:rsidRPr="00234B96" w:rsidRDefault="00234B96" w:rsidP="00234B96">
            <w:pPr>
              <w:spacing w:after="0" w:line="360"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3</w:t>
            </w:r>
          </w:p>
        </w:tc>
      </w:tr>
      <w:tr w:rsidR="00234B96" w:rsidRPr="00234B96" w14:paraId="39152056" w14:textId="77777777" w:rsidTr="0027548D">
        <w:trPr>
          <w:trHeight w:val="473"/>
        </w:trPr>
        <w:tc>
          <w:tcPr>
            <w:tcW w:w="5829" w:type="dxa"/>
            <w:tcBorders>
              <w:top w:val="nil"/>
              <w:left w:val="nil"/>
              <w:bottom w:val="nil"/>
              <w:right w:val="nil"/>
            </w:tcBorders>
            <w:shd w:val="clear" w:color="auto" w:fill="auto"/>
            <w:noWrap/>
            <w:vAlign w:val="bottom"/>
            <w:hideMark/>
          </w:tcPr>
          <w:p w14:paraId="37EDFCC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Sales revenue</w:t>
            </w:r>
          </w:p>
        </w:tc>
        <w:tc>
          <w:tcPr>
            <w:tcW w:w="1228" w:type="dxa"/>
            <w:tcBorders>
              <w:top w:val="nil"/>
              <w:left w:val="nil"/>
              <w:bottom w:val="nil"/>
              <w:right w:val="nil"/>
            </w:tcBorders>
            <w:shd w:val="clear" w:color="auto" w:fill="auto"/>
            <w:noWrap/>
            <w:vAlign w:val="bottom"/>
            <w:hideMark/>
          </w:tcPr>
          <w:p w14:paraId="40065BEB"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826650</w:t>
            </w:r>
          </w:p>
        </w:tc>
        <w:tc>
          <w:tcPr>
            <w:tcW w:w="1227" w:type="dxa"/>
            <w:tcBorders>
              <w:top w:val="nil"/>
              <w:left w:val="nil"/>
              <w:bottom w:val="nil"/>
              <w:right w:val="nil"/>
            </w:tcBorders>
            <w:shd w:val="clear" w:color="auto" w:fill="auto"/>
            <w:noWrap/>
            <w:vAlign w:val="bottom"/>
            <w:hideMark/>
          </w:tcPr>
          <w:p w14:paraId="4F011E1D"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78ED0CE8"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r>
      <w:tr w:rsidR="00234B96" w:rsidRPr="00234B96" w14:paraId="3FE26982" w14:textId="77777777" w:rsidTr="0027548D">
        <w:trPr>
          <w:trHeight w:val="473"/>
        </w:trPr>
        <w:tc>
          <w:tcPr>
            <w:tcW w:w="5829" w:type="dxa"/>
            <w:tcBorders>
              <w:top w:val="nil"/>
              <w:left w:val="nil"/>
              <w:bottom w:val="nil"/>
              <w:right w:val="nil"/>
            </w:tcBorders>
            <w:shd w:val="clear" w:color="auto" w:fill="auto"/>
            <w:noWrap/>
            <w:vAlign w:val="bottom"/>
            <w:hideMark/>
          </w:tcPr>
          <w:p w14:paraId="7A86470D"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Add: Unrecorded credit sales</w:t>
            </w:r>
          </w:p>
        </w:tc>
        <w:tc>
          <w:tcPr>
            <w:tcW w:w="1228" w:type="dxa"/>
            <w:tcBorders>
              <w:top w:val="nil"/>
              <w:left w:val="nil"/>
              <w:bottom w:val="nil"/>
              <w:right w:val="nil"/>
            </w:tcBorders>
            <w:shd w:val="clear" w:color="auto" w:fill="auto"/>
            <w:noWrap/>
            <w:vAlign w:val="bottom"/>
            <w:hideMark/>
          </w:tcPr>
          <w:p w14:paraId="0C60A653"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980</w:t>
            </w:r>
          </w:p>
        </w:tc>
        <w:tc>
          <w:tcPr>
            <w:tcW w:w="1227" w:type="dxa"/>
            <w:tcBorders>
              <w:top w:val="nil"/>
              <w:left w:val="nil"/>
              <w:bottom w:val="nil"/>
              <w:right w:val="nil"/>
            </w:tcBorders>
            <w:shd w:val="clear" w:color="auto" w:fill="auto"/>
            <w:noWrap/>
            <w:vAlign w:val="bottom"/>
            <w:hideMark/>
          </w:tcPr>
          <w:p w14:paraId="72D98781"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827630</w:t>
            </w:r>
          </w:p>
        </w:tc>
        <w:tc>
          <w:tcPr>
            <w:tcW w:w="1227" w:type="dxa"/>
            <w:tcBorders>
              <w:top w:val="nil"/>
              <w:left w:val="nil"/>
              <w:bottom w:val="nil"/>
              <w:right w:val="nil"/>
            </w:tcBorders>
            <w:shd w:val="clear" w:color="auto" w:fill="auto"/>
            <w:noWrap/>
            <w:vAlign w:val="bottom"/>
            <w:hideMark/>
          </w:tcPr>
          <w:p w14:paraId="1E305966"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r>
      <w:tr w:rsidR="00234B96" w:rsidRPr="00234B96" w14:paraId="164B5BDE" w14:textId="77777777" w:rsidTr="0027548D">
        <w:trPr>
          <w:trHeight w:val="473"/>
        </w:trPr>
        <w:tc>
          <w:tcPr>
            <w:tcW w:w="5829" w:type="dxa"/>
            <w:tcBorders>
              <w:top w:val="nil"/>
              <w:left w:val="nil"/>
              <w:bottom w:val="nil"/>
              <w:right w:val="nil"/>
            </w:tcBorders>
            <w:shd w:val="clear" w:color="auto" w:fill="auto"/>
            <w:noWrap/>
            <w:vAlign w:val="bottom"/>
            <w:hideMark/>
          </w:tcPr>
          <w:p w14:paraId="6BF676B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Less: Cost of sales</w:t>
            </w:r>
          </w:p>
        </w:tc>
        <w:tc>
          <w:tcPr>
            <w:tcW w:w="1228" w:type="dxa"/>
            <w:tcBorders>
              <w:top w:val="nil"/>
              <w:left w:val="nil"/>
              <w:bottom w:val="nil"/>
              <w:right w:val="nil"/>
            </w:tcBorders>
            <w:shd w:val="clear" w:color="auto" w:fill="auto"/>
            <w:noWrap/>
            <w:vAlign w:val="bottom"/>
            <w:hideMark/>
          </w:tcPr>
          <w:p w14:paraId="693455AA"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17C75438"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578650</w:t>
            </w:r>
          </w:p>
        </w:tc>
        <w:tc>
          <w:tcPr>
            <w:tcW w:w="1227" w:type="dxa"/>
            <w:tcBorders>
              <w:top w:val="nil"/>
              <w:left w:val="nil"/>
              <w:bottom w:val="nil"/>
              <w:right w:val="nil"/>
            </w:tcBorders>
            <w:shd w:val="clear" w:color="auto" w:fill="auto"/>
            <w:noWrap/>
            <w:vAlign w:val="bottom"/>
            <w:hideMark/>
          </w:tcPr>
          <w:p w14:paraId="54F6ACAD"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r>
      <w:tr w:rsidR="00234B96" w:rsidRPr="00234B96" w14:paraId="4FD9C281" w14:textId="77777777" w:rsidTr="0027548D">
        <w:trPr>
          <w:trHeight w:val="473"/>
        </w:trPr>
        <w:tc>
          <w:tcPr>
            <w:tcW w:w="5829" w:type="dxa"/>
            <w:tcBorders>
              <w:top w:val="nil"/>
              <w:left w:val="nil"/>
              <w:bottom w:val="nil"/>
              <w:right w:val="nil"/>
            </w:tcBorders>
            <w:shd w:val="clear" w:color="auto" w:fill="auto"/>
            <w:noWrap/>
            <w:vAlign w:val="bottom"/>
            <w:hideMark/>
          </w:tcPr>
          <w:p w14:paraId="64100027"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Gross Profit</w:t>
            </w:r>
          </w:p>
        </w:tc>
        <w:tc>
          <w:tcPr>
            <w:tcW w:w="1228" w:type="dxa"/>
            <w:tcBorders>
              <w:top w:val="nil"/>
              <w:left w:val="nil"/>
              <w:bottom w:val="nil"/>
              <w:right w:val="nil"/>
            </w:tcBorders>
            <w:shd w:val="clear" w:color="auto" w:fill="auto"/>
            <w:noWrap/>
            <w:vAlign w:val="bottom"/>
            <w:hideMark/>
          </w:tcPr>
          <w:p w14:paraId="54E2D453"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1CF84D2B"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7CB53C5D"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248980</w:t>
            </w:r>
          </w:p>
        </w:tc>
      </w:tr>
      <w:tr w:rsidR="00234B96" w:rsidRPr="00234B96" w14:paraId="3784E97A" w14:textId="77777777" w:rsidTr="0027548D">
        <w:trPr>
          <w:trHeight w:val="473"/>
        </w:trPr>
        <w:tc>
          <w:tcPr>
            <w:tcW w:w="5829" w:type="dxa"/>
            <w:tcBorders>
              <w:top w:val="nil"/>
              <w:left w:val="nil"/>
              <w:bottom w:val="nil"/>
              <w:right w:val="nil"/>
            </w:tcBorders>
            <w:shd w:val="clear" w:color="auto" w:fill="auto"/>
            <w:noWrap/>
            <w:vAlign w:val="bottom"/>
            <w:hideMark/>
          </w:tcPr>
          <w:p w14:paraId="7007BF7A"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Less: Selling &amp; Administrative Expenses</w:t>
            </w:r>
          </w:p>
        </w:tc>
        <w:tc>
          <w:tcPr>
            <w:tcW w:w="1228" w:type="dxa"/>
            <w:tcBorders>
              <w:top w:val="nil"/>
              <w:left w:val="nil"/>
              <w:bottom w:val="nil"/>
              <w:right w:val="nil"/>
            </w:tcBorders>
            <w:shd w:val="clear" w:color="auto" w:fill="auto"/>
            <w:noWrap/>
            <w:vAlign w:val="bottom"/>
            <w:hideMark/>
          </w:tcPr>
          <w:p w14:paraId="7449ABBF"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494EA51D"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69212492"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r>
      <w:tr w:rsidR="00234B96" w:rsidRPr="00234B96" w14:paraId="70B2BB33" w14:textId="77777777" w:rsidTr="0027548D">
        <w:trPr>
          <w:trHeight w:val="473"/>
        </w:trPr>
        <w:tc>
          <w:tcPr>
            <w:tcW w:w="5829" w:type="dxa"/>
            <w:tcBorders>
              <w:top w:val="nil"/>
              <w:left w:val="nil"/>
              <w:bottom w:val="nil"/>
              <w:right w:val="nil"/>
            </w:tcBorders>
            <w:shd w:val="clear" w:color="auto" w:fill="auto"/>
            <w:noWrap/>
            <w:vAlign w:val="bottom"/>
            <w:hideMark/>
          </w:tcPr>
          <w:p w14:paraId="00FDD18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Distribution Cost</w:t>
            </w:r>
          </w:p>
        </w:tc>
        <w:tc>
          <w:tcPr>
            <w:tcW w:w="1228" w:type="dxa"/>
            <w:tcBorders>
              <w:top w:val="nil"/>
              <w:left w:val="nil"/>
              <w:bottom w:val="nil"/>
              <w:right w:val="nil"/>
            </w:tcBorders>
            <w:shd w:val="clear" w:color="auto" w:fill="auto"/>
            <w:noWrap/>
            <w:vAlign w:val="bottom"/>
            <w:hideMark/>
          </w:tcPr>
          <w:p w14:paraId="245AEFB9"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28000</w:t>
            </w:r>
          </w:p>
        </w:tc>
        <w:tc>
          <w:tcPr>
            <w:tcW w:w="1227" w:type="dxa"/>
            <w:tcBorders>
              <w:top w:val="nil"/>
              <w:left w:val="nil"/>
              <w:bottom w:val="nil"/>
              <w:right w:val="nil"/>
            </w:tcBorders>
            <w:shd w:val="clear" w:color="auto" w:fill="auto"/>
            <w:noWrap/>
            <w:vAlign w:val="bottom"/>
            <w:hideMark/>
          </w:tcPr>
          <w:p w14:paraId="4FAB45FA"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78A86EE2"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r>
      <w:tr w:rsidR="00234B96" w:rsidRPr="00234B96" w14:paraId="67584B80" w14:textId="77777777" w:rsidTr="0027548D">
        <w:trPr>
          <w:trHeight w:val="473"/>
        </w:trPr>
        <w:tc>
          <w:tcPr>
            <w:tcW w:w="5829" w:type="dxa"/>
            <w:tcBorders>
              <w:top w:val="nil"/>
              <w:left w:val="nil"/>
              <w:bottom w:val="nil"/>
              <w:right w:val="nil"/>
            </w:tcBorders>
            <w:shd w:val="clear" w:color="auto" w:fill="auto"/>
            <w:noWrap/>
            <w:vAlign w:val="bottom"/>
            <w:hideMark/>
          </w:tcPr>
          <w:p w14:paraId="13C49156"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Add: Sales commission</w:t>
            </w:r>
          </w:p>
        </w:tc>
        <w:tc>
          <w:tcPr>
            <w:tcW w:w="1228" w:type="dxa"/>
            <w:tcBorders>
              <w:top w:val="nil"/>
              <w:left w:val="nil"/>
              <w:bottom w:val="nil"/>
              <w:right w:val="nil"/>
            </w:tcBorders>
            <w:shd w:val="clear" w:color="auto" w:fill="auto"/>
            <w:noWrap/>
            <w:vAlign w:val="bottom"/>
            <w:hideMark/>
          </w:tcPr>
          <w:p w14:paraId="770842D1"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3000</w:t>
            </w:r>
          </w:p>
        </w:tc>
        <w:tc>
          <w:tcPr>
            <w:tcW w:w="1227" w:type="dxa"/>
            <w:tcBorders>
              <w:top w:val="nil"/>
              <w:left w:val="nil"/>
              <w:bottom w:val="nil"/>
              <w:right w:val="nil"/>
            </w:tcBorders>
            <w:shd w:val="clear" w:color="auto" w:fill="auto"/>
            <w:noWrap/>
            <w:vAlign w:val="bottom"/>
            <w:hideMark/>
          </w:tcPr>
          <w:p w14:paraId="12F83D12"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31000</w:t>
            </w:r>
          </w:p>
        </w:tc>
        <w:tc>
          <w:tcPr>
            <w:tcW w:w="1227" w:type="dxa"/>
            <w:tcBorders>
              <w:top w:val="nil"/>
              <w:left w:val="nil"/>
              <w:bottom w:val="nil"/>
              <w:right w:val="nil"/>
            </w:tcBorders>
            <w:shd w:val="clear" w:color="auto" w:fill="auto"/>
            <w:noWrap/>
            <w:vAlign w:val="bottom"/>
            <w:hideMark/>
          </w:tcPr>
          <w:p w14:paraId="584B99CE"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r>
      <w:tr w:rsidR="00234B96" w:rsidRPr="00234B96" w14:paraId="68276CE1" w14:textId="77777777" w:rsidTr="0027548D">
        <w:trPr>
          <w:trHeight w:val="473"/>
        </w:trPr>
        <w:tc>
          <w:tcPr>
            <w:tcW w:w="5829" w:type="dxa"/>
            <w:tcBorders>
              <w:top w:val="nil"/>
              <w:left w:val="nil"/>
              <w:bottom w:val="nil"/>
              <w:right w:val="nil"/>
            </w:tcBorders>
            <w:shd w:val="clear" w:color="auto" w:fill="auto"/>
            <w:noWrap/>
            <w:vAlign w:val="bottom"/>
            <w:hideMark/>
          </w:tcPr>
          <w:p w14:paraId="41555B45"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Administrative Expenses</w:t>
            </w:r>
          </w:p>
        </w:tc>
        <w:tc>
          <w:tcPr>
            <w:tcW w:w="1228" w:type="dxa"/>
            <w:tcBorders>
              <w:top w:val="nil"/>
              <w:left w:val="nil"/>
              <w:bottom w:val="nil"/>
              <w:right w:val="nil"/>
            </w:tcBorders>
            <w:shd w:val="clear" w:color="auto" w:fill="auto"/>
            <w:noWrap/>
            <w:vAlign w:val="bottom"/>
            <w:hideMark/>
          </w:tcPr>
          <w:p w14:paraId="029B43E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1987D21A"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30000</w:t>
            </w:r>
          </w:p>
        </w:tc>
        <w:tc>
          <w:tcPr>
            <w:tcW w:w="1227" w:type="dxa"/>
            <w:tcBorders>
              <w:top w:val="nil"/>
              <w:left w:val="nil"/>
              <w:bottom w:val="nil"/>
              <w:right w:val="nil"/>
            </w:tcBorders>
            <w:shd w:val="clear" w:color="auto" w:fill="auto"/>
            <w:noWrap/>
            <w:vAlign w:val="bottom"/>
            <w:hideMark/>
          </w:tcPr>
          <w:p w14:paraId="0A93EE3E"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r>
      <w:tr w:rsidR="00234B96" w:rsidRPr="00234B96" w14:paraId="3D1F84E5" w14:textId="77777777" w:rsidTr="0027548D">
        <w:trPr>
          <w:trHeight w:val="473"/>
        </w:trPr>
        <w:tc>
          <w:tcPr>
            <w:tcW w:w="5829" w:type="dxa"/>
            <w:tcBorders>
              <w:top w:val="nil"/>
              <w:left w:val="nil"/>
              <w:bottom w:val="nil"/>
              <w:right w:val="nil"/>
            </w:tcBorders>
            <w:shd w:val="clear" w:color="auto" w:fill="auto"/>
            <w:noWrap/>
            <w:vAlign w:val="bottom"/>
            <w:hideMark/>
          </w:tcPr>
          <w:p w14:paraId="4B88E1F5"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Directors remuneration</w:t>
            </w:r>
          </w:p>
        </w:tc>
        <w:tc>
          <w:tcPr>
            <w:tcW w:w="1228" w:type="dxa"/>
            <w:tcBorders>
              <w:top w:val="nil"/>
              <w:left w:val="nil"/>
              <w:bottom w:val="nil"/>
              <w:right w:val="nil"/>
            </w:tcBorders>
            <w:shd w:val="clear" w:color="auto" w:fill="auto"/>
            <w:noWrap/>
            <w:vAlign w:val="bottom"/>
            <w:hideMark/>
          </w:tcPr>
          <w:p w14:paraId="5D515542"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1440BC57"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5000</w:t>
            </w:r>
          </w:p>
        </w:tc>
        <w:tc>
          <w:tcPr>
            <w:tcW w:w="1227" w:type="dxa"/>
            <w:tcBorders>
              <w:top w:val="nil"/>
              <w:left w:val="nil"/>
              <w:bottom w:val="nil"/>
              <w:right w:val="nil"/>
            </w:tcBorders>
            <w:shd w:val="clear" w:color="auto" w:fill="auto"/>
            <w:noWrap/>
            <w:vAlign w:val="bottom"/>
            <w:hideMark/>
          </w:tcPr>
          <w:p w14:paraId="128616A5"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r>
      <w:tr w:rsidR="00234B96" w:rsidRPr="00234B96" w14:paraId="4A264125" w14:textId="77777777" w:rsidTr="0027548D">
        <w:trPr>
          <w:trHeight w:val="473"/>
        </w:trPr>
        <w:tc>
          <w:tcPr>
            <w:tcW w:w="5829" w:type="dxa"/>
            <w:tcBorders>
              <w:top w:val="nil"/>
              <w:left w:val="nil"/>
              <w:bottom w:val="nil"/>
              <w:right w:val="nil"/>
            </w:tcBorders>
            <w:shd w:val="clear" w:color="auto" w:fill="auto"/>
            <w:noWrap/>
            <w:vAlign w:val="bottom"/>
            <w:hideMark/>
          </w:tcPr>
          <w:p w14:paraId="7D3A0D92"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Total Selling &amp; Administrative Expenses</w:t>
            </w:r>
          </w:p>
        </w:tc>
        <w:tc>
          <w:tcPr>
            <w:tcW w:w="1228" w:type="dxa"/>
            <w:tcBorders>
              <w:top w:val="nil"/>
              <w:left w:val="nil"/>
              <w:bottom w:val="nil"/>
              <w:right w:val="nil"/>
            </w:tcBorders>
            <w:shd w:val="clear" w:color="auto" w:fill="auto"/>
            <w:noWrap/>
            <w:vAlign w:val="bottom"/>
            <w:hideMark/>
          </w:tcPr>
          <w:p w14:paraId="372785B6"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024171B6"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23B3F762"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66000</w:t>
            </w:r>
          </w:p>
        </w:tc>
      </w:tr>
      <w:tr w:rsidR="00234B96" w:rsidRPr="00234B96" w14:paraId="54291404" w14:textId="77777777" w:rsidTr="0027548D">
        <w:trPr>
          <w:trHeight w:val="473"/>
        </w:trPr>
        <w:tc>
          <w:tcPr>
            <w:tcW w:w="5829" w:type="dxa"/>
            <w:tcBorders>
              <w:top w:val="nil"/>
              <w:left w:val="nil"/>
              <w:bottom w:val="nil"/>
              <w:right w:val="nil"/>
            </w:tcBorders>
            <w:shd w:val="clear" w:color="auto" w:fill="auto"/>
            <w:noWrap/>
            <w:vAlign w:val="bottom"/>
            <w:hideMark/>
          </w:tcPr>
          <w:p w14:paraId="389E116B"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Operating Profit/ Earnings Before Interest &amp; Tax</w:t>
            </w:r>
          </w:p>
        </w:tc>
        <w:tc>
          <w:tcPr>
            <w:tcW w:w="1228" w:type="dxa"/>
            <w:tcBorders>
              <w:top w:val="nil"/>
              <w:left w:val="nil"/>
              <w:bottom w:val="nil"/>
              <w:right w:val="nil"/>
            </w:tcBorders>
            <w:shd w:val="clear" w:color="auto" w:fill="auto"/>
            <w:noWrap/>
            <w:vAlign w:val="bottom"/>
            <w:hideMark/>
          </w:tcPr>
          <w:p w14:paraId="230EFBB5"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10DB0D52"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3E9ACFF7"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182980</w:t>
            </w:r>
          </w:p>
        </w:tc>
      </w:tr>
      <w:tr w:rsidR="00234B96" w:rsidRPr="00234B96" w14:paraId="472789DD" w14:textId="77777777" w:rsidTr="0027548D">
        <w:trPr>
          <w:trHeight w:val="473"/>
        </w:trPr>
        <w:tc>
          <w:tcPr>
            <w:tcW w:w="5829" w:type="dxa"/>
            <w:tcBorders>
              <w:top w:val="nil"/>
              <w:left w:val="nil"/>
              <w:bottom w:val="nil"/>
              <w:right w:val="nil"/>
            </w:tcBorders>
            <w:shd w:val="clear" w:color="auto" w:fill="auto"/>
            <w:noWrap/>
            <w:vAlign w:val="bottom"/>
            <w:hideMark/>
          </w:tcPr>
          <w:p w14:paraId="46F1BCC3"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Less: Non-operating expenses</w:t>
            </w:r>
          </w:p>
        </w:tc>
        <w:tc>
          <w:tcPr>
            <w:tcW w:w="1228" w:type="dxa"/>
            <w:tcBorders>
              <w:top w:val="nil"/>
              <w:left w:val="nil"/>
              <w:bottom w:val="nil"/>
              <w:right w:val="nil"/>
            </w:tcBorders>
            <w:shd w:val="clear" w:color="auto" w:fill="auto"/>
            <w:noWrap/>
            <w:vAlign w:val="bottom"/>
            <w:hideMark/>
          </w:tcPr>
          <w:p w14:paraId="42E3607A"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27F907C8"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17AC46DF"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r>
      <w:tr w:rsidR="00234B96" w:rsidRPr="00234B96" w14:paraId="1C1FAB01" w14:textId="77777777" w:rsidTr="0027548D">
        <w:trPr>
          <w:trHeight w:val="473"/>
        </w:trPr>
        <w:tc>
          <w:tcPr>
            <w:tcW w:w="5829" w:type="dxa"/>
            <w:tcBorders>
              <w:top w:val="nil"/>
              <w:left w:val="nil"/>
              <w:bottom w:val="nil"/>
              <w:right w:val="nil"/>
            </w:tcBorders>
            <w:shd w:val="clear" w:color="auto" w:fill="auto"/>
            <w:noWrap/>
            <w:vAlign w:val="bottom"/>
            <w:hideMark/>
          </w:tcPr>
          <w:p w14:paraId="52E0CD9C"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Interest Expense</w:t>
            </w:r>
          </w:p>
        </w:tc>
        <w:tc>
          <w:tcPr>
            <w:tcW w:w="1228" w:type="dxa"/>
            <w:tcBorders>
              <w:top w:val="nil"/>
              <w:left w:val="nil"/>
              <w:bottom w:val="nil"/>
              <w:right w:val="nil"/>
            </w:tcBorders>
            <w:shd w:val="clear" w:color="auto" w:fill="auto"/>
            <w:noWrap/>
            <w:vAlign w:val="bottom"/>
            <w:hideMark/>
          </w:tcPr>
          <w:p w14:paraId="153CA9D9"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2000</w:t>
            </w:r>
          </w:p>
        </w:tc>
        <w:tc>
          <w:tcPr>
            <w:tcW w:w="1227" w:type="dxa"/>
            <w:tcBorders>
              <w:top w:val="nil"/>
              <w:left w:val="nil"/>
              <w:bottom w:val="nil"/>
              <w:right w:val="nil"/>
            </w:tcBorders>
            <w:shd w:val="clear" w:color="auto" w:fill="auto"/>
            <w:noWrap/>
            <w:vAlign w:val="bottom"/>
            <w:hideMark/>
          </w:tcPr>
          <w:p w14:paraId="534CAAF2"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3F46D9D6"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r>
      <w:tr w:rsidR="00234B96" w:rsidRPr="00234B96" w14:paraId="7F6965E3" w14:textId="77777777" w:rsidTr="0027548D">
        <w:trPr>
          <w:trHeight w:val="473"/>
        </w:trPr>
        <w:tc>
          <w:tcPr>
            <w:tcW w:w="5829" w:type="dxa"/>
            <w:tcBorders>
              <w:top w:val="nil"/>
              <w:left w:val="nil"/>
              <w:bottom w:val="nil"/>
              <w:right w:val="nil"/>
            </w:tcBorders>
            <w:shd w:val="clear" w:color="auto" w:fill="auto"/>
            <w:noWrap/>
            <w:vAlign w:val="bottom"/>
            <w:hideMark/>
          </w:tcPr>
          <w:p w14:paraId="05F00B0D"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Add: Accrued interest expense</w:t>
            </w:r>
          </w:p>
        </w:tc>
        <w:tc>
          <w:tcPr>
            <w:tcW w:w="1228" w:type="dxa"/>
            <w:tcBorders>
              <w:top w:val="nil"/>
              <w:left w:val="nil"/>
              <w:bottom w:val="nil"/>
              <w:right w:val="nil"/>
            </w:tcBorders>
            <w:shd w:val="clear" w:color="auto" w:fill="auto"/>
            <w:noWrap/>
            <w:vAlign w:val="bottom"/>
            <w:hideMark/>
          </w:tcPr>
          <w:p w14:paraId="64E4A259"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2000</w:t>
            </w:r>
          </w:p>
        </w:tc>
        <w:tc>
          <w:tcPr>
            <w:tcW w:w="1227" w:type="dxa"/>
            <w:tcBorders>
              <w:top w:val="nil"/>
              <w:left w:val="nil"/>
              <w:bottom w:val="nil"/>
              <w:right w:val="nil"/>
            </w:tcBorders>
            <w:shd w:val="clear" w:color="auto" w:fill="auto"/>
            <w:noWrap/>
            <w:vAlign w:val="bottom"/>
            <w:hideMark/>
          </w:tcPr>
          <w:p w14:paraId="32352C1D"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3CEA3112"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4000</w:t>
            </w:r>
          </w:p>
        </w:tc>
      </w:tr>
      <w:tr w:rsidR="00234B96" w:rsidRPr="00234B96" w14:paraId="4E76E575" w14:textId="77777777" w:rsidTr="0027548D">
        <w:trPr>
          <w:trHeight w:val="473"/>
        </w:trPr>
        <w:tc>
          <w:tcPr>
            <w:tcW w:w="5829" w:type="dxa"/>
            <w:tcBorders>
              <w:top w:val="nil"/>
              <w:left w:val="nil"/>
              <w:bottom w:val="nil"/>
              <w:right w:val="nil"/>
            </w:tcBorders>
            <w:shd w:val="clear" w:color="auto" w:fill="auto"/>
            <w:noWrap/>
            <w:vAlign w:val="bottom"/>
            <w:hideMark/>
          </w:tcPr>
          <w:p w14:paraId="0976BA5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Earnings Before Tax</w:t>
            </w:r>
          </w:p>
        </w:tc>
        <w:tc>
          <w:tcPr>
            <w:tcW w:w="1228" w:type="dxa"/>
            <w:tcBorders>
              <w:top w:val="nil"/>
              <w:left w:val="nil"/>
              <w:bottom w:val="nil"/>
              <w:right w:val="nil"/>
            </w:tcBorders>
            <w:shd w:val="clear" w:color="auto" w:fill="auto"/>
            <w:noWrap/>
            <w:vAlign w:val="bottom"/>
            <w:hideMark/>
          </w:tcPr>
          <w:p w14:paraId="2AD66ADA"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7ECDF439"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3E1F3667"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178980</w:t>
            </w:r>
          </w:p>
        </w:tc>
      </w:tr>
      <w:tr w:rsidR="00234B96" w:rsidRPr="00234B96" w14:paraId="7A8A3F59" w14:textId="77777777" w:rsidTr="0027548D">
        <w:trPr>
          <w:trHeight w:val="473"/>
        </w:trPr>
        <w:tc>
          <w:tcPr>
            <w:tcW w:w="5829" w:type="dxa"/>
            <w:tcBorders>
              <w:top w:val="nil"/>
              <w:left w:val="nil"/>
              <w:bottom w:val="nil"/>
              <w:right w:val="nil"/>
            </w:tcBorders>
            <w:shd w:val="clear" w:color="auto" w:fill="auto"/>
            <w:noWrap/>
            <w:vAlign w:val="bottom"/>
            <w:hideMark/>
          </w:tcPr>
          <w:p w14:paraId="424DA3C1"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Less: Corporate Tax</w:t>
            </w:r>
          </w:p>
        </w:tc>
        <w:tc>
          <w:tcPr>
            <w:tcW w:w="1228" w:type="dxa"/>
            <w:tcBorders>
              <w:top w:val="nil"/>
              <w:left w:val="nil"/>
              <w:bottom w:val="nil"/>
              <w:right w:val="nil"/>
            </w:tcBorders>
            <w:shd w:val="clear" w:color="auto" w:fill="auto"/>
            <w:noWrap/>
            <w:vAlign w:val="bottom"/>
            <w:hideMark/>
          </w:tcPr>
          <w:p w14:paraId="378FEC52"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2769CB06"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209E78BA"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68000</w:t>
            </w:r>
          </w:p>
        </w:tc>
      </w:tr>
      <w:tr w:rsidR="00234B96" w:rsidRPr="00234B96" w14:paraId="3C97C2F6" w14:textId="77777777" w:rsidTr="0027548D">
        <w:trPr>
          <w:trHeight w:val="473"/>
        </w:trPr>
        <w:tc>
          <w:tcPr>
            <w:tcW w:w="5829" w:type="dxa"/>
            <w:tcBorders>
              <w:top w:val="nil"/>
              <w:left w:val="nil"/>
              <w:bottom w:val="nil"/>
              <w:right w:val="nil"/>
            </w:tcBorders>
            <w:shd w:val="clear" w:color="auto" w:fill="auto"/>
            <w:noWrap/>
            <w:vAlign w:val="bottom"/>
            <w:hideMark/>
          </w:tcPr>
          <w:p w14:paraId="24AD39FC"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Earnings After Interest &amp; Tax</w:t>
            </w:r>
          </w:p>
        </w:tc>
        <w:tc>
          <w:tcPr>
            <w:tcW w:w="1228" w:type="dxa"/>
            <w:tcBorders>
              <w:top w:val="nil"/>
              <w:left w:val="nil"/>
              <w:bottom w:val="nil"/>
              <w:right w:val="nil"/>
            </w:tcBorders>
            <w:shd w:val="clear" w:color="auto" w:fill="auto"/>
            <w:noWrap/>
            <w:vAlign w:val="bottom"/>
            <w:hideMark/>
          </w:tcPr>
          <w:p w14:paraId="24964DBE"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353139A8"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3C7DAE62"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110980</w:t>
            </w:r>
          </w:p>
        </w:tc>
      </w:tr>
      <w:tr w:rsidR="00234B96" w:rsidRPr="00234B96" w14:paraId="0103753A" w14:textId="77777777" w:rsidTr="0027548D">
        <w:trPr>
          <w:trHeight w:val="473"/>
        </w:trPr>
        <w:tc>
          <w:tcPr>
            <w:tcW w:w="5829" w:type="dxa"/>
            <w:tcBorders>
              <w:top w:val="nil"/>
              <w:left w:val="nil"/>
              <w:bottom w:val="nil"/>
              <w:right w:val="nil"/>
            </w:tcBorders>
            <w:shd w:val="clear" w:color="auto" w:fill="auto"/>
            <w:noWrap/>
            <w:vAlign w:val="bottom"/>
            <w:hideMark/>
          </w:tcPr>
          <w:p w14:paraId="251F3DA5"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Less: Preference dividend payment</w:t>
            </w:r>
          </w:p>
        </w:tc>
        <w:tc>
          <w:tcPr>
            <w:tcW w:w="1228" w:type="dxa"/>
            <w:tcBorders>
              <w:top w:val="nil"/>
              <w:left w:val="nil"/>
              <w:bottom w:val="nil"/>
              <w:right w:val="nil"/>
            </w:tcBorders>
            <w:shd w:val="clear" w:color="auto" w:fill="auto"/>
            <w:noWrap/>
            <w:vAlign w:val="bottom"/>
            <w:hideMark/>
          </w:tcPr>
          <w:p w14:paraId="3A8CBA75" w14:textId="77777777" w:rsidR="00234B96" w:rsidRPr="00234B96" w:rsidRDefault="00234B96" w:rsidP="00234B96">
            <w:pPr>
              <w:spacing w:after="0" w:line="360" w:lineRule="auto"/>
              <w:rPr>
                <w:rFonts w:ascii="Times New Roman" w:eastAsia="Times New Roman" w:hAnsi="Times New Roman" w:cs="Times New Roman"/>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43D9FA56" w14:textId="77777777" w:rsidR="00234B96" w:rsidRPr="00234B96" w:rsidRDefault="00234B96" w:rsidP="00234B96">
            <w:pPr>
              <w:spacing w:after="0" w:line="360" w:lineRule="auto"/>
              <w:rPr>
                <w:rFonts w:ascii="Times New Roman" w:eastAsia="Times New Roman" w:hAnsi="Times New Roman" w:cs="Times New Roman"/>
                <w:sz w:val="24"/>
                <w:szCs w:val="24"/>
                <w:lang w:eastAsia="en-GB"/>
              </w:rPr>
            </w:pPr>
          </w:p>
        </w:tc>
        <w:tc>
          <w:tcPr>
            <w:tcW w:w="1227" w:type="dxa"/>
            <w:tcBorders>
              <w:top w:val="nil"/>
              <w:left w:val="nil"/>
              <w:bottom w:val="nil"/>
              <w:right w:val="nil"/>
            </w:tcBorders>
            <w:shd w:val="clear" w:color="auto" w:fill="auto"/>
            <w:noWrap/>
            <w:vAlign w:val="bottom"/>
            <w:hideMark/>
          </w:tcPr>
          <w:p w14:paraId="1C659B4C" w14:textId="77777777" w:rsidR="00234B96" w:rsidRPr="00234B96" w:rsidRDefault="00234B96" w:rsidP="00234B96">
            <w:pPr>
              <w:spacing w:after="0" w:line="360"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30000</w:t>
            </w:r>
          </w:p>
        </w:tc>
      </w:tr>
      <w:tr w:rsidR="00234B96" w:rsidRPr="00234B96" w14:paraId="6C94FD26" w14:textId="77777777" w:rsidTr="0027548D">
        <w:trPr>
          <w:trHeight w:val="473"/>
        </w:trPr>
        <w:tc>
          <w:tcPr>
            <w:tcW w:w="7057" w:type="dxa"/>
            <w:gridSpan w:val="2"/>
            <w:tcBorders>
              <w:top w:val="nil"/>
              <w:left w:val="nil"/>
              <w:bottom w:val="nil"/>
              <w:right w:val="nil"/>
            </w:tcBorders>
            <w:shd w:val="clear" w:color="auto" w:fill="auto"/>
            <w:noWrap/>
            <w:vAlign w:val="bottom"/>
            <w:hideMark/>
          </w:tcPr>
          <w:p w14:paraId="7CB4D189" w14:textId="77777777" w:rsidR="00234B96" w:rsidRPr="00234B96" w:rsidRDefault="00234B96" w:rsidP="00234B96">
            <w:pPr>
              <w:spacing w:after="0" w:line="360"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Net Income Available to the ordinary stockholders</w:t>
            </w:r>
          </w:p>
        </w:tc>
        <w:tc>
          <w:tcPr>
            <w:tcW w:w="1227" w:type="dxa"/>
            <w:tcBorders>
              <w:top w:val="nil"/>
              <w:left w:val="nil"/>
              <w:bottom w:val="nil"/>
              <w:right w:val="nil"/>
            </w:tcBorders>
            <w:shd w:val="clear" w:color="auto" w:fill="auto"/>
            <w:noWrap/>
            <w:vAlign w:val="bottom"/>
            <w:hideMark/>
          </w:tcPr>
          <w:p w14:paraId="3FD78010" w14:textId="77777777" w:rsidR="00234B96" w:rsidRPr="00234B96" w:rsidRDefault="00234B96" w:rsidP="00234B96">
            <w:pPr>
              <w:spacing w:after="0" w:line="360" w:lineRule="auto"/>
              <w:rPr>
                <w:rFonts w:ascii="Times New Roman" w:eastAsia="Times New Roman" w:hAnsi="Times New Roman" w:cs="Times New Roman"/>
                <w:b/>
                <w:bCs/>
                <w:color w:val="000000"/>
                <w:sz w:val="24"/>
                <w:szCs w:val="24"/>
                <w:lang w:eastAsia="en-GB"/>
              </w:rPr>
            </w:pPr>
          </w:p>
        </w:tc>
        <w:tc>
          <w:tcPr>
            <w:tcW w:w="1227" w:type="dxa"/>
            <w:tcBorders>
              <w:top w:val="nil"/>
              <w:left w:val="nil"/>
              <w:bottom w:val="nil"/>
              <w:right w:val="nil"/>
            </w:tcBorders>
            <w:shd w:val="clear" w:color="auto" w:fill="auto"/>
            <w:noWrap/>
            <w:vAlign w:val="bottom"/>
            <w:hideMark/>
          </w:tcPr>
          <w:p w14:paraId="4958BE9A" w14:textId="77777777" w:rsidR="00234B96" w:rsidRPr="00234B96" w:rsidRDefault="00234B96" w:rsidP="00234B96">
            <w:pPr>
              <w:spacing w:after="0" w:line="360"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80980</w:t>
            </w:r>
          </w:p>
        </w:tc>
      </w:tr>
    </w:tbl>
    <w:p w14:paraId="2AC08787" w14:textId="77777777" w:rsidR="00234B96" w:rsidRPr="00234B96" w:rsidRDefault="00234B96" w:rsidP="00234B96">
      <w:pPr>
        <w:spacing w:line="360" w:lineRule="auto"/>
        <w:jc w:val="both"/>
        <w:rPr>
          <w:rFonts w:ascii="Times New Roman" w:hAnsi="Times New Roman" w:cs="Times New Roman"/>
          <w:sz w:val="24"/>
          <w:szCs w:val="24"/>
        </w:rPr>
      </w:pPr>
    </w:p>
    <w:p w14:paraId="371C0F19" w14:textId="63CE89E7" w:rsidR="00234B96" w:rsidRDefault="00234B96" w:rsidP="00234B96">
      <w:pPr>
        <w:spacing w:line="240" w:lineRule="auto"/>
        <w:jc w:val="center"/>
        <w:rPr>
          <w:rFonts w:ascii="Times New Roman" w:hAnsi="Times New Roman" w:cs="Times New Roman"/>
          <w:b/>
          <w:bCs/>
          <w:sz w:val="24"/>
          <w:szCs w:val="24"/>
        </w:rPr>
      </w:pPr>
      <w:r w:rsidRPr="00234B96">
        <w:rPr>
          <w:rFonts w:ascii="Times New Roman" w:hAnsi="Times New Roman" w:cs="Times New Roman"/>
          <w:b/>
          <w:bCs/>
          <w:sz w:val="24"/>
          <w:szCs w:val="24"/>
        </w:rPr>
        <w:t>Eccles Plc</w:t>
      </w:r>
    </w:p>
    <w:p w14:paraId="058D40E2" w14:textId="16FEC90A" w:rsidR="00234B96" w:rsidRDefault="00234B96" w:rsidP="00234B96">
      <w:pPr>
        <w:spacing w:line="240" w:lineRule="auto"/>
        <w:jc w:val="center"/>
        <w:rPr>
          <w:rFonts w:ascii="Times New Roman" w:hAnsi="Times New Roman" w:cs="Times New Roman"/>
          <w:b/>
          <w:bCs/>
          <w:sz w:val="24"/>
          <w:szCs w:val="24"/>
        </w:rPr>
      </w:pPr>
    </w:p>
    <w:p w14:paraId="0D88C7BD" w14:textId="2171BEED" w:rsidR="002D0D08" w:rsidRDefault="002D0D08" w:rsidP="002D0D08">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2" w:name="_Toc56187459"/>
      <w:r w:rsidRPr="002D0D08">
        <w:rPr>
          <w:rFonts w:ascii="Times New Roman" w:eastAsiaTheme="majorEastAsia" w:hAnsi="Times New Roman" w:cstheme="majorBidi"/>
          <w:b/>
          <w:color w:val="000000" w:themeColor="text1"/>
          <w:sz w:val="28"/>
          <w:szCs w:val="32"/>
        </w:rPr>
        <w:lastRenderedPageBreak/>
        <w:t>Question -01 (b) Explanation of the reasons why the statement of financial position balances</w:t>
      </w:r>
      <w:bookmarkEnd w:id="2"/>
    </w:p>
    <w:p w14:paraId="23B64598" w14:textId="77777777" w:rsidR="002D0D08" w:rsidRPr="002D0D08" w:rsidRDefault="002D0D08" w:rsidP="002D0D08">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p>
    <w:p w14:paraId="37B20569" w14:textId="4F9DBF29" w:rsidR="002D0D08" w:rsidRPr="002D0D08" w:rsidRDefault="002D0D08" w:rsidP="002D0D08">
      <w:pPr>
        <w:spacing w:line="360" w:lineRule="auto"/>
        <w:jc w:val="both"/>
        <w:rPr>
          <w:rFonts w:ascii="Times New Roman" w:hAnsi="Times New Roman" w:cs="Times New Roman"/>
          <w:sz w:val="24"/>
          <w:szCs w:val="24"/>
        </w:rPr>
      </w:pPr>
      <w:r w:rsidRPr="002D0D08">
        <w:rPr>
          <w:rFonts w:ascii="Times New Roman" w:hAnsi="Times New Roman" w:cs="Times New Roman"/>
          <w:sz w:val="24"/>
          <w:szCs w:val="24"/>
        </w:rPr>
        <w:t xml:space="preserve">There are several reasons why the statement of financial position balance and the most important one is it is followed by the double entry accounting system which means every e ledger transaction has equal and balancing impact on both sides of an accounting book and that's why the statement of financial position balances </w:t>
      </w:r>
      <w:r w:rsidRPr="002D0D08">
        <w:rPr>
          <w:rFonts w:ascii="Times New Roman" w:hAnsi="Times New Roman"/>
          <w:sz w:val="24"/>
        </w:rPr>
        <w:t>(</w:t>
      </w:r>
      <w:r w:rsidRPr="002D0D08">
        <w:rPr>
          <w:rFonts w:ascii="Times New Roman" w:hAnsi="Times New Roman" w:cs="Times New Roman"/>
          <w:sz w:val="24"/>
          <w:szCs w:val="24"/>
        </w:rPr>
        <w:t>Phillips and Libby, 2011). As every transaction is recorded in two different accounts and there is a checking system and that's why this checking system makes the statement of financial position to be balanced and also the other accounting books to have a balanced impact in the similar way. Every accounting transaction is recorded in two sides of debit and credit which means they will have a counterbalancing effect in the ultimate balance of an accounting book and that’s why Asset side equals the liability and Owner’s equity (</w:t>
      </w:r>
      <w:r w:rsidRPr="002D0D08">
        <w:rPr>
          <w:rFonts w:ascii="Times New Roman" w:hAnsi="Times New Roman" w:cs="Times New Roman"/>
          <w:color w:val="222222"/>
          <w:sz w:val="24"/>
          <w:szCs w:val="24"/>
          <w:shd w:val="clear" w:color="auto" w:fill="FFFFFF"/>
        </w:rPr>
        <w:t>Lanen, 2010)</w:t>
      </w:r>
      <w:r w:rsidRPr="002D0D08">
        <w:rPr>
          <w:rFonts w:ascii="Times New Roman" w:hAnsi="Times New Roman" w:cs="Times New Roman"/>
          <w:sz w:val="24"/>
          <w:szCs w:val="24"/>
        </w:rPr>
        <w:t xml:space="preserve">. </w:t>
      </w:r>
    </w:p>
    <w:p w14:paraId="182CDB7E" w14:textId="77777777" w:rsidR="0093115E" w:rsidRDefault="002D0D08" w:rsidP="0093115E">
      <w:pPr>
        <w:spacing w:line="360" w:lineRule="auto"/>
        <w:jc w:val="center"/>
        <w:rPr>
          <w:rFonts w:ascii="Times New Roman" w:hAnsi="Times New Roman" w:cs="Times New Roman"/>
          <w:sz w:val="24"/>
          <w:szCs w:val="24"/>
        </w:rPr>
      </w:pPr>
      <w:r w:rsidRPr="002D0D08">
        <w:rPr>
          <w:rFonts w:ascii="Times New Roman" w:hAnsi="Times New Roman"/>
          <w:noProof/>
          <w:sz w:val="24"/>
        </w:rPr>
        <w:drawing>
          <wp:inline distT="0" distB="0" distL="0" distR="0" wp14:anchorId="4714874D" wp14:editId="799765F8">
            <wp:extent cx="3124200" cy="158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11310"/>
                    <a:stretch/>
                  </pic:blipFill>
                  <pic:spPr bwMode="auto">
                    <a:xfrm>
                      <a:off x="0" y="0"/>
                      <a:ext cx="3124200" cy="1581150"/>
                    </a:xfrm>
                    <a:prstGeom prst="rect">
                      <a:avLst/>
                    </a:prstGeom>
                    <a:noFill/>
                    <a:ln>
                      <a:noFill/>
                    </a:ln>
                    <a:extLst>
                      <a:ext uri="{53640926-AAD7-44D8-BBD7-CCE9431645EC}">
                        <a14:shadowObscured xmlns:a14="http://schemas.microsoft.com/office/drawing/2010/main"/>
                      </a:ext>
                    </a:extLst>
                  </pic:spPr>
                </pic:pic>
              </a:graphicData>
            </a:graphic>
          </wp:inline>
        </w:drawing>
      </w:r>
      <w:bookmarkStart w:id="3" w:name="_Toc56187460"/>
    </w:p>
    <w:p w14:paraId="26859B0A" w14:textId="77777777" w:rsidR="0093115E" w:rsidRDefault="0093115E" w:rsidP="0093115E">
      <w:pPr>
        <w:spacing w:line="360" w:lineRule="auto"/>
        <w:rPr>
          <w:rFonts w:ascii="Times New Roman" w:hAnsi="Times New Roman" w:cs="Times New Roman"/>
          <w:sz w:val="24"/>
          <w:szCs w:val="24"/>
        </w:rPr>
      </w:pPr>
    </w:p>
    <w:p w14:paraId="16FB05FA" w14:textId="77777777" w:rsidR="0093115E" w:rsidRDefault="0093115E" w:rsidP="0093115E">
      <w:pPr>
        <w:spacing w:line="360" w:lineRule="auto"/>
        <w:rPr>
          <w:rFonts w:ascii="Times New Roman" w:hAnsi="Times New Roman" w:cs="Times New Roman"/>
          <w:sz w:val="24"/>
          <w:szCs w:val="24"/>
        </w:rPr>
      </w:pPr>
    </w:p>
    <w:p w14:paraId="0AB3BD7D" w14:textId="77777777" w:rsidR="0093115E" w:rsidRDefault="0093115E" w:rsidP="0093115E">
      <w:pPr>
        <w:spacing w:line="360" w:lineRule="auto"/>
        <w:rPr>
          <w:rFonts w:ascii="Times New Roman" w:hAnsi="Times New Roman" w:cs="Times New Roman"/>
          <w:sz w:val="24"/>
          <w:szCs w:val="24"/>
        </w:rPr>
      </w:pPr>
    </w:p>
    <w:p w14:paraId="3B3780EA" w14:textId="77777777" w:rsidR="0093115E" w:rsidRDefault="0093115E" w:rsidP="0093115E">
      <w:pPr>
        <w:spacing w:line="360" w:lineRule="auto"/>
        <w:rPr>
          <w:rFonts w:ascii="Times New Roman" w:hAnsi="Times New Roman" w:cs="Times New Roman"/>
          <w:sz w:val="24"/>
          <w:szCs w:val="24"/>
        </w:rPr>
      </w:pPr>
    </w:p>
    <w:p w14:paraId="10EED24D" w14:textId="77777777" w:rsidR="0093115E" w:rsidRDefault="0093115E" w:rsidP="0093115E">
      <w:pPr>
        <w:spacing w:line="360" w:lineRule="auto"/>
        <w:rPr>
          <w:rFonts w:ascii="Times New Roman" w:hAnsi="Times New Roman" w:cs="Times New Roman"/>
          <w:sz w:val="24"/>
          <w:szCs w:val="24"/>
        </w:rPr>
      </w:pPr>
    </w:p>
    <w:p w14:paraId="558FE392" w14:textId="77777777" w:rsidR="0093115E" w:rsidRDefault="0093115E" w:rsidP="0093115E">
      <w:pPr>
        <w:spacing w:line="360" w:lineRule="auto"/>
        <w:rPr>
          <w:rFonts w:ascii="Times New Roman" w:hAnsi="Times New Roman" w:cs="Times New Roman"/>
          <w:sz w:val="24"/>
          <w:szCs w:val="24"/>
        </w:rPr>
      </w:pPr>
    </w:p>
    <w:p w14:paraId="6545C768" w14:textId="77777777" w:rsidR="0093115E" w:rsidRDefault="0093115E" w:rsidP="0093115E">
      <w:pPr>
        <w:spacing w:line="360" w:lineRule="auto"/>
        <w:rPr>
          <w:rFonts w:ascii="Times New Roman" w:hAnsi="Times New Roman" w:cs="Times New Roman"/>
          <w:sz w:val="24"/>
          <w:szCs w:val="24"/>
        </w:rPr>
      </w:pPr>
    </w:p>
    <w:p w14:paraId="30AF5484" w14:textId="77777777" w:rsidR="0093115E" w:rsidRDefault="0093115E" w:rsidP="0093115E">
      <w:pPr>
        <w:spacing w:line="360" w:lineRule="auto"/>
        <w:rPr>
          <w:rFonts w:ascii="Times New Roman" w:hAnsi="Times New Roman" w:cs="Times New Roman"/>
          <w:sz w:val="24"/>
          <w:szCs w:val="24"/>
        </w:rPr>
      </w:pPr>
    </w:p>
    <w:p w14:paraId="2481AF74" w14:textId="77777777" w:rsidR="0093115E" w:rsidRDefault="0093115E" w:rsidP="0093115E">
      <w:pPr>
        <w:spacing w:line="360" w:lineRule="auto"/>
        <w:rPr>
          <w:rFonts w:ascii="Times New Roman" w:hAnsi="Times New Roman" w:cs="Times New Roman"/>
          <w:sz w:val="24"/>
          <w:szCs w:val="24"/>
        </w:rPr>
      </w:pPr>
    </w:p>
    <w:p w14:paraId="3FC4BFFB" w14:textId="514A2531" w:rsidR="00A17069" w:rsidRPr="0093115E" w:rsidRDefault="002D0D08" w:rsidP="0093115E">
      <w:pPr>
        <w:spacing w:line="360" w:lineRule="auto"/>
        <w:rPr>
          <w:rFonts w:ascii="Times New Roman" w:hAnsi="Times New Roman" w:cs="Times New Roman"/>
          <w:sz w:val="24"/>
          <w:szCs w:val="24"/>
        </w:rPr>
      </w:pPr>
      <w:r w:rsidRPr="002D0D08">
        <w:rPr>
          <w:rFonts w:ascii="Times New Roman" w:eastAsiaTheme="majorEastAsia" w:hAnsi="Times New Roman" w:cstheme="majorBidi"/>
          <w:b/>
          <w:color w:val="000000" w:themeColor="text1"/>
          <w:sz w:val="28"/>
          <w:szCs w:val="32"/>
        </w:rPr>
        <w:lastRenderedPageBreak/>
        <w:t>Question- 02 (a) Schedule of Ratios for Choco plc</w:t>
      </w:r>
      <w:bookmarkEnd w:id="3"/>
      <w:r w:rsidRPr="002D0D08">
        <w:rPr>
          <w:rFonts w:ascii="Times New Roman" w:eastAsiaTheme="majorEastAsia" w:hAnsi="Times New Roman" w:cstheme="majorBidi"/>
          <w:b/>
          <w:color w:val="000000" w:themeColor="text1"/>
          <w:sz w:val="28"/>
          <w:szCs w:val="32"/>
        </w:rPr>
        <w:t xml:space="preserve"> </w:t>
      </w:r>
    </w:p>
    <w:p w14:paraId="44CCFBBB" w14:textId="77777777" w:rsidR="002D0D08" w:rsidRPr="002D0D08" w:rsidRDefault="002D0D08" w:rsidP="002D0D08">
      <w:pPr>
        <w:spacing w:line="360" w:lineRule="auto"/>
        <w:jc w:val="both"/>
        <w:rPr>
          <w:rFonts w:ascii="Times New Roman" w:hAnsi="Times New Roman"/>
          <w:sz w:val="24"/>
        </w:rPr>
      </w:pPr>
      <w:r w:rsidRPr="002D0D08">
        <w:rPr>
          <w:rFonts w:ascii="Times New Roman" w:hAnsi="Times New Roman"/>
          <w:sz w:val="24"/>
        </w:rPr>
        <w:t>With the income statement and financial statement information of Choco plc, the following ratios have been calculated-</w:t>
      </w:r>
    </w:p>
    <w:tbl>
      <w:tblPr>
        <w:tblW w:w="9295" w:type="dxa"/>
        <w:jc w:val="center"/>
        <w:tblLook w:val="04A0" w:firstRow="1" w:lastRow="0" w:firstColumn="1" w:lastColumn="0" w:noHBand="0" w:noVBand="1"/>
      </w:tblPr>
      <w:tblGrid>
        <w:gridCol w:w="5189"/>
        <w:gridCol w:w="2053"/>
        <w:gridCol w:w="2053"/>
      </w:tblGrid>
      <w:tr w:rsidR="002D0D08" w:rsidRPr="002D0D08" w14:paraId="035BCCF9" w14:textId="77777777" w:rsidTr="0027548D">
        <w:trPr>
          <w:trHeight w:val="433"/>
          <w:jc w:val="center"/>
        </w:trPr>
        <w:tc>
          <w:tcPr>
            <w:tcW w:w="518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E2118C" w14:textId="77777777" w:rsidR="002D0D08" w:rsidRPr="002D0D08" w:rsidRDefault="002D0D08" w:rsidP="002D0D08">
            <w:pPr>
              <w:spacing w:after="0" w:line="240" w:lineRule="auto"/>
              <w:jc w:val="center"/>
              <w:rPr>
                <w:rFonts w:ascii="Times New Roman" w:eastAsia="Times New Roman" w:hAnsi="Times New Roman" w:cs="Times New Roman"/>
                <w:b/>
                <w:bCs/>
                <w:color w:val="000000"/>
                <w:sz w:val="24"/>
                <w:szCs w:val="24"/>
                <w:lang w:eastAsia="en-GB"/>
              </w:rPr>
            </w:pPr>
            <w:r w:rsidRPr="002D0D08">
              <w:rPr>
                <w:rFonts w:ascii="Times New Roman" w:eastAsia="Times New Roman" w:hAnsi="Times New Roman" w:cs="Times New Roman"/>
                <w:b/>
                <w:bCs/>
                <w:color w:val="000000"/>
                <w:sz w:val="24"/>
                <w:szCs w:val="24"/>
                <w:lang w:eastAsia="en-GB"/>
              </w:rPr>
              <w:t>Liquidity ratios</w:t>
            </w:r>
          </w:p>
        </w:tc>
        <w:tc>
          <w:tcPr>
            <w:tcW w:w="2053" w:type="dxa"/>
            <w:tcBorders>
              <w:top w:val="single" w:sz="4" w:space="0" w:color="auto"/>
              <w:left w:val="nil"/>
              <w:bottom w:val="single" w:sz="4" w:space="0" w:color="auto"/>
              <w:right w:val="single" w:sz="4" w:space="0" w:color="auto"/>
            </w:tcBorders>
            <w:shd w:val="clear" w:color="auto" w:fill="auto"/>
            <w:noWrap/>
            <w:vAlign w:val="center"/>
            <w:hideMark/>
          </w:tcPr>
          <w:p w14:paraId="29C7EED1" w14:textId="77777777" w:rsidR="002D0D08" w:rsidRPr="002D0D08" w:rsidRDefault="002D0D08" w:rsidP="002D0D08">
            <w:pPr>
              <w:spacing w:after="0" w:line="240" w:lineRule="auto"/>
              <w:jc w:val="center"/>
              <w:rPr>
                <w:rFonts w:ascii="Times New Roman" w:eastAsia="Times New Roman" w:hAnsi="Times New Roman" w:cs="Times New Roman"/>
                <w:b/>
                <w:bCs/>
                <w:color w:val="000000"/>
                <w:sz w:val="24"/>
                <w:szCs w:val="24"/>
                <w:lang w:eastAsia="en-GB"/>
              </w:rPr>
            </w:pPr>
            <w:r w:rsidRPr="002D0D08">
              <w:rPr>
                <w:rFonts w:ascii="Times New Roman" w:eastAsia="Times New Roman" w:hAnsi="Times New Roman" w:cs="Times New Roman"/>
                <w:b/>
                <w:bCs/>
                <w:color w:val="000000"/>
                <w:sz w:val="24"/>
                <w:szCs w:val="24"/>
                <w:lang w:eastAsia="en-GB"/>
              </w:rPr>
              <w:t>2018</w:t>
            </w:r>
          </w:p>
        </w:tc>
        <w:tc>
          <w:tcPr>
            <w:tcW w:w="2053" w:type="dxa"/>
            <w:tcBorders>
              <w:top w:val="single" w:sz="4" w:space="0" w:color="auto"/>
              <w:left w:val="nil"/>
              <w:bottom w:val="single" w:sz="4" w:space="0" w:color="auto"/>
              <w:right w:val="single" w:sz="4" w:space="0" w:color="auto"/>
            </w:tcBorders>
            <w:shd w:val="clear" w:color="auto" w:fill="auto"/>
            <w:noWrap/>
            <w:vAlign w:val="center"/>
            <w:hideMark/>
          </w:tcPr>
          <w:p w14:paraId="7621A249" w14:textId="77777777" w:rsidR="002D0D08" w:rsidRPr="002D0D08" w:rsidRDefault="002D0D08" w:rsidP="002D0D08">
            <w:pPr>
              <w:spacing w:after="0" w:line="240" w:lineRule="auto"/>
              <w:jc w:val="center"/>
              <w:rPr>
                <w:rFonts w:ascii="Times New Roman" w:eastAsia="Times New Roman" w:hAnsi="Times New Roman" w:cs="Times New Roman"/>
                <w:b/>
                <w:bCs/>
                <w:color w:val="000000"/>
                <w:sz w:val="24"/>
                <w:szCs w:val="24"/>
                <w:lang w:eastAsia="en-GB"/>
              </w:rPr>
            </w:pPr>
            <w:r w:rsidRPr="002D0D08">
              <w:rPr>
                <w:rFonts w:ascii="Times New Roman" w:eastAsia="Times New Roman" w:hAnsi="Times New Roman" w:cs="Times New Roman"/>
                <w:b/>
                <w:bCs/>
                <w:color w:val="000000"/>
                <w:sz w:val="24"/>
                <w:szCs w:val="24"/>
                <w:lang w:eastAsia="en-GB"/>
              </w:rPr>
              <w:t>2019</w:t>
            </w:r>
          </w:p>
        </w:tc>
      </w:tr>
      <w:tr w:rsidR="002D0D08" w:rsidRPr="002D0D08" w14:paraId="229ACC02" w14:textId="77777777" w:rsidTr="0027548D">
        <w:trPr>
          <w:trHeight w:val="433"/>
          <w:jc w:val="center"/>
        </w:trPr>
        <w:tc>
          <w:tcPr>
            <w:tcW w:w="5189" w:type="dxa"/>
            <w:tcBorders>
              <w:top w:val="nil"/>
              <w:left w:val="single" w:sz="4" w:space="0" w:color="auto"/>
              <w:bottom w:val="single" w:sz="4" w:space="0" w:color="auto"/>
              <w:right w:val="single" w:sz="4" w:space="0" w:color="auto"/>
            </w:tcBorders>
            <w:shd w:val="clear" w:color="auto" w:fill="auto"/>
            <w:noWrap/>
            <w:vAlign w:val="center"/>
            <w:hideMark/>
          </w:tcPr>
          <w:p w14:paraId="73D32912"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Current ratio</w:t>
            </w:r>
          </w:p>
        </w:tc>
        <w:tc>
          <w:tcPr>
            <w:tcW w:w="2053" w:type="dxa"/>
            <w:tcBorders>
              <w:top w:val="nil"/>
              <w:left w:val="nil"/>
              <w:bottom w:val="single" w:sz="4" w:space="0" w:color="auto"/>
              <w:right w:val="single" w:sz="4" w:space="0" w:color="auto"/>
            </w:tcBorders>
            <w:shd w:val="clear" w:color="auto" w:fill="auto"/>
            <w:noWrap/>
            <w:vAlign w:val="center"/>
            <w:hideMark/>
          </w:tcPr>
          <w:p w14:paraId="06DB95B9"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0.773145</w:t>
            </w:r>
          </w:p>
        </w:tc>
        <w:tc>
          <w:tcPr>
            <w:tcW w:w="2053" w:type="dxa"/>
            <w:tcBorders>
              <w:top w:val="nil"/>
              <w:left w:val="nil"/>
              <w:bottom w:val="single" w:sz="4" w:space="0" w:color="auto"/>
              <w:right w:val="single" w:sz="4" w:space="0" w:color="auto"/>
            </w:tcBorders>
            <w:shd w:val="clear" w:color="auto" w:fill="auto"/>
            <w:noWrap/>
            <w:vAlign w:val="center"/>
            <w:hideMark/>
          </w:tcPr>
          <w:p w14:paraId="310B8930"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0.917164</w:t>
            </w:r>
          </w:p>
        </w:tc>
      </w:tr>
      <w:tr w:rsidR="002D0D08" w:rsidRPr="002D0D08" w14:paraId="0514F5A2" w14:textId="77777777" w:rsidTr="0027548D">
        <w:trPr>
          <w:trHeight w:val="433"/>
          <w:jc w:val="center"/>
        </w:trPr>
        <w:tc>
          <w:tcPr>
            <w:tcW w:w="5189" w:type="dxa"/>
            <w:tcBorders>
              <w:top w:val="nil"/>
              <w:left w:val="single" w:sz="4" w:space="0" w:color="auto"/>
              <w:bottom w:val="single" w:sz="4" w:space="0" w:color="auto"/>
              <w:right w:val="single" w:sz="4" w:space="0" w:color="auto"/>
            </w:tcBorders>
            <w:shd w:val="clear" w:color="auto" w:fill="auto"/>
            <w:noWrap/>
            <w:vAlign w:val="center"/>
            <w:hideMark/>
          </w:tcPr>
          <w:p w14:paraId="27912CD7"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Quick ratio</w:t>
            </w:r>
          </w:p>
        </w:tc>
        <w:tc>
          <w:tcPr>
            <w:tcW w:w="2053" w:type="dxa"/>
            <w:tcBorders>
              <w:top w:val="nil"/>
              <w:left w:val="nil"/>
              <w:bottom w:val="single" w:sz="4" w:space="0" w:color="auto"/>
              <w:right w:val="single" w:sz="4" w:space="0" w:color="auto"/>
            </w:tcBorders>
            <w:shd w:val="clear" w:color="auto" w:fill="auto"/>
            <w:noWrap/>
            <w:vAlign w:val="center"/>
            <w:hideMark/>
          </w:tcPr>
          <w:p w14:paraId="0771EBDB"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0.556796</w:t>
            </w:r>
          </w:p>
        </w:tc>
        <w:tc>
          <w:tcPr>
            <w:tcW w:w="2053" w:type="dxa"/>
            <w:tcBorders>
              <w:top w:val="nil"/>
              <w:left w:val="nil"/>
              <w:bottom w:val="single" w:sz="4" w:space="0" w:color="auto"/>
              <w:right w:val="single" w:sz="4" w:space="0" w:color="auto"/>
            </w:tcBorders>
            <w:shd w:val="clear" w:color="auto" w:fill="auto"/>
            <w:noWrap/>
            <w:vAlign w:val="center"/>
            <w:hideMark/>
          </w:tcPr>
          <w:p w14:paraId="3871E96E"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0.635205</w:t>
            </w:r>
          </w:p>
        </w:tc>
      </w:tr>
      <w:tr w:rsidR="002D0D08" w:rsidRPr="002D0D08" w14:paraId="66237E99" w14:textId="77777777" w:rsidTr="0027548D">
        <w:trPr>
          <w:trHeight w:val="433"/>
          <w:jc w:val="center"/>
        </w:trPr>
        <w:tc>
          <w:tcPr>
            <w:tcW w:w="5189" w:type="dxa"/>
            <w:tcBorders>
              <w:top w:val="nil"/>
              <w:left w:val="single" w:sz="4" w:space="0" w:color="auto"/>
              <w:bottom w:val="single" w:sz="4" w:space="0" w:color="auto"/>
              <w:right w:val="single" w:sz="4" w:space="0" w:color="auto"/>
            </w:tcBorders>
            <w:shd w:val="clear" w:color="auto" w:fill="auto"/>
            <w:noWrap/>
            <w:vAlign w:val="center"/>
            <w:hideMark/>
          </w:tcPr>
          <w:p w14:paraId="10200512"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Cash ratio</w:t>
            </w:r>
          </w:p>
        </w:tc>
        <w:tc>
          <w:tcPr>
            <w:tcW w:w="2053" w:type="dxa"/>
            <w:tcBorders>
              <w:top w:val="nil"/>
              <w:left w:val="nil"/>
              <w:bottom w:val="single" w:sz="4" w:space="0" w:color="auto"/>
              <w:right w:val="single" w:sz="4" w:space="0" w:color="auto"/>
            </w:tcBorders>
            <w:shd w:val="clear" w:color="auto" w:fill="auto"/>
            <w:noWrap/>
            <w:vAlign w:val="center"/>
            <w:hideMark/>
          </w:tcPr>
          <w:p w14:paraId="376F4660"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0.134274</w:t>
            </w:r>
          </w:p>
        </w:tc>
        <w:tc>
          <w:tcPr>
            <w:tcW w:w="2053" w:type="dxa"/>
            <w:tcBorders>
              <w:top w:val="nil"/>
              <w:left w:val="nil"/>
              <w:bottom w:val="single" w:sz="4" w:space="0" w:color="auto"/>
              <w:right w:val="single" w:sz="4" w:space="0" w:color="auto"/>
            </w:tcBorders>
            <w:shd w:val="clear" w:color="auto" w:fill="auto"/>
            <w:noWrap/>
            <w:vAlign w:val="center"/>
            <w:hideMark/>
          </w:tcPr>
          <w:p w14:paraId="42EBAB9D" w14:textId="77777777" w:rsidR="002D0D08" w:rsidRPr="002D0D08" w:rsidRDefault="002D0D08" w:rsidP="002D0D08">
            <w:pPr>
              <w:spacing w:after="0" w:line="240" w:lineRule="auto"/>
              <w:jc w:val="center"/>
              <w:rPr>
                <w:rFonts w:ascii="Times New Roman" w:eastAsia="Times New Roman" w:hAnsi="Times New Roman" w:cs="Times New Roman"/>
                <w:color w:val="000000"/>
                <w:sz w:val="24"/>
                <w:szCs w:val="24"/>
                <w:lang w:eastAsia="en-GB"/>
              </w:rPr>
            </w:pPr>
            <w:r w:rsidRPr="002D0D08">
              <w:rPr>
                <w:rFonts w:ascii="Times New Roman" w:eastAsia="Times New Roman" w:hAnsi="Times New Roman" w:cs="Times New Roman"/>
                <w:color w:val="000000"/>
                <w:sz w:val="24"/>
                <w:szCs w:val="24"/>
                <w:lang w:eastAsia="en-GB"/>
              </w:rPr>
              <w:t>0.137794</w:t>
            </w:r>
          </w:p>
        </w:tc>
      </w:tr>
    </w:tbl>
    <w:p w14:paraId="7ABCA83E" w14:textId="77777777" w:rsidR="002D0D08" w:rsidRPr="002D0D08" w:rsidRDefault="002D0D08" w:rsidP="002D0D08">
      <w:pPr>
        <w:spacing w:line="360" w:lineRule="auto"/>
        <w:jc w:val="both"/>
        <w:rPr>
          <w:rFonts w:ascii="Times New Roman" w:hAnsi="Times New Roman"/>
          <w:sz w:val="24"/>
        </w:rPr>
      </w:pPr>
    </w:p>
    <w:p w14:paraId="328F4B9C" w14:textId="77777777" w:rsidR="002D0D08" w:rsidRPr="002D0D08" w:rsidRDefault="002D0D08" w:rsidP="002D0D08">
      <w:pPr>
        <w:spacing w:line="360" w:lineRule="auto"/>
        <w:jc w:val="both"/>
        <w:rPr>
          <w:rFonts w:ascii="Times New Roman" w:hAnsi="Times New Roman"/>
          <w:b/>
          <w:bCs/>
          <w:sz w:val="24"/>
        </w:rPr>
      </w:pPr>
      <w:r w:rsidRPr="002D0D08">
        <w:rPr>
          <w:rFonts w:ascii="Times New Roman" w:hAnsi="Times New Roman"/>
          <w:sz w:val="24"/>
        </w:rPr>
        <w:t xml:space="preserve">Current ratio Calculation: </w:t>
      </w:r>
      <w:r w:rsidRPr="002D0D08">
        <w:rPr>
          <w:rFonts w:ascii="Times New Roman" w:hAnsi="Times New Roman"/>
          <w:b/>
          <w:bCs/>
          <w:sz w:val="24"/>
        </w:rPr>
        <w:t>(total current asset/total current liability)</w:t>
      </w:r>
    </w:p>
    <w:p w14:paraId="3E546787" w14:textId="4C0B9B0D" w:rsidR="002D0D08" w:rsidRDefault="002D0D08" w:rsidP="002D0D08">
      <w:pPr>
        <w:spacing w:line="360" w:lineRule="auto"/>
        <w:jc w:val="center"/>
        <w:rPr>
          <w:rFonts w:ascii="Times New Roman" w:eastAsiaTheme="minorEastAsia" w:hAnsi="Times New Roman"/>
          <w:sz w:val="24"/>
        </w:rPr>
      </w:pPr>
      <w:r w:rsidRPr="002D0D08">
        <w:rPr>
          <w:rFonts w:ascii="Times New Roman" w:hAnsi="Times New Roman"/>
          <w:sz w:val="24"/>
        </w:rPr>
        <w:t xml:space="preserve">2018: </w:t>
      </w:r>
      <m:oMath>
        <m:f>
          <m:fPr>
            <m:ctrlPr>
              <w:rPr>
                <w:rFonts w:ascii="Cambria Math" w:hAnsi="Cambria Math"/>
                <w:i/>
                <w:sz w:val="24"/>
              </w:rPr>
            </m:ctrlPr>
          </m:fPr>
          <m:num>
            <m:r>
              <w:rPr>
                <w:rFonts w:ascii="Cambria Math" w:hAnsi="Cambria Math"/>
                <w:sz w:val="24"/>
              </w:rPr>
              <m:t>2355</m:t>
            </m:r>
          </m:num>
          <m:den>
            <m:r>
              <w:rPr>
                <w:rFonts w:ascii="Cambria Math" w:hAnsi="Cambria Math"/>
                <w:sz w:val="24"/>
              </w:rPr>
              <m:t>3046</m:t>
            </m:r>
          </m:den>
        </m:f>
      </m:oMath>
      <w:r w:rsidRPr="002D0D08">
        <w:rPr>
          <w:rFonts w:ascii="Times New Roman" w:eastAsiaTheme="minorEastAsia" w:hAnsi="Times New Roman"/>
          <w:sz w:val="24"/>
        </w:rPr>
        <w:t xml:space="preserve"> = 0.77</w:t>
      </w:r>
    </w:p>
    <w:p w14:paraId="6D2A9145" w14:textId="77777777" w:rsidR="004A5F67" w:rsidRPr="004A5F67" w:rsidRDefault="004A5F67" w:rsidP="004A5F67">
      <w:pPr>
        <w:spacing w:line="360" w:lineRule="auto"/>
        <w:jc w:val="center"/>
        <w:rPr>
          <w:rFonts w:ascii="Times New Roman" w:eastAsiaTheme="minorEastAsia" w:hAnsi="Times New Roman"/>
          <w:sz w:val="24"/>
        </w:rPr>
      </w:pPr>
      <w:r w:rsidRPr="004A5F67">
        <w:rPr>
          <w:rFonts w:ascii="Times New Roman" w:hAnsi="Times New Roman"/>
          <w:sz w:val="24"/>
        </w:rPr>
        <w:t xml:space="preserve">2019: </w:t>
      </w:r>
      <m:oMath>
        <m:f>
          <m:fPr>
            <m:ctrlPr>
              <w:rPr>
                <w:rFonts w:ascii="Cambria Math" w:hAnsi="Cambria Math"/>
                <w:i/>
                <w:sz w:val="24"/>
              </w:rPr>
            </m:ctrlPr>
          </m:fPr>
          <m:num>
            <m:r>
              <w:rPr>
                <w:rFonts w:ascii="Cambria Math" w:hAnsi="Cambria Math"/>
                <w:sz w:val="24"/>
              </w:rPr>
              <m:t>2303</m:t>
            </m:r>
          </m:num>
          <m:den>
            <m:r>
              <w:rPr>
                <w:rFonts w:ascii="Cambria Math" w:hAnsi="Cambria Math"/>
                <w:sz w:val="24"/>
              </w:rPr>
              <m:t>2511</m:t>
            </m:r>
          </m:den>
        </m:f>
      </m:oMath>
      <w:r w:rsidRPr="004A5F67">
        <w:rPr>
          <w:rFonts w:ascii="Times New Roman" w:eastAsiaTheme="minorEastAsia" w:hAnsi="Times New Roman"/>
          <w:sz w:val="24"/>
        </w:rPr>
        <w:t xml:space="preserve"> =0.92</w:t>
      </w:r>
    </w:p>
    <w:p w14:paraId="1513F031" w14:textId="77777777" w:rsidR="004A5F67" w:rsidRPr="004A5F67" w:rsidRDefault="004A5F67" w:rsidP="004A5F67">
      <w:pPr>
        <w:spacing w:line="360" w:lineRule="auto"/>
        <w:jc w:val="both"/>
        <w:rPr>
          <w:rFonts w:ascii="Times New Roman" w:hAnsi="Times New Roman"/>
          <w:b/>
          <w:bCs/>
          <w:sz w:val="24"/>
        </w:rPr>
      </w:pPr>
      <w:r w:rsidRPr="004A5F67">
        <w:rPr>
          <w:rFonts w:ascii="Times New Roman" w:hAnsi="Times New Roman"/>
          <w:sz w:val="24"/>
        </w:rPr>
        <w:t xml:space="preserve">Quick ratio Calculation: </w:t>
      </w:r>
      <w:r w:rsidRPr="004A5F67">
        <w:rPr>
          <w:rFonts w:ascii="Times New Roman" w:hAnsi="Times New Roman"/>
          <w:b/>
          <w:bCs/>
          <w:sz w:val="24"/>
        </w:rPr>
        <w:t xml:space="preserve">(cash and cash equivalents + accounts receivables)/ total current liability </w:t>
      </w:r>
    </w:p>
    <w:p w14:paraId="38F23F79"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i/>
                <w:sz w:val="24"/>
              </w:rPr>
            </m:ctrlPr>
          </m:fPr>
          <m:num>
            <m:r>
              <w:rPr>
                <w:rFonts w:ascii="Cambria Math" w:hAnsi="Cambria Math"/>
                <w:sz w:val="24"/>
              </w:rPr>
              <m:t>177+232+1287</m:t>
            </m:r>
          </m:num>
          <m:den>
            <m:r>
              <w:rPr>
                <w:rFonts w:ascii="Cambria Math" w:hAnsi="Cambria Math"/>
                <w:sz w:val="24"/>
              </w:rPr>
              <m:t>3046</m:t>
            </m:r>
          </m:den>
        </m:f>
      </m:oMath>
      <w:r w:rsidRPr="004A5F67">
        <w:rPr>
          <w:rFonts w:ascii="Times New Roman" w:eastAsiaTheme="minorEastAsia" w:hAnsi="Times New Roman"/>
          <w:sz w:val="28"/>
          <w:szCs w:val="28"/>
        </w:rPr>
        <w:t xml:space="preserve"> = </w:t>
      </w:r>
      <w:r w:rsidRPr="004A5F67">
        <w:rPr>
          <w:rFonts w:ascii="Times New Roman" w:hAnsi="Times New Roman"/>
          <w:sz w:val="24"/>
        </w:rPr>
        <w:t>0.56</w:t>
      </w:r>
    </w:p>
    <w:p w14:paraId="4079DD39"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i/>
                <w:sz w:val="24"/>
              </w:rPr>
            </m:ctrlPr>
          </m:fPr>
          <m:num>
            <m:r>
              <w:rPr>
                <w:rFonts w:ascii="Cambria Math" w:hAnsi="Cambria Math"/>
                <w:sz w:val="24"/>
              </w:rPr>
              <m:t>201+145+1249</m:t>
            </m:r>
          </m:num>
          <m:den>
            <m:r>
              <w:rPr>
                <w:rFonts w:ascii="Cambria Math" w:hAnsi="Cambria Math"/>
                <w:sz w:val="24"/>
              </w:rPr>
              <m:t>3046</m:t>
            </m:r>
          </m:den>
        </m:f>
      </m:oMath>
      <w:r w:rsidRPr="004A5F67">
        <w:rPr>
          <w:rFonts w:ascii="Times New Roman" w:hAnsi="Times New Roman"/>
          <w:sz w:val="24"/>
        </w:rPr>
        <w:t xml:space="preserve"> =0.63</w:t>
      </w:r>
    </w:p>
    <w:p w14:paraId="1E28AC80" w14:textId="77777777" w:rsidR="004A5F67" w:rsidRPr="004A5F67" w:rsidRDefault="004A5F67" w:rsidP="004A5F67">
      <w:pPr>
        <w:spacing w:line="360" w:lineRule="auto"/>
        <w:jc w:val="both"/>
        <w:rPr>
          <w:rFonts w:ascii="Times New Roman" w:hAnsi="Times New Roman"/>
          <w:b/>
          <w:bCs/>
          <w:sz w:val="24"/>
        </w:rPr>
      </w:pPr>
      <w:r w:rsidRPr="004A5F67">
        <w:rPr>
          <w:rFonts w:ascii="Times New Roman" w:hAnsi="Times New Roman"/>
          <w:sz w:val="24"/>
        </w:rPr>
        <w:t xml:space="preserve">Cash ratio calculation: </w:t>
      </w:r>
      <w:r w:rsidRPr="004A5F67">
        <w:rPr>
          <w:rFonts w:ascii="Times New Roman" w:hAnsi="Times New Roman"/>
          <w:b/>
          <w:bCs/>
          <w:sz w:val="24"/>
        </w:rPr>
        <w:t>(cash and cash equivalents/ total current liability)</w:t>
      </w:r>
    </w:p>
    <w:p w14:paraId="196E6758"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177+232</m:t>
            </m:r>
          </m:num>
          <m:den>
            <m:r>
              <m:rPr>
                <m:sty m:val="p"/>
              </m:rPr>
              <w:rPr>
                <w:rFonts w:ascii="Cambria Math" w:hAnsi="Cambria Math"/>
                <w:sz w:val="24"/>
              </w:rPr>
              <m:t>3046</m:t>
            </m:r>
          </m:den>
        </m:f>
      </m:oMath>
      <w:r w:rsidRPr="004A5F67">
        <w:rPr>
          <w:rFonts w:ascii="Times New Roman" w:hAnsi="Times New Roman"/>
          <w:sz w:val="24"/>
        </w:rPr>
        <w:t xml:space="preserve"> = 0.13</w:t>
      </w:r>
    </w:p>
    <w:p w14:paraId="3B7F6154"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cs="Times New Roman"/>
                <w:sz w:val="24"/>
              </w:rPr>
            </m:ctrlPr>
          </m:fPr>
          <m:num>
            <m:r>
              <m:rPr>
                <m:sty m:val="p"/>
              </m:rPr>
              <w:rPr>
                <w:rFonts w:ascii="Cambria Math" w:hAnsi="Cambria Math" w:cs="Times New Roman"/>
                <w:sz w:val="24"/>
              </w:rPr>
              <m:t>201+145</m:t>
            </m:r>
          </m:num>
          <m:den>
            <m:r>
              <m:rPr>
                <m:sty m:val="p"/>
              </m:rPr>
              <w:rPr>
                <w:rFonts w:ascii="Cambria Math" w:hAnsi="Cambria Math" w:cs="Times New Roman"/>
                <w:sz w:val="24"/>
              </w:rPr>
              <m:t>3046</m:t>
            </m:r>
          </m:den>
        </m:f>
      </m:oMath>
      <w:r w:rsidRPr="004A5F67">
        <w:rPr>
          <w:rFonts w:ascii="Times New Roman" w:hAnsi="Times New Roman"/>
          <w:sz w:val="24"/>
        </w:rPr>
        <w:t xml:space="preserve"> = 0.14</w:t>
      </w:r>
    </w:p>
    <w:tbl>
      <w:tblPr>
        <w:tblStyle w:val="TableGrid"/>
        <w:tblW w:w="9315" w:type="dxa"/>
        <w:jc w:val="center"/>
        <w:tblLook w:val="04A0" w:firstRow="1" w:lastRow="0" w:firstColumn="1" w:lastColumn="0" w:noHBand="0" w:noVBand="1"/>
      </w:tblPr>
      <w:tblGrid>
        <w:gridCol w:w="5853"/>
        <w:gridCol w:w="1731"/>
        <w:gridCol w:w="1731"/>
      </w:tblGrid>
      <w:tr w:rsidR="004A5F67" w:rsidRPr="004A5F67" w14:paraId="296738C2" w14:textId="77777777" w:rsidTr="0027548D">
        <w:trPr>
          <w:trHeight w:val="430"/>
          <w:jc w:val="center"/>
        </w:trPr>
        <w:tc>
          <w:tcPr>
            <w:tcW w:w="5853" w:type="dxa"/>
            <w:noWrap/>
          </w:tcPr>
          <w:p w14:paraId="20C59C7F" w14:textId="77777777" w:rsidR="004A5F67" w:rsidRPr="004A5F67" w:rsidRDefault="004A5F67" w:rsidP="004A5F67">
            <w:pPr>
              <w:spacing w:line="360" w:lineRule="auto"/>
              <w:jc w:val="both"/>
              <w:rPr>
                <w:rFonts w:ascii="Times New Roman" w:hAnsi="Times New Roman"/>
                <w:b/>
                <w:bCs/>
                <w:sz w:val="24"/>
              </w:rPr>
            </w:pPr>
            <w:r w:rsidRPr="004A5F67">
              <w:rPr>
                <w:rFonts w:ascii="Times New Roman" w:hAnsi="Times New Roman"/>
                <w:b/>
                <w:bCs/>
                <w:sz w:val="24"/>
              </w:rPr>
              <w:t xml:space="preserve">Profitability ratios </w:t>
            </w:r>
          </w:p>
        </w:tc>
        <w:tc>
          <w:tcPr>
            <w:tcW w:w="1731" w:type="dxa"/>
            <w:noWrap/>
          </w:tcPr>
          <w:p w14:paraId="58118AD4" w14:textId="77777777" w:rsidR="004A5F67" w:rsidRPr="004A5F67" w:rsidRDefault="004A5F67" w:rsidP="004A5F67">
            <w:pPr>
              <w:spacing w:line="360" w:lineRule="auto"/>
              <w:jc w:val="both"/>
              <w:rPr>
                <w:rFonts w:ascii="Times New Roman" w:hAnsi="Times New Roman"/>
                <w:b/>
                <w:bCs/>
                <w:sz w:val="24"/>
              </w:rPr>
            </w:pPr>
            <w:r w:rsidRPr="004A5F67">
              <w:rPr>
                <w:rFonts w:ascii="Times New Roman" w:hAnsi="Times New Roman"/>
                <w:b/>
                <w:bCs/>
                <w:sz w:val="24"/>
              </w:rPr>
              <w:t>2018</w:t>
            </w:r>
          </w:p>
        </w:tc>
        <w:tc>
          <w:tcPr>
            <w:tcW w:w="1731" w:type="dxa"/>
            <w:noWrap/>
          </w:tcPr>
          <w:p w14:paraId="3407C6ED" w14:textId="77777777" w:rsidR="004A5F67" w:rsidRPr="004A5F67" w:rsidRDefault="004A5F67" w:rsidP="004A5F67">
            <w:pPr>
              <w:spacing w:line="360" w:lineRule="auto"/>
              <w:jc w:val="both"/>
              <w:rPr>
                <w:rFonts w:ascii="Times New Roman" w:hAnsi="Times New Roman"/>
                <w:b/>
                <w:bCs/>
                <w:sz w:val="24"/>
              </w:rPr>
            </w:pPr>
            <w:r w:rsidRPr="004A5F67">
              <w:rPr>
                <w:rFonts w:ascii="Times New Roman" w:hAnsi="Times New Roman"/>
                <w:b/>
                <w:bCs/>
                <w:sz w:val="24"/>
              </w:rPr>
              <w:t>2019</w:t>
            </w:r>
          </w:p>
        </w:tc>
      </w:tr>
      <w:tr w:rsidR="004A5F67" w:rsidRPr="004A5F67" w14:paraId="52625F0B" w14:textId="77777777" w:rsidTr="0027548D">
        <w:trPr>
          <w:trHeight w:val="430"/>
          <w:jc w:val="center"/>
        </w:trPr>
        <w:tc>
          <w:tcPr>
            <w:tcW w:w="5853" w:type="dxa"/>
            <w:noWrap/>
            <w:hideMark/>
          </w:tcPr>
          <w:p w14:paraId="77F928F7"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Gross profit margin</w:t>
            </w:r>
          </w:p>
        </w:tc>
        <w:tc>
          <w:tcPr>
            <w:tcW w:w="1731" w:type="dxa"/>
            <w:noWrap/>
            <w:hideMark/>
          </w:tcPr>
          <w:p w14:paraId="2CA5784E"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51.93%</w:t>
            </w:r>
          </w:p>
        </w:tc>
        <w:tc>
          <w:tcPr>
            <w:tcW w:w="1731" w:type="dxa"/>
            <w:noWrap/>
            <w:hideMark/>
          </w:tcPr>
          <w:p w14:paraId="63050374"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51.99%</w:t>
            </w:r>
          </w:p>
        </w:tc>
      </w:tr>
      <w:tr w:rsidR="004A5F67" w:rsidRPr="004A5F67" w14:paraId="02047D07" w14:textId="77777777" w:rsidTr="0027548D">
        <w:trPr>
          <w:trHeight w:val="430"/>
          <w:jc w:val="center"/>
        </w:trPr>
        <w:tc>
          <w:tcPr>
            <w:tcW w:w="5853" w:type="dxa"/>
            <w:noWrap/>
            <w:hideMark/>
          </w:tcPr>
          <w:p w14:paraId="22E50409"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Net profit margin</w:t>
            </w:r>
          </w:p>
        </w:tc>
        <w:tc>
          <w:tcPr>
            <w:tcW w:w="1731" w:type="dxa"/>
            <w:noWrap/>
            <w:hideMark/>
          </w:tcPr>
          <w:p w14:paraId="46D89B58"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5.68%</w:t>
            </w:r>
          </w:p>
        </w:tc>
        <w:tc>
          <w:tcPr>
            <w:tcW w:w="1731" w:type="dxa"/>
            <w:noWrap/>
            <w:hideMark/>
          </w:tcPr>
          <w:p w14:paraId="7ECC6325"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6.40%</w:t>
            </w:r>
          </w:p>
        </w:tc>
      </w:tr>
      <w:tr w:rsidR="004A5F67" w:rsidRPr="004A5F67" w14:paraId="48068085" w14:textId="77777777" w:rsidTr="0027548D">
        <w:trPr>
          <w:trHeight w:val="430"/>
          <w:jc w:val="center"/>
        </w:trPr>
        <w:tc>
          <w:tcPr>
            <w:tcW w:w="5853" w:type="dxa"/>
            <w:noWrap/>
          </w:tcPr>
          <w:p w14:paraId="013D2F51"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Return on asset </w:t>
            </w:r>
          </w:p>
        </w:tc>
        <w:tc>
          <w:tcPr>
            <w:tcW w:w="1731" w:type="dxa"/>
            <w:noWrap/>
          </w:tcPr>
          <w:p w14:paraId="234CEBA1"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3.63%</w:t>
            </w:r>
          </w:p>
        </w:tc>
        <w:tc>
          <w:tcPr>
            <w:tcW w:w="1731" w:type="dxa"/>
            <w:noWrap/>
          </w:tcPr>
          <w:p w14:paraId="58F8489C"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4.43%</w:t>
            </w:r>
          </w:p>
        </w:tc>
      </w:tr>
      <w:tr w:rsidR="004A5F67" w:rsidRPr="004A5F67" w14:paraId="760837D3" w14:textId="77777777" w:rsidTr="0027548D">
        <w:trPr>
          <w:trHeight w:val="430"/>
          <w:jc w:val="center"/>
        </w:trPr>
        <w:tc>
          <w:tcPr>
            <w:tcW w:w="5853" w:type="dxa"/>
            <w:noWrap/>
          </w:tcPr>
          <w:p w14:paraId="3C7D496E"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Return on equity </w:t>
            </w:r>
          </w:p>
        </w:tc>
        <w:tc>
          <w:tcPr>
            <w:tcW w:w="1731" w:type="dxa"/>
            <w:noWrap/>
          </w:tcPr>
          <w:p w14:paraId="2D76D602"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12.56%</w:t>
            </w:r>
          </w:p>
        </w:tc>
        <w:tc>
          <w:tcPr>
            <w:tcW w:w="1731" w:type="dxa"/>
            <w:noWrap/>
          </w:tcPr>
          <w:p w14:paraId="42FCC46C"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13.96%</w:t>
            </w:r>
          </w:p>
        </w:tc>
      </w:tr>
    </w:tbl>
    <w:p w14:paraId="34529CA1" w14:textId="77777777" w:rsidR="004A5F67" w:rsidRPr="004A5F67" w:rsidRDefault="004A5F67" w:rsidP="004A5F67">
      <w:pPr>
        <w:spacing w:line="360" w:lineRule="auto"/>
        <w:jc w:val="both"/>
        <w:rPr>
          <w:rFonts w:ascii="Times New Roman" w:hAnsi="Times New Roman"/>
          <w:sz w:val="24"/>
        </w:rPr>
      </w:pPr>
    </w:p>
    <w:p w14:paraId="604F9372"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Gross profit ratio: </w:t>
      </w:r>
      <w:r w:rsidRPr="004A5F67">
        <w:rPr>
          <w:rFonts w:ascii="Times New Roman" w:hAnsi="Times New Roman"/>
          <w:b/>
          <w:bCs/>
          <w:sz w:val="24"/>
        </w:rPr>
        <w:t>(gross profit/total sales revenue)</w:t>
      </w:r>
    </w:p>
    <w:p w14:paraId="67D856C7"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lastRenderedPageBreak/>
        <w:t xml:space="preserve">2018: </w:t>
      </w:r>
      <m:oMath>
        <m:f>
          <m:fPr>
            <m:ctrlPr>
              <w:rPr>
                <w:rFonts w:ascii="Cambria Math" w:hAnsi="Cambria Math" w:cs="Times New Roman"/>
                <w:i/>
                <w:sz w:val="24"/>
              </w:rPr>
            </m:ctrlPr>
          </m:fPr>
          <m:num>
            <m:r>
              <w:rPr>
                <w:rFonts w:ascii="Cambria Math" w:hAnsi="Cambria Math" w:cs="Times New Roman"/>
                <w:sz w:val="24"/>
              </w:rPr>
              <m:t>3345</m:t>
            </m:r>
          </m:num>
          <m:den>
            <m:r>
              <w:rPr>
                <w:rFonts w:ascii="Cambria Math" w:hAnsi="Cambria Math" w:cs="Times New Roman"/>
                <w:sz w:val="24"/>
              </w:rPr>
              <m:t>6441</m:t>
            </m:r>
          </m:den>
        </m:f>
      </m:oMath>
      <w:r w:rsidRPr="004A5F67">
        <w:rPr>
          <w:rFonts w:ascii="Times New Roman" w:eastAsiaTheme="minorEastAsia" w:hAnsi="Times New Roman"/>
          <w:sz w:val="24"/>
        </w:rPr>
        <w:t xml:space="preserve"> *100 = </w:t>
      </w:r>
      <w:r w:rsidRPr="004A5F67">
        <w:rPr>
          <w:rFonts w:ascii="Times New Roman" w:hAnsi="Times New Roman"/>
          <w:sz w:val="24"/>
        </w:rPr>
        <w:t>51.93%</w:t>
      </w:r>
    </w:p>
    <w:p w14:paraId="7185EC61"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3503</m:t>
            </m:r>
          </m:num>
          <m:den>
            <m:r>
              <w:rPr>
                <w:rFonts w:ascii="Cambria Math" w:hAnsi="Cambria Math" w:cs="Times New Roman"/>
                <w:sz w:val="24"/>
              </w:rPr>
              <m:t>6738</m:t>
            </m:r>
          </m:den>
        </m:f>
      </m:oMath>
      <w:r w:rsidRPr="004A5F67">
        <w:rPr>
          <w:rFonts w:ascii="Times New Roman" w:eastAsiaTheme="minorEastAsia" w:hAnsi="Times New Roman"/>
          <w:sz w:val="24"/>
        </w:rPr>
        <w:t xml:space="preserve">*100= </w:t>
      </w:r>
      <w:r w:rsidRPr="004A5F67">
        <w:rPr>
          <w:rFonts w:ascii="Times New Roman" w:hAnsi="Times New Roman"/>
          <w:sz w:val="24"/>
        </w:rPr>
        <w:t>51.99%</w:t>
      </w:r>
    </w:p>
    <w:p w14:paraId="39CA2825"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Net Profit margin: </w:t>
      </w:r>
      <w:r w:rsidRPr="004A5F67">
        <w:rPr>
          <w:rFonts w:ascii="Times New Roman" w:hAnsi="Times New Roman"/>
          <w:b/>
          <w:bCs/>
          <w:sz w:val="24"/>
        </w:rPr>
        <w:t>(net profit/total sales revenue)</w:t>
      </w:r>
    </w:p>
    <w:p w14:paraId="1B72E44B" w14:textId="77777777" w:rsidR="004A5F67" w:rsidRPr="004A5F67" w:rsidRDefault="004A5F67" w:rsidP="004A5F67">
      <w:pPr>
        <w:spacing w:line="360" w:lineRule="auto"/>
        <w:jc w:val="center"/>
        <w:rPr>
          <w:rFonts w:ascii="Times New Roman" w:eastAsiaTheme="minorEastAsia" w:hAnsi="Times New Roman"/>
          <w:sz w:val="24"/>
        </w:rPr>
      </w:pPr>
      <w:r w:rsidRPr="004A5F67">
        <w:rPr>
          <w:rFonts w:ascii="Times New Roman" w:hAnsi="Times New Roman"/>
          <w:sz w:val="24"/>
        </w:rPr>
        <w:t xml:space="preserve">2018: </w:t>
      </w:r>
      <m:oMath>
        <m:f>
          <m:fPr>
            <m:ctrlPr>
              <w:rPr>
                <w:rFonts w:ascii="Cambria Math" w:hAnsi="Cambria Math" w:cs="Times New Roman"/>
                <w:i/>
                <w:sz w:val="24"/>
              </w:rPr>
            </m:ctrlPr>
          </m:fPr>
          <m:num>
            <m:r>
              <w:rPr>
                <w:rFonts w:ascii="Cambria Math" w:hAnsi="Cambria Math" w:cs="Times New Roman"/>
                <w:sz w:val="24"/>
              </w:rPr>
              <m:t>366</m:t>
            </m:r>
          </m:num>
          <m:den>
            <m:r>
              <w:rPr>
                <w:rFonts w:ascii="Cambria Math" w:hAnsi="Cambria Math" w:cs="Times New Roman"/>
                <w:sz w:val="24"/>
              </w:rPr>
              <m:t>6441</m:t>
            </m:r>
          </m:den>
        </m:f>
      </m:oMath>
      <w:r w:rsidRPr="004A5F67">
        <w:rPr>
          <w:rFonts w:ascii="Times New Roman" w:eastAsiaTheme="minorEastAsia" w:hAnsi="Times New Roman"/>
          <w:sz w:val="24"/>
        </w:rPr>
        <w:t xml:space="preserve">*100 = </w:t>
      </w:r>
      <w:r w:rsidRPr="004A5F67">
        <w:rPr>
          <w:rFonts w:ascii="Times New Roman" w:hAnsi="Times New Roman"/>
          <w:sz w:val="24"/>
        </w:rPr>
        <w:t>5.68%</w:t>
      </w:r>
    </w:p>
    <w:p w14:paraId="21ACC459" w14:textId="77777777" w:rsidR="004A5F67" w:rsidRPr="004A5F67" w:rsidRDefault="004A5F67" w:rsidP="004A5F67">
      <w:pPr>
        <w:spacing w:line="360" w:lineRule="auto"/>
        <w:jc w:val="center"/>
        <w:rPr>
          <w:rFonts w:ascii="Times New Roman" w:hAnsi="Times New Roman"/>
          <w:sz w:val="24"/>
        </w:rPr>
      </w:pPr>
      <w:r w:rsidRPr="004A5F67">
        <w:rPr>
          <w:rFonts w:ascii="Times New Roman" w:eastAsiaTheme="minorEastAsia"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431</m:t>
            </m:r>
          </m:num>
          <m:den>
            <m:r>
              <w:rPr>
                <w:rFonts w:ascii="Cambria Math" w:hAnsi="Cambria Math" w:cs="Times New Roman"/>
                <w:sz w:val="24"/>
              </w:rPr>
              <m:t>6738</m:t>
            </m:r>
          </m:den>
        </m:f>
      </m:oMath>
      <w:r w:rsidRPr="004A5F67">
        <w:rPr>
          <w:rFonts w:ascii="Times New Roman" w:eastAsiaTheme="minorEastAsia" w:hAnsi="Times New Roman"/>
          <w:sz w:val="24"/>
        </w:rPr>
        <w:t xml:space="preserve">*100 = </w:t>
      </w:r>
      <w:r w:rsidRPr="004A5F67">
        <w:rPr>
          <w:rFonts w:ascii="Times New Roman" w:hAnsi="Times New Roman"/>
          <w:sz w:val="24"/>
        </w:rPr>
        <w:t>6.40%</w:t>
      </w:r>
    </w:p>
    <w:p w14:paraId="7BF55F86"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Return on asset: </w:t>
      </w:r>
      <w:r w:rsidRPr="004A5F67">
        <w:rPr>
          <w:rFonts w:ascii="Times New Roman" w:hAnsi="Times New Roman"/>
          <w:b/>
          <w:bCs/>
          <w:sz w:val="24"/>
        </w:rPr>
        <w:t>(net profit/total asset)</w:t>
      </w:r>
    </w:p>
    <w:p w14:paraId="0F5E85AD"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i/>
                <w:sz w:val="24"/>
              </w:rPr>
            </m:ctrlPr>
          </m:fPr>
          <m:num>
            <m:r>
              <w:rPr>
                <w:rFonts w:ascii="Cambria Math" w:hAnsi="Cambria Math"/>
                <w:sz w:val="24"/>
              </w:rPr>
              <m:t>366</m:t>
            </m:r>
          </m:num>
          <m:den>
            <m:r>
              <w:rPr>
                <w:rFonts w:ascii="Cambria Math" w:hAnsi="Cambria Math"/>
                <w:sz w:val="24"/>
              </w:rPr>
              <m:t>10087</m:t>
            </m:r>
          </m:den>
        </m:f>
      </m:oMath>
      <w:r w:rsidRPr="004A5F67">
        <w:rPr>
          <w:rFonts w:ascii="Times New Roman" w:eastAsiaTheme="minorEastAsia" w:hAnsi="Times New Roman"/>
          <w:sz w:val="24"/>
        </w:rPr>
        <w:t xml:space="preserve"> *100= </w:t>
      </w:r>
      <w:r w:rsidRPr="004A5F67">
        <w:rPr>
          <w:rFonts w:ascii="Times New Roman" w:eastAsiaTheme="minorEastAsia" w:hAnsi="Times New Roman"/>
          <w:sz w:val="24"/>
          <w:szCs w:val="24"/>
        </w:rPr>
        <w:t>3.63%</w:t>
      </w:r>
    </w:p>
    <w:p w14:paraId="383B0A33"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i/>
                <w:sz w:val="24"/>
              </w:rPr>
            </m:ctrlPr>
          </m:fPr>
          <m:num>
            <m:r>
              <w:rPr>
                <w:rFonts w:ascii="Cambria Math" w:hAnsi="Cambria Math"/>
                <w:sz w:val="24"/>
              </w:rPr>
              <m:t>431</m:t>
            </m:r>
          </m:num>
          <m:den>
            <m:r>
              <w:rPr>
                <w:rFonts w:ascii="Cambria Math" w:hAnsi="Cambria Math"/>
                <w:sz w:val="24"/>
              </w:rPr>
              <m:t>9736</m:t>
            </m:r>
          </m:den>
        </m:f>
      </m:oMath>
      <w:r w:rsidRPr="004A5F67">
        <w:rPr>
          <w:rFonts w:ascii="Times New Roman" w:eastAsiaTheme="minorEastAsia" w:hAnsi="Times New Roman"/>
          <w:sz w:val="24"/>
        </w:rPr>
        <w:t xml:space="preserve">*100 = </w:t>
      </w:r>
      <w:r w:rsidRPr="004A5F67">
        <w:rPr>
          <w:rFonts w:ascii="Times New Roman" w:hAnsi="Times New Roman"/>
          <w:sz w:val="24"/>
        </w:rPr>
        <w:t>4.43%</w:t>
      </w:r>
    </w:p>
    <w:p w14:paraId="4C0323E3"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Return on equity: </w:t>
      </w:r>
      <w:r w:rsidRPr="004A5F67">
        <w:rPr>
          <w:rFonts w:ascii="Times New Roman" w:hAnsi="Times New Roman"/>
          <w:b/>
          <w:bCs/>
          <w:sz w:val="24"/>
        </w:rPr>
        <w:t>(net profit/total equity)</w:t>
      </w:r>
    </w:p>
    <w:p w14:paraId="2F84A1BE"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cs="Times New Roman"/>
                <w:i/>
                <w:sz w:val="24"/>
              </w:rPr>
            </m:ctrlPr>
          </m:fPr>
          <m:num>
            <m:r>
              <w:rPr>
                <w:rFonts w:ascii="Cambria Math" w:hAnsi="Cambria Math" w:cs="Times New Roman"/>
                <w:sz w:val="24"/>
              </w:rPr>
              <m:t>366</m:t>
            </m:r>
          </m:num>
          <m:den>
            <m:r>
              <w:rPr>
                <w:rFonts w:ascii="Cambria Math" w:hAnsi="Cambria Math" w:cs="Times New Roman"/>
                <w:sz w:val="24"/>
              </w:rPr>
              <m:t>2912</m:t>
            </m:r>
          </m:den>
        </m:f>
      </m:oMath>
      <w:r w:rsidRPr="004A5F67">
        <w:rPr>
          <w:rFonts w:ascii="Times New Roman" w:eastAsiaTheme="minorEastAsia" w:hAnsi="Times New Roman"/>
          <w:sz w:val="24"/>
        </w:rPr>
        <w:t xml:space="preserve">*100 = </w:t>
      </w:r>
      <w:r w:rsidRPr="004A5F67">
        <w:rPr>
          <w:rFonts w:ascii="Times New Roman" w:hAnsi="Times New Roman"/>
          <w:sz w:val="24"/>
        </w:rPr>
        <w:t>12.56%</w:t>
      </w:r>
    </w:p>
    <w:p w14:paraId="0E3DCD8B"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431</m:t>
            </m:r>
          </m:num>
          <m:den>
            <m:r>
              <w:rPr>
                <w:rFonts w:ascii="Cambria Math" w:hAnsi="Cambria Math" w:cs="Times New Roman"/>
                <w:sz w:val="24"/>
              </w:rPr>
              <m:t>3088</m:t>
            </m:r>
          </m:den>
        </m:f>
      </m:oMath>
      <w:r w:rsidRPr="004A5F67">
        <w:rPr>
          <w:rFonts w:ascii="Times New Roman" w:eastAsiaTheme="minorEastAsia" w:hAnsi="Times New Roman"/>
          <w:sz w:val="24"/>
        </w:rPr>
        <w:t>*100 =</w:t>
      </w:r>
      <w:r w:rsidRPr="004A5F67">
        <w:rPr>
          <w:rFonts w:ascii="Times New Roman" w:hAnsi="Times New Roman"/>
          <w:sz w:val="24"/>
        </w:rPr>
        <w:t>13.96%</w:t>
      </w:r>
    </w:p>
    <w:tbl>
      <w:tblPr>
        <w:tblStyle w:val="TableGrid"/>
        <w:tblW w:w="0" w:type="auto"/>
        <w:tblLook w:val="04A0" w:firstRow="1" w:lastRow="0" w:firstColumn="1" w:lastColumn="0" w:noHBand="0" w:noVBand="1"/>
      </w:tblPr>
      <w:tblGrid>
        <w:gridCol w:w="4716"/>
        <w:gridCol w:w="2150"/>
        <w:gridCol w:w="2150"/>
      </w:tblGrid>
      <w:tr w:rsidR="004A5F67" w:rsidRPr="004A5F67" w14:paraId="7418986C" w14:textId="77777777" w:rsidTr="0027548D">
        <w:trPr>
          <w:trHeight w:val="282"/>
        </w:trPr>
        <w:tc>
          <w:tcPr>
            <w:tcW w:w="4746" w:type="dxa"/>
            <w:noWrap/>
            <w:hideMark/>
          </w:tcPr>
          <w:p w14:paraId="740306F7"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Leverage ratios</w:t>
            </w:r>
          </w:p>
        </w:tc>
        <w:tc>
          <w:tcPr>
            <w:tcW w:w="2162" w:type="dxa"/>
            <w:noWrap/>
            <w:hideMark/>
          </w:tcPr>
          <w:p w14:paraId="332F17C9"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2018</w:t>
            </w:r>
          </w:p>
        </w:tc>
        <w:tc>
          <w:tcPr>
            <w:tcW w:w="2162" w:type="dxa"/>
            <w:noWrap/>
            <w:hideMark/>
          </w:tcPr>
          <w:p w14:paraId="30B03CC8"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2019</w:t>
            </w:r>
          </w:p>
        </w:tc>
      </w:tr>
      <w:tr w:rsidR="004A5F67" w:rsidRPr="004A5F67" w14:paraId="1CF7F242" w14:textId="77777777" w:rsidTr="0027548D">
        <w:trPr>
          <w:trHeight w:val="282"/>
        </w:trPr>
        <w:tc>
          <w:tcPr>
            <w:tcW w:w="4746" w:type="dxa"/>
            <w:noWrap/>
            <w:hideMark/>
          </w:tcPr>
          <w:p w14:paraId="6E9C6A48"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Debt to equity ratio</w:t>
            </w:r>
          </w:p>
        </w:tc>
        <w:tc>
          <w:tcPr>
            <w:tcW w:w="2162" w:type="dxa"/>
            <w:noWrap/>
            <w:hideMark/>
          </w:tcPr>
          <w:p w14:paraId="01A64086"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2.463942308</w:t>
            </w:r>
          </w:p>
        </w:tc>
        <w:tc>
          <w:tcPr>
            <w:tcW w:w="2162" w:type="dxa"/>
            <w:noWrap/>
            <w:hideMark/>
          </w:tcPr>
          <w:p w14:paraId="62060B9A"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2.152849741</w:t>
            </w:r>
          </w:p>
        </w:tc>
      </w:tr>
      <w:tr w:rsidR="004A5F67" w:rsidRPr="004A5F67" w14:paraId="391DB6A0" w14:textId="77777777" w:rsidTr="0027548D">
        <w:trPr>
          <w:trHeight w:val="282"/>
        </w:trPr>
        <w:tc>
          <w:tcPr>
            <w:tcW w:w="4746" w:type="dxa"/>
            <w:noWrap/>
            <w:hideMark/>
          </w:tcPr>
          <w:p w14:paraId="6F158EB6"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Debt ratio</w:t>
            </w:r>
          </w:p>
        </w:tc>
        <w:tc>
          <w:tcPr>
            <w:tcW w:w="2162" w:type="dxa"/>
            <w:noWrap/>
            <w:hideMark/>
          </w:tcPr>
          <w:p w14:paraId="2910D9EC"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0.711311589</w:t>
            </w:r>
          </w:p>
        </w:tc>
        <w:tc>
          <w:tcPr>
            <w:tcW w:w="2162" w:type="dxa"/>
            <w:noWrap/>
            <w:hideMark/>
          </w:tcPr>
          <w:p w14:paraId="06850BAE"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0.682826623</w:t>
            </w:r>
          </w:p>
        </w:tc>
      </w:tr>
      <w:tr w:rsidR="004A5F67" w:rsidRPr="004A5F67" w14:paraId="15E36A39" w14:textId="77777777" w:rsidTr="0027548D">
        <w:trPr>
          <w:trHeight w:val="282"/>
        </w:trPr>
        <w:tc>
          <w:tcPr>
            <w:tcW w:w="4746" w:type="dxa"/>
            <w:noWrap/>
            <w:hideMark/>
          </w:tcPr>
          <w:p w14:paraId="43F3FC9B"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Interest coverage ratio</w:t>
            </w:r>
          </w:p>
        </w:tc>
        <w:tc>
          <w:tcPr>
            <w:tcW w:w="2162" w:type="dxa"/>
            <w:noWrap/>
            <w:hideMark/>
          </w:tcPr>
          <w:p w14:paraId="022E900B"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3.86 times </w:t>
            </w:r>
          </w:p>
        </w:tc>
        <w:tc>
          <w:tcPr>
            <w:tcW w:w="2162" w:type="dxa"/>
            <w:noWrap/>
            <w:hideMark/>
          </w:tcPr>
          <w:p w14:paraId="4F589F48"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3.56 times </w:t>
            </w:r>
          </w:p>
        </w:tc>
      </w:tr>
    </w:tbl>
    <w:p w14:paraId="506EC7C0" w14:textId="77777777" w:rsidR="004A5F67" w:rsidRPr="004A5F67" w:rsidRDefault="004A5F67" w:rsidP="004A5F67">
      <w:pPr>
        <w:spacing w:line="360" w:lineRule="auto"/>
        <w:jc w:val="both"/>
        <w:rPr>
          <w:rFonts w:ascii="Times New Roman" w:hAnsi="Times New Roman"/>
          <w:sz w:val="24"/>
        </w:rPr>
      </w:pPr>
    </w:p>
    <w:p w14:paraId="44F1EFAF"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Debt to equity ratio: (total debt/total equity)</w:t>
      </w:r>
    </w:p>
    <w:p w14:paraId="1084EBBD"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3046+4129</m:t>
            </m:r>
          </m:num>
          <m:den>
            <m:r>
              <m:rPr>
                <m:sty m:val="p"/>
              </m:rPr>
              <w:rPr>
                <w:rFonts w:ascii="Cambria Math" w:hAnsi="Cambria Math"/>
                <w:sz w:val="24"/>
              </w:rPr>
              <m:t>2912</m:t>
            </m:r>
          </m:den>
        </m:f>
      </m:oMath>
      <w:r w:rsidRPr="004A5F67">
        <w:rPr>
          <w:rFonts w:ascii="Times New Roman" w:eastAsiaTheme="minorEastAsia" w:hAnsi="Times New Roman"/>
          <w:sz w:val="24"/>
        </w:rPr>
        <w:t xml:space="preserve"> = 2.46</w:t>
      </w:r>
    </w:p>
    <w:p w14:paraId="565458FF"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sz w:val="24"/>
              </w:rPr>
            </m:ctrlPr>
          </m:fPr>
          <m:num>
            <m:r>
              <m:rPr>
                <m:sty m:val="p"/>
              </m:rPr>
              <w:rPr>
                <w:rFonts w:ascii="Cambria Math" w:hAnsi="Cambria Math"/>
                <w:sz w:val="24"/>
              </w:rPr>
              <m:t>2511+4137</m:t>
            </m:r>
          </m:num>
          <m:den>
            <m:r>
              <m:rPr>
                <m:sty m:val="p"/>
              </m:rPr>
              <w:rPr>
                <w:rFonts w:ascii="Cambria Math" w:hAnsi="Cambria Math"/>
                <w:sz w:val="24"/>
              </w:rPr>
              <m:t>3088</m:t>
            </m:r>
          </m:den>
        </m:f>
      </m:oMath>
      <w:r w:rsidRPr="004A5F67">
        <w:rPr>
          <w:rFonts w:ascii="Times New Roman" w:eastAsiaTheme="minorEastAsia" w:hAnsi="Times New Roman"/>
          <w:sz w:val="24"/>
        </w:rPr>
        <w:t xml:space="preserve"> =2.15</w:t>
      </w:r>
    </w:p>
    <w:p w14:paraId="7CE71656"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Debt ratio: (total debt/total asset)</w:t>
      </w:r>
    </w:p>
    <w:p w14:paraId="4850CA11"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3046+4129</m:t>
            </m:r>
          </m:num>
          <m:den>
            <m:r>
              <m:rPr>
                <m:sty m:val="p"/>
              </m:rPr>
              <w:rPr>
                <w:rFonts w:ascii="Cambria Math" w:hAnsi="Cambria Math"/>
                <w:sz w:val="24"/>
              </w:rPr>
              <m:t>10087</m:t>
            </m:r>
          </m:den>
        </m:f>
      </m:oMath>
      <w:r w:rsidRPr="004A5F67">
        <w:rPr>
          <w:rFonts w:ascii="Times New Roman" w:eastAsiaTheme="minorEastAsia" w:hAnsi="Times New Roman"/>
          <w:sz w:val="24"/>
        </w:rPr>
        <w:t xml:space="preserve"> = 0.71</w:t>
      </w:r>
    </w:p>
    <w:p w14:paraId="5E64CC82"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sz w:val="24"/>
              </w:rPr>
            </m:ctrlPr>
          </m:fPr>
          <m:num>
            <m:r>
              <m:rPr>
                <m:sty m:val="p"/>
              </m:rPr>
              <w:rPr>
                <w:rFonts w:ascii="Cambria Math" w:hAnsi="Cambria Math"/>
                <w:sz w:val="24"/>
              </w:rPr>
              <m:t>2511+4137</m:t>
            </m:r>
          </m:num>
          <m:den>
            <m:r>
              <m:rPr>
                <m:sty m:val="p"/>
              </m:rPr>
              <w:rPr>
                <w:rFonts w:ascii="Cambria Math" w:hAnsi="Cambria Math"/>
                <w:sz w:val="24"/>
              </w:rPr>
              <m:t>9736</m:t>
            </m:r>
          </m:den>
        </m:f>
      </m:oMath>
      <w:r w:rsidRPr="004A5F67">
        <w:rPr>
          <w:rFonts w:ascii="Times New Roman" w:eastAsiaTheme="minorEastAsia" w:hAnsi="Times New Roman"/>
          <w:sz w:val="24"/>
        </w:rPr>
        <w:t xml:space="preserve"> =0.68</w:t>
      </w:r>
    </w:p>
    <w:p w14:paraId="5C068B5D"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 xml:space="preserve">Interest coverage ratio: (operating profit/interest expense): </w:t>
      </w:r>
    </w:p>
    <w:p w14:paraId="021D5D75"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lastRenderedPageBreak/>
        <w:t xml:space="preserve">2018: </w:t>
      </w:r>
      <m:oMath>
        <m:f>
          <m:fPr>
            <m:ctrlPr>
              <w:rPr>
                <w:rFonts w:ascii="Cambria Math" w:hAnsi="Cambria Math" w:cs="Times New Roman"/>
                <w:i/>
                <w:sz w:val="24"/>
              </w:rPr>
            </m:ctrlPr>
          </m:fPr>
          <m:num>
            <m:r>
              <w:rPr>
                <w:rFonts w:ascii="Cambria Math" w:hAnsi="Cambria Math" w:cs="Times New Roman"/>
                <w:sz w:val="24"/>
              </w:rPr>
              <m:t>699</m:t>
            </m:r>
          </m:num>
          <m:den>
            <m:r>
              <w:rPr>
                <w:rFonts w:ascii="Cambria Math" w:hAnsi="Cambria Math" w:cs="Times New Roman"/>
                <w:sz w:val="24"/>
              </w:rPr>
              <m:t>181</m:t>
            </m:r>
          </m:den>
        </m:f>
      </m:oMath>
      <w:r w:rsidRPr="004A5F67">
        <w:rPr>
          <w:rFonts w:ascii="Times New Roman" w:eastAsiaTheme="minorEastAsia" w:hAnsi="Times New Roman"/>
          <w:sz w:val="24"/>
        </w:rPr>
        <w:t xml:space="preserve"> = 3.86 times</w:t>
      </w:r>
    </w:p>
    <w:p w14:paraId="3B970FD8" w14:textId="77777777" w:rsidR="004A5F67" w:rsidRPr="004A5F67" w:rsidRDefault="004A5F67" w:rsidP="004A5F67">
      <w:pPr>
        <w:spacing w:line="360" w:lineRule="auto"/>
        <w:jc w:val="center"/>
        <w:rPr>
          <w:rFonts w:ascii="Times New Roman" w:hAnsi="Times New Roman"/>
          <w:sz w:val="24"/>
        </w:rPr>
      </w:pPr>
      <w:r w:rsidRPr="004A5F67">
        <w:rPr>
          <w:rFonts w:ascii="Times New Roman"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805</m:t>
            </m:r>
          </m:num>
          <m:den>
            <m:r>
              <w:rPr>
                <w:rFonts w:ascii="Cambria Math" w:hAnsi="Cambria Math" w:cs="Times New Roman"/>
                <w:sz w:val="24"/>
              </w:rPr>
              <m:t>226</m:t>
            </m:r>
          </m:den>
        </m:f>
      </m:oMath>
      <w:r w:rsidRPr="004A5F67">
        <w:rPr>
          <w:rFonts w:ascii="Times New Roman" w:eastAsiaTheme="minorEastAsia" w:hAnsi="Times New Roman"/>
          <w:sz w:val="24"/>
        </w:rPr>
        <w:t xml:space="preserve"> =3.56 times</w:t>
      </w:r>
    </w:p>
    <w:tbl>
      <w:tblPr>
        <w:tblStyle w:val="TableGrid"/>
        <w:tblW w:w="0" w:type="auto"/>
        <w:tblLook w:val="04A0" w:firstRow="1" w:lastRow="0" w:firstColumn="1" w:lastColumn="0" w:noHBand="0" w:noVBand="1"/>
      </w:tblPr>
      <w:tblGrid>
        <w:gridCol w:w="5878"/>
        <w:gridCol w:w="1569"/>
        <w:gridCol w:w="1569"/>
      </w:tblGrid>
      <w:tr w:rsidR="004A5F67" w:rsidRPr="004A5F67" w14:paraId="2E0B558E" w14:textId="77777777" w:rsidTr="0027548D">
        <w:trPr>
          <w:trHeight w:val="266"/>
        </w:trPr>
        <w:tc>
          <w:tcPr>
            <w:tcW w:w="5888" w:type="dxa"/>
            <w:noWrap/>
            <w:hideMark/>
          </w:tcPr>
          <w:p w14:paraId="2D47B01B"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Efficiency ratios</w:t>
            </w:r>
          </w:p>
        </w:tc>
        <w:tc>
          <w:tcPr>
            <w:tcW w:w="1572" w:type="dxa"/>
            <w:noWrap/>
            <w:hideMark/>
          </w:tcPr>
          <w:p w14:paraId="323BD619"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2018</w:t>
            </w:r>
          </w:p>
        </w:tc>
        <w:tc>
          <w:tcPr>
            <w:tcW w:w="1572" w:type="dxa"/>
            <w:noWrap/>
            <w:hideMark/>
          </w:tcPr>
          <w:p w14:paraId="3C915233" w14:textId="77777777" w:rsidR="004A5F67" w:rsidRPr="004A5F67" w:rsidRDefault="004A5F67" w:rsidP="004A5F67">
            <w:pPr>
              <w:spacing w:line="360" w:lineRule="auto"/>
              <w:jc w:val="center"/>
              <w:rPr>
                <w:rFonts w:ascii="Times New Roman" w:hAnsi="Times New Roman"/>
                <w:b/>
                <w:bCs/>
                <w:sz w:val="24"/>
              </w:rPr>
            </w:pPr>
            <w:r w:rsidRPr="004A5F67">
              <w:rPr>
                <w:rFonts w:ascii="Times New Roman" w:hAnsi="Times New Roman"/>
                <w:b/>
                <w:bCs/>
                <w:sz w:val="24"/>
              </w:rPr>
              <w:t>2019</w:t>
            </w:r>
          </w:p>
        </w:tc>
      </w:tr>
      <w:tr w:rsidR="004A5F67" w:rsidRPr="004A5F67" w14:paraId="5AFC4662" w14:textId="77777777" w:rsidTr="0027548D">
        <w:trPr>
          <w:trHeight w:val="266"/>
        </w:trPr>
        <w:tc>
          <w:tcPr>
            <w:tcW w:w="5888" w:type="dxa"/>
            <w:noWrap/>
            <w:hideMark/>
          </w:tcPr>
          <w:p w14:paraId="03DDF910"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Accounts Receivable turnover</w:t>
            </w:r>
          </w:p>
        </w:tc>
        <w:tc>
          <w:tcPr>
            <w:tcW w:w="1572" w:type="dxa"/>
            <w:noWrap/>
            <w:hideMark/>
          </w:tcPr>
          <w:p w14:paraId="75A8916F"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5.004662</w:t>
            </w:r>
          </w:p>
        </w:tc>
        <w:tc>
          <w:tcPr>
            <w:tcW w:w="1572" w:type="dxa"/>
            <w:noWrap/>
            <w:hideMark/>
          </w:tcPr>
          <w:p w14:paraId="5EE0391F"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5.31388</w:t>
            </w:r>
          </w:p>
        </w:tc>
      </w:tr>
      <w:tr w:rsidR="004A5F67" w:rsidRPr="004A5F67" w14:paraId="32BE93F6" w14:textId="77777777" w:rsidTr="0027548D">
        <w:trPr>
          <w:trHeight w:val="266"/>
        </w:trPr>
        <w:tc>
          <w:tcPr>
            <w:tcW w:w="5888" w:type="dxa"/>
            <w:noWrap/>
            <w:hideMark/>
          </w:tcPr>
          <w:p w14:paraId="1B24FB90"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Inventory turnover</w:t>
            </w:r>
          </w:p>
        </w:tc>
        <w:tc>
          <w:tcPr>
            <w:tcW w:w="1572" w:type="dxa"/>
            <w:noWrap/>
            <w:hideMark/>
          </w:tcPr>
          <w:p w14:paraId="74D3949B"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4.698027</w:t>
            </w:r>
          </w:p>
        </w:tc>
        <w:tc>
          <w:tcPr>
            <w:tcW w:w="1572" w:type="dxa"/>
            <w:noWrap/>
            <w:hideMark/>
          </w:tcPr>
          <w:p w14:paraId="73F90195"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4.732992</w:t>
            </w:r>
          </w:p>
        </w:tc>
      </w:tr>
      <w:tr w:rsidR="004A5F67" w:rsidRPr="004A5F67" w14:paraId="717ECFA5" w14:textId="77777777" w:rsidTr="0027548D">
        <w:trPr>
          <w:trHeight w:val="266"/>
        </w:trPr>
        <w:tc>
          <w:tcPr>
            <w:tcW w:w="5888" w:type="dxa"/>
            <w:noWrap/>
            <w:hideMark/>
          </w:tcPr>
          <w:p w14:paraId="543F0E52"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Asset turnover</w:t>
            </w:r>
          </w:p>
        </w:tc>
        <w:tc>
          <w:tcPr>
            <w:tcW w:w="1572" w:type="dxa"/>
            <w:noWrap/>
            <w:hideMark/>
          </w:tcPr>
          <w:p w14:paraId="12154459"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0.638545</w:t>
            </w:r>
          </w:p>
        </w:tc>
        <w:tc>
          <w:tcPr>
            <w:tcW w:w="1572" w:type="dxa"/>
            <w:noWrap/>
            <w:hideMark/>
          </w:tcPr>
          <w:p w14:paraId="54EBB4AA" w14:textId="77777777" w:rsidR="004A5F67" w:rsidRPr="004A5F67" w:rsidRDefault="004A5F67" w:rsidP="004A5F67">
            <w:pPr>
              <w:spacing w:line="360" w:lineRule="auto"/>
              <w:jc w:val="both"/>
              <w:rPr>
                <w:rFonts w:ascii="Times New Roman" w:hAnsi="Times New Roman"/>
                <w:sz w:val="24"/>
              </w:rPr>
            </w:pPr>
            <w:r w:rsidRPr="004A5F67">
              <w:rPr>
                <w:rFonts w:ascii="Times New Roman" w:hAnsi="Times New Roman"/>
                <w:sz w:val="24"/>
              </w:rPr>
              <w:t>0.679816</w:t>
            </w:r>
          </w:p>
        </w:tc>
      </w:tr>
    </w:tbl>
    <w:p w14:paraId="28F0F0BE" w14:textId="77777777" w:rsidR="004A5F67" w:rsidRPr="004A5F67" w:rsidRDefault="004A5F67" w:rsidP="004A5F67">
      <w:pPr>
        <w:spacing w:line="360" w:lineRule="auto"/>
        <w:jc w:val="both"/>
        <w:rPr>
          <w:rFonts w:ascii="Times New Roman" w:hAnsi="Times New Roman"/>
          <w:sz w:val="24"/>
        </w:rPr>
      </w:pPr>
    </w:p>
    <w:p w14:paraId="74482633" w14:textId="49E1367E" w:rsidR="00A17069" w:rsidRDefault="004A5F67" w:rsidP="004A5F67">
      <w:pPr>
        <w:spacing w:line="360" w:lineRule="auto"/>
        <w:rPr>
          <w:rFonts w:ascii="Times New Roman" w:hAnsi="Times New Roman"/>
          <w:sz w:val="24"/>
        </w:rPr>
      </w:pPr>
      <w:r w:rsidRPr="004A5F67">
        <w:rPr>
          <w:rFonts w:ascii="Times New Roman" w:hAnsi="Times New Roman"/>
          <w:sz w:val="24"/>
        </w:rPr>
        <w:t>Accounts receivable turnover: (total credit sales/average accounts receiv</w:t>
      </w:r>
      <w:r w:rsidR="000D7113">
        <w:rPr>
          <w:rFonts w:ascii="Times New Roman" w:hAnsi="Times New Roman"/>
          <w:sz w:val="24"/>
        </w:rPr>
        <w:t>ed)</w:t>
      </w:r>
    </w:p>
    <w:p w14:paraId="5FF44E26" w14:textId="3A66E17F" w:rsidR="000D7113" w:rsidRDefault="000D7113" w:rsidP="004A5F67">
      <w:pPr>
        <w:spacing w:line="360" w:lineRule="auto"/>
        <w:rPr>
          <w:rFonts w:ascii="Times New Roman" w:hAnsi="Times New Roman"/>
          <w:sz w:val="24"/>
        </w:rPr>
      </w:pPr>
    </w:p>
    <w:p w14:paraId="17E588E0" w14:textId="5BC0B4A4" w:rsidR="000D7113" w:rsidRDefault="000D7113" w:rsidP="004A5F67">
      <w:pPr>
        <w:spacing w:line="360" w:lineRule="auto"/>
        <w:rPr>
          <w:rFonts w:ascii="Times New Roman" w:hAnsi="Times New Roman"/>
          <w:sz w:val="24"/>
        </w:rPr>
      </w:pPr>
    </w:p>
    <w:p w14:paraId="2AD4F5F8"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Accounts receivable turnover: (total credit sales/average accounts receivable)</w:t>
      </w:r>
    </w:p>
    <w:p w14:paraId="46ECE430"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6411</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1287+1287</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 5 times</w:t>
      </w:r>
    </w:p>
    <w:p w14:paraId="08FAEF04"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eastAsiaTheme="minorEastAsia" w:hAnsi="Times New Roman"/>
          <w:sz w:val="24"/>
        </w:rPr>
        <w:t xml:space="preserve">2019: </w:t>
      </w:r>
      <m:oMath>
        <m:f>
          <m:fPr>
            <m:ctrlPr>
              <w:rPr>
                <w:rFonts w:ascii="Cambria Math" w:hAnsi="Cambria Math"/>
                <w:sz w:val="24"/>
              </w:rPr>
            </m:ctrlPr>
          </m:fPr>
          <m:num>
            <m:r>
              <m:rPr>
                <m:sty m:val="p"/>
              </m:rPr>
              <w:rPr>
                <w:rFonts w:ascii="Cambria Math" w:hAnsi="Cambria Math"/>
                <w:sz w:val="24"/>
              </w:rPr>
              <m:t>6738</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1287+1249</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=5.31 times</w:t>
      </w:r>
    </w:p>
    <w:p w14:paraId="1DB01D4F"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Inventory turnover: (cost of sales/average inventory)</w:t>
      </w:r>
    </w:p>
    <w:p w14:paraId="086123AA"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3096</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659+659</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=4.7 times</w:t>
      </w:r>
    </w:p>
    <w:p w14:paraId="11A1DA92"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2019:  </w:t>
      </w:r>
      <m:oMath>
        <m:f>
          <m:fPr>
            <m:ctrlPr>
              <w:rPr>
                <w:rFonts w:ascii="Cambria Math" w:hAnsi="Cambria Math"/>
                <w:sz w:val="24"/>
              </w:rPr>
            </m:ctrlPr>
          </m:fPr>
          <m:num>
            <m:r>
              <m:rPr>
                <m:sty m:val="p"/>
              </m:rPr>
              <w:rPr>
                <w:rFonts w:ascii="Cambria Math" w:hAnsi="Cambria Math"/>
                <w:sz w:val="24"/>
              </w:rPr>
              <m:t>3235</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659+708</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 4.73 times</w:t>
      </w:r>
    </w:p>
    <w:p w14:paraId="094AD428"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 xml:space="preserve">Asset turnover: (total sales revenue/average total assets) </w:t>
      </w:r>
    </w:p>
    <w:p w14:paraId="16B9B017"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2018: </w:t>
      </w:r>
      <m:oMath>
        <m:f>
          <m:fPr>
            <m:ctrlPr>
              <w:rPr>
                <w:rFonts w:ascii="Cambria Math" w:hAnsi="Cambria Math"/>
                <w:sz w:val="24"/>
              </w:rPr>
            </m:ctrlPr>
          </m:fPr>
          <m:num>
            <m:r>
              <m:rPr>
                <m:sty m:val="p"/>
              </m:rPr>
              <w:rPr>
                <w:rFonts w:ascii="Cambria Math" w:hAnsi="Cambria Math"/>
                <w:sz w:val="24"/>
              </w:rPr>
              <m:t>6441</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10087+10087</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=0.64</w:t>
      </w:r>
    </w:p>
    <w:p w14:paraId="6CA5269D"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2019: </w:t>
      </w:r>
      <m:oMath>
        <m:f>
          <m:fPr>
            <m:ctrlPr>
              <w:rPr>
                <w:rFonts w:ascii="Cambria Math" w:hAnsi="Cambria Math"/>
                <w:sz w:val="24"/>
              </w:rPr>
            </m:ctrlPr>
          </m:fPr>
          <m:num>
            <m:r>
              <m:rPr>
                <m:sty m:val="p"/>
              </m:rPr>
              <w:rPr>
                <w:rFonts w:ascii="Cambria Math" w:hAnsi="Cambria Math"/>
                <w:sz w:val="24"/>
              </w:rPr>
              <m:t>6738</m:t>
            </m:r>
          </m:num>
          <m:den>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10087+9736</m:t>
                </m:r>
              </m:num>
              <m:den>
                <m:r>
                  <m:rPr>
                    <m:sty m:val="p"/>
                  </m:rPr>
                  <w:rPr>
                    <w:rFonts w:ascii="Cambria Math" w:hAnsi="Cambria Math"/>
                    <w:sz w:val="24"/>
                  </w:rPr>
                  <m:t>2</m:t>
                </m:r>
              </m:den>
            </m:f>
            <m:r>
              <m:rPr>
                <m:sty m:val="p"/>
              </m:rPr>
              <w:rPr>
                <w:rFonts w:ascii="Cambria Math" w:hAnsi="Cambria Math"/>
                <w:sz w:val="24"/>
              </w:rPr>
              <m:t>)</m:t>
            </m:r>
          </m:den>
        </m:f>
      </m:oMath>
      <w:r w:rsidRPr="000D7113">
        <w:rPr>
          <w:rFonts w:ascii="Times New Roman" w:eastAsiaTheme="minorEastAsia" w:hAnsi="Times New Roman"/>
          <w:sz w:val="24"/>
        </w:rPr>
        <w:t xml:space="preserve"> =0.68</w:t>
      </w:r>
    </w:p>
    <w:tbl>
      <w:tblPr>
        <w:tblStyle w:val="TableGrid1"/>
        <w:tblW w:w="0" w:type="auto"/>
        <w:tblLook w:val="04A0" w:firstRow="1" w:lastRow="0" w:firstColumn="1" w:lastColumn="0" w:noHBand="0" w:noVBand="1"/>
      </w:tblPr>
      <w:tblGrid>
        <w:gridCol w:w="5280"/>
        <w:gridCol w:w="1868"/>
        <w:gridCol w:w="1868"/>
      </w:tblGrid>
      <w:tr w:rsidR="000D7113" w:rsidRPr="000D7113" w14:paraId="054D1B2F" w14:textId="77777777" w:rsidTr="0027548D">
        <w:trPr>
          <w:trHeight w:val="296"/>
        </w:trPr>
        <w:tc>
          <w:tcPr>
            <w:tcW w:w="5461" w:type="dxa"/>
            <w:noWrap/>
            <w:hideMark/>
          </w:tcPr>
          <w:p w14:paraId="16C74116" w14:textId="77777777" w:rsidR="000D7113" w:rsidRPr="000D7113" w:rsidRDefault="000D7113" w:rsidP="000D7113">
            <w:pPr>
              <w:spacing w:line="360" w:lineRule="auto"/>
              <w:jc w:val="center"/>
              <w:rPr>
                <w:rFonts w:ascii="Times New Roman" w:hAnsi="Times New Roman"/>
                <w:b/>
                <w:bCs/>
                <w:sz w:val="24"/>
              </w:rPr>
            </w:pPr>
            <w:r w:rsidRPr="000D7113">
              <w:rPr>
                <w:rFonts w:ascii="Times New Roman" w:hAnsi="Times New Roman"/>
                <w:b/>
                <w:bCs/>
                <w:sz w:val="24"/>
              </w:rPr>
              <w:t>Market ratios</w:t>
            </w:r>
          </w:p>
        </w:tc>
        <w:tc>
          <w:tcPr>
            <w:tcW w:w="1927" w:type="dxa"/>
            <w:noWrap/>
            <w:hideMark/>
          </w:tcPr>
          <w:p w14:paraId="751899C5" w14:textId="77777777" w:rsidR="000D7113" w:rsidRPr="000D7113" w:rsidRDefault="000D7113" w:rsidP="000D7113">
            <w:pPr>
              <w:spacing w:line="360" w:lineRule="auto"/>
              <w:jc w:val="center"/>
              <w:rPr>
                <w:rFonts w:ascii="Times New Roman" w:hAnsi="Times New Roman"/>
                <w:b/>
                <w:bCs/>
                <w:sz w:val="24"/>
              </w:rPr>
            </w:pPr>
            <w:r w:rsidRPr="000D7113">
              <w:rPr>
                <w:rFonts w:ascii="Times New Roman" w:hAnsi="Times New Roman"/>
                <w:b/>
                <w:bCs/>
                <w:sz w:val="24"/>
              </w:rPr>
              <w:t>2018</w:t>
            </w:r>
          </w:p>
        </w:tc>
        <w:tc>
          <w:tcPr>
            <w:tcW w:w="1927" w:type="dxa"/>
            <w:noWrap/>
            <w:hideMark/>
          </w:tcPr>
          <w:p w14:paraId="4BCFFDEC" w14:textId="77777777" w:rsidR="000D7113" w:rsidRPr="000D7113" w:rsidRDefault="000D7113" w:rsidP="000D7113">
            <w:pPr>
              <w:spacing w:line="360" w:lineRule="auto"/>
              <w:jc w:val="center"/>
              <w:rPr>
                <w:rFonts w:ascii="Times New Roman" w:hAnsi="Times New Roman"/>
                <w:b/>
                <w:bCs/>
                <w:sz w:val="24"/>
              </w:rPr>
            </w:pPr>
            <w:r w:rsidRPr="000D7113">
              <w:rPr>
                <w:rFonts w:ascii="Times New Roman" w:hAnsi="Times New Roman"/>
                <w:b/>
                <w:bCs/>
                <w:sz w:val="24"/>
              </w:rPr>
              <w:t>2019</w:t>
            </w:r>
          </w:p>
        </w:tc>
      </w:tr>
      <w:tr w:rsidR="000D7113" w:rsidRPr="000D7113" w14:paraId="430D5903" w14:textId="77777777" w:rsidTr="0027548D">
        <w:trPr>
          <w:trHeight w:val="296"/>
        </w:trPr>
        <w:tc>
          <w:tcPr>
            <w:tcW w:w="5461" w:type="dxa"/>
            <w:noWrap/>
            <w:hideMark/>
          </w:tcPr>
          <w:p w14:paraId="7A188262"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Earnings Per Share</w:t>
            </w:r>
          </w:p>
        </w:tc>
        <w:tc>
          <w:tcPr>
            <w:tcW w:w="1927" w:type="dxa"/>
            <w:noWrap/>
            <w:hideMark/>
          </w:tcPr>
          <w:p w14:paraId="194EDF2B"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0.61</w:t>
            </w:r>
          </w:p>
        </w:tc>
        <w:tc>
          <w:tcPr>
            <w:tcW w:w="1927" w:type="dxa"/>
            <w:noWrap/>
            <w:hideMark/>
          </w:tcPr>
          <w:p w14:paraId="01D427F3"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0.718333333</w:t>
            </w:r>
          </w:p>
        </w:tc>
      </w:tr>
      <w:tr w:rsidR="000D7113" w:rsidRPr="000D7113" w14:paraId="23DCC6A5" w14:textId="77777777" w:rsidTr="0027548D">
        <w:trPr>
          <w:trHeight w:val="296"/>
        </w:trPr>
        <w:tc>
          <w:tcPr>
            <w:tcW w:w="5461" w:type="dxa"/>
            <w:noWrap/>
            <w:hideMark/>
          </w:tcPr>
          <w:p w14:paraId="721CA9B9"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Price earnings ratio</w:t>
            </w:r>
          </w:p>
        </w:tc>
        <w:tc>
          <w:tcPr>
            <w:tcW w:w="1927" w:type="dxa"/>
            <w:noWrap/>
            <w:hideMark/>
          </w:tcPr>
          <w:p w14:paraId="50A802AF"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6.557377049</w:t>
            </w:r>
          </w:p>
        </w:tc>
        <w:tc>
          <w:tcPr>
            <w:tcW w:w="1927" w:type="dxa"/>
            <w:noWrap/>
            <w:hideMark/>
          </w:tcPr>
          <w:p w14:paraId="587BE3BE"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7.127610209</w:t>
            </w:r>
          </w:p>
        </w:tc>
      </w:tr>
      <w:tr w:rsidR="000D7113" w:rsidRPr="000D7113" w14:paraId="01E8DA43" w14:textId="77777777" w:rsidTr="0027548D">
        <w:trPr>
          <w:trHeight w:val="296"/>
        </w:trPr>
        <w:tc>
          <w:tcPr>
            <w:tcW w:w="5461" w:type="dxa"/>
            <w:noWrap/>
            <w:hideMark/>
          </w:tcPr>
          <w:p w14:paraId="67BD5A84"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Dividend per share</w:t>
            </w:r>
          </w:p>
        </w:tc>
        <w:tc>
          <w:tcPr>
            <w:tcW w:w="1927" w:type="dxa"/>
            <w:noWrap/>
            <w:hideMark/>
          </w:tcPr>
          <w:p w14:paraId="66466B18"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0.403333333</w:t>
            </w:r>
          </w:p>
        </w:tc>
        <w:tc>
          <w:tcPr>
            <w:tcW w:w="1927" w:type="dxa"/>
            <w:noWrap/>
            <w:hideMark/>
          </w:tcPr>
          <w:p w14:paraId="36875C33"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0.425</w:t>
            </w:r>
          </w:p>
        </w:tc>
      </w:tr>
      <w:tr w:rsidR="000D7113" w:rsidRPr="000D7113" w14:paraId="22E50F68" w14:textId="77777777" w:rsidTr="0027548D">
        <w:trPr>
          <w:trHeight w:val="296"/>
        </w:trPr>
        <w:tc>
          <w:tcPr>
            <w:tcW w:w="5461" w:type="dxa"/>
            <w:noWrap/>
            <w:hideMark/>
          </w:tcPr>
          <w:p w14:paraId="5D09E5A0"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lastRenderedPageBreak/>
              <w:t>Dividend pay-out ratio</w:t>
            </w:r>
          </w:p>
        </w:tc>
        <w:tc>
          <w:tcPr>
            <w:tcW w:w="1927" w:type="dxa"/>
            <w:noWrap/>
            <w:hideMark/>
          </w:tcPr>
          <w:p w14:paraId="5FBB0830"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0.661202186</w:t>
            </w:r>
          </w:p>
        </w:tc>
        <w:tc>
          <w:tcPr>
            <w:tcW w:w="1927" w:type="dxa"/>
            <w:noWrap/>
            <w:hideMark/>
          </w:tcPr>
          <w:p w14:paraId="2535FAD9"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0.591647332</w:t>
            </w:r>
          </w:p>
        </w:tc>
      </w:tr>
    </w:tbl>
    <w:p w14:paraId="488CC194" w14:textId="77777777" w:rsidR="000D7113" w:rsidRPr="000D7113" w:rsidRDefault="000D7113" w:rsidP="000D7113">
      <w:pPr>
        <w:spacing w:line="360" w:lineRule="auto"/>
        <w:jc w:val="both"/>
        <w:rPr>
          <w:rFonts w:ascii="Times New Roman" w:hAnsi="Times New Roman"/>
          <w:sz w:val="24"/>
        </w:rPr>
      </w:pPr>
    </w:p>
    <w:p w14:paraId="5AEB1877"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 xml:space="preserve">Earnings per share: (net income-preferred share dividend)/number of shares </w:t>
      </w:r>
    </w:p>
    <w:p w14:paraId="081674EF"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2018: </w:t>
      </w:r>
      <m:oMath>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366</m:t>
            </m:r>
          </m:num>
          <m:den>
            <m:r>
              <w:rPr>
                <w:rFonts w:ascii="Cambria Math" w:hAnsi="Cambria Math" w:cs="Times New Roman"/>
                <w:sz w:val="24"/>
              </w:rPr>
              <m:t xml:space="preserve">600 </m:t>
            </m:r>
          </m:den>
        </m:f>
      </m:oMath>
      <w:r w:rsidRPr="000D7113">
        <w:rPr>
          <w:rFonts w:ascii="Times New Roman" w:eastAsiaTheme="minorEastAsia" w:hAnsi="Times New Roman"/>
          <w:sz w:val="24"/>
        </w:rPr>
        <w:t xml:space="preserve"> = 0.61</w:t>
      </w:r>
    </w:p>
    <w:p w14:paraId="6090B749"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431</m:t>
            </m:r>
          </m:num>
          <m:den>
            <m:r>
              <w:rPr>
                <w:rFonts w:ascii="Cambria Math" w:hAnsi="Cambria Math" w:cs="Times New Roman"/>
                <w:sz w:val="24"/>
              </w:rPr>
              <m:t>600</m:t>
            </m:r>
          </m:den>
        </m:f>
      </m:oMath>
      <w:r w:rsidRPr="000D7113">
        <w:rPr>
          <w:rFonts w:ascii="Times New Roman" w:eastAsiaTheme="minorEastAsia" w:hAnsi="Times New Roman"/>
          <w:sz w:val="24"/>
        </w:rPr>
        <w:t xml:space="preserve"> = 0.72</w:t>
      </w:r>
    </w:p>
    <w:p w14:paraId="2AD449C8"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Price earnings ratio: (the average share price/earnings per share)</w:t>
      </w:r>
    </w:p>
    <w:p w14:paraId="2D1F4477"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2018: </w:t>
      </w:r>
      <m:oMath>
        <m:f>
          <m:fPr>
            <m:ctrlPr>
              <w:rPr>
                <w:rFonts w:ascii="Cambria Math" w:hAnsi="Cambria Math" w:cs="Times New Roman"/>
                <w:i/>
                <w:sz w:val="24"/>
              </w:rPr>
            </m:ctrlPr>
          </m:fPr>
          <m:num>
            <m:r>
              <w:rPr>
                <w:rFonts w:ascii="Cambria Math" w:hAnsi="Cambria Math" w:cs="Times New Roman"/>
                <w:sz w:val="24"/>
              </w:rPr>
              <m:t>4</m:t>
            </m:r>
          </m:num>
          <m:den>
            <m:r>
              <w:rPr>
                <w:rFonts w:ascii="Cambria Math" w:hAnsi="Cambria Math" w:cs="Times New Roman"/>
                <w:sz w:val="24"/>
              </w:rPr>
              <m:t>0.61</m:t>
            </m:r>
          </m:den>
        </m:f>
      </m:oMath>
      <w:r w:rsidRPr="000D7113">
        <w:rPr>
          <w:rFonts w:ascii="Times New Roman" w:eastAsiaTheme="minorEastAsia" w:hAnsi="Times New Roman"/>
          <w:sz w:val="24"/>
        </w:rPr>
        <w:t xml:space="preserve"> = 6.55</w:t>
      </w:r>
    </w:p>
    <w:p w14:paraId="239255A9" w14:textId="77777777" w:rsidR="000D7113" w:rsidRPr="000D7113" w:rsidRDefault="000D7113" w:rsidP="000D7113">
      <w:pPr>
        <w:spacing w:line="360" w:lineRule="auto"/>
        <w:jc w:val="center"/>
        <w:rPr>
          <w:rFonts w:ascii="Times New Roman" w:eastAsiaTheme="minorEastAsia" w:hAnsi="Times New Roman"/>
          <w:sz w:val="24"/>
        </w:rPr>
      </w:pPr>
      <w:r w:rsidRPr="000D7113">
        <w:rPr>
          <w:rFonts w:ascii="Times New Roman" w:hAnsi="Times New Roman"/>
          <w:sz w:val="24"/>
        </w:rPr>
        <w:t xml:space="preserve">2019: </w:t>
      </w:r>
      <m:oMath>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5.12</m:t>
            </m:r>
          </m:num>
          <m:den>
            <m:r>
              <w:rPr>
                <w:rFonts w:ascii="Cambria Math" w:hAnsi="Cambria Math" w:cs="Times New Roman"/>
                <w:sz w:val="24"/>
              </w:rPr>
              <m:t>0.72</m:t>
            </m:r>
          </m:den>
        </m:f>
      </m:oMath>
      <w:r w:rsidRPr="000D7113">
        <w:rPr>
          <w:rFonts w:ascii="Times New Roman" w:eastAsiaTheme="minorEastAsia" w:hAnsi="Times New Roman"/>
          <w:sz w:val="24"/>
        </w:rPr>
        <w:t xml:space="preserve"> =7.13</w:t>
      </w:r>
    </w:p>
    <w:p w14:paraId="3FECF25C"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Dividend per share: (total dividend/number of shares outstanding)</w:t>
      </w:r>
    </w:p>
    <w:p w14:paraId="001A9595"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2018: </w:t>
      </w:r>
      <m:oMath>
        <m:f>
          <m:fPr>
            <m:ctrlPr>
              <w:rPr>
                <w:rFonts w:ascii="Cambria Math" w:hAnsi="Cambria Math" w:cs="Times New Roman"/>
                <w:i/>
                <w:sz w:val="24"/>
              </w:rPr>
            </m:ctrlPr>
          </m:fPr>
          <m:num>
            <m:r>
              <w:rPr>
                <w:rFonts w:ascii="Cambria Math" w:hAnsi="Cambria Math" w:cs="Times New Roman"/>
                <w:sz w:val="24"/>
              </w:rPr>
              <m:t>242</m:t>
            </m:r>
          </m:num>
          <m:den>
            <m:r>
              <w:rPr>
                <w:rFonts w:ascii="Cambria Math" w:hAnsi="Cambria Math" w:cs="Times New Roman"/>
                <w:sz w:val="24"/>
              </w:rPr>
              <m:t>600</m:t>
            </m:r>
          </m:den>
        </m:f>
      </m:oMath>
      <w:r w:rsidRPr="000D7113">
        <w:rPr>
          <w:rFonts w:ascii="Times New Roman" w:eastAsiaTheme="minorEastAsia" w:hAnsi="Times New Roman"/>
          <w:sz w:val="24"/>
        </w:rPr>
        <w:t xml:space="preserve"> = 0.40</w:t>
      </w:r>
    </w:p>
    <w:p w14:paraId="16E926A9"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2019: </w:t>
      </w:r>
      <m:oMath>
        <m:f>
          <m:fPr>
            <m:ctrlPr>
              <w:rPr>
                <w:rFonts w:ascii="Cambria Math" w:hAnsi="Cambria Math" w:cs="Times New Roman"/>
                <w:i/>
                <w:sz w:val="24"/>
              </w:rPr>
            </m:ctrlPr>
          </m:fPr>
          <m:num>
            <m:r>
              <w:rPr>
                <w:rFonts w:ascii="Cambria Math" w:hAnsi="Cambria Math" w:cs="Times New Roman"/>
                <w:sz w:val="24"/>
              </w:rPr>
              <m:t>255</m:t>
            </m:r>
          </m:num>
          <m:den>
            <m:r>
              <w:rPr>
                <w:rFonts w:ascii="Cambria Math" w:hAnsi="Cambria Math" w:cs="Times New Roman"/>
                <w:sz w:val="24"/>
              </w:rPr>
              <m:t>600</m:t>
            </m:r>
          </m:den>
        </m:f>
      </m:oMath>
      <w:r w:rsidRPr="000D7113">
        <w:rPr>
          <w:rFonts w:ascii="Times New Roman" w:eastAsiaTheme="minorEastAsia" w:hAnsi="Times New Roman"/>
          <w:sz w:val="24"/>
        </w:rPr>
        <w:t xml:space="preserve"> = 0.425</w:t>
      </w:r>
    </w:p>
    <w:p w14:paraId="097CD759" w14:textId="77777777" w:rsidR="000D7113" w:rsidRPr="000D7113" w:rsidRDefault="000D7113" w:rsidP="000D7113">
      <w:pPr>
        <w:spacing w:line="360" w:lineRule="auto"/>
        <w:jc w:val="both"/>
        <w:rPr>
          <w:rFonts w:ascii="Times New Roman" w:hAnsi="Times New Roman"/>
          <w:sz w:val="24"/>
        </w:rPr>
      </w:pPr>
      <w:r w:rsidRPr="000D7113">
        <w:rPr>
          <w:rFonts w:ascii="Times New Roman" w:hAnsi="Times New Roman"/>
          <w:sz w:val="24"/>
        </w:rPr>
        <w:t>Dividend pay-out ratio: (total dividend/net income)</w:t>
      </w:r>
    </w:p>
    <w:p w14:paraId="155E2AC9"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 xml:space="preserve">2018: </w:t>
      </w:r>
      <m:oMath>
        <m:f>
          <m:fPr>
            <m:ctrlPr>
              <w:rPr>
                <w:rFonts w:ascii="Cambria Math" w:hAnsi="Cambria Math" w:cs="Times New Roman"/>
                <w:i/>
                <w:sz w:val="24"/>
              </w:rPr>
            </m:ctrlPr>
          </m:fPr>
          <m:num>
            <m:r>
              <w:rPr>
                <w:rFonts w:ascii="Cambria Math" w:hAnsi="Cambria Math" w:cs="Times New Roman"/>
                <w:sz w:val="24"/>
              </w:rPr>
              <m:t>242</m:t>
            </m:r>
          </m:num>
          <m:den>
            <m:r>
              <w:rPr>
                <w:rFonts w:ascii="Cambria Math" w:hAnsi="Cambria Math" w:cs="Times New Roman"/>
                <w:sz w:val="24"/>
              </w:rPr>
              <m:t>366</m:t>
            </m:r>
          </m:den>
        </m:f>
      </m:oMath>
      <w:r w:rsidRPr="000D7113">
        <w:rPr>
          <w:rFonts w:ascii="Times New Roman" w:eastAsiaTheme="minorEastAsia" w:hAnsi="Times New Roman"/>
          <w:sz w:val="24"/>
        </w:rPr>
        <w:t xml:space="preserve"> = 0.66</w:t>
      </w:r>
    </w:p>
    <w:p w14:paraId="589C288E" w14:textId="77777777" w:rsidR="000D7113" w:rsidRPr="000D7113" w:rsidRDefault="000D7113" w:rsidP="000D7113">
      <w:pPr>
        <w:spacing w:line="360" w:lineRule="auto"/>
        <w:jc w:val="center"/>
        <w:rPr>
          <w:rFonts w:ascii="Times New Roman" w:hAnsi="Times New Roman"/>
          <w:sz w:val="24"/>
        </w:rPr>
      </w:pPr>
      <w:r w:rsidRPr="000D7113">
        <w:rPr>
          <w:rFonts w:ascii="Times New Roman" w:hAnsi="Times New Roman"/>
          <w:sz w:val="24"/>
        </w:rPr>
        <w:t>2019:</w:t>
      </w:r>
      <m:oMath>
        <m:f>
          <m:fPr>
            <m:ctrlPr>
              <w:rPr>
                <w:rFonts w:ascii="Cambria Math" w:hAnsi="Cambria Math" w:cs="Times New Roman"/>
                <w:i/>
                <w:sz w:val="24"/>
              </w:rPr>
            </m:ctrlPr>
          </m:fPr>
          <m:num>
            <m:r>
              <w:rPr>
                <w:rFonts w:ascii="Cambria Math" w:hAnsi="Cambria Math" w:cs="Times New Roman"/>
                <w:sz w:val="24"/>
              </w:rPr>
              <m:t>255</m:t>
            </m:r>
          </m:num>
          <m:den>
            <m:r>
              <w:rPr>
                <w:rFonts w:ascii="Cambria Math" w:hAnsi="Cambria Math" w:cs="Times New Roman"/>
                <w:sz w:val="24"/>
              </w:rPr>
              <m:t>431</m:t>
            </m:r>
          </m:den>
        </m:f>
      </m:oMath>
      <w:r w:rsidRPr="000D7113">
        <w:rPr>
          <w:rFonts w:ascii="Times New Roman" w:eastAsiaTheme="minorEastAsia" w:hAnsi="Times New Roman"/>
          <w:sz w:val="24"/>
        </w:rPr>
        <w:t xml:space="preserve"> =0.59</w:t>
      </w:r>
    </w:p>
    <w:p w14:paraId="24DFA748"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bookmarkStart w:id="4" w:name="_Toc56187461"/>
    </w:p>
    <w:p w14:paraId="1C3FE815"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p w14:paraId="426ECD16"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p w14:paraId="4080F04C"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p w14:paraId="74C52B29"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p w14:paraId="192B51A2" w14:textId="77777777" w:rsidR="00EB1DD2" w:rsidRDefault="00EB1DD2" w:rsidP="000D7113">
      <w:pPr>
        <w:keepNext/>
        <w:keepLines/>
        <w:spacing w:before="240" w:after="0" w:line="360" w:lineRule="auto"/>
        <w:jc w:val="both"/>
        <w:outlineLvl w:val="0"/>
        <w:rPr>
          <w:rFonts w:ascii="Times New Roman" w:eastAsiaTheme="majorEastAsia" w:hAnsi="Times New Roman" w:cstheme="majorBidi"/>
          <w:b/>
          <w:color w:val="2F5496" w:themeColor="accent1" w:themeShade="BF"/>
          <w:sz w:val="28"/>
          <w:szCs w:val="32"/>
        </w:rPr>
      </w:pPr>
    </w:p>
    <w:bookmarkEnd w:id="4"/>
    <w:p w14:paraId="6A150EF1" w14:textId="77777777" w:rsidR="0093115E" w:rsidRDefault="0093115E" w:rsidP="0093115E">
      <w:pPr>
        <w:spacing w:line="240" w:lineRule="auto"/>
        <w:jc w:val="center"/>
        <w:rPr>
          <w:rFonts w:ascii="Times New Roman" w:eastAsiaTheme="majorEastAsia" w:hAnsi="Times New Roman" w:cstheme="majorBidi"/>
          <w:b/>
          <w:color w:val="2F5496" w:themeColor="accent1" w:themeShade="BF"/>
          <w:sz w:val="28"/>
          <w:szCs w:val="32"/>
        </w:rPr>
      </w:pPr>
    </w:p>
    <w:p w14:paraId="76B184AC" w14:textId="3F2F0BA6" w:rsidR="0093115E" w:rsidRDefault="0093115E" w:rsidP="0093115E">
      <w:pPr>
        <w:spacing w:line="240" w:lineRule="auto"/>
        <w:jc w:val="center"/>
        <w:rPr>
          <w:rFonts w:ascii="Times New Roman" w:eastAsiaTheme="majorEastAsia" w:hAnsi="Times New Roman" w:cstheme="majorBidi"/>
          <w:b/>
          <w:color w:val="2F5496" w:themeColor="accent1" w:themeShade="BF"/>
          <w:sz w:val="28"/>
          <w:szCs w:val="32"/>
        </w:rPr>
      </w:pPr>
    </w:p>
    <w:p w14:paraId="55F35EF9" w14:textId="133BA2B6" w:rsidR="0093115E" w:rsidRPr="00234B96" w:rsidRDefault="0093115E" w:rsidP="0093115E">
      <w:pPr>
        <w:spacing w:line="240" w:lineRule="auto"/>
        <w:jc w:val="center"/>
        <w:rPr>
          <w:rFonts w:ascii="Times New Roman" w:hAnsi="Times New Roman" w:cs="Times New Roman"/>
          <w:b/>
          <w:bCs/>
          <w:sz w:val="24"/>
          <w:szCs w:val="24"/>
        </w:rPr>
      </w:pPr>
      <w:r w:rsidRPr="00AD7ACA">
        <w:rPr>
          <w:rFonts w:ascii="Times New Roman" w:eastAsiaTheme="majorEastAsia" w:hAnsi="Times New Roman" w:cstheme="majorBidi"/>
          <w:b/>
          <w:color w:val="000000" w:themeColor="text1"/>
          <w:sz w:val="28"/>
          <w:szCs w:val="32"/>
        </w:rPr>
        <w:lastRenderedPageBreak/>
        <w:t>S</w:t>
      </w:r>
      <w:r w:rsidRPr="00234B96">
        <w:rPr>
          <w:rFonts w:ascii="Times New Roman" w:hAnsi="Times New Roman" w:cs="Times New Roman"/>
          <w:b/>
          <w:bCs/>
          <w:sz w:val="24"/>
          <w:szCs w:val="24"/>
        </w:rPr>
        <w:t>tatement of Financial Position</w:t>
      </w:r>
    </w:p>
    <w:p w14:paraId="748F60ED" w14:textId="77777777" w:rsidR="0093115E" w:rsidRPr="00234B96" w:rsidRDefault="0093115E" w:rsidP="0093115E">
      <w:pPr>
        <w:spacing w:line="240" w:lineRule="auto"/>
        <w:jc w:val="center"/>
        <w:rPr>
          <w:rFonts w:ascii="Times New Roman" w:hAnsi="Times New Roman" w:cs="Times New Roman"/>
          <w:b/>
          <w:bCs/>
          <w:sz w:val="24"/>
          <w:szCs w:val="24"/>
        </w:rPr>
      </w:pPr>
      <w:r w:rsidRPr="00234B96">
        <w:rPr>
          <w:rFonts w:ascii="Times New Roman" w:hAnsi="Times New Roman" w:cs="Times New Roman"/>
          <w:b/>
          <w:bCs/>
          <w:sz w:val="24"/>
          <w:szCs w:val="24"/>
        </w:rPr>
        <w:t>Prepared at 31</w:t>
      </w:r>
      <w:r w:rsidRPr="00234B96">
        <w:rPr>
          <w:rFonts w:ascii="Times New Roman" w:hAnsi="Times New Roman" w:cs="Times New Roman"/>
          <w:b/>
          <w:bCs/>
          <w:sz w:val="24"/>
          <w:szCs w:val="24"/>
          <w:vertAlign w:val="superscript"/>
        </w:rPr>
        <w:t>st</w:t>
      </w:r>
      <w:r w:rsidRPr="00234B96">
        <w:rPr>
          <w:rFonts w:ascii="Times New Roman" w:hAnsi="Times New Roman" w:cs="Times New Roman"/>
          <w:b/>
          <w:bCs/>
          <w:sz w:val="24"/>
          <w:szCs w:val="24"/>
        </w:rPr>
        <w:t xml:space="preserve"> December, 2019</w:t>
      </w:r>
    </w:p>
    <w:p w14:paraId="3B866892" w14:textId="77777777" w:rsidR="0093115E" w:rsidRPr="00234B96" w:rsidRDefault="0093115E" w:rsidP="0093115E">
      <w:pPr>
        <w:spacing w:line="240" w:lineRule="auto"/>
        <w:jc w:val="right"/>
        <w:rPr>
          <w:rFonts w:ascii="Times New Roman" w:hAnsi="Times New Roman" w:cs="Times New Roman"/>
          <w:b/>
          <w:bCs/>
          <w:sz w:val="24"/>
          <w:szCs w:val="24"/>
        </w:rPr>
      </w:pPr>
      <w:r w:rsidRPr="00234B96">
        <w:rPr>
          <w:rFonts w:ascii="Times New Roman" w:hAnsi="Times New Roman" w:cs="Times New Roman"/>
          <w:b/>
          <w:bCs/>
          <w:sz w:val="24"/>
          <w:szCs w:val="24"/>
        </w:rPr>
        <w:t>(Amount in £)</w:t>
      </w:r>
    </w:p>
    <w:tbl>
      <w:tblPr>
        <w:tblW w:w="9200" w:type="dxa"/>
        <w:tblLook w:val="04A0" w:firstRow="1" w:lastRow="0" w:firstColumn="1" w:lastColumn="0" w:noHBand="0" w:noVBand="1"/>
      </w:tblPr>
      <w:tblGrid>
        <w:gridCol w:w="4962"/>
        <w:gridCol w:w="1387"/>
        <w:gridCol w:w="1544"/>
        <w:gridCol w:w="1307"/>
      </w:tblGrid>
      <w:tr w:rsidR="0093115E" w:rsidRPr="00234B96" w14:paraId="028A41F6" w14:textId="77777777" w:rsidTr="00CE7BB3">
        <w:trPr>
          <w:trHeight w:val="380"/>
        </w:trPr>
        <w:tc>
          <w:tcPr>
            <w:tcW w:w="4962" w:type="dxa"/>
            <w:tcBorders>
              <w:top w:val="nil"/>
              <w:left w:val="nil"/>
              <w:bottom w:val="nil"/>
              <w:right w:val="nil"/>
            </w:tcBorders>
            <w:shd w:val="clear" w:color="auto" w:fill="auto"/>
            <w:noWrap/>
            <w:vAlign w:val="bottom"/>
            <w:hideMark/>
          </w:tcPr>
          <w:p w14:paraId="2E668846"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Particulars</w:t>
            </w:r>
          </w:p>
        </w:tc>
        <w:tc>
          <w:tcPr>
            <w:tcW w:w="1387" w:type="dxa"/>
            <w:tcBorders>
              <w:top w:val="nil"/>
              <w:left w:val="nil"/>
              <w:bottom w:val="nil"/>
              <w:right w:val="nil"/>
            </w:tcBorders>
            <w:shd w:val="clear" w:color="auto" w:fill="auto"/>
            <w:noWrap/>
            <w:vAlign w:val="bottom"/>
            <w:hideMark/>
          </w:tcPr>
          <w:p w14:paraId="2E86BA1A" w14:textId="77777777" w:rsidR="0093115E" w:rsidRPr="00234B96" w:rsidRDefault="0093115E" w:rsidP="00CE7BB3">
            <w:pPr>
              <w:spacing w:after="0" w:line="276"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1</w:t>
            </w:r>
          </w:p>
        </w:tc>
        <w:tc>
          <w:tcPr>
            <w:tcW w:w="1544" w:type="dxa"/>
            <w:tcBorders>
              <w:top w:val="nil"/>
              <w:left w:val="nil"/>
              <w:bottom w:val="nil"/>
              <w:right w:val="nil"/>
            </w:tcBorders>
            <w:shd w:val="clear" w:color="auto" w:fill="auto"/>
            <w:noWrap/>
            <w:vAlign w:val="bottom"/>
            <w:hideMark/>
          </w:tcPr>
          <w:p w14:paraId="019E34AA" w14:textId="77777777" w:rsidR="0093115E" w:rsidRPr="00234B96" w:rsidRDefault="0093115E" w:rsidP="00CE7BB3">
            <w:pPr>
              <w:spacing w:after="0" w:line="276"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2</w:t>
            </w:r>
          </w:p>
        </w:tc>
        <w:tc>
          <w:tcPr>
            <w:tcW w:w="1307" w:type="dxa"/>
            <w:tcBorders>
              <w:top w:val="nil"/>
              <w:left w:val="nil"/>
              <w:bottom w:val="nil"/>
              <w:right w:val="nil"/>
            </w:tcBorders>
            <w:shd w:val="clear" w:color="auto" w:fill="auto"/>
            <w:noWrap/>
            <w:vAlign w:val="bottom"/>
            <w:hideMark/>
          </w:tcPr>
          <w:p w14:paraId="2D572098" w14:textId="77777777" w:rsidR="0093115E" w:rsidRPr="00234B96" w:rsidRDefault="0093115E" w:rsidP="00CE7BB3">
            <w:pPr>
              <w:spacing w:after="0" w:line="276" w:lineRule="auto"/>
              <w:jc w:val="right"/>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Column 3</w:t>
            </w:r>
          </w:p>
        </w:tc>
      </w:tr>
      <w:tr w:rsidR="0093115E" w:rsidRPr="00234B96" w14:paraId="5538053D" w14:textId="77777777" w:rsidTr="00CE7BB3">
        <w:trPr>
          <w:trHeight w:val="380"/>
        </w:trPr>
        <w:tc>
          <w:tcPr>
            <w:tcW w:w="4962" w:type="dxa"/>
            <w:tcBorders>
              <w:top w:val="nil"/>
              <w:left w:val="nil"/>
              <w:bottom w:val="nil"/>
              <w:right w:val="nil"/>
            </w:tcBorders>
            <w:shd w:val="clear" w:color="auto" w:fill="auto"/>
            <w:noWrap/>
            <w:vAlign w:val="bottom"/>
            <w:hideMark/>
          </w:tcPr>
          <w:p w14:paraId="0D113813"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Non-Current Assets:</w:t>
            </w:r>
          </w:p>
        </w:tc>
        <w:tc>
          <w:tcPr>
            <w:tcW w:w="1387" w:type="dxa"/>
            <w:tcBorders>
              <w:top w:val="nil"/>
              <w:left w:val="nil"/>
              <w:bottom w:val="nil"/>
              <w:right w:val="nil"/>
            </w:tcBorders>
            <w:shd w:val="clear" w:color="auto" w:fill="auto"/>
            <w:noWrap/>
            <w:vAlign w:val="bottom"/>
            <w:hideMark/>
          </w:tcPr>
          <w:p w14:paraId="68A0E77D"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7FDD9088"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71FEC0D1"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04EEDD06" w14:textId="77777777" w:rsidTr="00CE7BB3">
        <w:trPr>
          <w:trHeight w:val="380"/>
        </w:trPr>
        <w:tc>
          <w:tcPr>
            <w:tcW w:w="4962" w:type="dxa"/>
            <w:tcBorders>
              <w:top w:val="nil"/>
              <w:left w:val="nil"/>
              <w:bottom w:val="nil"/>
              <w:right w:val="nil"/>
            </w:tcBorders>
            <w:shd w:val="clear" w:color="auto" w:fill="auto"/>
            <w:noWrap/>
            <w:vAlign w:val="bottom"/>
            <w:hideMark/>
          </w:tcPr>
          <w:p w14:paraId="612DE3FA"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234B96">
              <w:rPr>
                <w:rFonts w:ascii="Times New Roman" w:eastAsia="Times New Roman" w:hAnsi="Times New Roman" w:cs="Times New Roman"/>
                <w:color w:val="000000"/>
                <w:sz w:val="24"/>
                <w:szCs w:val="24"/>
                <w:lang w:eastAsia="en-GB"/>
              </w:rPr>
              <w:t>Plant &amp; Equipment</w:t>
            </w:r>
          </w:p>
        </w:tc>
        <w:tc>
          <w:tcPr>
            <w:tcW w:w="1387" w:type="dxa"/>
            <w:tcBorders>
              <w:top w:val="nil"/>
              <w:left w:val="nil"/>
              <w:bottom w:val="nil"/>
              <w:right w:val="nil"/>
            </w:tcBorders>
            <w:shd w:val="clear" w:color="auto" w:fill="auto"/>
            <w:noWrap/>
            <w:vAlign w:val="bottom"/>
            <w:hideMark/>
          </w:tcPr>
          <w:p w14:paraId="388FE076"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02A2E543"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632730</w:t>
            </w:r>
          </w:p>
        </w:tc>
        <w:tc>
          <w:tcPr>
            <w:tcW w:w="1307" w:type="dxa"/>
            <w:tcBorders>
              <w:top w:val="nil"/>
              <w:left w:val="nil"/>
              <w:bottom w:val="nil"/>
              <w:right w:val="nil"/>
            </w:tcBorders>
            <w:shd w:val="clear" w:color="auto" w:fill="auto"/>
            <w:noWrap/>
            <w:vAlign w:val="bottom"/>
            <w:hideMark/>
          </w:tcPr>
          <w:p w14:paraId="3E41FF60"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24AE5313" w14:textId="77777777" w:rsidTr="00CE7BB3">
        <w:trPr>
          <w:trHeight w:val="380"/>
        </w:trPr>
        <w:tc>
          <w:tcPr>
            <w:tcW w:w="4962" w:type="dxa"/>
            <w:tcBorders>
              <w:top w:val="nil"/>
              <w:left w:val="nil"/>
              <w:bottom w:val="nil"/>
              <w:right w:val="nil"/>
            </w:tcBorders>
            <w:shd w:val="clear" w:color="auto" w:fill="auto"/>
            <w:noWrap/>
            <w:vAlign w:val="bottom"/>
            <w:hideMark/>
          </w:tcPr>
          <w:p w14:paraId="5AA1DCCF"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Pr="00234B96">
              <w:rPr>
                <w:rFonts w:ascii="Times New Roman" w:eastAsia="Times New Roman" w:hAnsi="Times New Roman" w:cs="Times New Roman"/>
                <w:color w:val="000000"/>
                <w:sz w:val="24"/>
                <w:szCs w:val="24"/>
                <w:lang w:eastAsia="en-GB"/>
              </w:rPr>
              <w:t>Total non-current asset</w:t>
            </w:r>
          </w:p>
        </w:tc>
        <w:tc>
          <w:tcPr>
            <w:tcW w:w="1387" w:type="dxa"/>
            <w:tcBorders>
              <w:top w:val="nil"/>
              <w:left w:val="nil"/>
              <w:bottom w:val="nil"/>
              <w:right w:val="nil"/>
            </w:tcBorders>
            <w:shd w:val="clear" w:color="auto" w:fill="auto"/>
            <w:noWrap/>
            <w:vAlign w:val="bottom"/>
            <w:hideMark/>
          </w:tcPr>
          <w:p w14:paraId="0EA0E2CB"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4D29474F"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43A17911"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632730</w:t>
            </w:r>
          </w:p>
        </w:tc>
      </w:tr>
      <w:tr w:rsidR="0093115E" w:rsidRPr="00234B96" w14:paraId="43FD73A0" w14:textId="77777777" w:rsidTr="00CE7BB3">
        <w:trPr>
          <w:trHeight w:val="380"/>
        </w:trPr>
        <w:tc>
          <w:tcPr>
            <w:tcW w:w="4962" w:type="dxa"/>
            <w:tcBorders>
              <w:top w:val="nil"/>
              <w:left w:val="nil"/>
              <w:bottom w:val="nil"/>
              <w:right w:val="nil"/>
            </w:tcBorders>
            <w:shd w:val="clear" w:color="auto" w:fill="auto"/>
            <w:noWrap/>
            <w:vAlign w:val="bottom"/>
            <w:hideMark/>
          </w:tcPr>
          <w:p w14:paraId="4EB5C7D5"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Current Asset:</w:t>
            </w:r>
          </w:p>
        </w:tc>
        <w:tc>
          <w:tcPr>
            <w:tcW w:w="1387" w:type="dxa"/>
            <w:tcBorders>
              <w:top w:val="nil"/>
              <w:left w:val="nil"/>
              <w:bottom w:val="nil"/>
              <w:right w:val="nil"/>
            </w:tcBorders>
            <w:shd w:val="clear" w:color="auto" w:fill="auto"/>
            <w:noWrap/>
            <w:vAlign w:val="bottom"/>
            <w:hideMark/>
          </w:tcPr>
          <w:p w14:paraId="2EC01E9B"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1B62ED30"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3D320BDA"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7035649B" w14:textId="77777777" w:rsidTr="00CE7BB3">
        <w:trPr>
          <w:trHeight w:val="380"/>
        </w:trPr>
        <w:tc>
          <w:tcPr>
            <w:tcW w:w="4962" w:type="dxa"/>
            <w:tcBorders>
              <w:top w:val="nil"/>
              <w:left w:val="nil"/>
              <w:bottom w:val="nil"/>
              <w:right w:val="nil"/>
            </w:tcBorders>
            <w:shd w:val="clear" w:color="auto" w:fill="auto"/>
            <w:noWrap/>
            <w:vAlign w:val="bottom"/>
            <w:hideMark/>
          </w:tcPr>
          <w:p w14:paraId="6D499B43"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Cash &amp; Bank</w:t>
            </w:r>
          </w:p>
        </w:tc>
        <w:tc>
          <w:tcPr>
            <w:tcW w:w="1387" w:type="dxa"/>
            <w:tcBorders>
              <w:top w:val="nil"/>
              <w:left w:val="nil"/>
              <w:bottom w:val="nil"/>
              <w:right w:val="nil"/>
            </w:tcBorders>
            <w:shd w:val="clear" w:color="auto" w:fill="auto"/>
            <w:noWrap/>
            <w:vAlign w:val="bottom"/>
            <w:hideMark/>
          </w:tcPr>
          <w:p w14:paraId="3BD646E3"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66A3B86"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12900</w:t>
            </w:r>
          </w:p>
        </w:tc>
        <w:tc>
          <w:tcPr>
            <w:tcW w:w="1307" w:type="dxa"/>
            <w:tcBorders>
              <w:top w:val="nil"/>
              <w:left w:val="nil"/>
              <w:bottom w:val="nil"/>
              <w:right w:val="nil"/>
            </w:tcBorders>
            <w:shd w:val="clear" w:color="auto" w:fill="auto"/>
            <w:noWrap/>
            <w:vAlign w:val="bottom"/>
            <w:hideMark/>
          </w:tcPr>
          <w:p w14:paraId="547A3AFA"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4582F2C5" w14:textId="77777777" w:rsidTr="00CE7BB3">
        <w:trPr>
          <w:trHeight w:val="380"/>
        </w:trPr>
        <w:tc>
          <w:tcPr>
            <w:tcW w:w="4962" w:type="dxa"/>
            <w:tcBorders>
              <w:top w:val="nil"/>
              <w:left w:val="nil"/>
              <w:bottom w:val="nil"/>
              <w:right w:val="nil"/>
            </w:tcBorders>
            <w:shd w:val="clear" w:color="auto" w:fill="auto"/>
            <w:noWrap/>
            <w:vAlign w:val="bottom"/>
            <w:hideMark/>
          </w:tcPr>
          <w:p w14:paraId="4B617BB4"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Trade receivables</w:t>
            </w:r>
          </w:p>
        </w:tc>
        <w:tc>
          <w:tcPr>
            <w:tcW w:w="1387" w:type="dxa"/>
            <w:tcBorders>
              <w:top w:val="nil"/>
              <w:left w:val="nil"/>
              <w:bottom w:val="nil"/>
              <w:right w:val="nil"/>
            </w:tcBorders>
            <w:shd w:val="clear" w:color="auto" w:fill="auto"/>
            <w:noWrap/>
            <w:vAlign w:val="bottom"/>
            <w:hideMark/>
          </w:tcPr>
          <w:p w14:paraId="75D389B8"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170125</w:t>
            </w:r>
          </w:p>
        </w:tc>
        <w:tc>
          <w:tcPr>
            <w:tcW w:w="1544" w:type="dxa"/>
            <w:tcBorders>
              <w:top w:val="nil"/>
              <w:left w:val="nil"/>
              <w:bottom w:val="nil"/>
              <w:right w:val="nil"/>
            </w:tcBorders>
            <w:shd w:val="clear" w:color="auto" w:fill="auto"/>
            <w:noWrap/>
            <w:vAlign w:val="bottom"/>
            <w:hideMark/>
          </w:tcPr>
          <w:p w14:paraId="4F57562C"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c>
          <w:tcPr>
            <w:tcW w:w="1307" w:type="dxa"/>
            <w:tcBorders>
              <w:top w:val="nil"/>
              <w:left w:val="nil"/>
              <w:bottom w:val="nil"/>
              <w:right w:val="nil"/>
            </w:tcBorders>
            <w:shd w:val="clear" w:color="auto" w:fill="auto"/>
            <w:noWrap/>
            <w:vAlign w:val="bottom"/>
            <w:hideMark/>
          </w:tcPr>
          <w:p w14:paraId="6491B96A"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63E7B79F" w14:textId="77777777" w:rsidTr="00CE7BB3">
        <w:trPr>
          <w:trHeight w:val="380"/>
        </w:trPr>
        <w:tc>
          <w:tcPr>
            <w:tcW w:w="4962" w:type="dxa"/>
            <w:tcBorders>
              <w:top w:val="nil"/>
              <w:left w:val="nil"/>
              <w:bottom w:val="nil"/>
              <w:right w:val="nil"/>
            </w:tcBorders>
            <w:shd w:val="clear" w:color="auto" w:fill="auto"/>
            <w:noWrap/>
            <w:vAlign w:val="bottom"/>
            <w:hideMark/>
          </w:tcPr>
          <w:p w14:paraId="4BA8528C"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Add: Unrecorded credit sales</w:t>
            </w:r>
          </w:p>
        </w:tc>
        <w:tc>
          <w:tcPr>
            <w:tcW w:w="1387" w:type="dxa"/>
            <w:tcBorders>
              <w:top w:val="nil"/>
              <w:left w:val="nil"/>
              <w:bottom w:val="nil"/>
              <w:right w:val="nil"/>
            </w:tcBorders>
            <w:shd w:val="clear" w:color="auto" w:fill="auto"/>
            <w:noWrap/>
            <w:vAlign w:val="bottom"/>
            <w:hideMark/>
          </w:tcPr>
          <w:p w14:paraId="13739CAE"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980</w:t>
            </w:r>
          </w:p>
        </w:tc>
        <w:tc>
          <w:tcPr>
            <w:tcW w:w="1544" w:type="dxa"/>
            <w:tcBorders>
              <w:top w:val="nil"/>
              <w:left w:val="nil"/>
              <w:bottom w:val="nil"/>
              <w:right w:val="nil"/>
            </w:tcBorders>
            <w:shd w:val="clear" w:color="auto" w:fill="auto"/>
            <w:noWrap/>
            <w:vAlign w:val="bottom"/>
            <w:hideMark/>
          </w:tcPr>
          <w:p w14:paraId="554E6E31"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171105</w:t>
            </w:r>
          </w:p>
        </w:tc>
        <w:tc>
          <w:tcPr>
            <w:tcW w:w="1307" w:type="dxa"/>
            <w:tcBorders>
              <w:top w:val="nil"/>
              <w:left w:val="nil"/>
              <w:bottom w:val="nil"/>
              <w:right w:val="nil"/>
            </w:tcBorders>
            <w:shd w:val="clear" w:color="auto" w:fill="auto"/>
            <w:noWrap/>
            <w:vAlign w:val="bottom"/>
            <w:hideMark/>
          </w:tcPr>
          <w:p w14:paraId="3CE6235F"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7F1D1E32" w14:textId="77777777" w:rsidTr="00CE7BB3">
        <w:trPr>
          <w:trHeight w:val="380"/>
        </w:trPr>
        <w:tc>
          <w:tcPr>
            <w:tcW w:w="4962" w:type="dxa"/>
            <w:tcBorders>
              <w:top w:val="nil"/>
              <w:left w:val="nil"/>
              <w:bottom w:val="nil"/>
              <w:right w:val="nil"/>
            </w:tcBorders>
            <w:shd w:val="clear" w:color="auto" w:fill="auto"/>
            <w:noWrap/>
            <w:vAlign w:val="bottom"/>
            <w:hideMark/>
          </w:tcPr>
          <w:p w14:paraId="4B7C2CDF"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Closing Inventory</w:t>
            </w:r>
          </w:p>
        </w:tc>
        <w:tc>
          <w:tcPr>
            <w:tcW w:w="1387" w:type="dxa"/>
            <w:tcBorders>
              <w:top w:val="nil"/>
              <w:left w:val="nil"/>
              <w:bottom w:val="nil"/>
              <w:right w:val="nil"/>
            </w:tcBorders>
            <w:shd w:val="clear" w:color="auto" w:fill="auto"/>
            <w:noWrap/>
            <w:vAlign w:val="bottom"/>
            <w:hideMark/>
          </w:tcPr>
          <w:p w14:paraId="75D2463E"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1EDDB38F"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330600</w:t>
            </w:r>
          </w:p>
        </w:tc>
        <w:tc>
          <w:tcPr>
            <w:tcW w:w="1307" w:type="dxa"/>
            <w:tcBorders>
              <w:top w:val="nil"/>
              <w:left w:val="nil"/>
              <w:bottom w:val="nil"/>
              <w:right w:val="nil"/>
            </w:tcBorders>
            <w:shd w:val="clear" w:color="auto" w:fill="auto"/>
            <w:noWrap/>
            <w:vAlign w:val="bottom"/>
            <w:hideMark/>
          </w:tcPr>
          <w:p w14:paraId="3A3E3251"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16691744" w14:textId="77777777" w:rsidTr="00CE7BB3">
        <w:trPr>
          <w:trHeight w:val="380"/>
        </w:trPr>
        <w:tc>
          <w:tcPr>
            <w:tcW w:w="7893" w:type="dxa"/>
            <w:gridSpan w:val="3"/>
            <w:tcBorders>
              <w:top w:val="nil"/>
              <w:left w:val="nil"/>
              <w:bottom w:val="nil"/>
              <w:right w:val="nil"/>
            </w:tcBorders>
            <w:shd w:val="clear" w:color="auto" w:fill="auto"/>
            <w:noWrap/>
            <w:vAlign w:val="bottom"/>
            <w:hideMark/>
          </w:tcPr>
          <w:p w14:paraId="1B1C5D07"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Pr="00234B96">
              <w:rPr>
                <w:rFonts w:ascii="Times New Roman" w:eastAsia="Times New Roman" w:hAnsi="Times New Roman" w:cs="Times New Roman"/>
                <w:color w:val="000000"/>
                <w:sz w:val="24"/>
                <w:szCs w:val="24"/>
                <w:lang w:eastAsia="en-GB"/>
              </w:rPr>
              <w:t>Total current asset</w:t>
            </w:r>
          </w:p>
        </w:tc>
        <w:tc>
          <w:tcPr>
            <w:tcW w:w="1307" w:type="dxa"/>
            <w:tcBorders>
              <w:top w:val="nil"/>
              <w:left w:val="nil"/>
              <w:bottom w:val="nil"/>
              <w:right w:val="nil"/>
            </w:tcBorders>
            <w:shd w:val="clear" w:color="auto" w:fill="auto"/>
            <w:noWrap/>
            <w:vAlign w:val="bottom"/>
            <w:hideMark/>
          </w:tcPr>
          <w:p w14:paraId="2A298892"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514605</w:t>
            </w:r>
          </w:p>
        </w:tc>
      </w:tr>
      <w:tr w:rsidR="0093115E" w:rsidRPr="00234B96" w14:paraId="35B92291" w14:textId="77777777" w:rsidTr="00CE7BB3">
        <w:trPr>
          <w:trHeight w:val="380"/>
        </w:trPr>
        <w:tc>
          <w:tcPr>
            <w:tcW w:w="7893" w:type="dxa"/>
            <w:gridSpan w:val="3"/>
            <w:tcBorders>
              <w:top w:val="nil"/>
              <w:left w:val="nil"/>
              <w:bottom w:val="nil"/>
              <w:right w:val="nil"/>
            </w:tcBorders>
            <w:shd w:val="clear" w:color="auto" w:fill="auto"/>
            <w:noWrap/>
            <w:vAlign w:val="bottom"/>
            <w:hideMark/>
          </w:tcPr>
          <w:p w14:paraId="58AE5774" w14:textId="77777777" w:rsidR="0093115E" w:rsidRPr="00234B96" w:rsidRDefault="0093115E" w:rsidP="00CE7BB3">
            <w:pPr>
              <w:spacing w:after="0" w:line="276" w:lineRule="auto"/>
              <w:jc w:val="center"/>
              <w:rPr>
                <w:rFonts w:ascii="Times New Roman" w:eastAsia="Times New Roman" w:hAnsi="Times New Roman" w:cs="Times New Roman"/>
                <w:b/>
                <w:bCs/>
                <w:sz w:val="24"/>
                <w:szCs w:val="24"/>
                <w:lang w:eastAsia="en-GB"/>
              </w:rPr>
            </w:pPr>
            <w:r w:rsidRPr="00234B96">
              <w:rPr>
                <w:rFonts w:ascii="Times New Roman" w:eastAsia="Times New Roman" w:hAnsi="Times New Roman" w:cs="Times New Roman"/>
                <w:b/>
                <w:bCs/>
                <w:color w:val="000000"/>
                <w:sz w:val="24"/>
                <w:szCs w:val="24"/>
                <w:lang w:eastAsia="en-GB"/>
              </w:rPr>
              <w:t>Total Asset</w:t>
            </w:r>
          </w:p>
        </w:tc>
        <w:tc>
          <w:tcPr>
            <w:tcW w:w="1307" w:type="dxa"/>
            <w:tcBorders>
              <w:top w:val="nil"/>
              <w:left w:val="nil"/>
              <w:bottom w:val="nil"/>
              <w:right w:val="nil"/>
            </w:tcBorders>
            <w:shd w:val="clear" w:color="auto" w:fill="auto"/>
            <w:noWrap/>
            <w:vAlign w:val="bottom"/>
            <w:hideMark/>
          </w:tcPr>
          <w:p w14:paraId="335DEF7B" w14:textId="77777777" w:rsidR="0093115E" w:rsidRPr="00234B96" w:rsidRDefault="0093115E" w:rsidP="00CE7BB3">
            <w:pPr>
              <w:spacing w:after="0" w:line="276" w:lineRule="auto"/>
              <w:jc w:val="center"/>
              <w:rPr>
                <w:rFonts w:ascii="Times New Roman" w:eastAsia="Times New Roman" w:hAnsi="Times New Roman" w:cs="Times New Roman"/>
                <w:b/>
                <w:bCs/>
                <w:color w:val="000000"/>
                <w:sz w:val="24"/>
                <w:szCs w:val="24"/>
                <w:u w:val="double"/>
                <w:lang w:eastAsia="en-GB"/>
              </w:rPr>
            </w:pPr>
            <w:r w:rsidRPr="00234B96">
              <w:rPr>
                <w:rFonts w:ascii="Times New Roman" w:eastAsia="Times New Roman" w:hAnsi="Times New Roman" w:cs="Times New Roman"/>
                <w:b/>
                <w:bCs/>
                <w:color w:val="000000"/>
                <w:sz w:val="24"/>
                <w:szCs w:val="24"/>
                <w:u w:val="double"/>
                <w:lang w:eastAsia="en-GB"/>
              </w:rPr>
              <w:t>1147335</w:t>
            </w:r>
          </w:p>
        </w:tc>
      </w:tr>
      <w:tr w:rsidR="0093115E" w:rsidRPr="00234B96" w14:paraId="5A916943" w14:textId="77777777" w:rsidTr="00CE7BB3">
        <w:trPr>
          <w:trHeight w:val="380"/>
        </w:trPr>
        <w:tc>
          <w:tcPr>
            <w:tcW w:w="4962" w:type="dxa"/>
            <w:tcBorders>
              <w:top w:val="nil"/>
              <w:left w:val="nil"/>
              <w:bottom w:val="nil"/>
              <w:right w:val="nil"/>
            </w:tcBorders>
            <w:shd w:val="clear" w:color="auto" w:fill="auto"/>
            <w:noWrap/>
            <w:vAlign w:val="bottom"/>
            <w:hideMark/>
          </w:tcPr>
          <w:p w14:paraId="1A6FE933"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Current Liabilities</w:t>
            </w:r>
          </w:p>
        </w:tc>
        <w:tc>
          <w:tcPr>
            <w:tcW w:w="1387" w:type="dxa"/>
            <w:tcBorders>
              <w:top w:val="nil"/>
              <w:left w:val="nil"/>
              <w:bottom w:val="nil"/>
              <w:right w:val="nil"/>
            </w:tcBorders>
            <w:shd w:val="clear" w:color="auto" w:fill="auto"/>
            <w:noWrap/>
            <w:vAlign w:val="bottom"/>
            <w:hideMark/>
          </w:tcPr>
          <w:p w14:paraId="5251F8CE"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DC2E847"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2955C5C9"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211A7561" w14:textId="77777777" w:rsidTr="00CE7BB3">
        <w:trPr>
          <w:trHeight w:val="380"/>
        </w:trPr>
        <w:tc>
          <w:tcPr>
            <w:tcW w:w="4962" w:type="dxa"/>
            <w:tcBorders>
              <w:top w:val="nil"/>
              <w:left w:val="nil"/>
              <w:bottom w:val="nil"/>
              <w:right w:val="nil"/>
            </w:tcBorders>
            <w:shd w:val="clear" w:color="auto" w:fill="auto"/>
            <w:noWrap/>
            <w:vAlign w:val="bottom"/>
            <w:hideMark/>
          </w:tcPr>
          <w:p w14:paraId="178026DA"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Trade Payables</w:t>
            </w:r>
          </w:p>
        </w:tc>
        <w:tc>
          <w:tcPr>
            <w:tcW w:w="1387" w:type="dxa"/>
            <w:tcBorders>
              <w:top w:val="nil"/>
              <w:left w:val="nil"/>
              <w:bottom w:val="nil"/>
              <w:right w:val="nil"/>
            </w:tcBorders>
            <w:shd w:val="clear" w:color="auto" w:fill="auto"/>
            <w:noWrap/>
            <w:vAlign w:val="bottom"/>
            <w:hideMark/>
          </w:tcPr>
          <w:p w14:paraId="2A5F482C"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46084B2"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171355</w:t>
            </w:r>
          </w:p>
        </w:tc>
        <w:tc>
          <w:tcPr>
            <w:tcW w:w="1307" w:type="dxa"/>
            <w:tcBorders>
              <w:top w:val="nil"/>
              <w:left w:val="nil"/>
              <w:bottom w:val="nil"/>
              <w:right w:val="nil"/>
            </w:tcBorders>
            <w:shd w:val="clear" w:color="auto" w:fill="auto"/>
            <w:noWrap/>
            <w:vAlign w:val="bottom"/>
            <w:hideMark/>
          </w:tcPr>
          <w:p w14:paraId="25CF69CC"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2A906C67" w14:textId="77777777" w:rsidTr="00CE7BB3">
        <w:trPr>
          <w:trHeight w:val="380"/>
        </w:trPr>
        <w:tc>
          <w:tcPr>
            <w:tcW w:w="4962" w:type="dxa"/>
            <w:tcBorders>
              <w:top w:val="nil"/>
              <w:left w:val="nil"/>
              <w:bottom w:val="nil"/>
              <w:right w:val="nil"/>
            </w:tcBorders>
            <w:shd w:val="clear" w:color="auto" w:fill="auto"/>
            <w:noWrap/>
            <w:vAlign w:val="bottom"/>
            <w:hideMark/>
          </w:tcPr>
          <w:p w14:paraId="0F15BB8B"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Accrued tax expense</w:t>
            </w:r>
          </w:p>
        </w:tc>
        <w:tc>
          <w:tcPr>
            <w:tcW w:w="1387" w:type="dxa"/>
            <w:tcBorders>
              <w:top w:val="nil"/>
              <w:left w:val="nil"/>
              <w:bottom w:val="nil"/>
              <w:right w:val="nil"/>
            </w:tcBorders>
            <w:shd w:val="clear" w:color="auto" w:fill="auto"/>
            <w:noWrap/>
            <w:vAlign w:val="bottom"/>
            <w:hideMark/>
          </w:tcPr>
          <w:p w14:paraId="4FC88AE7"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5B859DBA"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68000</w:t>
            </w:r>
          </w:p>
        </w:tc>
        <w:tc>
          <w:tcPr>
            <w:tcW w:w="1307" w:type="dxa"/>
            <w:tcBorders>
              <w:top w:val="nil"/>
              <w:left w:val="nil"/>
              <w:bottom w:val="nil"/>
              <w:right w:val="nil"/>
            </w:tcBorders>
            <w:shd w:val="clear" w:color="auto" w:fill="auto"/>
            <w:noWrap/>
            <w:vAlign w:val="bottom"/>
            <w:hideMark/>
          </w:tcPr>
          <w:p w14:paraId="3000D24C"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154F4189" w14:textId="77777777" w:rsidTr="00CE7BB3">
        <w:trPr>
          <w:trHeight w:val="380"/>
        </w:trPr>
        <w:tc>
          <w:tcPr>
            <w:tcW w:w="4962" w:type="dxa"/>
            <w:tcBorders>
              <w:top w:val="nil"/>
              <w:left w:val="nil"/>
              <w:bottom w:val="nil"/>
              <w:right w:val="nil"/>
            </w:tcBorders>
            <w:shd w:val="clear" w:color="auto" w:fill="auto"/>
            <w:noWrap/>
            <w:vAlign w:val="bottom"/>
            <w:hideMark/>
          </w:tcPr>
          <w:p w14:paraId="019B6724"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Accrued sales Commission</w:t>
            </w:r>
          </w:p>
        </w:tc>
        <w:tc>
          <w:tcPr>
            <w:tcW w:w="1387" w:type="dxa"/>
            <w:tcBorders>
              <w:top w:val="nil"/>
              <w:left w:val="nil"/>
              <w:bottom w:val="nil"/>
              <w:right w:val="nil"/>
            </w:tcBorders>
            <w:shd w:val="clear" w:color="auto" w:fill="auto"/>
            <w:noWrap/>
            <w:vAlign w:val="bottom"/>
            <w:hideMark/>
          </w:tcPr>
          <w:p w14:paraId="41D07AA3"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75FD9FA5"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3000</w:t>
            </w:r>
          </w:p>
        </w:tc>
        <w:tc>
          <w:tcPr>
            <w:tcW w:w="1307" w:type="dxa"/>
            <w:tcBorders>
              <w:top w:val="nil"/>
              <w:left w:val="nil"/>
              <w:bottom w:val="nil"/>
              <w:right w:val="nil"/>
            </w:tcBorders>
            <w:shd w:val="clear" w:color="auto" w:fill="auto"/>
            <w:noWrap/>
            <w:vAlign w:val="bottom"/>
            <w:hideMark/>
          </w:tcPr>
          <w:p w14:paraId="1DE27FD8"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34299954" w14:textId="77777777" w:rsidTr="00CE7BB3">
        <w:trPr>
          <w:trHeight w:val="380"/>
        </w:trPr>
        <w:tc>
          <w:tcPr>
            <w:tcW w:w="4962" w:type="dxa"/>
            <w:tcBorders>
              <w:top w:val="nil"/>
              <w:left w:val="nil"/>
              <w:bottom w:val="nil"/>
              <w:right w:val="nil"/>
            </w:tcBorders>
            <w:shd w:val="clear" w:color="auto" w:fill="auto"/>
            <w:noWrap/>
            <w:vAlign w:val="bottom"/>
            <w:hideMark/>
          </w:tcPr>
          <w:p w14:paraId="1C91E3DD"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Accrued interest expense</w:t>
            </w:r>
          </w:p>
        </w:tc>
        <w:tc>
          <w:tcPr>
            <w:tcW w:w="1387" w:type="dxa"/>
            <w:tcBorders>
              <w:top w:val="nil"/>
              <w:left w:val="nil"/>
              <w:bottom w:val="nil"/>
              <w:right w:val="nil"/>
            </w:tcBorders>
            <w:shd w:val="clear" w:color="auto" w:fill="auto"/>
            <w:noWrap/>
            <w:vAlign w:val="bottom"/>
            <w:hideMark/>
          </w:tcPr>
          <w:p w14:paraId="23DF4684"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47A0F664"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2000</w:t>
            </w:r>
          </w:p>
        </w:tc>
        <w:tc>
          <w:tcPr>
            <w:tcW w:w="1307" w:type="dxa"/>
            <w:tcBorders>
              <w:top w:val="nil"/>
              <w:left w:val="nil"/>
              <w:bottom w:val="nil"/>
              <w:right w:val="nil"/>
            </w:tcBorders>
            <w:shd w:val="clear" w:color="auto" w:fill="auto"/>
            <w:noWrap/>
            <w:vAlign w:val="bottom"/>
            <w:hideMark/>
          </w:tcPr>
          <w:p w14:paraId="05193C43"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70C42120" w14:textId="77777777" w:rsidTr="00CE7BB3">
        <w:trPr>
          <w:trHeight w:val="380"/>
        </w:trPr>
        <w:tc>
          <w:tcPr>
            <w:tcW w:w="4962" w:type="dxa"/>
            <w:tcBorders>
              <w:top w:val="nil"/>
              <w:left w:val="nil"/>
              <w:bottom w:val="nil"/>
              <w:right w:val="nil"/>
            </w:tcBorders>
            <w:shd w:val="clear" w:color="auto" w:fill="auto"/>
            <w:noWrap/>
            <w:vAlign w:val="bottom"/>
            <w:hideMark/>
          </w:tcPr>
          <w:p w14:paraId="3AEBEDD4"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Pr="00234B96">
              <w:rPr>
                <w:rFonts w:ascii="Times New Roman" w:eastAsia="Times New Roman" w:hAnsi="Times New Roman" w:cs="Times New Roman"/>
                <w:color w:val="000000"/>
                <w:sz w:val="24"/>
                <w:szCs w:val="24"/>
                <w:lang w:eastAsia="en-GB"/>
              </w:rPr>
              <w:t>Total Current Liabilities</w:t>
            </w:r>
          </w:p>
        </w:tc>
        <w:tc>
          <w:tcPr>
            <w:tcW w:w="1387" w:type="dxa"/>
            <w:tcBorders>
              <w:top w:val="nil"/>
              <w:left w:val="nil"/>
              <w:bottom w:val="nil"/>
              <w:right w:val="nil"/>
            </w:tcBorders>
            <w:shd w:val="clear" w:color="auto" w:fill="auto"/>
            <w:noWrap/>
            <w:vAlign w:val="bottom"/>
            <w:hideMark/>
          </w:tcPr>
          <w:p w14:paraId="080FAE58"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5CA00EA7"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035F0EB6"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244355</w:t>
            </w:r>
          </w:p>
        </w:tc>
      </w:tr>
      <w:tr w:rsidR="0093115E" w:rsidRPr="00234B96" w14:paraId="1D1B2CD5" w14:textId="77777777" w:rsidTr="00CE7BB3">
        <w:trPr>
          <w:trHeight w:val="380"/>
        </w:trPr>
        <w:tc>
          <w:tcPr>
            <w:tcW w:w="4962" w:type="dxa"/>
            <w:tcBorders>
              <w:top w:val="nil"/>
              <w:left w:val="nil"/>
              <w:bottom w:val="nil"/>
              <w:right w:val="nil"/>
            </w:tcBorders>
            <w:shd w:val="clear" w:color="auto" w:fill="auto"/>
            <w:noWrap/>
            <w:vAlign w:val="bottom"/>
            <w:hideMark/>
          </w:tcPr>
          <w:p w14:paraId="2F37ADA1"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Non-Current Liabilities</w:t>
            </w:r>
          </w:p>
        </w:tc>
        <w:tc>
          <w:tcPr>
            <w:tcW w:w="1387" w:type="dxa"/>
            <w:tcBorders>
              <w:top w:val="nil"/>
              <w:left w:val="nil"/>
              <w:bottom w:val="nil"/>
              <w:right w:val="nil"/>
            </w:tcBorders>
            <w:shd w:val="clear" w:color="auto" w:fill="auto"/>
            <w:noWrap/>
            <w:vAlign w:val="bottom"/>
            <w:hideMark/>
          </w:tcPr>
          <w:p w14:paraId="060CCDA3"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34399904"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20B00E24"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770A539D" w14:textId="77777777" w:rsidTr="00CE7BB3">
        <w:trPr>
          <w:trHeight w:val="380"/>
        </w:trPr>
        <w:tc>
          <w:tcPr>
            <w:tcW w:w="4962" w:type="dxa"/>
            <w:tcBorders>
              <w:top w:val="nil"/>
              <w:left w:val="nil"/>
              <w:bottom w:val="nil"/>
              <w:right w:val="nil"/>
            </w:tcBorders>
            <w:shd w:val="clear" w:color="auto" w:fill="auto"/>
            <w:noWrap/>
            <w:vAlign w:val="bottom"/>
            <w:hideMark/>
          </w:tcPr>
          <w:p w14:paraId="3693B23C"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4% Debenture</w:t>
            </w:r>
          </w:p>
        </w:tc>
        <w:tc>
          <w:tcPr>
            <w:tcW w:w="1387" w:type="dxa"/>
            <w:tcBorders>
              <w:top w:val="nil"/>
              <w:left w:val="nil"/>
              <w:bottom w:val="nil"/>
              <w:right w:val="nil"/>
            </w:tcBorders>
            <w:shd w:val="clear" w:color="auto" w:fill="auto"/>
            <w:noWrap/>
            <w:vAlign w:val="bottom"/>
            <w:hideMark/>
          </w:tcPr>
          <w:p w14:paraId="5B296CE1"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5F42DFB5"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238D1925"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100000</w:t>
            </w:r>
          </w:p>
        </w:tc>
      </w:tr>
      <w:tr w:rsidR="0093115E" w:rsidRPr="00234B96" w14:paraId="5C75F61E" w14:textId="77777777" w:rsidTr="00CE7BB3">
        <w:trPr>
          <w:trHeight w:val="380"/>
        </w:trPr>
        <w:tc>
          <w:tcPr>
            <w:tcW w:w="7893" w:type="dxa"/>
            <w:gridSpan w:val="3"/>
            <w:tcBorders>
              <w:top w:val="nil"/>
              <w:left w:val="nil"/>
              <w:bottom w:val="nil"/>
              <w:right w:val="nil"/>
            </w:tcBorders>
            <w:shd w:val="clear" w:color="auto" w:fill="auto"/>
            <w:noWrap/>
            <w:vAlign w:val="bottom"/>
            <w:hideMark/>
          </w:tcPr>
          <w:p w14:paraId="6236B08F" w14:textId="77777777" w:rsidR="0093115E" w:rsidRPr="00234B96" w:rsidRDefault="0093115E" w:rsidP="00CE7BB3">
            <w:pPr>
              <w:spacing w:after="0" w:line="276" w:lineRule="auto"/>
              <w:jc w:val="center"/>
              <w:rPr>
                <w:rFonts w:ascii="Times New Roman" w:eastAsia="Times New Roman" w:hAnsi="Times New Roman" w:cs="Times New Roman"/>
                <w:b/>
                <w:bCs/>
                <w:sz w:val="24"/>
                <w:szCs w:val="24"/>
                <w:lang w:eastAsia="en-GB"/>
              </w:rPr>
            </w:pPr>
            <w:r w:rsidRPr="00234B96">
              <w:rPr>
                <w:rFonts w:ascii="Times New Roman" w:eastAsia="Times New Roman" w:hAnsi="Times New Roman" w:cs="Times New Roman"/>
                <w:b/>
                <w:bCs/>
                <w:color w:val="000000"/>
                <w:sz w:val="24"/>
                <w:szCs w:val="24"/>
                <w:lang w:eastAsia="en-GB"/>
              </w:rPr>
              <w:t>Total Liabilities</w:t>
            </w:r>
          </w:p>
        </w:tc>
        <w:tc>
          <w:tcPr>
            <w:tcW w:w="1307" w:type="dxa"/>
            <w:tcBorders>
              <w:top w:val="nil"/>
              <w:left w:val="nil"/>
              <w:bottom w:val="nil"/>
              <w:right w:val="nil"/>
            </w:tcBorders>
            <w:shd w:val="clear" w:color="auto" w:fill="auto"/>
            <w:noWrap/>
            <w:vAlign w:val="bottom"/>
            <w:hideMark/>
          </w:tcPr>
          <w:p w14:paraId="672047F8" w14:textId="77777777" w:rsidR="0093115E" w:rsidRPr="00234B96" w:rsidRDefault="0093115E" w:rsidP="00CE7BB3">
            <w:pPr>
              <w:spacing w:after="0" w:line="276" w:lineRule="auto"/>
              <w:jc w:val="center"/>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344355</w:t>
            </w:r>
          </w:p>
        </w:tc>
      </w:tr>
      <w:tr w:rsidR="0093115E" w:rsidRPr="00234B96" w14:paraId="38C0BC56" w14:textId="77777777" w:rsidTr="00CE7BB3">
        <w:trPr>
          <w:trHeight w:val="380"/>
        </w:trPr>
        <w:tc>
          <w:tcPr>
            <w:tcW w:w="4962" w:type="dxa"/>
            <w:tcBorders>
              <w:top w:val="nil"/>
              <w:left w:val="nil"/>
              <w:bottom w:val="nil"/>
              <w:right w:val="nil"/>
            </w:tcBorders>
            <w:shd w:val="clear" w:color="auto" w:fill="auto"/>
            <w:noWrap/>
            <w:vAlign w:val="bottom"/>
            <w:hideMark/>
          </w:tcPr>
          <w:p w14:paraId="346FD4DC" w14:textId="77777777" w:rsidR="0093115E" w:rsidRPr="00234B96" w:rsidRDefault="0093115E" w:rsidP="00CE7BB3">
            <w:pPr>
              <w:spacing w:after="0" w:line="276" w:lineRule="auto"/>
              <w:rPr>
                <w:rFonts w:ascii="Times New Roman" w:eastAsia="Times New Roman" w:hAnsi="Times New Roman" w:cs="Times New Roman"/>
                <w:b/>
                <w:bCs/>
                <w:color w:val="000000"/>
                <w:sz w:val="24"/>
                <w:szCs w:val="24"/>
                <w:lang w:eastAsia="en-GB"/>
              </w:rPr>
            </w:pPr>
            <w:r w:rsidRPr="00234B96">
              <w:rPr>
                <w:rFonts w:ascii="Times New Roman" w:eastAsia="Times New Roman" w:hAnsi="Times New Roman" w:cs="Times New Roman"/>
                <w:b/>
                <w:bCs/>
                <w:color w:val="000000"/>
                <w:sz w:val="24"/>
                <w:szCs w:val="24"/>
                <w:lang w:eastAsia="en-GB"/>
              </w:rPr>
              <w:t>Shareholder's Equity</w:t>
            </w:r>
          </w:p>
        </w:tc>
        <w:tc>
          <w:tcPr>
            <w:tcW w:w="1387" w:type="dxa"/>
            <w:tcBorders>
              <w:top w:val="nil"/>
              <w:left w:val="nil"/>
              <w:bottom w:val="nil"/>
              <w:right w:val="nil"/>
            </w:tcBorders>
            <w:shd w:val="clear" w:color="auto" w:fill="auto"/>
            <w:noWrap/>
            <w:vAlign w:val="bottom"/>
            <w:hideMark/>
          </w:tcPr>
          <w:p w14:paraId="4145CE58"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E09D851"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c>
          <w:tcPr>
            <w:tcW w:w="1307" w:type="dxa"/>
            <w:tcBorders>
              <w:top w:val="nil"/>
              <w:left w:val="nil"/>
              <w:bottom w:val="nil"/>
              <w:right w:val="nil"/>
            </w:tcBorders>
            <w:shd w:val="clear" w:color="auto" w:fill="auto"/>
            <w:noWrap/>
            <w:vAlign w:val="bottom"/>
            <w:hideMark/>
          </w:tcPr>
          <w:p w14:paraId="4ABC66CE"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6930DE13" w14:textId="77777777" w:rsidTr="00CE7BB3">
        <w:trPr>
          <w:trHeight w:val="380"/>
        </w:trPr>
        <w:tc>
          <w:tcPr>
            <w:tcW w:w="4962" w:type="dxa"/>
            <w:tcBorders>
              <w:top w:val="nil"/>
              <w:left w:val="nil"/>
              <w:bottom w:val="nil"/>
              <w:right w:val="nil"/>
            </w:tcBorders>
            <w:shd w:val="clear" w:color="auto" w:fill="auto"/>
            <w:noWrap/>
            <w:vAlign w:val="bottom"/>
            <w:hideMark/>
          </w:tcPr>
          <w:p w14:paraId="5505FE5E"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10% £1 preference shares</w:t>
            </w:r>
          </w:p>
        </w:tc>
        <w:tc>
          <w:tcPr>
            <w:tcW w:w="1387" w:type="dxa"/>
            <w:tcBorders>
              <w:top w:val="nil"/>
              <w:left w:val="nil"/>
              <w:bottom w:val="nil"/>
              <w:right w:val="nil"/>
            </w:tcBorders>
            <w:shd w:val="clear" w:color="auto" w:fill="auto"/>
            <w:noWrap/>
            <w:vAlign w:val="bottom"/>
            <w:hideMark/>
          </w:tcPr>
          <w:p w14:paraId="61FC2ECB"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29C0900"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300000</w:t>
            </w:r>
          </w:p>
        </w:tc>
        <w:tc>
          <w:tcPr>
            <w:tcW w:w="1307" w:type="dxa"/>
            <w:tcBorders>
              <w:top w:val="nil"/>
              <w:left w:val="nil"/>
              <w:bottom w:val="nil"/>
              <w:right w:val="nil"/>
            </w:tcBorders>
            <w:shd w:val="clear" w:color="auto" w:fill="auto"/>
            <w:noWrap/>
            <w:vAlign w:val="bottom"/>
            <w:hideMark/>
          </w:tcPr>
          <w:p w14:paraId="57120403"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205503F3" w14:textId="77777777" w:rsidTr="00CE7BB3">
        <w:trPr>
          <w:trHeight w:val="380"/>
        </w:trPr>
        <w:tc>
          <w:tcPr>
            <w:tcW w:w="4962" w:type="dxa"/>
            <w:tcBorders>
              <w:top w:val="nil"/>
              <w:left w:val="nil"/>
              <w:bottom w:val="nil"/>
              <w:right w:val="nil"/>
            </w:tcBorders>
            <w:shd w:val="clear" w:color="auto" w:fill="auto"/>
            <w:noWrap/>
            <w:vAlign w:val="bottom"/>
            <w:hideMark/>
          </w:tcPr>
          <w:p w14:paraId="12C469D4"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£1 Ordinary shares</w:t>
            </w:r>
          </w:p>
        </w:tc>
        <w:tc>
          <w:tcPr>
            <w:tcW w:w="1387" w:type="dxa"/>
            <w:tcBorders>
              <w:top w:val="nil"/>
              <w:left w:val="nil"/>
              <w:bottom w:val="nil"/>
              <w:right w:val="nil"/>
            </w:tcBorders>
            <w:shd w:val="clear" w:color="auto" w:fill="auto"/>
            <w:noWrap/>
            <w:vAlign w:val="bottom"/>
            <w:hideMark/>
          </w:tcPr>
          <w:p w14:paraId="141CA536"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9FACF20"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310000</w:t>
            </w:r>
          </w:p>
        </w:tc>
        <w:tc>
          <w:tcPr>
            <w:tcW w:w="1307" w:type="dxa"/>
            <w:tcBorders>
              <w:top w:val="nil"/>
              <w:left w:val="nil"/>
              <w:bottom w:val="nil"/>
              <w:right w:val="nil"/>
            </w:tcBorders>
            <w:shd w:val="clear" w:color="auto" w:fill="auto"/>
            <w:noWrap/>
            <w:vAlign w:val="bottom"/>
            <w:hideMark/>
          </w:tcPr>
          <w:p w14:paraId="15E8D58B"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7760FFBB" w14:textId="77777777" w:rsidTr="00CE7BB3">
        <w:trPr>
          <w:trHeight w:val="380"/>
        </w:trPr>
        <w:tc>
          <w:tcPr>
            <w:tcW w:w="4962" w:type="dxa"/>
            <w:tcBorders>
              <w:top w:val="nil"/>
              <w:left w:val="nil"/>
              <w:bottom w:val="nil"/>
              <w:right w:val="nil"/>
            </w:tcBorders>
            <w:shd w:val="clear" w:color="auto" w:fill="auto"/>
            <w:noWrap/>
            <w:vAlign w:val="bottom"/>
            <w:hideMark/>
          </w:tcPr>
          <w:p w14:paraId="78853B92"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Retained Earnings at 1st January, 2018 </w:t>
            </w:r>
          </w:p>
        </w:tc>
        <w:tc>
          <w:tcPr>
            <w:tcW w:w="1387" w:type="dxa"/>
            <w:tcBorders>
              <w:top w:val="nil"/>
              <w:left w:val="nil"/>
              <w:bottom w:val="nil"/>
              <w:right w:val="nil"/>
            </w:tcBorders>
            <w:shd w:val="clear" w:color="auto" w:fill="auto"/>
            <w:noWrap/>
            <w:vAlign w:val="bottom"/>
            <w:hideMark/>
          </w:tcPr>
          <w:p w14:paraId="2A4B3605"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132000</w:t>
            </w:r>
          </w:p>
        </w:tc>
        <w:tc>
          <w:tcPr>
            <w:tcW w:w="1544" w:type="dxa"/>
            <w:tcBorders>
              <w:top w:val="nil"/>
              <w:left w:val="nil"/>
              <w:bottom w:val="nil"/>
              <w:right w:val="nil"/>
            </w:tcBorders>
            <w:shd w:val="clear" w:color="auto" w:fill="auto"/>
            <w:noWrap/>
            <w:vAlign w:val="bottom"/>
            <w:hideMark/>
          </w:tcPr>
          <w:p w14:paraId="22641989"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c>
          <w:tcPr>
            <w:tcW w:w="1307" w:type="dxa"/>
            <w:tcBorders>
              <w:top w:val="nil"/>
              <w:left w:val="nil"/>
              <w:bottom w:val="nil"/>
              <w:right w:val="nil"/>
            </w:tcBorders>
            <w:shd w:val="clear" w:color="auto" w:fill="auto"/>
            <w:noWrap/>
            <w:vAlign w:val="bottom"/>
            <w:hideMark/>
          </w:tcPr>
          <w:p w14:paraId="75346DB0"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00A532AD" w14:textId="77777777" w:rsidTr="00CE7BB3">
        <w:trPr>
          <w:trHeight w:val="380"/>
        </w:trPr>
        <w:tc>
          <w:tcPr>
            <w:tcW w:w="4962" w:type="dxa"/>
            <w:tcBorders>
              <w:top w:val="nil"/>
              <w:left w:val="nil"/>
              <w:bottom w:val="nil"/>
              <w:right w:val="nil"/>
            </w:tcBorders>
            <w:shd w:val="clear" w:color="auto" w:fill="auto"/>
            <w:noWrap/>
            <w:vAlign w:val="bottom"/>
            <w:hideMark/>
          </w:tcPr>
          <w:p w14:paraId="5F3FA071"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Add: Net profit</w:t>
            </w:r>
          </w:p>
        </w:tc>
        <w:tc>
          <w:tcPr>
            <w:tcW w:w="1387" w:type="dxa"/>
            <w:tcBorders>
              <w:top w:val="nil"/>
              <w:left w:val="nil"/>
              <w:bottom w:val="nil"/>
              <w:right w:val="nil"/>
            </w:tcBorders>
            <w:shd w:val="clear" w:color="auto" w:fill="auto"/>
            <w:noWrap/>
            <w:vAlign w:val="bottom"/>
            <w:hideMark/>
          </w:tcPr>
          <w:p w14:paraId="26FB0477"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80980</w:t>
            </w:r>
          </w:p>
        </w:tc>
        <w:tc>
          <w:tcPr>
            <w:tcW w:w="1544" w:type="dxa"/>
            <w:tcBorders>
              <w:top w:val="nil"/>
              <w:left w:val="nil"/>
              <w:bottom w:val="nil"/>
              <w:right w:val="nil"/>
            </w:tcBorders>
            <w:shd w:val="clear" w:color="auto" w:fill="auto"/>
            <w:noWrap/>
            <w:vAlign w:val="bottom"/>
            <w:hideMark/>
          </w:tcPr>
          <w:p w14:paraId="06E714E9"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c>
          <w:tcPr>
            <w:tcW w:w="1307" w:type="dxa"/>
            <w:tcBorders>
              <w:top w:val="nil"/>
              <w:left w:val="nil"/>
              <w:bottom w:val="nil"/>
              <w:right w:val="nil"/>
            </w:tcBorders>
            <w:shd w:val="clear" w:color="auto" w:fill="auto"/>
            <w:noWrap/>
            <w:vAlign w:val="bottom"/>
            <w:hideMark/>
          </w:tcPr>
          <w:p w14:paraId="6A19F3A7"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2740FA81" w14:textId="77777777" w:rsidTr="00CE7BB3">
        <w:trPr>
          <w:trHeight w:val="380"/>
        </w:trPr>
        <w:tc>
          <w:tcPr>
            <w:tcW w:w="4962" w:type="dxa"/>
            <w:tcBorders>
              <w:top w:val="nil"/>
              <w:left w:val="nil"/>
              <w:bottom w:val="nil"/>
              <w:right w:val="nil"/>
            </w:tcBorders>
            <w:shd w:val="clear" w:color="auto" w:fill="auto"/>
            <w:noWrap/>
            <w:vAlign w:val="bottom"/>
            <w:hideMark/>
          </w:tcPr>
          <w:p w14:paraId="5C95C4A1"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Less: Ordinary Dividend Payment</w:t>
            </w:r>
          </w:p>
        </w:tc>
        <w:tc>
          <w:tcPr>
            <w:tcW w:w="1387" w:type="dxa"/>
            <w:tcBorders>
              <w:top w:val="nil"/>
              <w:left w:val="nil"/>
              <w:bottom w:val="nil"/>
              <w:right w:val="nil"/>
            </w:tcBorders>
            <w:shd w:val="clear" w:color="auto" w:fill="auto"/>
            <w:noWrap/>
            <w:vAlign w:val="bottom"/>
            <w:hideMark/>
          </w:tcPr>
          <w:p w14:paraId="78A52DA7"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20000</w:t>
            </w:r>
          </w:p>
        </w:tc>
        <w:tc>
          <w:tcPr>
            <w:tcW w:w="1544" w:type="dxa"/>
            <w:tcBorders>
              <w:top w:val="nil"/>
              <w:left w:val="nil"/>
              <w:bottom w:val="nil"/>
              <w:right w:val="nil"/>
            </w:tcBorders>
            <w:shd w:val="clear" w:color="auto" w:fill="auto"/>
            <w:noWrap/>
            <w:vAlign w:val="bottom"/>
            <w:hideMark/>
          </w:tcPr>
          <w:p w14:paraId="73D54AD0"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c>
          <w:tcPr>
            <w:tcW w:w="1307" w:type="dxa"/>
            <w:tcBorders>
              <w:top w:val="nil"/>
              <w:left w:val="nil"/>
              <w:bottom w:val="nil"/>
              <w:right w:val="nil"/>
            </w:tcBorders>
            <w:shd w:val="clear" w:color="auto" w:fill="auto"/>
            <w:noWrap/>
            <w:vAlign w:val="bottom"/>
            <w:hideMark/>
          </w:tcPr>
          <w:p w14:paraId="58A4042C" w14:textId="77777777" w:rsidR="0093115E" w:rsidRPr="00234B96" w:rsidRDefault="0093115E" w:rsidP="00CE7BB3">
            <w:pPr>
              <w:spacing w:after="0" w:line="276" w:lineRule="auto"/>
              <w:rPr>
                <w:rFonts w:ascii="Times New Roman" w:eastAsia="Times New Roman" w:hAnsi="Times New Roman" w:cs="Times New Roman"/>
                <w:sz w:val="24"/>
                <w:szCs w:val="24"/>
                <w:lang w:eastAsia="en-GB"/>
              </w:rPr>
            </w:pPr>
          </w:p>
        </w:tc>
      </w:tr>
      <w:tr w:rsidR="0093115E" w:rsidRPr="00234B96" w14:paraId="3753EBD8" w14:textId="77777777" w:rsidTr="00CE7BB3">
        <w:trPr>
          <w:trHeight w:val="380"/>
        </w:trPr>
        <w:tc>
          <w:tcPr>
            <w:tcW w:w="4962" w:type="dxa"/>
            <w:tcBorders>
              <w:top w:val="nil"/>
              <w:left w:val="nil"/>
              <w:bottom w:val="nil"/>
              <w:right w:val="nil"/>
            </w:tcBorders>
            <w:shd w:val="clear" w:color="auto" w:fill="auto"/>
            <w:noWrap/>
            <w:vAlign w:val="bottom"/>
            <w:hideMark/>
          </w:tcPr>
          <w:p w14:paraId="02D6FDA2"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 xml:space="preserve">   Retained Earnings at 31st December, 2018 </w:t>
            </w:r>
          </w:p>
        </w:tc>
        <w:tc>
          <w:tcPr>
            <w:tcW w:w="1387" w:type="dxa"/>
            <w:tcBorders>
              <w:top w:val="nil"/>
              <w:left w:val="nil"/>
              <w:bottom w:val="nil"/>
              <w:right w:val="nil"/>
            </w:tcBorders>
            <w:shd w:val="clear" w:color="auto" w:fill="auto"/>
            <w:noWrap/>
            <w:vAlign w:val="bottom"/>
            <w:hideMark/>
          </w:tcPr>
          <w:p w14:paraId="0CCCF05E" w14:textId="77777777" w:rsidR="0093115E" w:rsidRPr="00234B96" w:rsidRDefault="0093115E" w:rsidP="00CE7BB3">
            <w:pPr>
              <w:spacing w:after="0" w:line="276" w:lineRule="auto"/>
              <w:rPr>
                <w:rFonts w:ascii="Times New Roman" w:eastAsia="Times New Roman" w:hAnsi="Times New Roman" w:cs="Times New Roman"/>
                <w:color w:val="000000"/>
                <w:sz w:val="24"/>
                <w:szCs w:val="24"/>
                <w:lang w:eastAsia="en-GB"/>
              </w:rPr>
            </w:pPr>
          </w:p>
        </w:tc>
        <w:tc>
          <w:tcPr>
            <w:tcW w:w="1544" w:type="dxa"/>
            <w:tcBorders>
              <w:top w:val="nil"/>
              <w:left w:val="nil"/>
              <w:bottom w:val="nil"/>
              <w:right w:val="nil"/>
            </w:tcBorders>
            <w:shd w:val="clear" w:color="auto" w:fill="auto"/>
            <w:noWrap/>
            <w:vAlign w:val="bottom"/>
            <w:hideMark/>
          </w:tcPr>
          <w:p w14:paraId="2D2E08B0"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192980</w:t>
            </w:r>
          </w:p>
        </w:tc>
        <w:tc>
          <w:tcPr>
            <w:tcW w:w="1307" w:type="dxa"/>
            <w:tcBorders>
              <w:top w:val="nil"/>
              <w:left w:val="nil"/>
              <w:bottom w:val="nil"/>
              <w:right w:val="nil"/>
            </w:tcBorders>
            <w:shd w:val="clear" w:color="auto" w:fill="auto"/>
            <w:noWrap/>
            <w:vAlign w:val="bottom"/>
            <w:hideMark/>
          </w:tcPr>
          <w:p w14:paraId="5A101DCB"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p>
        </w:tc>
      </w:tr>
      <w:tr w:rsidR="0093115E" w:rsidRPr="00234B96" w14:paraId="429C96C4" w14:textId="77777777" w:rsidTr="00CE7BB3">
        <w:trPr>
          <w:trHeight w:val="380"/>
        </w:trPr>
        <w:tc>
          <w:tcPr>
            <w:tcW w:w="7893" w:type="dxa"/>
            <w:gridSpan w:val="3"/>
            <w:tcBorders>
              <w:top w:val="nil"/>
              <w:left w:val="nil"/>
              <w:bottom w:val="nil"/>
              <w:right w:val="nil"/>
            </w:tcBorders>
            <w:shd w:val="clear" w:color="auto" w:fill="auto"/>
            <w:noWrap/>
            <w:vAlign w:val="bottom"/>
            <w:hideMark/>
          </w:tcPr>
          <w:p w14:paraId="298B9FA0" w14:textId="77777777" w:rsidR="0093115E" w:rsidRPr="00234B96" w:rsidRDefault="0093115E" w:rsidP="00CE7BB3">
            <w:pPr>
              <w:spacing w:after="0" w:line="276" w:lineRule="auto"/>
              <w:rPr>
                <w:rFonts w:ascii="Times New Roman" w:eastAsia="Times New Roman" w:hAnsi="Times New Roman" w:cs="Times New Roman"/>
                <w:b/>
                <w:bCs/>
                <w:sz w:val="24"/>
                <w:szCs w:val="24"/>
                <w:lang w:eastAsia="en-GB"/>
              </w:rPr>
            </w:pPr>
            <w:r w:rsidRPr="00234B96">
              <w:rPr>
                <w:rFonts w:ascii="Times New Roman" w:eastAsia="Times New Roman" w:hAnsi="Times New Roman" w:cs="Times New Roman"/>
                <w:b/>
                <w:bCs/>
                <w:color w:val="000000"/>
                <w:sz w:val="24"/>
                <w:szCs w:val="24"/>
                <w:lang w:eastAsia="en-GB"/>
              </w:rPr>
              <w:t>Total Shareholder's Equity</w:t>
            </w:r>
          </w:p>
        </w:tc>
        <w:tc>
          <w:tcPr>
            <w:tcW w:w="1307" w:type="dxa"/>
            <w:tcBorders>
              <w:top w:val="nil"/>
              <w:left w:val="nil"/>
              <w:bottom w:val="nil"/>
              <w:right w:val="nil"/>
            </w:tcBorders>
            <w:shd w:val="clear" w:color="auto" w:fill="auto"/>
            <w:noWrap/>
            <w:vAlign w:val="bottom"/>
            <w:hideMark/>
          </w:tcPr>
          <w:p w14:paraId="6C779503" w14:textId="77777777" w:rsidR="0093115E" w:rsidRPr="00234B96" w:rsidRDefault="0093115E" w:rsidP="00CE7BB3">
            <w:pPr>
              <w:spacing w:after="0" w:line="276" w:lineRule="auto"/>
              <w:jc w:val="right"/>
              <w:rPr>
                <w:rFonts w:ascii="Times New Roman" w:eastAsia="Times New Roman" w:hAnsi="Times New Roman" w:cs="Times New Roman"/>
                <w:color w:val="000000"/>
                <w:sz w:val="24"/>
                <w:szCs w:val="24"/>
                <w:lang w:eastAsia="en-GB"/>
              </w:rPr>
            </w:pPr>
            <w:r w:rsidRPr="00234B96">
              <w:rPr>
                <w:rFonts w:ascii="Times New Roman" w:eastAsia="Times New Roman" w:hAnsi="Times New Roman" w:cs="Times New Roman"/>
                <w:color w:val="000000"/>
                <w:sz w:val="24"/>
                <w:szCs w:val="24"/>
                <w:lang w:eastAsia="en-GB"/>
              </w:rPr>
              <w:t>802980</w:t>
            </w:r>
          </w:p>
        </w:tc>
      </w:tr>
      <w:tr w:rsidR="0093115E" w:rsidRPr="00234B96" w14:paraId="21BE0FC2" w14:textId="77777777" w:rsidTr="00CE7BB3">
        <w:trPr>
          <w:trHeight w:val="380"/>
        </w:trPr>
        <w:tc>
          <w:tcPr>
            <w:tcW w:w="7893" w:type="dxa"/>
            <w:gridSpan w:val="3"/>
            <w:tcBorders>
              <w:top w:val="nil"/>
              <w:left w:val="nil"/>
              <w:bottom w:val="nil"/>
              <w:right w:val="nil"/>
            </w:tcBorders>
            <w:shd w:val="clear" w:color="auto" w:fill="auto"/>
            <w:noWrap/>
            <w:vAlign w:val="bottom"/>
            <w:hideMark/>
          </w:tcPr>
          <w:p w14:paraId="0C50AEA7" w14:textId="77777777" w:rsidR="0093115E" w:rsidRPr="00234B96" w:rsidRDefault="0093115E" w:rsidP="00CE7BB3">
            <w:pPr>
              <w:spacing w:after="0" w:line="276" w:lineRule="auto"/>
              <w:jc w:val="center"/>
              <w:rPr>
                <w:rFonts w:ascii="Times New Roman" w:eastAsia="Times New Roman" w:hAnsi="Times New Roman" w:cs="Times New Roman"/>
                <w:b/>
                <w:bCs/>
                <w:sz w:val="24"/>
                <w:szCs w:val="24"/>
                <w:lang w:eastAsia="en-GB"/>
              </w:rPr>
            </w:pPr>
            <w:r w:rsidRPr="00234B96">
              <w:rPr>
                <w:rFonts w:ascii="Times New Roman" w:eastAsia="Times New Roman" w:hAnsi="Times New Roman" w:cs="Times New Roman"/>
                <w:b/>
                <w:bCs/>
                <w:color w:val="000000"/>
                <w:sz w:val="24"/>
                <w:szCs w:val="24"/>
                <w:lang w:eastAsia="en-GB"/>
              </w:rPr>
              <w:t>Total Liability &amp; Shareholder's equity</w:t>
            </w:r>
          </w:p>
        </w:tc>
        <w:tc>
          <w:tcPr>
            <w:tcW w:w="1307" w:type="dxa"/>
            <w:tcBorders>
              <w:top w:val="nil"/>
              <w:left w:val="nil"/>
              <w:bottom w:val="nil"/>
              <w:right w:val="nil"/>
            </w:tcBorders>
            <w:shd w:val="clear" w:color="auto" w:fill="auto"/>
            <w:noWrap/>
            <w:vAlign w:val="bottom"/>
            <w:hideMark/>
          </w:tcPr>
          <w:p w14:paraId="0E490128" w14:textId="77777777" w:rsidR="0093115E" w:rsidRPr="00234B96" w:rsidRDefault="0093115E" w:rsidP="00CE7BB3">
            <w:pPr>
              <w:spacing w:after="0" w:line="276" w:lineRule="auto"/>
              <w:jc w:val="center"/>
              <w:rPr>
                <w:rFonts w:ascii="Times New Roman" w:eastAsia="Times New Roman" w:hAnsi="Times New Roman" w:cs="Times New Roman"/>
                <w:b/>
                <w:bCs/>
                <w:color w:val="000000"/>
                <w:sz w:val="24"/>
                <w:szCs w:val="24"/>
                <w:u w:val="double"/>
                <w:lang w:eastAsia="en-GB"/>
              </w:rPr>
            </w:pPr>
            <w:r w:rsidRPr="00234B96">
              <w:rPr>
                <w:rFonts w:ascii="Times New Roman" w:eastAsia="Times New Roman" w:hAnsi="Times New Roman" w:cs="Times New Roman"/>
                <w:b/>
                <w:bCs/>
                <w:color w:val="000000"/>
                <w:sz w:val="24"/>
                <w:szCs w:val="24"/>
                <w:u w:val="double"/>
                <w:lang w:eastAsia="en-GB"/>
              </w:rPr>
              <w:t>1147335</w:t>
            </w:r>
          </w:p>
        </w:tc>
      </w:tr>
    </w:tbl>
    <w:p w14:paraId="136F501C" w14:textId="77777777" w:rsidR="0093115E" w:rsidRPr="00234B96" w:rsidRDefault="0093115E" w:rsidP="0093115E">
      <w:pPr>
        <w:spacing w:line="240" w:lineRule="auto"/>
        <w:rPr>
          <w:rFonts w:ascii="Times New Roman" w:hAnsi="Times New Roman" w:cs="Times New Roman"/>
          <w:b/>
          <w:bCs/>
          <w:sz w:val="24"/>
          <w:szCs w:val="24"/>
        </w:rPr>
      </w:pPr>
    </w:p>
    <w:p w14:paraId="3060F25A" w14:textId="77777777" w:rsidR="0093115E" w:rsidRDefault="0093115E" w:rsidP="0093115E">
      <w:pPr>
        <w:rPr>
          <w:color w:val="000000" w:themeColor="text1"/>
          <w:sz w:val="24"/>
          <w:szCs w:val="24"/>
        </w:rPr>
      </w:pPr>
    </w:p>
    <w:p w14:paraId="123E38AC" w14:textId="77777777" w:rsidR="0093115E" w:rsidRDefault="0093115E" w:rsidP="0093115E">
      <w:pPr>
        <w:rPr>
          <w:color w:val="000000" w:themeColor="text1"/>
          <w:sz w:val="24"/>
          <w:szCs w:val="24"/>
        </w:rPr>
      </w:pPr>
    </w:p>
    <w:p w14:paraId="5FA84887" w14:textId="77777777" w:rsidR="0093115E" w:rsidRDefault="0093115E" w:rsidP="00D92D4E">
      <w:pPr>
        <w:rPr>
          <w:rFonts w:ascii="Times New Roman" w:eastAsiaTheme="majorEastAsia" w:hAnsi="Times New Roman" w:cstheme="majorBidi"/>
          <w:b/>
          <w:color w:val="2F5496" w:themeColor="accent1" w:themeShade="BF"/>
          <w:sz w:val="28"/>
          <w:szCs w:val="32"/>
        </w:rPr>
      </w:pPr>
    </w:p>
    <w:p w14:paraId="259CF7E4" w14:textId="77777777" w:rsidR="00D76D2F" w:rsidRPr="00D76D2F" w:rsidRDefault="00D76D2F" w:rsidP="00D76D2F">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r w:rsidRPr="00D76D2F">
        <w:rPr>
          <w:rFonts w:ascii="Times New Roman" w:eastAsiaTheme="majorEastAsia" w:hAnsi="Times New Roman" w:cstheme="majorBidi"/>
          <w:b/>
          <w:color w:val="000000" w:themeColor="text1"/>
          <w:sz w:val="28"/>
          <w:szCs w:val="32"/>
        </w:rPr>
        <w:t>Question-02 (b): commenting on the financial performance and position of Choco plc</w:t>
      </w:r>
    </w:p>
    <w:p w14:paraId="11DEA4EC" w14:textId="77777777" w:rsidR="00D76D2F" w:rsidRPr="00D76D2F" w:rsidRDefault="00D76D2F" w:rsidP="00D76D2F">
      <w:pPr>
        <w:numPr>
          <w:ilvl w:val="0"/>
          <w:numId w:val="2"/>
        </w:numPr>
        <w:spacing w:line="360" w:lineRule="auto"/>
        <w:contextualSpacing/>
        <w:jc w:val="both"/>
        <w:rPr>
          <w:rFonts w:ascii="Times New Roman" w:hAnsi="Times New Roman"/>
          <w:sz w:val="24"/>
        </w:rPr>
      </w:pPr>
      <w:r w:rsidRPr="00D76D2F">
        <w:rPr>
          <w:rFonts w:ascii="Times New Roman" w:hAnsi="Times New Roman"/>
          <w:sz w:val="24"/>
        </w:rPr>
        <w:t>Liquidity indicators: Liquidity ratios are often used to measure the financial capability of a firm to meet the future short-term obligations of the firm (</w:t>
      </w:r>
      <w:r w:rsidRPr="00D76D2F">
        <w:rPr>
          <w:rFonts w:ascii="Times New Roman" w:hAnsi="Times New Roman" w:cs="Times New Roman"/>
          <w:sz w:val="24"/>
          <w:szCs w:val="24"/>
        </w:rPr>
        <w:t>Phillips and Libby, 2011)</w:t>
      </w:r>
      <w:r w:rsidRPr="00D76D2F">
        <w:rPr>
          <w:rFonts w:ascii="Times New Roman" w:hAnsi="Times New Roman"/>
          <w:sz w:val="24"/>
        </w:rPr>
        <w:t xml:space="preserve">. Current, quick and cash ratio has been calculated in this regard. And the data shows that Choco Plc have a stable performance in terms of all three liquidity indicators as the ratios along 2018 and 2019 remains almost static. As the current ratio is 0.77 and 0.92 it means the company’s capacity to meet short term obligations of £1 are well enough. Though the current ratio has slightly improved in 2019, the company is required to improve its current ratio further to improve the financial the solvency of the company. Quick ratio is also stable. And the cash ratio is not too much and not too less which means there is no idle cash being unused in Choco plc. </w:t>
      </w:r>
    </w:p>
    <w:p w14:paraId="2569A2F7" w14:textId="77777777" w:rsidR="00D76D2F" w:rsidRPr="00D76D2F" w:rsidRDefault="00D76D2F" w:rsidP="00D76D2F">
      <w:pPr>
        <w:numPr>
          <w:ilvl w:val="0"/>
          <w:numId w:val="1"/>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 xml:space="preserve">Profitability indicators: Profitability ratios are used to assess the managerial efficiency of a firm in generating profit in relation to all types of expenses incurred by the firm to earn revenue for the firm. ROA, ROE, gross profit margin and net profit of Choco plc indicate that compared to 2018 the company was more profitable in 2019. The gross profit margin is above 50% in both years but the net profit margin is slightly low. The return on equity is 12 to 13% of every 100-taka equity invested in Choco plc. </w:t>
      </w:r>
    </w:p>
    <w:p w14:paraId="609D9E2B" w14:textId="77777777" w:rsidR="00D76D2F" w:rsidRPr="00D76D2F" w:rsidRDefault="00D76D2F" w:rsidP="00D76D2F">
      <w:pPr>
        <w:numPr>
          <w:ilvl w:val="0"/>
          <w:numId w:val="1"/>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 xml:space="preserve">Leverage indicators: The leverage ratio is used to assess the composition of funds the firm has used to finance its asset structure for the purpose of evaluating the long-term financial solvency of a firm. The debt to equity ratio of Choco plc indicates that it has less amount of debt in capital structure which is 0.71 and even lower in 2019 which is 0.68. So, in 2019 the company’s rate of equity financing was higher compared to debt financing. But the interest coverage indicates a decrease from 2018 to 2019 by 0.30 times due to large interest expense. </w:t>
      </w:r>
    </w:p>
    <w:p w14:paraId="19C9B98E" w14:textId="77777777" w:rsidR="00D76D2F" w:rsidRPr="00D76D2F" w:rsidRDefault="00D76D2F" w:rsidP="00D76D2F">
      <w:pPr>
        <w:numPr>
          <w:ilvl w:val="0"/>
          <w:numId w:val="1"/>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Efficiency indicators: Efficiency ratio measures how effectively the management of a firm is managing and using its asset structure to generate revenue for the firm (</w:t>
      </w:r>
      <w:r w:rsidRPr="00D76D2F">
        <w:rPr>
          <w:rFonts w:ascii="Times New Roman" w:hAnsi="Times New Roman" w:cs="Times New Roman"/>
          <w:color w:val="222222"/>
          <w:sz w:val="24"/>
          <w:szCs w:val="24"/>
          <w:shd w:val="clear" w:color="auto" w:fill="FFFFFF"/>
        </w:rPr>
        <w:t>Lanen, 2010)</w:t>
      </w:r>
      <w:r w:rsidRPr="00D76D2F">
        <w:rPr>
          <w:rFonts w:ascii="Times New Roman" w:hAnsi="Times New Roman" w:cs="Times New Roman"/>
          <w:sz w:val="24"/>
          <w:szCs w:val="24"/>
        </w:rPr>
        <w:t xml:space="preserve">. All the indicators like accounts receivable, inventory and asset turnover etc. indicate that Choco plc was more effective in 2019 compared to 2018. Accounts receivable turnover increased by five times in 2019 from 4.7 to 5.2. Inventory turnover also increased from 4.69 to 7.3 which represents greater efficiency also. The dividend </w:t>
      </w:r>
      <w:r w:rsidRPr="00D76D2F">
        <w:rPr>
          <w:rFonts w:ascii="Times New Roman" w:hAnsi="Times New Roman" w:cs="Times New Roman"/>
          <w:sz w:val="24"/>
          <w:szCs w:val="24"/>
        </w:rPr>
        <w:lastRenderedPageBreak/>
        <w:t xml:space="preserve">per share also increased in 2019 due to issuing preferred shares dividend. The pay-out ratio also was higher as net income was higher in 2019 compared to 2018. </w:t>
      </w:r>
    </w:p>
    <w:p w14:paraId="6AE03F92" w14:textId="77777777" w:rsidR="00D76D2F" w:rsidRPr="00D76D2F" w:rsidRDefault="00D76D2F" w:rsidP="00D76D2F">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5" w:name="_Toc56187462"/>
      <w:r w:rsidRPr="00D76D2F">
        <w:rPr>
          <w:rFonts w:ascii="Times New Roman" w:eastAsiaTheme="majorEastAsia" w:hAnsi="Times New Roman" w:cstheme="majorBidi"/>
          <w:b/>
          <w:color w:val="000000" w:themeColor="text1"/>
          <w:sz w:val="28"/>
          <w:szCs w:val="32"/>
        </w:rPr>
        <w:t>Conclusion</w:t>
      </w:r>
      <w:bookmarkEnd w:id="5"/>
    </w:p>
    <w:p w14:paraId="37F3ACB7" w14:textId="4393DB53" w:rsidR="00D76D2F" w:rsidRDefault="00D76D2F" w:rsidP="00D76D2F">
      <w:pPr>
        <w:spacing w:line="360" w:lineRule="auto"/>
        <w:jc w:val="both"/>
        <w:rPr>
          <w:rFonts w:ascii="Times New Roman" w:hAnsi="Times New Roman"/>
          <w:sz w:val="24"/>
        </w:rPr>
      </w:pPr>
      <w:r w:rsidRPr="00D76D2F">
        <w:rPr>
          <w:rFonts w:ascii="Times New Roman" w:hAnsi="Times New Roman"/>
          <w:sz w:val="24"/>
        </w:rPr>
        <w:t xml:space="preserve">From the above analysis of Eccles Plc and Choco plc, the application of financial accounting tools and techniques have been presented accordingly. This will help both the company understand their financial performance at one period of time and comparison of the financial performance will help them find the gaps, critical issues to consider for better performance in future. </w:t>
      </w:r>
    </w:p>
    <w:p w14:paraId="506320EE" w14:textId="46B71697" w:rsidR="00D76D2F" w:rsidRPr="00D76D2F" w:rsidRDefault="00D76D2F" w:rsidP="00D76D2F">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6" w:name="_Toc56187463"/>
      <w:r w:rsidRPr="00D76D2F">
        <w:rPr>
          <w:rFonts w:ascii="Times New Roman" w:eastAsiaTheme="majorEastAsia" w:hAnsi="Times New Roman" w:cstheme="majorBidi"/>
          <w:b/>
          <w:color w:val="000000" w:themeColor="text1"/>
          <w:sz w:val="28"/>
          <w:szCs w:val="32"/>
        </w:rPr>
        <w:t>References</w:t>
      </w:r>
      <w:bookmarkEnd w:id="6"/>
      <w:r w:rsidRPr="00D76D2F">
        <w:rPr>
          <w:rFonts w:ascii="Times New Roman" w:eastAsiaTheme="majorEastAsia" w:hAnsi="Times New Roman" w:cstheme="majorBidi"/>
          <w:b/>
          <w:color w:val="000000" w:themeColor="text1"/>
          <w:sz w:val="28"/>
          <w:szCs w:val="32"/>
        </w:rPr>
        <w:t xml:space="preserve"> </w:t>
      </w:r>
    </w:p>
    <w:p w14:paraId="05F31C36" w14:textId="77777777" w:rsidR="00D76D2F" w:rsidRP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Barth, M.E., Landsman, W.R. and Lang, M.H., 2008. International accounting standards and accounting quality. </w:t>
      </w:r>
      <w:r w:rsidRPr="00D76D2F">
        <w:rPr>
          <w:rFonts w:ascii="Times New Roman" w:hAnsi="Times New Roman" w:cs="Times New Roman"/>
          <w:i/>
          <w:iCs/>
          <w:color w:val="222222"/>
          <w:sz w:val="24"/>
          <w:szCs w:val="24"/>
          <w:shd w:val="clear" w:color="auto" w:fill="FFFFFF"/>
        </w:rPr>
        <w:t>Journal of accounting research</w:t>
      </w:r>
      <w:r w:rsidRPr="00D76D2F">
        <w:rPr>
          <w:rFonts w:ascii="Times New Roman" w:hAnsi="Times New Roman" w:cs="Times New Roman"/>
          <w:color w:val="222222"/>
          <w:sz w:val="24"/>
          <w:szCs w:val="24"/>
          <w:shd w:val="clear" w:color="auto" w:fill="FFFFFF"/>
        </w:rPr>
        <w:t>, </w:t>
      </w:r>
      <w:r w:rsidRPr="00D76D2F">
        <w:rPr>
          <w:rFonts w:ascii="Times New Roman" w:hAnsi="Times New Roman" w:cs="Times New Roman"/>
          <w:i/>
          <w:iCs/>
          <w:color w:val="222222"/>
          <w:sz w:val="24"/>
          <w:szCs w:val="24"/>
          <w:shd w:val="clear" w:color="auto" w:fill="FFFFFF"/>
        </w:rPr>
        <w:t>46</w:t>
      </w:r>
      <w:r w:rsidRPr="00D76D2F">
        <w:rPr>
          <w:rFonts w:ascii="Times New Roman" w:hAnsi="Times New Roman" w:cs="Times New Roman"/>
          <w:color w:val="222222"/>
          <w:sz w:val="24"/>
          <w:szCs w:val="24"/>
          <w:shd w:val="clear" w:color="auto" w:fill="FFFFFF"/>
        </w:rPr>
        <w:t>(3), pp.467-498.</w:t>
      </w:r>
    </w:p>
    <w:p w14:paraId="5A8DFD9C" w14:textId="77777777" w:rsidR="00D76D2F" w:rsidRP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Choi, F.D. and Meek, G.K., 2008. </w:t>
      </w:r>
      <w:r w:rsidRPr="00D76D2F">
        <w:rPr>
          <w:rFonts w:ascii="Times New Roman" w:hAnsi="Times New Roman" w:cs="Times New Roman"/>
          <w:i/>
          <w:iCs/>
          <w:color w:val="222222"/>
          <w:sz w:val="24"/>
          <w:szCs w:val="24"/>
          <w:shd w:val="clear" w:color="auto" w:fill="FFFFFF"/>
        </w:rPr>
        <w:t>International accounting</w:t>
      </w:r>
      <w:r w:rsidRPr="00D76D2F">
        <w:rPr>
          <w:rFonts w:ascii="Times New Roman" w:hAnsi="Times New Roman" w:cs="Times New Roman"/>
          <w:color w:val="222222"/>
          <w:sz w:val="24"/>
          <w:szCs w:val="24"/>
          <w:shd w:val="clear" w:color="auto" w:fill="FFFFFF"/>
        </w:rPr>
        <w:t>. Pearson Education.</w:t>
      </w:r>
    </w:p>
    <w:p w14:paraId="14473A24" w14:textId="77777777" w:rsidR="00D76D2F" w:rsidRP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Doupnik, T.S. and Perera, M.H.B., 2007. </w:t>
      </w:r>
      <w:r w:rsidRPr="00D76D2F">
        <w:rPr>
          <w:rFonts w:ascii="Times New Roman" w:hAnsi="Times New Roman" w:cs="Times New Roman"/>
          <w:i/>
          <w:iCs/>
          <w:color w:val="222222"/>
          <w:sz w:val="24"/>
          <w:szCs w:val="24"/>
          <w:shd w:val="clear" w:color="auto" w:fill="FFFFFF"/>
        </w:rPr>
        <w:t>International accounting</w:t>
      </w:r>
      <w:r w:rsidRPr="00D76D2F">
        <w:rPr>
          <w:rFonts w:ascii="Times New Roman" w:hAnsi="Times New Roman" w:cs="Times New Roman"/>
          <w:color w:val="222222"/>
          <w:sz w:val="24"/>
          <w:szCs w:val="24"/>
          <w:shd w:val="clear" w:color="auto" w:fill="FFFFFF"/>
        </w:rPr>
        <w:t>. New York: McGraw-Hill.</w:t>
      </w:r>
    </w:p>
    <w:p w14:paraId="0B8E4335" w14:textId="77777777" w:rsidR="00D76D2F" w:rsidRP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Garrison, R.H., Noreen, E.W., Brewer, P.C. and Mardini, R.U., 2003. </w:t>
      </w:r>
      <w:r w:rsidRPr="00D76D2F">
        <w:rPr>
          <w:rFonts w:ascii="Times New Roman" w:hAnsi="Times New Roman" w:cs="Times New Roman"/>
          <w:i/>
          <w:iCs/>
          <w:color w:val="222222"/>
          <w:sz w:val="24"/>
          <w:szCs w:val="24"/>
          <w:shd w:val="clear" w:color="auto" w:fill="FFFFFF"/>
        </w:rPr>
        <w:t>Managerial accounting</w:t>
      </w:r>
      <w:r w:rsidRPr="00D76D2F">
        <w:rPr>
          <w:rFonts w:ascii="Times New Roman" w:hAnsi="Times New Roman" w:cs="Times New Roman"/>
          <w:color w:val="222222"/>
          <w:sz w:val="24"/>
          <w:szCs w:val="24"/>
          <w:shd w:val="clear" w:color="auto" w:fill="FFFFFF"/>
        </w:rPr>
        <w:t>. New York: McGraw-Hill/Irwin.</w:t>
      </w:r>
    </w:p>
    <w:p w14:paraId="6BB510B5" w14:textId="77777777" w:rsidR="00D76D2F" w:rsidRPr="00D76D2F" w:rsidRDefault="00D76D2F" w:rsidP="00D76D2F">
      <w:pPr>
        <w:numPr>
          <w:ilvl w:val="0"/>
          <w:numId w:val="3"/>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Godfrey, J., Hodgson, A., Tarca, A., Hamilton, J. and Holmes, S., 2010. </w:t>
      </w:r>
      <w:r w:rsidRPr="00D76D2F">
        <w:rPr>
          <w:rFonts w:ascii="Times New Roman" w:hAnsi="Times New Roman" w:cs="Times New Roman"/>
          <w:i/>
          <w:iCs/>
          <w:sz w:val="24"/>
          <w:szCs w:val="24"/>
        </w:rPr>
        <w:t>Accounting theory</w:t>
      </w:r>
      <w:r w:rsidRPr="00D76D2F">
        <w:rPr>
          <w:rFonts w:ascii="Times New Roman" w:hAnsi="Times New Roman" w:cs="Times New Roman"/>
          <w:sz w:val="24"/>
          <w:szCs w:val="24"/>
        </w:rPr>
        <w:t>.</w:t>
      </w:r>
    </w:p>
    <w:p w14:paraId="1C4EE266" w14:textId="77777777" w:rsidR="00D76D2F" w:rsidRP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Halpin, D.W. and Senior, B.A., 2009. </w:t>
      </w:r>
      <w:r w:rsidRPr="00D76D2F">
        <w:rPr>
          <w:rFonts w:ascii="Times New Roman" w:hAnsi="Times New Roman" w:cs="Times New Roman"/>
          <w:i/>
          <w:iCs/>
          <w:color w:val="222222"/>
          <w:sz w:val="24"/>
          <w:szCs w:val="24"/>
          <w:shd w:val="clear" w:color="auto" w:fill="FFFFFF"/>
        </w:rPr>
        <w:t>Financial management and accounting fundamentals for construction</w:t>
      </w:r>
      <w:r w:rsidRPr="00D76D2F">
        <w:rPr>
          <w:rFonts w:ascii="Times New Roman" w:hAnsi="Times New Roman" w:cs="Times New Roman"/>
          <w:color w:val="222222"/>
          <w:sz w:val="24"/>
          <w:szCs w:val="24"/>
          <w:shd w:val="clear" w:color="auto" w:fill="FFFFFF"/>
        </w:rPr>
        <w:t>. John Wiley &amp; Sons.</w:t>
      </w:r>
    </w:p>
    <w:p w14:paraId="1950133C" w14:textId="77777777" w:rsidR="00D76D2F" w:rsidRPr="00D76D2F" w:rsidRDefault="00D76D2F" w:rsidP="00D76D2F">
      <w:pPr>
        <w:numPr>
          <w:ilvl w:val="0"/>
          <w:numId w:val="3"/>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Phillips, F., Libby, R. and Libby, P.A., 2011. </w:t>
      </w:r>
      <w:r w:rsidRPr="00D76D2F">
        <w:rPr>
          <w:rFonts w:ascii="Times New Roman" w:hAnsi="Times New Roman" w:cs="Times New Roman"/>
          <w:i/>
          <w:iCs/>
          <w:sz w:val="24"/>
          <w:szCs w:val="24"/>
        </w:rPr>
        <w:t>Fundamentals of Financial Accounting</w:t>
      </w:r>
      <w:r w:rsidRPr="00D76D2F">
        <w:rPr>
          <w:rFonts w:ascii="Times New Roman" w:hAnsi="Times New Roman" w:cs="Times New Roman"/>
          <w:sz w:val="24"/>
          <w:szCs w:val="24"/>
        </w:rPr>
        <w:t>. New York, NY: McGraw-Hill Irwin.</w:t>
      </w:r>
    </w:p>
    <w:p w14:paraId="2FFEB6C5" w14:textId="77777777" w:rsidR="00D76D2F" w:rsidRPr="00D76D2F" w:rsidRDefault="00D76D2F" w:rsidP="00D76D2F">
      <w:pPr>
        <w:numPr>
          <w:ilvl w:val="0"/>
          <w:numId w:val="3"/>
        </w:numPr>
        <w:spacing w:line="360" w:lineRule="auto"/>
        <w:contextualSpacing/>
        <w:jc w:val="both"/>
        <w:rPr>
          <w:rFonts w:ascii="Times New Roman" w:hAnsi="Times New Roman" w:cs="Times New Roman"/>
          <w:sz w:val="24"/>
          <w:szCs w:val="24"/>
        </w:rPr>
      </w:pPr>
      <w:r w:rsidRPr="00D76D2F">
        <w:rPr>
          <w:rFonts w:ascii="Times New Roman" w:hAnsi="Times New Roman" w:cs="Times New Roman"/>
          <w:sz w:val="24"/>
          <w:szCs w:val="24"/>
        </w:rPr>
        <w:t>Scott, W.R. and O'Brien, P.C., 2003. </w:t>
      </w:r>
      <w:r w:rsidRPr="00D76D2F">
        <w:rPr>
          <w:rFonts w:ascii="Times New Roman" w:hAnsi="Times New Roman" w:cs="Times New Roman"/>
          <w:i/>
          <w:iCs/>
          <w:sz w:val="24"/>
          <w:szCs w:val="24"/>
        </w:rPr>
        <w:t>Financial accounting theory</w:t>
      </w:r>
      <w:r w:rsidRPr="00D76D2F">
        <w:rPr>
          <w:rFonts w:ascii="Times New Roman" w:hAnsi="Times New Roman" w:cs="Times New Roman"/>
          <w:sz w:val="24"/>
          <w:szCs w:val="24"/>
        </w:rPr>
        <w:t> (Vol. 3). Toronto: Prentice hall.</w:t>
      </w:r>
    </w:p>
    <w:p w14:paraId="59B67277" w14:textId="4281CD78" w:rsidR="00D76D2F" w:rsidRDefault="00D76D2F" w:rsidP="00D76D2F">
      <w:pPr>
        <w:numPr>
          <w:ilvl w:val="0"/>
          <w:numId w:val="3"/>
        </w:numPr>
        <w:spacing w:line="360" w:lineRule="auto"/>
        <w:contextualSpacing/>
        <w:jc w:val="both"/>
        <w:rPr>
          <w:rFonts w:ascii="Times New Roman" w:hAnsi="Times New Roman" w:cs="Times New Roman"/>
          <w:color w:val="222222"/>
          <w:sz w:val="24"/>
          <w:szCs w:val="24"/>
          <w:shd w:val="clear" w:color="auto" w:fill="FFFFFF"/>
        </w:rPr>
      </w:pPr>
      <w:r w:rsidRPr="00D76D2F">
        <w:rPr>
          <w:rFonts w:ascii="Times New Roman" w:hAnsi="Times New Roman" w:cs="Times New Roman"/>
          <w:color w:val="222222"/>
          <w:sz w:val="24"/>
          <w:szCs w:val="24"/>
          <w:shd w:val="clear" w:color="auto" w:fill="FFFFFF"/>
        </w:rPr>
        <w:t>Short, D.G., Welsch, G.A. and Danos, P., 1990. </w:t>
      </w:r>
      <w:r w:rsidRPr="00D76D2F">
        <w:rPr>
          <w:rFonts w:ascii="Times New Roman" w:hAnsi="Times New Roman" w:cs="Times New Roman"/>
          <w:i/>
          <w:iCs/>
          <w:color w:val="222222"/>
          <w:sz w:val="24"/>
          <w:szCs w:val="24"/>
          <w:shd w:val="clear" w:color="auto" w:fill="FFFFFF"/>
        </w:rPr>
        <w:t>Fundamentals of financial accounting</w:t>
      </w:r>
      <w:r w:rsidRPr="00D76D2F">
        <w:rPr>
          <w:rFonts w:ascii="Times New Roman" w:hAnsi="Times New Roman" w:cs="Times New Roman"/>
          <w:color w:val="222222"/>
          <w:sz w:val="24"/>
          <w:szCs w:val="24"/>
          <w:shd w:val="clear" w:color="auto" w:fill="FFFFFF"/>
        </w:rPr>
        <w:t> (pp. 712-715). Irwin.</w:t>
      </w:r>
    </w:p>
    <w:p w14:paraId="3E9A1CEE" w14:textId="440EBDEF" w:rsidR="00D76D2F" w:rsidRPr="00D76D2F" w:rsidRDefault="00D76D2F" w:rsidP="00D76D2F">
      <w:pPr>
        <w:pStyle w:val="Heading1"/>
        <w:rPr>
          <w:rFonts w:cs="Times New Roman"/>
          <w:b w:val="0"/>
          <w:bCs/>
          <w:color w:val="000000" w:themeColor="text1"/>
          <w:szCs w:val="28"/>
        </w:rPr>
      </w:pPr>
      <w:bookmarkStart w:id="7" w:name="_Toc56187464"/>
      <w:r w:rsidRPr="00D76D2F">
        <w:rPr>
          <w:rFonts w:cs="Times New Roman"/>
          <w:b w:val="0"/>
          <w:bCs/>
          <w:color w:val="000000" w:themeColor="text1"/>
          <w:szCs w:val="28"/>
        </w:rPr>
        <w:t>References</w:t>
      </w:r>
      <w:bookmarkEnd w:id="7"/>
    </w:p>
    <w:p w14:paraId="3954AA28" w14:textId="77777777" w:rsidR="00D76D2F" w:rsidRPr="00AE6981" w:rsidRDefault="00D76D2F" w:rsidP="00D76D2F">
      <w:pPr>
        <w:pStyle w:val="ListParagraph"/>
        <w:numPr>
          <w:ilvl w:val="0"/>
          <w:numId w:val="4"/>
        </w:numPr>
        <w:rPr>
          <w:rFonts w:cs="Times New Roman"/>
          <w:szCs w:val="24"/>
        </w:rPr>
      </w:pPr>
      <w:r w:rsidRPr="00AE6981">
        <w:rPr>
          <w:rFonts w:cs="Times New Roman"/>
          <w:szCs w:val="24"/>
        </w:rPr>
        <w:t>Anthony, R.N., Welsch, G.A. and Reece, J.S., 1985. </w:t>
      </w:r>
      <w:r w:rsidRPr="00AE6981">
        <w:rPr>
          <w:rFonts w:cs="Times New Roman"/>
          <w:i/>
          <w:iCs/>
          <w:szCs w:val="24"/>
        </w:rPr>
        <w:t>Fundamentals of management accounting</w:t>
      </w:r>
      <w:r w:rsidRPr="00AE6981">
        <w:rPr>
          <w:rFonts w:cs="Times New Roman"/>
          <w:szCs w:val="24"/>
        </w:rPr>
        <w:t>. RD Irwin.</w:t>
      </w:r>
    </w:p>
    <w:p w14:paraId="00109641" w14:textId="77777777" w:rsidR="00D76D2F" w:rsidRPr="00AE6981" w:rsidRDefault="00D76D2F" w:rsidP="00D76D2F">
      <w:pPr>
        <w:pStyle w:val="ListParagraph"/>
        <w:numPr>
          <w:ilvl w:val="0"/>
          <w:numId w:val="4"/>
        </w:numPr>
        <w:rPr>
          <w:rFonts w:cs="Times New Roman"/>
          <w:szCs w:val="24"/>
        </w:rPr>
      </w:pPr>
      <w:r w:rsidRPr="00AE6981">
        <w:rPr>
          <w:rFonts w:cs="Times New Roman"/>
          <w:color w:val="222222"/>
          <w:szCs w:val="24"/>
          <w:shd w:val="clear" w:color="auto" w:fill="FFFFFF"/>
        </w:rPr>
        <w:t>Drury, C.M., 2013. </w:t>
      </w:r>
      <w:r w:rsidRPr="00AE6981">
        <w:rPr>
          <w:rFonts w:cs="Times New Roman"/>
          <w:i/>
          <w:iCs/>
          <w:color w:val="222222"/>
          <w:szCs w:val="24"/>
          <w:shd w:val="clear" w:color="auto" w:fill="FFFFFF"/>
        </w:rPr>
        <w:t>Management and cost accounting</w:t>
      </w:r>
      <w:r w:rsidRPr="00AE6981">
        <w:rPr>
          <w:rFonts w:cs="Times New Roman"/>
          <w:color w:val="222222"/>
          <w:szCs w:val="24"/>
          <w:shd w:val="clear" w:color="auto" w:fill="FFFFFF"/>
        </w:rPr>
        <w:t>. Springer.</w:t>
      </w:r>
    </w:p>
    <w:p w14:paraId="1760E74D"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lastRenderedPageBreak/>
        <w:t>Kieso, D.E., Weygandt, J.J. and Warfield, T.D., 2020. </w:t>
      </w:r>
      <w:r w:rsidRPr="00AE6981">
        <w:rPr>
          <w:rFonts w:cs="Times New Roman"/>
          <w:i/>
          <w:iCs/>
          <w:color w:val="222222"/>
          <w:szCs w:val="24"/>
          <w:shd w:val="clear" w:color="auto" w:fill="FFFFFF"/>
        </w:rPr>
        <w:t>Intermediate accounting IFRS</w:t>
      </w:r>
      <w:r w:rsidRPr="00AE6981">
        <w:rPr>
          <w:rFonts w:cs="Times New Roman"/>
          <w:color w:val="222222"/>
          <w:szCs w:val="24"/>
          <w:shd w:val="clear" w:color="auto" w:fill="FFFFFF"/>
        </w:rPr>
        <w:t>. John Wiley &amp; Sons.</w:t>
      </w:r>
    </w:p>
    <w:p w14:paraId="7B96247A"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Kimmel, P.D., Weygandt, J.J. and Kieso, D.E., 2018. </w:t>
      </w:r>
      <w:r w:rsidRPr="00AE6981">
        <w:rPr>
          <w:rFonts w:cs="Times New Roman"/>
          <w:i/>
          <w:iCs/>
          <w:color w:val="222222"/>
          <w:szCs w:val="24"/>
          <w:shd w:val="clear" w:color="auto" w:fill="FFFFFF"/>
        </w:rPr>
        <w:t>Financial accounting: Tools for business decision making</w:t>
      </w:r>
      <w:r w:rsidRPr="00AE6981">
        <w:rPr>
          <w:rFonts w:cs="Times New Roman"/>
          <w:color w:val="222222"/>
          <w:szCs w:val="24"/>
          <w:shd w:val="clear" w:color="auto" w:fill="FFFFFF"/>
        </w:rPr>
        <w:t>. John Wiley &amp; Sons.</w:t>
      </w:r>
    </w:p>
    <w:p w14:paraId="4A0249F5"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Lanen, W., 2010. </w:t>
      </w:r>
      <w:r w:rsidRPr="00AE6981">
        <w:rPr>
          <w:rFonts w:cs="Times New Roman"/>
          <w:i/>
          <w:iCs/>
          <w:color w:val="222222"/>
          <w:szCs w:val="24"/>
          <w:shd w:val="clear" w:color="auto" w:fill="FFFFFF"/>
        </w:rPr>
        <w:t>Fundamentals of cost accounting</w:t>
      </w:r>
      <w:r w:rsidRPr="00AE6981">
        <w:rPr>
          <w:rFonts w:cs="Times New Roman"/>
          <w:color w:val="222222"/>
          <w:szCs w:val="24"/>
          <w:shd w:val="clear" w:color="auto" w:fill="FFFFFF"/>
        </w:rPr>
        <w:t>. McGraw-Hill Education.</w:t>
      </w:r>
    </w:p>
    <w:p w14:paraId="54DC2A86"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Phillips, F., Libby, R. and Libby, P.A., 2011. </w:t>
      </w:r>
      <w:r w:rsidRPr="00AE6981">
        <w:rPr>
          <w:rFonts w:cs="Times New Roman"/>
          <w:i/>
          <w:iCs/>
          <w:color w:val="222222"/>
          <w:szCs w:val="24"/>
          <w:shd w:val="clear" w:color="auto" w:fill="FFFFFF"/>
        </w:rPr>
        <w:t>Fundamentals of Financial Accounting</w:t>
      </w:r>
      <w:r w:rsidRPr="00AE6981">
        <w:rPr>
          <w:rFonts w:cs="Times New Roman"/>
          <w:color w:val="222222"/>
          <w:szCs w:val="24"/>
          <w:shd w:val="clear" w:color="auto" w:fill="FFFFFF"/>
        </w:rPr>
        <w:t>. New York, NY: McGraw-Hill Irwin.</w:t>
      </w:r>
    </w:p>
    <w:p w14:paraId="1D582D73"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Schroeder, R.G., Clark, M.W. and Cathey, J.M., 2019. </w:t>
      </w:r>
      <w:r w:rsidRPr="00AE6981">
        <w:rPr>
          <w:rFonts w:cs="Times New Roman"/>
          <w:i/>
          <w:iCs/>
          <w:color w:val="222222"/>
          <w:szCs w:val="24"/>
          <w:shd w:val="clear" w:color="auto" w:fill="FFFFFF"/>
        </w:rPr>
        <w:t>Financial accounting theory and analysis: text and cases</w:t>
      </w:r>
      <w:r w:rsidRPr="00AE6981">
        <w:rPr>
          <w:rFonts w:cs="Times New Roman"/>
          <w:color w:val="222222"/>
          <w:szCs w:val="24"/>
          <w:shd w:val="clear" w:color="auto" w:fill="FFFFFF"/>
        </w:rPr>
        <w:t>. John Wiley &amp; Sons.</w:t>
      </w:r>
    </w:p>
    <w:p w14:paraId="5AD4554A"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Scott, W.R. and O'Brien, P.C., 2003. </w:t>
      </w:r>
      <w:r w:rsidRPr="00AE6981">
        <w:rPr>
          <w:rFonts w:cs="Times New Roman"/>
          <w:i/>
          <w:iCs/>
          <w:color w:val="222222"/>
          <w:szCs w:val="24"/>
          <w:shd w:val="clear" w:color="auto" w:fill="FFFFFF"/>
        </w:rPr>
        <w:t>Financial accounting theory</w:t>
      </w:r>
      <w:r w:rsidRPr="00AE6981">
        <w:rPr>
          <w:rFonts w:cs="Times New Roman"/>
          <w:color w:val="222222"/>
          <w:szCs w:val="24"/>
          <w:shd w:val="clear" w:color="auto" w:fill="FFFFFF"/>
        </w:rPr>
        <w:t> (Vol. 3). Toronto: Prentice hall.</w:t>
      </w:r>
    </w:p>
    <w:p w14:paraId="1ED8E0C9"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Short, D.G., Welsch, G.A. and Danos, P., 1990. </w:t>
      </w:r>
      <w:r w:rsidRPr="00AE6981">
        <w:rPr>
          <w:rFonts w:cs="Times New Roman"/>
          <w:i/>
          <w:iCs/>
          <w:color w:val="222222"/>
          <w:szCs w:val="24"/>
          <w:shd w:val="clear" w:color="auto" w:fill="FFFFFF"/>
        </w:rPr>
        <w:t>Fundamentals of financial accounting</w:t>
      </w:r>
      <w:r w:rsidRPr="00AE6981">
        <w:rPr>
          <w:rFonts w:cs="Times New Roman"/>
          <w:color w:val="222222"/>
          <w:szCs w:val="24"/>
          <w:shd w:val="clear" w:color="auto" w:fill="FFFFFF"/>
        </w:rPr>
        <w:t> (pp. 712-715). Irwin.</w:t>
      </w:r>
    </w:p>
    <w:p w14:paraId="01343DE3"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Ward, D.M. and Calabrese, T., 2018. </w:t>
      </w:r>
      <w:r w:rsidRPr="00AE6981">
        <w:rPr>
          <w:rFonts w:cs="Times New Roman"/>
          <w:i/>
          <w:iCs/>
          <w:color w:val="222222"/>
          <w:szCs w:val="24"/>
          <w:shd w:val="clear" w:color="auto" w:fill="FFFFFF"/>
        </w:rPr>
        <w:t>Accounting fundamentals for health care management</w:t>
      </w:r>
      <w:r w:rsidRPr="00AE6981">
        <w:rPr>
          <w:rFonts w:cs="Times New Roman"/>
          <w:color w:val="222222"/>
          <w:szCs w:val="24"/>
          <w:shd w:val="clear" w:color="auto" w:fill="FFFFFF"/>
        </w:rPr>
        <w:t>. Jones &amp; Bartlett Learning.</w:t>
      </w:r>
    </w:p>
    <w:p w14:paraId="4C36F027" w14:textId="77777777" w:rsidR="00D76D2F" w:rsidRPr="00AE6981" w:rsidRDefault="00D76D2F" w:rsidP="00D76D2F">
      <w:pPr>
        <w:pStyle w:val="ListParagraph"/>
        <w:numPr>
          <w:ilvl w:val="0"/>
          <w:numId w:val="4"/>
        </w:numPr>
        <w:rPr>
          <w:rFonts w:cs="Times New Roman"/>
          <w:color w:val="222222"/>
          <w:szCs w:val="24"/>
          <w:shd w:val="clear" w:color="auto" w:fill="FFFFFF"/>
        </w:rPr>
      </w:pPr>
      <w:r w:rsidRPr="00AE6981">
        <w:rPr>
          <w:rFonts w:cs="Times New Roman"/>
          <w:color w:val="222222"/>
          <w:szCs w:val="24"/>
          <w:shd w:val="clear" w:color="auto" w:fill="FFFFFF"/>
        </w:rPr>
        <w:t>Warren, C.S. and Jones, J., 2018. </w:t>
      </w:r>
      <w:r w:rsidRPr="00AE6981">
        <w:rPr>
          <w:rFonts w:cs="Times New Roman"/>
          <w:i/>
          <w:iCs/>
          <w:color w:val="222222"/>
          <w:szCs w:val="24"/>
          <w:shd w:val="clear" w:color="auto" w:fill="FFFFFF"/>
        </w:rPr>
        <w:t>Corporate financial accounting</w:t>
      </w:r>
      <w:r w:rsidRPr="00AE6981">
        <w:rPr>
          <w:rFonts w:cs="Times New Roman"/>
          <w:color w:val="222222"/>
          <w:szCs w:val="24"/>
          <w:shd w:val="clear" w:color="auto" w:fill="FFFFFF"/>
        </w:rPr>
        <w:t>. Cengage Learning.</w:t>
      </w:r>
    </w:p>
    <w:p w14:paraId="08B43D21" w14:textId="77777777" w:rsidR="00D76D2F" w:rsidRPr="00D76D2F" w:rsidRDefault="00D76D2F" w:rsidP="00D76D2F">
      <w:pPr>
        <w:spacing w:line="360" w:lineRule="auto"/>
        <w:ind w:left="360"/>
        <w:contextualSpacing/>
        <w:jc w:val="both"/>
        <w:rPr>
          <w:rFonts w:ascii="Times New Roman" w:hAnsi="Times New Roman" w:cs="Times New Roman"/>
          <w:color w:val="222222"/>
          <w:sz w:val="24"/>
          <w:szCs w:val="24"/>
          <w:shd w:val="clear" w:color="auto" w:fill="FFFFFF"/>
        </w:rPr>
      </w:pPr>
    </w:p>
    <w:p w14:paraId="47522356" w14:textId="77777777" w:rsidR="00D76D2F" w:rsidRPr="00D76D2F" w:rsidRDefault="00D76D2F" w:rsidP="00D76D2F">
      <w:pPr>
        <w:spacing w:line="360" w:lineRule="auto"/>
        <w:jc w:val="both"/>
        <w:rPr>
          <w:rFonts w:ascii="Times New Roman" w:hAnsi="Times New Roman" w:cs="Times New Roman"/>
          <w:sz w:val="24"/>
          <w:szCs w:val="24"/>
        </w:rPr>
      </w:pPr>
    </w:p>
    <w:p w14:paraId="3522677F" w14:textId="77777777" w:rsidR="00D76D2F" w:rsidRPr="00D76D2F" w:rsidRDefault="00D76D2F" w:rsidP="00D76D2F">
      <w:pPr>
        <w:spacing w:line="360" w:lineRule="auto"/>
        <w:jc w:val="both"/>
        <w:rPr>
          <w:rFonts w:ascii="Times New Roman" w:hAnsi="Times New Roman" w:cs="Times New Roman"/>
          <w:sz w:val="24"/>
          <w:szCs w:val="24"/>
        </w:rPr>
      </w:pPr>
    </w:p>
    <w:p w14:paraId="03E93108" w14:textId="77777777" w:rsidR="00D76D2F" w:rsidRPr="00D76D2F" w:rsidRDefault="00D76D2F" w:rsidP="00D76D2F">
      <w:pPr>
        <w:spacing w:line="360" w:lineRule="auto"/>
        <w:jc w:val="both"/>
        <w:rPr>
          <w:rFonts w:ascii="Times New Roman" w:hAnsi="Times New Roman" w:cs="Times New Roman"/>
          <w:sz w:val="24"/>
          <w:szCs w:val="24"/>
        </w:rPr>
      </w:pPr>
    </w:p>
    <w:p w14:paraId="240AB4BC" w14:textId="77777777" w:rsidR="00D76D2F" w:rsidRPr="00D76D2F" w:rsidRDefault="00D76D2F" w:rsidP="00D76D2F">
      <w:pPr>
        <w:spacing w:line="360" w:lineRule="auto"/>
        <w:jc w:val="both"/>
        <w:rPr>
          <w:rFonts w:ascii="Times New Roman" w:hAnsi="Times New Roman" w:cs="Times New Roman"/>
          <w:sz w:val="24"/>
          <w:szCs w:val="24"/>
        </w:rPr>
      </w:pPr>
    </w:p>
    <w:p w14:paraId="1A51D4F3" w14:textId="77777777" w:rsidR="00D76D2F" w:rsidRDefault="00D76D2F" w:rsidP="00D76D2F">
      <w:pPr>
        <w:spacing w:line="360" w:lineRule="auto"/>
        <w:jc w:val="both"/>
        <w:rPr>
          <w:rFonts w:ascii="Times New Roman" w:hAnsi="Times New Roman"/>
          <w:sz w:val="24"/>
        </w:rPr>
      </w:pPr>
    </w:p>
    <w:p w14:paraId="5267221F" w14:textId="77777777" w:rsidR="00D76D2F" w:rsidRPr="00D76D2F" w:rsidRDefault="00D76D2F" w:rsidP="00D76D2F">
      <w:pPr>
        <w:spacing w:line="360" w:lineRule="auto"/>
        <w:jc w:val="both"/>
        <w:rPr>
          <w:rFonts w:ascii="Times New Roman" w:hAnsi="Times New Roman"/>
          <w:sz w:val="24"/>
        </w:rPr>
      </w:pPr>
    </w:p>
    <w:p w14:paraId="3C719EE0" w14:textId="77777777" w:rsidR="00D76D2F" w:rsidRPr="00D92D4E" w:rsidRDefault="00D76D2F" w:rsidP="00D92D4E">
      <w:pPr>
        <w:rPr>
          <w:color w:val="000000" w:themeColor="text1"/>
          <w:sz w:val="24"/>
          <w:szCs w:val="24"/>
        </w:rPr>
      </w:pPr>
    </w:p>
    <w:sectPr w:rsidR="00D76D2F" w:rsidRPr="00D92D4E" w:rsidSect="00444E7D">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62992D" w14:textId="77777777" w:rsidR="00CA4D10" w:rsidRDefault="00CA4D10" w:rsidP="00D92D4E">
      <w:pPr>
        <w:spacing w:after="0" w:line="240" w:lineRule="auto"/>
      </w:pPr>
      <w:r>
        <w:separator/>
      </w:r>
    </w:p>
  </w:endnote>
  <w:endnote w:type="continuationSeparator" w:id="0">
    <w:p w14:paraId="5AB55198" w14:textId="77777777" w:rsidR="00CA4D10" w:rsidRDefault="00CA4D10" w:rsidP="00D9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9509400"/>
      <w:docPartObj>
        <w:docPartGallery w:val="Page Numbers (Bottom of Page)"/>
        <w:docPartUnique/>
      </w:docPartObj>
    </w:sdtPr>
    <w:sdtEndPr>
      <w:rPr>
        <w:noProof/>
      </w:rPr>
    </w:sdtEndPr>
    <w:sdtContent>
      <w:p w14:paraId="1FC3EB79" w14:textId="732A5907" w:rsidR="0027548D" w:rsidRDefault="002754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12E47C" w14:textId="77777777" w:rsidR="0027548D" w:rsidRDefault="00275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C9C5DF" w14:textId="77777777" w:rsidR="00CA4D10" w:rsidRDefault="00CA4D10" w:rsidP="00D92D4E">
      <w:pPr>
        <w:spacing w:after="0" w:line="240" w:lineRule="auto"/>
      </w:pPr>
      <w:r>
        <w:separator/>
      </w:r>
    </w:p>
  </w:footnote>
  <w:footnote w:type="continuationSeparator" w:id="0">
    <w:p w14:paraId="6F8730B1" w14:textId="77777777" w:rsidR="00CA4D10" w:rsidRDefault="00CA4D10" w:rsidP="00D92D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034FF4"/>
    <w:multiLevelType w:val="hybridMultilevel"/>
    <w:tmpl w:val="B17C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B54CA3"/>
    <w:multiLevelType w:val="hybridMultilevel"/>
    <w:tmpl w:val="9CAC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31373"/>
    <w:multiLevelType w:val="hybridMultilevel"/>
    <w:tmpl w:val="A2CC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FE7EE9"/>
    <w:multiLevelType w:val="hybridMultilevel"/>
    <w:tmpl w:val="0188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AD1"/>
    <w:rsid w:val="000D7113"/>
    <w:rsid w:val="00156AD1"/>
    <w:rsid w:val="00234B96"/>
    <w:rsid w:val="0027548D"/>
    <w:rsid w:val="002C345A"/>
    <w:rsid w:val="002D0D08"/>
    <w:rsid w:val="003008BC"/>
    <w:rsid w:val="00444E7D"/>
    <w:rsid w:val="004A5F67"/>
    <w:rsid w:val="006C77A5"/>
    <w:rsid w:val="006F5151"/>
    <w:rsid w:val="008377FF"/>
    <w:rsid w:val="00852139"/>
    <w:rsid w:val="0093115E"/>
    <w:rsid w:val="009D0657"/>
    <w:rsid w:val="00A17069"/>
    <w:rsid w:val="00AD7ACA"/>
    <w:rsid w:val="00C57C8F"/>
    <w:rsid w:val="00CA4D10"/>
    <w:rsid w:val="00CB05EF"/>
    <w:rsid w:val="00CC7A5F"/>
    <w:rsid w:val="00D76D2F"/>
    <w:rsid w:val="00D92D4E"/>
    <w:rsid w:val="00EB1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D45D"/>
  <w15:chartTrackingRefBased/>
  <w15:docId w15:val="{726E520E-77BF-403F-98DD-693AEBFBB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D2F"/>
    <w:pPr>
      <w:keepNext/>
      <w:keepLines/>
      <w:spacing w:before="240" w:after="0" w:line="360" w:lineRule="auto"/>
      <w:jc w:val="both"/>
      <w:outlineLvl w:val="0"/>
    </w:pPr>
    <w:rPr>
      <w:rFonts w:ascii="Times New Roman" w:eastAsiaTheme="majorEastAsia" w:hAnsi="Times New Roman"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D4E"/>
  </w:style>
  <w:style w:type="paragraph" w:styleId="Footer">
    <w:name w:val="footer"/>
    <w:basedOn w:val="Normal"/>
    <w:link w:val="FooterChar"/>
    <w:uiPriority w:val="99"/>
    <w:unhideWhenUsed/>
    <w:rsid w:val="00D9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D4E"/>
  </w:style>
  <w:style w:type="table" w:styleId="TableGrid">
    <w:name w:val="Table Grid"/>
    <w:basedOn w:val="TableNormal"/>
    <w:uiPriority w:val="39"/>
    <w:rsid w:val="004A5F6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D711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6D2F"/>
    <w:rPr>
      <w:rFonts w:ascii="Times New Roman" w:eastAsiaTheme="majorEastAsia" w:hAnsi="Times New Roman" w:cstheme="majorBidi"/>
      <w:b/>
      <w:color w:val="2F5496" w:themeColor="accent1" w:themeShade="BF"/>
      <w:sz w:val="28"/>
      <w:szCs w:val="32"/>
    </w:rPr>
  </w:style>
  <w:style w:type="paragraph" w:styleId="ListParagraph">
    <w:name w:val="List Paragraph"/>
    <w:basedOn w:val="Normal"/>
    <w:uiPriority w:val="34"/>
    <w:qFormat/>
    <w:rsid w:val="00D76D2F"/>
    <w:pPr>
      <w:spacing w:line="360" w:lineRule="auto"/>
      <w:ind w:left="720"/>
      <w:contextualSpacing/>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4DB4C-DD48-4314-9811-BA07C0C08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1899</Words>
  <Characters>10829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20</cp:revision>
  <dcterms:created xsi:type="dcterms:W3CDTF">2020-11-13T20:38:00Z</dcterms:created>
  <dcterms:modified xsi:type="dcterms:W3CDTF">2020-11-13T21:24:00Z</dcterms:modified>
</cp:coreProperties>
</file>