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sz w:val="42"/>
          <w:szCs w:val="42"/>
        </w:rPr>
      </w:pPr>
      <w:r w:rsidDel="00000000" w:rsidR="00000000" w:rsidRPr="00000000">
        <w:rPr>
          <w:rFonts w:ascii="Arial" w:cs="Arial" w:eastAsia="Arial" w:hAnsi="Arial"/>
          <w:sz w:val="32"/>
          <w:szCs w:val="32"/>
          <w:rtl w:val="0"/>
        </w:rPr>
        <w:t xml:space="preserve"> </w:t>
      </w:r>
      <w:r w:rsidDel="00000000" w:rsidR="00000000" w:rsidRPr="00000000">
        <w:rPr>
          <w:rFonts w:ascii="Arial" w:cs="Arial" w:eastAsia="Arial" w:hAnsi="Arial"/>
          <w:b w:val="1"/>
          <w:sz w:val="42"/>
          <w:szCs w:val="42"/>
          <w:rtl w:val="0"/>
        </w:rPr>
        <w:t xml:space="preserve">University of Wales Trinity Saint David</w:t>
      </w:r>
    </w:p>
    <w:p w:rsidR="00000000" w:rsidDel="00000000" w:rsidP="00000000" w:rsidRDefault="00000000" w:rsidRPr="00000000" w14:paraId="00000002">
      <w:pPr>
        <w:spacing w:line="360" w:lineRule="auto"/>
        <w:jc w:val="center"/>
        <w:rPr>
          <w:rFonts w:ascii="Arial" w:cs="Arial" w:eastAsia="Arial" w:hAnsi="Arial"/>
          <w:b w:val="1"/>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1718310</wp:posOffset>
            </wp:positionH>
            <wp:positionV relativeFrom="paragraph">
              <wp:posOffset>75565</wp:posOffset>
            </wp:positionV>
            <wp:extent cx="2633345" cy="1057275"/>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33345" cy="1057275"/>
                    </a:xfrm>
                    <a:prstGeom prst="rect"/>
                    <a:ln/>
                  </pic:spPr>
                </pic:pic>
              </a:graphicData>
            </a:graphic>
          </wp:anchor>
        </w:drawing>
      </w:r>
    </w:p>
    <w:p w:rsidR="00000000" w:rsidDel="00000000" w:rsidP="00000000" w:rsidRDefault="00000000" w:rsidRPr="00000000" w14:paraId="00000003">
      <w:pPr>
        <w:spacing w:line="36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b w:val="1"/>
          <w:sz w:val="34"/>
          <w:szCs w:val="34"/>
        </w:rPr>
      </w:pPr>
      <w:r w:rsidDel="00000000" w:rsidR="00000000" w:rsidRPr="00000000">
        <w:rPr>
          <w:rFonts w:ascii="Arial" w:cs="Arial" w:eastAsia="Arial" w:hAnsi="Arial"/>
          <w:b w:val="1"/>
          <w:sz w:val="34"/>
          <w:szCs w:val="34"/>
          <w:rtl w:val="0"/>
        </w:rPr>
        <w:t xml:space="preserve">Title: Assessment component 1: Individual Report</w:t>
      </w:r>
    </w:p>
    <w:p w:rsidR="00000000" w:rsidDel="00000000" w:rsidP="00000000" w:rsidRDefault="00000000" w:rsidRPr="00000000" w14:paraId="00000006">
      <w:pPr>
        <w:spacing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Student Name:</w:t>
        <w:tab/>
        <w:tab/>
        <w:t xml:space="preserve">        Zahraa Araf</w:t>
      </w:r>
    </w:p>
    <w:p w:rsidR="00000000" w:rsidDel="00000000" w:rsidP="00000000" w:rsidRDefault="00000000" w:rsidRPr="00000000" w14:paraId="00000007">
      <w:pPr>
        <w:spacing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Student ID:</w:t>
        <w:tab/>
        <w:tab/>
        <w:t xml:space="preserve">        2211190</w:t>
      </w:r>
    </w:p>
    <w:p w:rsidR="00000000" w:rsidDel="00000000" w:rsidP="00000000" w:rsidRDefault="00000000" w:rsidRPr="00000000" w14:paraId="00000008">
      <w:pPr>
        <w:spacing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Module:</w:t>
        <w:tab/>
        <w:tab/>
        <w:tab/>
        <w:t xml:space="preserve">        Human Capital Management</w:t>
      </w:r>
    </w:p>
    <w:p w:rsidR="00000000" w:rsidDel="00000000" w:rsidP="00000000" w:rsidRDefault="00000000" w:rsidRPr="00000000" w14:paraId="00000009">
      <w:pPr>
        <w:spacing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Module Code:</w:t>
        <w:tab/>
        <w:tab/>
        <w:t xml:space="preserve">        LCMB7023</w:t>
      </w:r>
    </w:p>
    <w:p w:rsidR="00000000" w:rsidDel="00000000" w:rsidP="00000000" w:rsidRDefault="00000000" w:rsidRPr="00000000" w14:paraId="0000000A">
      <w:pPr>
        <w:spacing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Name of Lecturer:</w:t>
        <w:tab/>
        <w:t xml:space="preserve">        Ejike Udeogu (Birmingham)</w:t>
      </w:r>
    </w:p>
    <w:p w:rsidR="00000000" w:rsidDel="00000000" w:rsidP="00000000" w:rsidRDefault="00000000" w:rsidRPr="00000000" w14:paraId="0000000B">
      <w:pPr>
        <w:spacing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Internal verifier:</w:t>
        <w:tab/>
        <w:t xml:space="preserve">        Vasilios Tavlaridis Hoang Nguyen</w:t>
      </w:r>
    </w:p>
    <w:p w:rsidR="00000000" w:rsidDel="00000000" w:rsidP="00000000" w:rsidRDefault="00000000" w:rsidRPr="00000000" w14:paraId="0000000C">
      <w:pPr>
        <w:spacing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Date:</w:t>
        <w:tab/>
        <w:tab/>
        <w:tab/>
        <w:t xml:space="preserve">       06 October 2025</w:t>
      </w:r>
    </w:p>
    <w:p w:rsidR="00000000" w:rsidDel="00000000" w:rsidP="00000000" w:rsidRDefault="00000000" w:rsidRPr="00000000" w14:paraId="0000000D">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both"/>
        <w:rPr>
          <w:rFonts w:ascii="Arial" w:cs="Arial" w:eastAsia="Arial" w:hAnsi="Arial"/>
          <w:b w:val="1"/>
          <w:i w:val="0"/>
          <w:smallCaps w:val="0"/>
          <w:strike w:val="0"/>
          <w:color w:val="2e74b5"/>
          <w:sz w:val="28"/>
          <w:szCs w:val="28"/>
          <w:u w:val="none"/>
          <w:shd w:fill="auto" w:val="clear"/>
          <w:vertAlign w:val="baseline"/>
        </w:rPr>
      </w:pPr>
      <w:r w:rsidDel="00000000" w:rsidR="00000000" w:rsidRPr="00000000">
        <w:rPr>
          <w:rFonts w:ascii="Arial" w:cs="Arial" w:eastAsia="Arial" w:hAnsi="Arial"/>
          <w:b w:val="1"/>
          <w:i w:val="0"/>
          <w:smallCaps w:val="0"/>
          <w:strike w:val="0"/>
          <w:color w:val="2e74b5"/>
          <w:sz w:val="28"/>
          <w:szCs w:val="28"/>
          <w:u w:val="none"/>
          <w:shd w:fill="auto" w:val="clear"/>
          <w:vertAlign w:val="baseline"/>
          <w:rtl w:val="0"/>
        </w:rPr>
        <w:t xml:space="preserve">Contents</w:t>
      </w:r>
    </w:p>
    <w:sdt>
      <w:sdtPr>
        <w:id w:val="1342440377"/>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7syunjc4j8f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r>
          </w:hyperlink>
          <w:hyperlink w:anchor="_7syunjc4j8f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elwzj05xdf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Reshaping of Labour Markets by Technology and Implications for HRM/IHRM</w:t>
            </w:r>
          </w:hyperlink>
          <w:hyperlink w:anchor="_elwzj05xdf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r6tsmhaxtmb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Key Demographic and Geopolitical Factors Influencing Employment Markets</w:t>
            </w:r>
          </w:hyperlink>
          <w:hyperlink w:anchor="_r6tsmhaxtmb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6hqav3cf594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Addressing Persistent Skills Gaps through Strategic HRM</w:t>
            </w:r>
          </w:hyperlink>
          <w:hyperlink w:anchor="_6hqav3cf594z">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mm0kccuwsu2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Reflective Report on International Capabilities</w:t>
            </w:r>
          </w:hyperlink>
          <w:hyperlink w:anchor="_mm0kccuwsu2j">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gb62iz5w0q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r>
          </w:hyperlink>
          <w:hyperlink w:anchor="_tgb62iz5w0q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n5s3rb1x5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r>
          </w:hyperlink>
          <w:hyperlink w:anchor="_tyn5s3rb1x5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7">
          <w:pPr>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9">
      <w:pPr>
        <w:rPr>
          <w:rFonts w:ascii="Arial" w:cs="Arial" w:eastAsia="Arial" w:hAnsi="Arial"/>
          <w:b w:val="1"/>
          <w:sz w:val="24"/>
          <w:szCs w:val="24"/>
        </w:rPr>
      </w:pPr>
      <w:r w:rsidDel="00000000" w:rsidR="00000000" w:rsidRPr="00000000">
        <w:br w:type="page"/>
      </w:r>
      <w:r w:rsidDel="00000000" w:rsidR="00000000" w:rsidRPr="00000000">
        <w:rPr>
          <w:rFonts w:ascii="Arial" w:cs="Arial" w:eastAsia="Arial" w:hAnsi="Arial"/>
          <w:b w:val="1"/>
          <w:sz w:val="24"/>
          <w:szCs w:val="24"/>
          <w:rtl w:val="0"/>
        </w:rPr>
        <w:t xml:space="preserve">List of Tables</w:t>
      </w:r>
    </w:p>
    <w:sdt>
      <w:sdtPr>
        <w:id w:val="946286069"/>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9vnd7p7sqvu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1 The top three workforce priority areas for businesses across all international markets</w:t>
            </w:r>
          </w:hyperlink>
          <w:hyperlink w:anchor="_9vnd7p7sqvu5">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54jiwdqi1bi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2 Percentage of labour force who are international migrants</w:t>
            </w:r>
          </w:hyperlink>
          <w:hyperlink w:anchor="_54jiwdqi1bi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exgo8xtyier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3 The top three drivers of change across all regions</w:t>
            </w:r>
          </w:hyperlink>
          <w:hyperlink w:anchor="_exgo8xtyier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5pse8s0bea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4 Urbanization and key decent work indicators in Africa</w:t>
            </w:r>
          </w:hyperlink>
          <w:hyperlink w:anchor="_t5pse8s0bea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y2o393hvenb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5 Urbanization and key decent work indicators in Asia and the Pacific</w:t>
            </w:r>
          </w:hyperlink>
          <w:hyperlink w:anchor="_y2o393hvenb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1">
      <w:pPr>
        <w:jc w:val="center"/>
        <w:rPr>
          <w:rFonts w:ascii="Arial" w:cs="Arial" w:eastAsia="Arial" w:hAnsi="Arial"/>
          <w:b w:val="1"/>
        </w:rPr>
      </w:pPr>
      <w:r w:rsidDel="00000000" w:rsidR="00000000" w:rsidRPr="00000000">
        <w:rPr>
          <w:rFonts w:ascii="Arial" w:cs="Arial" w:eastAsia="Arial" w:hAnsi="Arial"/>
          <w:b w:val="1"/>
          <w:rtl w:val="0"/>
        </w:rPr>
        <w:t xml:space="preserve">Labour market reshaped by Technology, Demographics and Skill Gap</w:t>
      </w:r>
      <w:r w:rsidDel="00000000" w:rsidR="00000000" w:rsidRPr="00000000">
        <w:drawing>
          <wp:anchor allowOverlap="1" behindDoc="0" distB="0" distT="0" distL="114300" distR="114300" hidden="0" layoutInCell="1" locked="0" relativeHeight="0" simplePos="0">
            <wp:simplePos x="0" y="0"/>
            <wp:positionH relativeFrom="column">
              <wp:posOffset>-488949</wp:posOffset>
            </wp:positionH>
            <wp:positionV relativeFrom="paragraph">
              <wp:posOffset>222885</wp:posOffset>
            </wp:positionV>
            <wp:extent cx="6847292" cy="2870200"/>
            <wp:effectExtent b="0" l="0" r="0" t="0"/>
            <wp:wrapNone/>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6847292" cy="2870200"/>
                    </a:xfrm>
                    <a:prstGeom prst="rect"/>
                    <a:ln/>
                  </pic:spPr>
                </pic:pic>
              </a:graphicData>
            </a:graphic>
          </wp:anchor>
        </w:drawing>
      </w:r>
    </w:p>
    <w:p w:rsidR="00000000" w:rsidDel="00000000" w:rsidP="00000000" w:rsidRDefault="00000000" w:rsidRPr="00000000" w14:paraId="00000022">
      <w:pPr>
        <w:jc w:val="center"/>
        <w:rPr>
          <w:rFonts w:ascii="Arial" w:cs="Arial" w:eastAsia="Arial" w:hAnsi="Arial"/>
        </w:rPr>
      </w:pPr>
      <w:r w:rsidDel="00000000" w:rsidR="00000000" w:rsidRPr="00000000">
        <w:rPr>
          <w:rtl w:val="0"/>
        </w:rPr>
      </w:r>
    </w:p>
    <w:p w:rsidR="00000000" w:rsidDel="00000000" w:rsidP="00000000" w:rsidRDefault="00000000" w:rsidRPr="00000000" w14:paraId="00000023">
      <w:pPr>
        <w:jc w:val="center"/>
        <w:rPr>
          <w:rFonts w:ascii="Arial" w:cs="Arial" w:eastAsia="Arial" w:hAnsi="Arial"/>
          <w:b w:val="1"/>
        </w:rPr>
      </w:pPr>
      <w:r w:rsidDel="00000000" w:rsidR="00000000" w:rsidRPr="00000000">
        <w:rPr>
          <w:rFonts w:ascii="Arial" w:cs="Arial" w:eastAsia="Arial" w:hAnsi="Arial"/>
          <w:b w:val="1"/>
          <w:rtl w:val="0"/>
        </w:rPr>
        <w:t xml:space="preserve">Key Demographics and Geopolitical factors in UK Job Market</w:t>
      </w:r>
    </w:p>
    <w:p w:rsidR="00000000" w:rsidDel="00000000" w:rsidP="00000000" w:rsidRDefault="00000000" w:rsidRPr="00000000" w14:paraId="00000024">
      <w:pPr>
        <w:rPr>
          <w:rFonts w:ascii="Arial" w:cs="Arial" w:eastAsia="Arial" w:hAnsi="Arial"/>
        </w:rPr>
      </w:pPr>
      <w:r w:rsidDel="00000000" w:rsidR="00000000" w:rsidRPr="00000000">
        <w:rPr>
          <w:rtl w:val="0"/>
        </w:rPr>
      </w:r>
    </w:p>
    <w:p w:rsidR="00000000" w:rsidDel="00000000" w:rsidP="00000000" w:rsidRDefault="00000000" w:rsidRPr="00000000" w14:paraId="00000025">
      <w:pPr>
        <w:rPr>
          <w:rFonts w:ascii="Arial" w:cs="Arial" w:eastAsia="Arial" w:hAnsi="Arial"/>
        </w:rPr>
        <w:sectPr>
          <w:headerReference r:id="rId8" w:type="default"/>
          <w:headerReference r:id="rId9" w:type="first"/>
          <w:headerReference r:id="rId10" w:type="even"/>
          <w:footerReference r:id="rId11" w:type="default"/>
          <w:footerReference r:id="rId12" w:type="first"/>
          <w:footerReference r:id="rId13" w:type="even"/>
          <w:pgSz w:h="16838" w:w="11906" w:orient="portrait"/>
          <w:pgMar w:bottom="1440" w:top="1440" w:left="1440" w:right="1440" w:header="708" w:footer="708"/>
          <w:pgNumType w:start="1"/>
          <w:titlePg w:val="1"/>
        </w:sectPr>
      </w:pPr>
      <w:r w:rsidDel="00000000" w:rsidR="00000000" w:rsidRPr="00000000">
        <w:rPr>
          <w:rFonts w:ascii="Arial" w:cs="Arial" w:eastAsia="Arial" w:hAnsi="Arial"/>
          <w:rtl w:val="0"/>
        </w:rPr>
        <w:t xml:space="preserve">Skill Gap</w:t>
      </w:r>
      <w:r w:rsidDel="00000000" w:rsidR="00000000" w:rsidRPr="00000000">
        <w:drawing>
          <wp:anchor allowOverlap="1" behindDoc="0" distB="0" distT="0" distL="114300" distR="114300" hidden="0" layoutInCell="1" locked="0" relativeHeight="0" simplePos="0">
            <wp:simplePos x="0" y="0"/>
            <wp:positionH relativeFrom="column">
              <wp:posOffset>-488949</wp:posOffset>
            </wp:positionH>
            <wp:positionV relativeFrom="paragraph">
              <wp:posOffset>1729105</wp:posOffset>
            </wp:positionV>
            <wp:extent cx="6847368" cy="2700541"/>
            <wp:effectExtent b="0" l="0" r="0" t="0"/>
            <wp:wrapNone/>
            <wp:docPr id="2"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6847368" cy="2700541"/>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-488949</wp:posOffset>
            </wp:positionH>
            <wp:positionV relativeFrom="paragraph">
              <wp:posOffset>4441190</wp:posOffset>
            </wp:positionV>
            <wp:extent cx="6900430" cy="3072765"/>
            <wp:effectExtent b="0" l="0" r="0" t="0"/>
            <wp:wrapNone/>
            <wp:docPr id="9"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6900430" cy="3072765"/>
                    </a:xfrm>
                    <a:prstGeom prst="rect"/>
                    <a:ln/>
                  </pic:spPr>
                </pic:pic>
              </a:graphicData>
            </a:graphic>
          </wp:anchor>
        </w:drawing>
      </w:r>
    </w:p>
    <w:p w:rsidR="00000000" w:rsidDel="00000000" w:rsidP="00000000" w:rsidRDefault="00000000" w:rsidRPr="00000000" w14:paraId="00000026">
      <w:pPr>
        <w:tabs>
          <w:tab w:val="left" w:leader="none" w:pos="3399"/>
        </w:tabs>
        <w:rPr>
          <w:rFonts w:ascii="Arial" w:cs="Arial" w:eastAsia="Arial" w:hAnsi="Arial"/>
          <w:b w:val="1"/>
          <w:color w:val="2e74b5"/>
          <w:sz w:val="28"/>
          <w:szCs w:val="28"/>
        </w:rPr>
      </w:pPr>
      <w:r w:rsidDel="00000000" w:rsidR="00000000" w:rsidRPr="00000000">
        <w:rPr>
          <w:rFonts w:ascii="Arial" w:cs="Arial" w:eastAsia="Arial" w:hAnsi="Arial"/>
          <w:b w:val="1"/>
          <w:color w:val="2e74b5"/>
          <w:sz w:val="28"/>
          <w:szCs w:val="28"/>
          <w:rtl w:val="0"/>
        </w:rPr>
        <w:tab/>
      </w:r>
    </w:p>
    <w:p w:rsidR="00000000" w:rsidDel="00000000" w:rsidP="00000000" w:rsidRDefault="00000000" w:rsidRPr="00000000" w14:paraId="00000027">
      <w:pPr>
        <w:pStyle w:val="Heading1"/>
        <w:jc w:val="both"/>
        <w:rPr>
          <w:rFonts w:ascii="Arial" w:cs="Arial" w:eastAsia="Arial" w:hAnsi="Arial"/>
          <w:u w:val="single"/>
        </w:rPr>
      </w:pPr>
      <w:bookmarkStart w:colFirst="0" w:colLast="0" w:name="_7syunjc4j8fa" w:id="0"/>
      <w:bookmarkEnd w:id="0"/>
      <w:r w:rsidDel="00000000" w:rsidR="00000000" w:rsidRPr="00000000">
        <w:rPr>
          <w:rFonts w:ascii="Arial" w:cs="Arial" w:eastAsia="Arial" w:hAnsi="Arial"/>
          <w:u w:val="single"/>
          <w:rtl w:val="0"/>
        </w:rPr>
        <w:t xml:space="preserve">Introduction</w:t>
      </w:r>
    </w:p>
    <w:p w:rsidR="00000000" w:rsidDel="00000000" w:rsidP="00000000" w:rsidRDefault="00000000" w:rsidRPr="00000000" w14:paraId="0000002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significance of analysing technological advancements, demographic and geopolitical shifts, persistent skills gaps, and personal professional development lies in the fact that their combination will redefine global business. These interrelated issues are key concepts of understanding to develop HRM and IHRM strategies that guarantee organisational agility, sustainability of talent and long-term competitive advantage in a dynamic global market. This research paper critically looks at how the world labour markets are being transformed due to technological, demographic, and geopolitical forces. It then examines how organisations strategically act to respond to talent shortages and ends by giving personal reflection on how to build talents that can help them to survive in this dynamic international environment.</w:t>
      </w:r>
    </w:p>
    <w:p w:rsidR="00000000" w:rsidDel="00000000" w:rsidP="00000000" w:rsidRDefault="00000000" w:rsidRPr="00000000" w14:paraId="00000029">
      <w:pPr>
        <w:pStyle w:val="Heading1"/>
        <w:rPr>
          <w:rFonts w:ascii="Arial" w:cs="Arial" w:eastAsia="Arial" w:hAnsi="Arial"/>
          <w:u w:val="single"/>
        </w:rPr>
      </w:pPr>
      <w:bookmarkStart w:colFirst="0" w:colLast="0" w:name="_elwzj05xdfsf" w:id="1"/>
      <w:bookmarkEnd w:id="1"/>
      <w:r w:rsidDel="00000000" w:rsidR="00000000" w:rsidRPr="00000000">
        <w:rPr>
          <w:rFonts w:ascii="Arial" w:cs="Arial" w:eastAsia="Arial" w:hAnsi="Arial"/>
          <w:u w:val="single"/>
          <w:rtl w:val="0"/>
        </w:rPr>
        <w:t xml:space="preserve">The Reshaping of Labour Markets by Technology and Implications for HRM/IHRM</w:t>
      </w:r>
    </w:p>
    <w:p w:rsidR="00000000" w:rsidDel="00000000" w:rsidP="00000000" w:rsidRDefault="00000000" w:rsidRPr="00000000" w14:paraId="0000002A">
      <w:pPr>
        <w:spacing w:line="360" w:lineRule="auto"/>
        <w:jc w:val="both"/>
        <w:rPr>
          <w:rFonts w:ascii="Arial" w:cs="Arial" w:eastAsia="Arial" w:hAnsi="Arial"/>
          <w:sz w:val="24"/>
          <w:szCs w:val="24"/>
        </w:rPr>
      </w:pPr>
      <w:bookmarkStart w:colFirst="0" w:colLast="0" w:name="_xhmonghvoi11" w:id="2"/>
      <w:bookmarkEnd w:id="2"/>
      <w:r w:rsidDel="00000000" w:rsidR="00000000" w:rsidRPr="00000000">
        <w:rPr>
          <w:rFonts w:ascii="Arial" w:cs="Arial" w:eastAsia="Arial" w:hAnsi="Arial"/>
          <w:sz w:val="24"/>
          <w:szCs w:val="24"/>
          <w:rtl w:val="0"/>
        </w:rPr>
        <w:t xml:space="preserve">Due to technological developments, especially in artificial intelligence (AI), automation, and online platforms, national and global labour markets are fundamentally restructuring and forcing a paradigm shift in the Human Resource Management (HRM) and International Human Resource Management (IHRM) strategies. This change is typified by displacement of jobs, establishment of new jobs and emergence of non-standard work arrangements, all posing unique difficulties and opportunities to organisations across the world. There is a high polarization in labour markets as automation and AI are causing profound changes in the task make-up of jobs. In the past, automation was applied to manual routine operations, but the ability of AI to automate non-routine cognitive tasks implies that data analysis and administration positions, as well as some legal and financial operations, are now vulnerable (Budhwar et al., 2024). In the United Kingdom, it is estimated that up to 30% of existing jobs are susceptible to automation, with sectors like manufacturing, retail, and transportation facing the highest immediate impact (HR News, 2023). This displacement is not uniform across the globe; for instance, developing economies with a higher proportion of routine agricultural and manufacturing work may experience even more profound disruption, necessitating IHRM strategies that can manage large-scale workforce transitions across different national contexts. The primary implication for HRM is the urgent need for large-scale reskilling and upskilling initiatives to mitigate job losses and prepare the existing workforce for new, technology-augmented roles (Malik et al., 2024).</w:t>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Conversely, these technologies are simultaneously generating new employment opportunities, demanding a renewed focus on talent management and acquisition. The demand for AI specialists, data scientists, robotics engineers, and cybersecurity experts is surging internationally, creating a fiercely competitive global talent war (Sage Journals, 2023). For HRM, this necessitates a shift from traditional recruitment to proactive talent sourcing, leveraging AI-driven analytics to identify candidates with niche skillsets. For IHRM, the challenge is compounded by international competition and varying national education systems; a multinational corporation (MNC) must develop strategies to attract and retain this scarce digital talent not just in its home country but across its global operations, often requiring tailored compensation packages and mobility policies (Budhwar et al., 2024). The systematic understanding required of HR professionals now includes mapping global talent pipelines and navigating diverse immigration and qualification recognition regimes.</w:t>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proliferation of digital platforms has catalysed the growth of the gig economy, fragmenting traditional employment relationships and challenging the core administrative and legal functions of HRM. In the UK, the number of gig workers has grown substantially, contributing to a more flexible but also more precarious workforce (PMC, 2024). This shift requires HRM to develop new models for managing, engaging, and motivating a contingent workforce that lacks standard employment benefits and job security. From an IHRM perspective, digital platforms enable the rise of global remote work, allowing organisations to tap into international talent pools on a project basis </w:t>
      </w:r>
      <w:r w:rsidDel="00000000" w:rsidR="00000000" w:rsidRPr="00000000">
        <w:rPr>
          <w:rFonts w:ascii="Arial" w:cs="Arial" w:eastAsia="Arial" w:hAnsi="Arial"/>
          <w:color w:val="2c3e50"/>
          <w:sz w:val="23"/>
          <w:szCs w:val="23"/>
          <w:highlight w:val="white"/>
          <w:rtl w:val="0"/>
        </w:rPr>
        <w:t xml:space="preserve">(Farndale et al., 2024)</w:t>
      </w:r>
      <w:r w:rsidDel="00000000" w:rsidR="00000000" w:rsidRPr="00000000">
        <w:rPr>
          <w:rFonts w:ascii="Arial" w:cs="Arial" w:eastAsia="Arial" w:hAnsi="Arial"/>
          <w:sz w:val="24"/>
          <w:szCs w:val="24"/>
          <w:rtl w:val="0"/>
        </w:rPr>
        <w:t xml:space="preserve">. This presents strategic advantages in cost and agility but introduces complex IHRM challenges related to cross-border employment law, tax compliance, data security, and ensuring consistent performance management for a dispersed, non-standard workforce </w:t>
      </w:r>
      <w:r w:rsidDel="00000000" w:rsidR="00000000" w:rsidRPr="00000000">
        <w:rPr>
          <w:rFonts w:ascii="Arial" w:cs="Arial" w:eastAsia="Arial" w:hAnsi="Arial"/>
          <w:color w:val="2c3e50"/>
          <w:sz w:val="23"/>
          <w:szCs w:val="23"/>
          <w:highlight w:val="white"/>
          <w:rtl w:val="0"/>
        </w:rPr>
        <w:t xml:space="preserve">(Do, Chu and Shipton, 2025).</w:t>
      </w: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Finally, the ethical dimensions of technological adoption demand that HRM and IHRM develop robust governance frameworks. Algorithmic bias in recruitment AI can perpetuate discrimination if not carefully audited, raising significant ethical and legal concerns (HR News, 2023). Internationally, the regulatory landscape is fragmented; the European Union's AI Act imposes strict regulations on high-risk AI systems, while other regions may have more permissive regimes (PMC, 2024). IHRM must therefore ensure that the organisation's use of HR technology is not only efficient but also ethically sound and legally compliant across every jurisdiction it operates, balancing the drive for digitalisation with the imperative for fair and effective people management (Aston Publications, 2022). </w:t>
      </w:r>
    </w:p>
    <w:p w:rsidR="00000000" w:rsidDel="00000000" w:rsidP="00000000" w:rsidRDefault="00000000" w:rsidRPr="00000000" w14:paraId="0000002E">
      <w:pPr>
        <w:pStyle w:val="Heading1"/>
        <w:rPr>
          <w:rFonts w:ascii="Arial" w:cs="Arial" w:eastAsia="Arial" w:hAnsi="Arial"/>
          <w:u w:val="single"/>
        </w:rPr>
      </w:pPr>
      <w:bookmarkStart w:colFirst="0" w:colLast="0" w:name="_r6tsmhaxtmb2" w:id="3"/>
      <w:bookmarkEnd w:id="3"/>
      <w:r w:rsidDel="00000000" w:rsidR="00000000" w:rsidRPr="00000000">
        <w:rPr>
          <w:rFonts w:ascii="Arial" w:cs="Arial" w:eastAsia="Arial" w:hAnsi="Arial"/>
          <w:u w:val="single"/>
          <w:rtl w:val="0"/>
        </w:rPr>
        <w:t xml:space="preserve">Key Demographic and Geopolitical Factors Influencing Employment Markets</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contemporary global labour market is a complex ecosystem being reshaped by powerful demographic and geopolitical undercurrents. For HR professionals, understanding these macro-level forces is no longer optional but essential for strategic workforce planning and organizational resilience. The key challenges stem from aging populations, shifting migration patterns, and heightened international tensions, which collectively create a landscape of talent scarcity, increased competition, and regulatory complexity.</w:t>
      </w:r>
    </w:p>
    <w:p w:rsidR="00000000" w:rsidDel="00000000" w:rsidP="00000000" w:rsidRDefault="00000000" w:rsidRPr="00000000" w14:paraId="00000030">
      <w:pPr>
        <w:spacing w:line="360" w:lineRule="auto"/>
        <w:ind w:firstLine="360"/>
        <w:jc w:val="center"/>
        <w:rPr>
          <w:rFonts w:ascii="Arial" w:cs="Arial" w:eastAsia="Arial" w:hAnsi="Arial"/>
          <w:sz w:val="24"/>
          <w:szCs w:val="24"/>
        </w:rPr>
      </w:pPr>
      <w:r w:rsidDel="00000000" w:rsidR="00000000" w:rsidRPr="00000000">
        <w:rPr/>
        <w:drawing>
          <wp:inline distB="0" distT="0" distL="0" distR="0">
            <wp:extent cx="5724525" cy="2057400"/>
            <wp:effectExtent b="0" l="0" r="0" t="0"/>
            <wp:docPr id="4"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5724525" cy="20574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5b9bd5"/>
          <w:sz w:val="18"/>
          <w:szCs w:val="18"/>
          <w:u w:val="none"/>
          <w:shd w:fill="auto" w:val="clear"/>
          <w:vertAlign w:val="baseline"/>
        </w:rPr>
      </w:pPr>
      <w:bookmarkStart w:colFirst="0" w:colLast="0" w:name="_9vnd7p7sqvu5" w:id="4"/>
      <w:bookmarkEnd w:id="4"/>
      <w:r w:rsidDel="00000000" w:rsidR="00000000" w:rsidRPr="00000000">
        <w:rPr>
          <w:rFonts w:ascii="Arial" w:cs="Arial" w:eastAsia="Arial" w:hAnsi="Arial"/>
          <w:b w:val="1"/>
          <w:i w:val="0"/>
          <w:smallCaps w:val="0"/>
          <w:strike w:val="0"/>
          <w:color w:val="5b9bd5"/>
          <w:sz w:val="18"/>
          <w:szCs w:val="18"/>
          <w:u w:val="none"/>
          <w:shd w:fill="auto" w:val="clear"/>
          <w:vertAlign w:val="baseline"/>
          <w:rtl w:val="0"/>
        </w:rPr>
        <w:t xml:space="preserve">Figure 1 The top three workforce priority areas for businesses across all international markets</w:t>
      </w:r>
    </w:p>
    <w:p w:rsidR="00000000" w:rsidDel="00000000" w:rsidP="00000000" w:rsidRDefault="00000000" w:rsidRPr="00000000" w14:paraId="00000032">
      <w:pPr>
        <w:rPr>
          <w:rFonts w:ascii="Arial" w:cs="Arial" w:eastAsia="Arial" w:hAnsi="Arial"/>
        </w:rPr>
      </w:pPr>
      <w:r w:rsidDel="00000000" w:rsidR="00000000" w:rsidRPr="00000000">
        <w:rPr/>
        <w:drawing>
          <wp:inline distB="0" distT="0" distL="0" distR="0">
            <wp:extent cx="5731510" cy="3153555"/>
            <wp:effectExtent b="0" l="0" r="0" t="0"/>
            <wp:docPr id="6" name="image9.png"/>
            <a:graphic>
              <a:graphicData uri="http://schemas.openxmlformats.org/drawingml/2006/picture">
                <pic:pic>
                  <pic:nvPicPr>
                    <pic:cNvPr id="0" name="image9.png"/>
                    <pic:cNvPicPr preferRelativeResize="0"/>
                  </pic:nvPicPr>
                  <pic:blipFill>
                    <a:blip r:embed="rId17"/>
                    <a:srcRect b="0" l="0" r="0" t="0"/>
                    <a:stretch>
                      <a:fillRect/>
                    </a:stretch>
                  </pic:blipFill>
                  <pic:spPr>
                    <a:xfrm>
                      <a:off x="0" y="0"/>
                      <a:ext cx="5731510" cy="3153555"/>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5b9bd5"/>
          <w:sz w:val="18"/>
          <w:szCs w:val="18"/>
          <w:u w:val="none"/>
          <w:shd w:fill="auto" w:val="clear"/>
          <w:vertAlign w:val="baseline"/>
        </w:rPr>
      </w:pPr>
      <w:bookmarkStart w:colFirst="0" w:colLast="0" w:name="_54jiwdqi1bih" w:id="5"/>
      <w:bookmarkEnd w:id="5"/>
      <w:r w:rsidDel="00000000" w:rsidR="00000000" w:rsidRPr="00000000">
        <w:rPr>
          <w:rFonts w:ascii="Arial" w:cs="Arial" w:eastAsia="Arial" w:hAnsi="Arial"/>
          <w:b w:val="1"/>
          <w:i w:val="0"/>
          <w:smallCaps w:val="0"/>
          <w:strike w:val="0"/>
          <w:color w:val="5b9bd5"/>
          <w:sz w:val="18"/>
          <w:szCs w:val="18"/>
          <w:u w:val="none"/>
          <w:shd w:fill="auto" w:val="clear"/>
          <w:vertAlign w:val="baseline"/>
          <w:rtl w:val="0"/>
        </w:rPr>
        <w:t xml:space="preserve">Figure 2 Percentage of labour force who are international migrants</w:t>
      </w:r>
    </w:p>
    <w:p w:rsidR="00000000" w:rsidDel="00000000" w:rsidP="00000000" w:rsidRDefault="00000000" w:rsidRPr="00000000" w14:paraId="00000034">
      <w:pPr>
        <w:shd w:fill="ebf5fd" w:val="clear"/>
        <w:jc w:val="center"/>
        <w:rPr>
          <w:rFonts w:ascii="Arial" w:cs="Arial" w:eastAsia="Arial" w:hAnsi="Arial"/>
          <w:color w:val="230050"/>
          <w:sz w:val="18"/>
          <w:szCs w:val="18"/>
        </w:rPr>
      </w:pPr>
      <w:r w:rsidDel="00000000" w:rsidR="00000000" w:rsidRPr="00000000">
        <w:rPr>
          <w:rFonts w:ascii="Arial" w:cs="Arial" w:eastAsia="Arial" w:hAnsi="Arial"/>
          <w:color w:val="230050"/>
          <w:sz w:val="18"/>
          <w:szCs w:val="18"/>
          <w:rtl w:val="0"/>
        </w:rPr>
        <w:t xml:space="preserve">Latest year available. Migrants are foreign-born individuals or foreign citizens. See database for details.</w:t>
      </w:r>
    </w:p>
    <w:p w:rsidR="00000000" w:rsidDel="00000000" w:rsidP="00000000" w:rsidRDefault="00000000" w:rsidRPr="00000000" w14:paraId="00000035">
      <w:pPr>
        <w:shd w:fill="ebf5fd" w:val="clear"/>
        <w:jc w:val="center"/>
        <w:rPr>
          <w:rFonts w:ascii="Arial" w:cs="Arial" w:eastAsia="Arial" w:hAnsi="Arial"/>
          <w:color w:val="230050"/>
          <w:sz w:val="18"/>
          <w:szCs w:val="18"/>
        </w:rPr>
      </w:pPr>
      <w:r w:rsidDel="00000000" w:rsidR="00000000" w:rsidRPr="00000000">
        <w:rPr>
          <w:rFonts w:ascii="Arial" w:cs="Arial" w:eastAsia="Arial" w:hAnsi="Arial"/>
          <w:b w:val="1"/>
          <w:color w:val="230050"/>
          <w:sz w:val="18"/>
          <w:szCs w:val="18"/>
          <w:rtl w:val="0"/>
        </w:rPr>
        <w:t xml:space="preserve">Source:</w:t>
      </w:r>
      <w:r w:rsidDel="00000000" w:rsidR="00000000" w:rsidRPr="00000000">
        <w:rPr>
          <w:rFonts w:ascii="Arial" w:cs="Arial" w:eastAsia="Arial" w:hAnsi="Arial"/>
          <w:color w:val="230050"/>
          <w:sz w:val="18"/>
          <w:szCs w:val="18"/>
          <w:rtl w:val="0"/>
        </w:rPr>
        <w:t xml:space="preserve"> </w:t>
      </w:r>
      <w:hyperlink r:id="rId18">
        <w:r w:rsidDel="00000000" w:rsidR="00000000" w:rsidRPr="00000000">
          <w:rPr>
            <w:rFonts w:ascii="Arial" w:cs="Arial" w:eastAsia="Arial" w:hAnsi="Arial"/>
            <w:color w:val="1e2dbe"/>
            <w:sz w:val="18"/>
            <w:szCs w:val="18"/>
            <w:u w:val="single"/>
            <w:rtl w:val="0"/>
          </w:rPr>
          <w:t xml:space="preserve">International Labour Migration Statistics (ILMS) database, ILOSTAT</w:t>
        </w:r>
      </w:hyperlink>
      <w:r w:rsidDel="00000000" w:rsidR="00000000" w:rsidRPr="00000000">
        <w:rPr>
          <w:rFonts w:ascii="Arial" w:cs="Arial" w:eastAsia="Arial" w:hAnsi="Arial"/>
          <w:color w:val="230050"/>
          <w:sz w:val="18"/>
          <w:szCs w:val="18"/>
          <w:rtl w:val="0"/>
        </w:rPr>
        <w:t xml:space="preserve">  </w:t>
      </w:r>
      <w:hyperlink r:id="rId19">
        <w:r w:rsidDel="00000000" w:rsidR="00000000" w:rsidRPr="00000000">
          <w:rPr>
            <w:rFonts w:ascii="Arial" w:cs="Arial" w:eastAsia="Arial" w:hAnsi="Arial"/>
            <w:color w:val="1e2dbe"/>
            <w:sz w:val="18"/>
            <w:szCs w:val="18"/>
            <w:u w:val="single"/>
            <w:rtl w:val="0"/>
          </w:rPr>
          <w:t xml:space="preserve">Get the data</w:t>
        </w:r>
      </w:hyperlink>
      <w:r w:rsidDel="00000000" w:rsidR="00000000" w:rsidRPr="00000000">
        <w:rPr>
          <w:rtl w:val="0"/>
        </w:rPr>
      </w:r>
    </w:p>
    <w:p w:rsidR="00000000" w:rsidDel="00000000" w:rsidP="00000000" w:rsidRDefault="00000000" w:rsidRPr="00000000" w14:paraId="00000036">
      <w:pPr>
        <w:jc w:val="center"/>
        <w:rPr>
          <w:rFonts w:ascii="Arial" w:cs="Arial" w:eastAsia="Arial" w:hAnsi="Arial"/>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Demographically, the most significant trend is the aging of the global population and a consequent slowdown in labour force growth. The International Labour Organization (ILO) highlights that while the global population is growing, the growth of the working-age population is decelerating, leading to a rising dependency ratio as more retirees are supported by fewer workers (ILOSTAT, 2025). This phenomenon is acutely felt in developed economies. In the United Kingdom, for instance, the number of people aged 65 and over is projected to rise significantly, tightening the labour market and exacerbating skills shortages (CIPD, 2023). Similarly, Japan and many European nations are facing severe demographic pressures, shrinking the domestic pool of available talent (CIPD, 2023b. For HR, this creates the fundamental challenge of a constricting talent supply. Organizations can no longer rely on a plentiful flow of new entrants to the workforce and must instead focus on strategies to extend the working lives of older employees, enhance productivity, and compete more fiercely for a smaller pool of candidates.</w:t>
      </w:r>
    </w:p>
    <w:p w:rsidR="00000000" w:rsidDel="00000000" w:rsidP="00000000" w:rsidRDefault="00000000" w:rsidRPr="00000000" w14:paraId="00000038">
      <w:pPr>
        <w:spacing w:line="360" w:lineRule="auto"/>
        <w:ind w:firstLine="360"/>
        <w:jc w:val="both"/>
        <w:rPr>
          <w:rFonts w:ascii="Arial" w:cs="Arial" w:eastAsia="Arial" w:hAnsi="Arial"/>
          <w:sz w:val="24"/>
          <w:szCs w:val="24"/>
        </w:rPr>
      </w:pPr>
      <w:r w:rsidDel="00000000" w:rsidR="00000000" w:rsidRPr="00000000">
        <w:rPr/>
        <w:drawing>
          <wp:inline distB="0" distT="0" distL="0" distR="0">
            <wp:extent cx="5629275" cy="2247900"/>
            <wp:effectExtent b="0" l="0" r="0" t="0"/>
            <wp:docPr id="5"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629275" cy="22479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5b9bd5"/>
          <w:sz w:val="18"/>
          <w:szCs w:val="18"/>
          <w:u w:val="none"/>
          <w:shd w:fill="auto" w:val="clear"/>
          <w:vertAlign w:val="baseline"/>
        </w:rPr>
      </w:pPr>
      <w:bookmarkStart w:colFirst="0" w:colLast="0" w:name="_exgo8xtyierk" w:id="6"/>
      <w:bookmarkEnd w:id="6"/>
      <w:r w:rsidDel="00000000" w:rsidR="00000000" w:rsidRPr="00000000">
        <w:rPr>
          <w:rFonts w:ascii="Arial" w:cs="Arial" w:eastAsia="Arial" w:hAnsi="Arial"/>
          <w:b w:val="1"/>
          <w:i w:val="0"/>
          <w:smallCaps w:val="0"/>
          <w:strike w:val="0"/>
          <w:color w:val="5b9bd5"/>
          <w:sz w:val="18"/>
          <w:szCs w:val="18"/>
          <w:u w:val="none"/>
          <w:shd w:fill="auto" w:val="clear"/>
          <w:vertAlign w:val="baseline"/>
          <w:rtl w:val="0"/>
        </w:rPr>
        <w:t xml:space="preserve">Figure 3 The top three drivers of change across all regions</w:t>
      </w:r>
    </w:p>
    <w:p w:rsidR="00000000" w:rsidDel="00000000" w:rsidP="00000000" w:rsidRDefault="00000000" w:rsidRPr="00000000" w14:paraId="0000003A">
      <w:pPr>
        <w:jc w:val="center"/>
        <w:rPr>
          <w:rFonts w:ascii="Arial" w:cs="Arial" w:eastAsia="Arial" w:hAnsi="Arial"/>
          <w:b w:val="1"/>
          <w:color w:val="230050"/>
          <w:sz w:val="18"/>
          <w:szCs w:val="18"/>
        </w:rPr>
      </w:pPr>
      <w:r w:rsidDel="00000000" w:rsidR="00000000" w:rsidRPr="00000000">
        <w:rPr>
          <w:rFonts w:ascii="Arial" w:cs="Arial" w:eastAsia="Arial" w:hAnsi="Arial"/>
          <w:b w:val="1"/>
          <w:color w:val="230050"/>
          <w:sz w:val="18"/>
          <w:szCs w:val="18"/>
          <w:rtl w:val="0"/>
        </w:rPr>
        <w:t xml:space="preserve">Source: CIPD- People Profession 2022 International survey report</w:t>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Compounding the demographic challenge are volatile geopolitical factors, which are directly influencing labour mobility and supply chains. The World Economic Forum (2025) identifies "geopolitical rivalries" as a key driver of labour market transformation, leading to a reconfiguration of global trade and investment flows. For example, the UK's departure from the European Union has altered its access to the European labour pool, with immigration now primarily channelled through a points-based system (Davidson Morris, 2025). This has created specific labour shortages in sectors previously reliant on EU nationals, such as hospitality, logistics, and healthcare, forcing HR to rethink recruitment strategies for these roles (CIPD, 2023).</w:t>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intersection of these demographic and geopolitical trends creates a multi-faceted set of challenges for HR professionals. Firstly, </w:t>
      </w:r>
      <w:r w:rsidDel="00000000" w:rsidR="00000000" w:rsidRPr="00000000">
        <w:rPr>
          <w:rFonts w:ascii="Arial" w:cs="Arial" w:eastAsia="Arial" w:hAnsi="Arial"/>
          <w:b w:val="1"/>
          <w:sz w:val="24"/>
          <w:szCs w:val="24"/>
          <w:rtl w:val="0"/>
        </w:rPr>
        <w:t xml:space="preserve">strategic workforce planning</w:t>
      </w:r>
      <w:r w:rsidDel="00000000" w:rsidR="00000000" w:rsidRPr="00000000">
        <w:rPr>
          <w:rFonts w:ascii="Arial" w:cs="Arial" w:eastAsia="Arial" w:hAnsi="Arial"/>
          <w:sz w:val="24"/>
          <w:szCs w:val="24"/>
          <w:rtl w:val="0"/>
        </w:rPr>
        <w:t xml:space="preserve"> becomes immensely complex. HR must forecast talent needs in an environment of scarce supply and unpredictable global events, leading to a greater emphasis on internal talent development, reskilling, and upskilling initiatives to build self-sufficiency (CIPD, 2023). Secondly, </w:t>
      </w:r>
      <w:r w:rsidDel="00000000" w:rsidR="00000000" w:rsidRPr="00000000">
        <w:rPr>
          <w:rFonts w:ascii="Arial" w:cs="Arial" w:eastAsia="Arial" w:hAnsi="Arial"/>
          <w:b w:val="1"/>
          <w:sz w:val="24"/>
          <w:szCs w:val="24"/>
          <w:rtl w:val="0"/>
        </w:rPr>
        <w:t xml:space="preserve">talent acquisition and retention</w:t>
      </w:r>
      <w:r w:rsidDel="00000000" w:rsidR="00000000" w:rsidRPr="00000000">
        <w:rPr>
          <w:rFonts w:ascii="Arial" w:cs="Arial" w:eastAsia="Arial" w:hAnsi="Arial"/>
          <w:sz w:val="24"/>
          <w:szCs w:val="24"/>
          <w:rtl w:val="0"/>
        </w:rPr>
        <w:t xml:space="preserve"> have become intensely competitive and global. With local talent pools shrinking, organisations must cast a wider net, engaging in international recruitment. This necessitates that HR professionals develop expertise in global mobility, navigating complex visa regulations, and managing culturally diverse teams (Aston Publications, n.d.). The CIPD's People Profession report (2023) confirms that building inclusive cultures and managing international assignments are key priorities for HR functions operating across borders.</w:t>
      </w:r>
    </w:p>
    <w:p w:rsidR="00000000" w:rsidDel="00000000" w:rsidP="00000000" w:rsidRDefault="00000000" w:rsidRPr="00000000" w14:paraId="0000003D">
      <w:pPr>
        <w:spacing w:line="360" w:lineRule="auto"/>
        <w:ind w:firstLine="360"/>
        <w:jc w:val="center"/>
        <w:rPr>
          <w:rFonts w:ascii="Arial" w:cs="Arial" w:eastAsia="Arial" w:hAnsi="Arial"/>
          <w:sz w:val="24"/>
          <w:szCs w:val="24"/>
        </w:rPr>
      </w:pPr>
      <w:r w:rsidDel="00000000" w:rsidR="00000000" w:rsidRPr="00000000">
        <w:rPr/>
        <w:drawing>
          <wp:inline distB="0" distT="0" distL="0" distR="0">
            <wp:extent cx="3714750" cy="3448650"/>
            <wp:effectExtent b="0" l="0" r="0" t="0"/>
            <wp:docPr id="8" name="image5.png"/>
            <a:graphic>
              <a:graphicData uri="http://schemas.openxmlformats.org/drawingml/2006/picture">
                <pic:pic>
                  <pic:nvPicPr>
                    <pic:cNvPr id="0" name="image5.png"/>
                    <pic:cNvPicPr preferRelativeResize="0"/>
                  </pic:nvPicPr>
                  <pic:blipFill>
                    <a:blip r:embed="rId21"/>
                    <a:srcRect b="0" l="0" r="0" t="0"/>
                    <a:stretch>
                      <a:fillRect/>
                    </a:stretch>
                  </pic:blipFill>
                  <pic:spPr>
                    <a:xfrm>
                      <a:off x="0" y="0"/>
                      <a:ext cx="3714750" cy="344865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5b9bd5"/>
          <w:sz w:val="18"/>
          <w:szCs w:val="18"/>
          <w:u w:val="none"/>
          <w:shd w:fill="auto" w:val="clear"/>
          <w:vertAlign w:val="baseline"/>
        </w:rPr>
      </w:pPr>
      <w:bookmarkStart w:colFirst="0" w:colLast="0" w:name="_t5pse8s0bean" w:id="7"/>
      <w:bookmarkEnd w:id="7"/>
      <w:r w:rsidDel="00000000" w:rsidR="00000000" w:rsidRPr="00000000">
        <w:rPr>
          <w:rFonts w:ascii="Arial" w:cs="Arial" w:eastAsia="Arial" w:hAnsi="Arial"/>
          <w:b w:val="1"/>
          <w:i w:val="0"/>
          <w:smallCaps w:val="0"/>
          <w:strike w:val="0"/>
          <w:color w:val="5b9bd5"/>
          <w:sz w:val="18"/>
          <w:szCs w:val="18"/>
          <w:u w:val="none"/>
          <w:shd w:fill="auto" w:val="clear"/>
          <w:vertAlign w:val="baseline"/>
          <w:rtl w:val="0"/>
        </w:rPr>
        <w:t xml:space="preserve">Figure 4 Urbanization and key decent work indicators in Africa</w:t>
      </w:r>
    </w:p>
    <w:p w:rsidR="00000000" w:rsidDel="00000000" w:rsidP="00000000" w:rsidRDefault="00000000" w:rsidRPr="00000000" w14:paraId="0000003F">
      <w:pPr>
        <w:jc w:val="center"/>
        <w:rPr>
          <w:rFonts w:ascii="Arial" w:cs="Arial" w:eastAsia="Arial" w:hAnsi="Arial"/>
        </w:rPr>
      </w:pPr>
      <w:r w:rsidDel="00000000" w:rsidR="00000000" w:rsidRPr="00000000">
        <w:rPr>
          <w:rFonts w:ascii="Arial" w:cs="Arial" w:eastAsia="Arial" w:hAnsi="Arial"/>
          <w:b w:val="1"/>
          <w:color w:val="230050"/>
          <w:sz w:val="18"/>
          <w:szCs w:val="18"/>
          <w:shd w:fill="ebf5fd" w:val="clear"/>
          <w:rtl w:val="0"/>
        </w:rPr>
        <w:t xml:space="preserve">Source:</w:t>
      </w:r>
      <w:r w:rsidDel="00000000" w:rsidR="00000000" w:rsidRPr="00000000">
        <w:rPr>
          <w:rFonts w:ascii="Arial" w:cs="Arial" w:eastAsia="Arial" w:hAnsi="Arial"/>
          <w:color w:val="230050"/>
          <w:sz w:val="18"/>
          <w:szCs w:val="18"/>
          <w:shd w:fill="ebf5fd" w:val="clear"/>
          <w:rtl w:val="0"/>
        </w:rPr>
        <w:t xml:space="preserve"> </w:t>
      </w:r>
      <w:hyperlink r:id="rId22">
        <w:r w:rsidDel="00000000" w:rsidR="00000000" w:rsidRPr="00000000">
          <w:rPr>
            <w:rFonts w:ascii="Arial" w:cs="Arial" w:eastAsia="Arial" w:hAnsi="Arial"/>
            <w:color w:val="1e2dbe"/>
            <w:sz w:val="18"/>
            <w:szCs w:val="18"/>
            <w:u w:val="single"/>
            <w:shd w:fill="ebf5fd" w:val="clear"/>
            <w:rtl w:val="0"/>
          </w:rPr>
          <w:t xml:space="preserve">ILO Modelled Estimates (ILOEST) database, ILOSTAT</w:t>
        </w:r>
      </w:hyperlink>
      <w:r w:rsidDel="00000000" w:rsidR="00000000" w:rsidRPr="00000000">
        <w:rPr>
          <w:rFonts w:ascii="Arial" w:cs="Arial" w:eastAsia="Arial" w:hAnsi="Arial"/>
          <w:color w:val="230050"/>
          <w:sz w:val="18"/>
          <w:szCs w:val="18"/>
          <w:shd w:fill="ebf5fd" w:val="clear"/>
          <w:rtl w:val="0"/>
        </w:rPr>
        <w:t xml:space="preserve">  </w:t>
      </w:r>
      <w:hyperlink r:id="rId23">
        <w:r w:rsidDel="00000000" w:rsidR="00000000" w:rsidRPr="00000000">
          <w:rPr>
            <w:rFonts w:ascii="Arial" w:cs="Arial" w:eastAsia="Arial" w:hAnsi="Arial"/>
            <w:color w:val="1e2dbe"/>
            <w:sz w:val="18"/>
            <w:szCs w:val="18"/>
            <w:u w:val="single"/>
            <w:shd w:fill="ebf5fd" w:val="clear"/>
            <w:rtl w:val="0"/>
          </w:rPr>
          <w:t xml:space="preserve">Get the data</w:t>
        </w:r>
      </w:hyperlink>
      <w:r w:rsidDel="00000000" w:rsidR="00000000" w:rsidRPr="00000000">
        <w:rPr>
          <w:rtl w:val="0"/>
        </w:rPr>
      </w:r>
    </w:p>
    <w:p w:rsidR="00000000" w:rsidDel="00000000" w:rsidP="00000000" w:rsidRDefault="00000000" w:rsidRPr="00000000" w14:paraId="00000040">
      <w:pPr>
        <w:spacing w:line="360" w:lineRule="auto"/>
        <w:ind w:firstLine="36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line="360" w:lineRule="auto"/>
        <w:ind w:firstLine="360"/>
        <w:jc w:val="center"/>
        <w:rPr>
          <w:rFonts w:ascii="Arial" w:cs="Arial" w:eastAsia="Arial" w:hAnsi="Arial"/>
          <w:sz w:val="24"/>
          <w:szCs w:val="24"/>
        </w:rPr>
      </w:pPr>
      <w:r w:rsidDel="00000000" w:rsidR="00000000" w:rsidRPr="00000000">
        <w:rPr/>
        <w:drawing>
          <wp:inline distB="0" distT="0" distL="0" distR="0">
            <wp:extent cx="3543300" cy="3564582"/>
            <wp:effectExtent b="0" l="0" r="0" t="0"/>
            <wp:docPr id="7" name="image8.png"/>
            <a:graphic>
              <a:graphicData uri="http://schemas.openxmlformats.org/drawingml/2006/picture">
                <pic:pic>
                  <pic:nvPicPr>
                    <pic:cNvPr id="0" name="image8.png"/>
                    <pic:cNvPicPr preferRelativeResize="0"/>
                  </pic:nvPicPr>
                  <pic:blipFill>
                    <a:blip r:embed="rId24"/>
                    <a:srcRect b="0" l="0" r="0" t="0"/>
                    <a:stretch>
                      <a:fillRect/>
                    </a:stretch>
                  </pic:blipFill>
                  <pic:spPr>
                    <a:xfrm>
                      <a:off x="0" y="0"/>
                      <a:ext cx="3543300" cy="3564582"/>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5b9bd5"/>
          <w:sz w:val="18"/>
          <w:szCs w:val="18"/>
          <w:u w:val="none"/>
          <w:shd w:fill="auto" w:val="clear"/>
          <w:vertAlign w:val="baseline"/>
        </w:rPr>
      </w:pPr>
      <w:bookmarkStart w:colFirst="0" w:colLast="0" w:name="_y2o393hvenb7" w:id="8"/>
      <w:bookmarkEnd w:id="8"/>
      <w:r w:rsidDel="00000000" w:rsidR="00000000" w:rsidRPr="00000000">
        <w:rPr>
          <w:rFonts w:ascii="Arial" w:cs="Arial" w:eastAsia="Arial" w:hAnsi="Arial"/>
          <w:b w:val="1"/>
          <w:i w:val="0"/>
          <w:smallCaps w:val="0"/>
          <w:strike w:val="0"/>
          <w:color w:val="5b9bd5"/>
          <w:sz w:val="18"/>
          <w:szCs w:val="18"/>
          <w:u w:val="none"/>
          <w:shd w:fill="auto" w:val="clear"/>
          <w:vertAlign w:val="baseline"/>
          <w:rtl w:val="0"/>
        </w:rPr>
        <w:t xml:space="preserve">Figure 5 Urbanization and key decent work indicators in Asia and the Pacific</w:t>
      </w:r>
    </w:p>
    <w:p w:rsidR="00000000" w:rsidDel="00000000" w:rsidP="00000000" w:rsidRDefault="00000000" w:rsidRPr="00000000" w14:paraId="00000043">
      <w:pPr>
        <w:jc w:val="center"/>
        <w:rPr>
          <w:rFonts w:ascii="Arial" w:cs="Arial" w:eastAsia="Arial" w:hAnsi="Arial"/>
        </w:rPr>
      </w:pPr>
      <w:r w:rsidDel="00000000" w:rsidR="00000000" w:rsidRPr="00000000">
        <w:rPr>
          <w:rFonts w:ascii="Arial" w:cs="Arial" w:eastAsia="Arial" w:hAnsi="Arial"/>
          <w:b w:val="1"/>
          <w:color w:val="230050"/>
          <w:sz w:val="18"/>
          <w:szCs w:val="18"/>
          <w:shd w:fill="ebf5fd" w:val="clear"/>
          <w:rtl w:val="0"/>
        </w:rPr>
        <w:t xml:space="preserve">Source:</w:t>
      </w:r>
      <w:r w:rsidDel="00000000" w:rsidR="00000000" w:rsidRPr="00000000">
        <w:rPr>
          <w:rFonts w:ascii="Arial" w:cs="Arial" w:eastAsia="Arial" w:hAnsi="Arial"/>
          <w:color w:val="230050"/>
          <w:sz w:val="18"/>
          <w:szCs w:val="18"/>
          <w:shd w:fill="ebf5fd" w:val="clear"/>
          <w:rtl w:val="0"/>
        </w:rPr>
        <w:t xml:space="preserve"> </w:t>
      </w:r>
      <w:hyperlink r:id="rId25">
        <w:r w:rsidDel="00000000" w:rsidR="00000000" w:rsidRPr="00000000">
          <w:rPr>
            <w:rFonts w:ascii="Arial" w:cs="Arial" w:eastAsia="Arial" w:hAnsi="Arial"/>
            <w:color w:val="1e2dbe"/>
            <w:sz w:val="18"/>
            <w:szCs w:val="18"/>
            <w:u w:val="single"/>
            <w:shd w:fill="ebf5fd" w:val="clear"/>
            <w:rtl w:val="0"/>
          </w:rPr>
          <w:t xml:space="preserve">ILO Modelled Estimates (ILOEST) database, ILOSTAT</w:t>
        </w:r>
      </w:hyperlink>
      <w:r w:rsidDel="00000000" w:rsidR="00000000" w:rsidRPr="00000000">
        <w:rPr>
          <w:rFonts w:ascii="Arial" w:cs="Arial" w:eastAsia="Arial" w:hAnsi="Arial"/>
          <w:color w:val="230050"/>
          <w:sz w:val="18"/>
          <w:szCs w:val="18"/>
          <w:shd w:fill="ebf5fd" w:val="clear"/>
          <w:rtl w:val="0"/>
        </w:rPr>
        <w:t xml:space="preserve">  </w:t>
      </w:r>
      <w:hyperlink r:id="rId26">
        <w:r w:rsidDel="00000000" w:rsidR="00000000" w:rsidRPr="00000000">
          <w:rPr>
            <w:rFonts w:ascii="Arial" w:cs="Arial" w:eastAsia="Arial" w:hAnsi="Arial"/>
            <w:color w:val="1e2dbe"/>
            <w:sz w:val="18"/>
            <w:szCs w:val="18"/>
            <w:u w:val="single"/>
            <w:shd w:fill="ebf5fd" w:val="clear"/>
            <w:rtl w:val="0"/>
          </w:rPr>
          <w:t xml:space="preserve">Get the data</w:t>
        </w:r>
      </w:hyperlink>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Finally, HR faces increased </w:t>
      </w:r>
      <w:r w:rsidDel="00000000" w:rsidR="00000000" w:rsidRPr="00000000">
        <w:rPr>
          <w:rFonts w:ascii="Arial" w:cs="Arial" w:eastAsia="Arial" w:hAnsi="Arial"/>
          <w:b w:val="1"/>
          <w:sz w:val="24"/>
          <w:szCs w:val="24"/>
          <w:rtl w:val="0"/>
        </w:rPr>
        <w:t xml:space="preserve">regulatory and ethical challenges</w:t>
      </w:r>
      <w:r w:rsidDel="00000000" w:rsidR="00000000" w:rsidRPr="00000000">
        <w:rPr>
          <w:rFonts w:ascii="Arial" w:cs="Arial" w:eastAsia="Arial" w:hAnsi="Arial"/>
          <w:sz w:val="24"/>
          <w:szCs w:val="24"/>
          <w:rtl w:val="0"/>
        </w:rPr>
        <w:t xml:space="preserve">. Geopolitical shifts often result in rapidly changing immigration and employment laws, requiring constant vigilance to ensure compliance (Davidson Morris, 2025). Moreover, as organizations compete globally for high-skilled workers, HR must design equitable and attractive compensation and benefits packages that are competitive on an international scale, while also managing the ethical implications of recruiting talent from developing nations that may themselves face shortages (David Publisher, 2025). </w:t>
      </w:r>
    </w:p>
    <w:p w:rsidR="00000000" w:rsidDel="00000000" w:rsidP="00000000" w:rsidRDefault="00000000" w:rsidRPr="00000000" w14:paraId="00000045">
      <w:pPr>
        <w:pStyle w:val="Heading1"/>
        <w:rPr>
          <w:rFonts w:ascii="Arial" w:cs="Arial" w:eastAsia="Arial" w:hAnsi="Arial"/>
          <w:sz w:val="24"/>
          <w:szCs w:val="24"/>
          <w:u w:val="single"/>
        </w:rPr>
      </w:pPr>
      <w:bookmarkStart w:colFirst="0" w:colLast="0" w:name="_6hqav3cf594z" w:id="9"/>
      <w:bookmarkEnd w:id="9"/>
      <w:r w:rsidDel="00000000" w:rsidR="00000000" w:rsidRPr="00000000">
        <w:rPr>
          <w:rFonts w:ascii="Arial" w:cs="Arial" w:eastAsia="Arial" w:hAnsi="Arial"/>
          <w:u w:val="single"/>
          <w:rtl w:val="0"/>
        </w:rPr>
        <w:t xml:space="preserve">Addressing Persistent Skills Gaps through Strategic HRM</w:t>
      </w: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Persistent skills gaps in critical sectors like technology, hospitality, and healthcare represent a significant drag on economic productivity and organizational growth. In the UK, the scale of the challenge is stark: over 75% of organizations report being affected by skills shortages, a issue that costs the economy billions of pounds annually (The Access Group, 2024). The British Chambers of Commerce further emphasizes that this is a systemic issue; with 73% of UK firms struggling to find the skilled workers they need (British Chambers of Commerce, 2024). Strategic Human Resource Management (HRM) is pivotal in bridging this gap, moving beyond reactive recruitment to a holistic approach centred on internal development, strategic talent acquisition, and cross-sector collaboration.</w:t>
      </w:r>
    </w:p>
    <w:p w:rsidR="00000000" w:rsidDel="00000000" w:rsidP="00000000" w:rsidRDefault="00000000" w:rsidRPr="00000000" w14:paraId="000000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most fundamental strategic shift involves prioritizing internal talent development through robust upskilling and reskilling programmes. Relying solely on the external labour market to supply ready-made talent is increasingly untenable. A proactive strategy involves identifying future skill needs and systematically building them within the existing workforce. An example is that the World Economic Forum supports public-private partnerships in reskilling in terms of such partnerships being the key way to scale up solutions to achieve massive digital and green transformations (World Economic Forum, 2023). It is especially important in the technology industry, where OECD reports that talent scarcity is a particularly acute problem, but one of the resolutions is to increase the talent pool by reskilling and upskilling people not in the ICT sector, thus making the pipeline of skilled employees more diverse and resilient (OECD, 2023). To the HR, it will involve the direct alignment of Learning and Development (L&amp;D) with strategic business planning to use data and create a personal development journey that improves retention rates in employees and future proofs the organization.</w:t>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cases where it is required to hire externally the strategic HRM would require a reassessment of talent acquisition standards that would tap into either neglected or non-conventional sources of talent. The excessive focus on formal degrees and particular past experience artificially reduces the number of candidates. According to the CIPD, organizations can address the shortages through recruiting on potential and attitude, as opposed to some experience, and by providing flexible working options to recruit a more diverse workforce that includes caregivers and older workers (CIPD, 2025). This will be essential in areas such as hospitality and healthcare where recruiting has been a long-term problem. Strategic HRM can institute programmes that screen people according to underlying soft skills of empathy and communication in healthcare followed by an impartation of the necessary technical training thereby establishing a more sustainable and loyal pipeline of talents (Braun et al., 2024). This transforms the HR role as a guardian of qualification to the architect of competence.</w:t>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Lastly, the HR has to be a strategic collaborator in sectors where there are ingrained shortages as it involves development of ecosystems outside the organization. This includes forming official collaboration with educational organizations, governments, and industry associations to form a talent pipeline with a future-fit. The World Economic Forum's "Reskilling Revolution" initiative is a prime example of a multi-stakeholder effort designed to equip millions with essential skills for the new economy (World Economic Forum, 2023). At a national level, the UK's infrastructure sector identifies a similar need, advocating for coordinated action between industry and educators to make critical sectors like engineering and construction more attractive and accessible career paths (Infraspec, 2025). For HR professionals, this means their strategic remit must extend beyond the corporate walls to include influencing curriculum development, supporting apprenticeship levy reforms, and collaborating on sector-wide marketing campaigns that change perceptions of industries facing talent shortages (Edge, 2024).</w:t>
      </w:r>
    </w:p>
    <w:p w:rsidR="00000000" w:rsidDel="00000000" w:rsidP="00000000" w:rsidRDefault="00000000" w:rsidRPr="00000000" w14:paraId="0000004A">
      <w:pPr>
        <w:rPr>
          <w:rFonts w:ascii="Arial" w:cs="Arial" w:eastAsia="Arial" w:hAnsi="Arial"/>
          <w:b w:val="1"/>
          <w:color w:val="2e74b5"/>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rFonts w:ascii="Arial" w:cs="Arial" w:eastAsia="Arial" w:hAnsi="Arial"/>
          <w:u w:val="single"/>
        </w:rPr>
      </w:pPr>
      <w:bookmarkStart w:colFirst="0" w:colLast="0" w:name="_mm0kccuwsu2j" w:id="10"/>
      <w:bookmarkEnd w:id="10"/>
      <w:r w:rsidDel="00000000" w:rsidR="00000000" w:rsidRPr="00000000">
        <w:rPr>
          <w:rFonts w:ascii="Arial" w:cs="Arial" w:eastAsia="Arial" w:hAnsi="Arial"/>
          <w:u w:val="single"/>
          <w:rtl w:val="0"/>
        </w:rPr>
        <w:t xml:space="preserve">Reflective Report on International Capabilities</w:t>
      </w:r>
    </w:p>
    <w:p w:rsidR="00000000" w:rsidDel="00000000" w:rsidP="00000000" w:rsidRDefault="00000000" w:rsidRPr="00000000" w14:paraId="0000004C">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1. Introduction</w:t>
      </w: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Working within the dynamic, multinational environment of EasyJet PLC has provided a practical foundation for developing capabilities essential for today's globalized workplace. This report reflects on my current competencies in technology, communication, teamwork, leadership, and self-directed learning, outlining a plan for continuous improvement.</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2. Capabilities Analysis</w:t>
      </w: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Technology:</w:t>
      </w:r>
      <w:r w:rsidDel="00000000" w:rsidR="00000000" w:rsidRPr="00000000">
        <w:rPr>
          <w:rFonts w:ascii="Arial" w:cs="Arial" w:eastAsia="Arial" w:hAnsi="Arial"/>
          <w:sz w:val="24"/>
          <w:szCs w:val="24"/>
          <w:rtl w:val="0"/>
        </w:rPr>
        <w:t xml:space="preserve"> My strength lies in operational proficiency with our core systems, including the crew rostering platform and internal comms apps. I effectively use these tools for daily tasks. However, a weakness is a reactive, rather than strategic, approach to new technology. For instance, I use data reporting tools to extract required information but have not proactively learned to analyze this data to identify trends in operational delays or crew resource challenges, a skill vital for innovation.</w:t>
      </w:r>
    </w:p>
    <w:p w:rsidR="00000000" w:rsidDel="00000000" w:rsidP="00000000" w:rsidRDefault="00000000" w:rsidRPr="00000000" w14:paraId="00000050">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Communication:</w:t>
      </w:r>
      <w:r w:rsidDel="00000000" w:rsidR="00000000" w:rsidRPr="00000000">
        <w:rPr>
          <w:rFonts w:ascii="Arial" w:cs="Arial" w:eastAsia="Arial" w:hAnsi="Arial"/>
          <w:sz w:val="24"/>
          <w:szCs w:val="24"/>
          <w:rtl w:val="0"/>
        </w:rPr>
        <w:t xml:space="preserve"> Daily interaction with a diverse mix of European colleagues and customers has strengthened my cross-cultural communication skills. I have learned to adjust my communication style for clarity, avoiding colloquialisms that may not translate. Evidence of this is the positive feedback received from a Spanish cabin crew team after a complex turnaround, where clear, concise instruction was critical. A key area for development is my confidence in contributing to larger, multinational virtual meetings, where I often hesitate to interject.</w:t>
      </w:r>
    </w:p>
    <w:p w:rsidR="00000000" w:rsidDel="00000000" w:rsidP="00000000" w:rsidRDefault="00000000" w:rsidRPr="00000000" w14:paraId="00000051">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Teamwork and Leadership:</w:t>
      </w:r>
      <w:r w:rsidDel="00000000" w:rsidR="00000000" w:rsidRPr="00000000">
        <w:rPr>
          <w:rFonts w:ascii="Arial" w:cs="Arial" w:eastAsia="Arial" w:hAnsi="Arial"/>
          <w:sz w:val="24"/>
          <w:szCs w:val="24"/>
          <w:rtl w:val="0"/>
        </w:rPr>
        <w:t xml:space="preserve"> My strength is in fostering collaborative relationships within immediate, culturally diverse teams to achieve shared operational goals, such as ensuring an on-time departure. I naturally assume a facilitative role in resolving minor conflicts. My weakness, however, is a reluctance to step into a formal leadership role during unforeseen circumstances, such as significant flight disruptions. While I support the team, I could more proactively coordinate cross-functional efforts with ground staff and customer service.</w:t>
      </w:r>
    </w:p>
    <w:p w:rsidR="00000000" w:rsidDel="00000000" w:rsidP="00000000" w:rsidRDefault="00000000" w:rsidRPr="00000000" w14:paraId="00000052">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Self-Directed Learning:</w:t>
      </w:r>
      <w:r w:rsidDel="00000000" w:rsidR="00000000" w:rsidRPr="00000000">
        <w:rPr>
          <w:rFonts w:ascii="Arial" w:cs="Arial" w:eastAsia="Arial" w:hAnsi="Arial"/>
          <w:sz w:val="24"/>
          <w:szCs w:val="24"/>
          <w:rtl w:val="0"/>
        </w:rPr>
        <w:t xml:space="preserve"> I have demonstrated initiative by independently using the company's learning portal to complete mandatory compliance training ahead of schedule. However, my learning is often need-driven. I have not yet created a structured personal development plan to systematically acquire future-focused skills, such as the data analytics or advanced project management methodologies that would allow me to contribute to strategic efficiency projects.</w:t>
      </w:r>
    </w:p>
    <w:p w:rsidR="00000000" w:rsidDel="00000000" w:rsidP="00000000" w:rsidRDefault="00000000" w:rsidRPr="00000000" w14:paraId="00000053">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3. Development Plan</w:t>
      </w: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leverage my strengths, I will volunteer to mentor new joiners, solidifying my communication and teamwork skills while building leadership confidence. To address my weaknesses, I will:</w:t>
      </w:r>
    </w:p>
    <w:p w:rsidR="00000000" w:rsidDel="00000000" w:rsidP="00000000" w:rsidRDefault="00000000" w:rsidRPr="00000000" w14:paraId="00000055">
      <w:pPr>
        <w:numPr>
          <w:ilvl w:val="0"/>
          <w:numId w:val="1"/>
        </w:numPr>
        <w:spacing w:line="360" w:lineRule="auto"/>
        <w:ind w:left="720" w:hanging="360"/>
        <w:jc w:val="both"/>
        <w:rPr/>
      </w:pPr>
      <w:r w:rsidDel="00000000" w:rsidR="00000000" w:rsidRPr="00000000">
        <w:rPr>
          <w:rFonts w:ascii="Arial" w:cs="Arial" w:eastAsia="Arial" w:hAnsi="Arial"/>
          <w:b w:val="1"/>
          <w:sz w:val="24"/>
          <w:szCs w:val="24"/>
          <w:rtl w:val="0"/>
        </w:rPr>
        <w:t xml:space="preserve">Technology &amp; Self-Directed Learning:</w:t>
      </w:r>
      <w:r w:rsidDel="00000000" w:rsidR="00000000" w:rsidRPr="00000000">
        <w:rPr>
          <w:rFonts w:ascii="Arial" w:cs="Arial" w:eastAsia="Arial" w:hAnsi="Arial"/>
          <w:sz w:val="24"/>
          <w:szCs w:val="24"/>
          <w:rtl w:val="0"/>
        </w:rPr>
        <w:t xml:space="preserve"> Enroll in the company’s available data literacy module and apply these skills by conducting a small-scale analysis of turnaround times on my frequent routes.</w:t>
      </w:r>
    </w:p>
    <w:p w:rsidR="00000000" w:rsidDel="00000000" w:rsidP="00000000" w:rsidRDefault="00000000" w:rsidRPr="00000000" w14:paraId="00000056">
      <w:pPr>
        <w:numPr>
          <w:ilvl w:val="0"/>
          <w:numId w:val="1"/>
        </w:numPr>
        <w:spacing w:line="360" w:lineRule="auto"/>
        <w:ind w:left="720" w:hanging="360"/>
        <w:jc w:val="both"/>
        <w:rPr/>
      </w:pPr>
      <w:r w:rsidDel="00000000" w:rsidR="00000000" w:rsidRPr="00000000">
        <w:rPr>
          <w:rFonts w:ascii="Arial" w:cs="Arial" w:eastAsia="Arial" w:hAnsi="Arial"/>
          <w:b w:val="1"/>
          <w:sz w:val="24"/>
          <w:szCs w:val="24"/>
          <w:rtl w:val="0"/>
        </w:rPr>
        <w:t xml:space="preserve">Leadership:</w:t>
      </w:r>
      <w:r w:rsidDel="00000000" w:rsidR="00000000" w:rsidRPr="00000000">
        <w:rPr>
          <w:rFonts w:ascii="Arial" w:cs="Arial" w:eastAsia="Arial" w:hAnsi="Arial"/>
          <w:sz w:val="24"/>
          <w:szCs w:val="24"/>
          <w:rtl w:val="0"/>
        </w:rPr>
        <w:t xml:space="preserve"> Proactively seek opportunities to shadow a Duty Manager during an irregular operation (IROPS) to understand crisis leadership in practice.</w:t>
      </w:r>
    </w:p>
    <w:p w:rsidR="00000000" w:rsidDel="00000000" w:rsidP="00000000" w:rsidRDefault="00000000" w:rsidRPr="00000000" w14:paraId="00000057">
      <w:pPr>
        <w:numPr>
          <w:ilvl w:val="0"/>
          <w:numId w:val="1"/>
        </w:numPr>
        <w:spacing w:line="360" w:lineRule="auto"/>
        <w:ind w:left="720" w:hanging="360"/>
        <w:jc w:val="both"/>
        <w:rPr/>
      </w:pPr>
      <w:r w:rsidDel="00000000" w:rsidR="00000000" w:rsidRPr="00000000">
        <w:rPr>
          <w:rFonts w:ascii="Arial" w:cs="Arial" w:eastAsia="Arial" w:hAnsi="Arial"/>
          <w:b w:val="1"/>
          <w:sz w:val="24"/>
          <w:szCs w:val="24"/>
          <w:rtl w:val="0"/>
        </w:rPr>
        <w:t xml:space="preserve">Communication:</w:t>
      </w:r>
      <w:r w:rsidDel="00000000" w:rsidR="00000000" w:rsidRPr="00000000">
        <w:rPr>
          <w:rFonts w:ascii="Arial" w:cs="Arial" w:eastAsia="Arial" w:hAnsi="Arial"/>
          <w:sz w:val="24"/>
          <w:szCs w:val="24"/>
          <w:rtl w:val="0"/>
        </w:rPr>
        <w:t xml:space="preserve"> Set a personal goal to contribute at least one substantive point in every virtual team briefing.</w:t>
      </w:r>
    </w:p>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executing this plan, I will transition from being an effective operational employee to a proactive innovator and potential leader within EasyJet's international context.</w:t>
      </w:r>
    </w:p>
    <w:p w:rsidR="00000000" w:rsidDel="00000000" w:rsidP="00000000" w:rsidRDefault="00000000" w:rsidRPr="00000000" w14:paraId="00000059">
      <w:pPr>
        <w:pStyle w:val="Heading1"/>
        <w:rPr>
          <w:rFonts w:ascii="Arial" w:cs="Arial" w:eastAsia="Arial" w:hAnsi="Arial"/>
          <w:u w:val="single"/>
        </w:rPr>
      </w:pPr>
      <w:bookmarkStart w:colFirst="0" w:colLast="0" w:name="_tgb62iz5w0qi" w:id="11"/>
      <w:bookmarkEnd w:id="11"/>
      <w:r w:rsidDel="00000000" w:rsidR="00000000" w:rsidRPr="00000000">
        <w:rPr>
          <w:rFonts w:ascii="Arial" w:cs="Arial" w:eastAsia="Arial" w:hAnsi="Arial"/>
          <w:u w:val="single"/>
          <w:rtl w:val="0"/>
        </w:rPr>
        <w:t xml:space="preserve">Conclusion </w:t>
      </w:r>
    </w:p>
    <w:p w:rsidR="00000000" w:rsidDel="00000000" w:rsidP="00000000" w:rsidRDefault="00000000" w:rsidRPr="00000000" w14:paraId="0000005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this study demonstrates that the contemporary labour market is fundamentally defined by interconnected disruptions. Technological automation, demographic ageing, and geopolitical instability collectively fuel persistent skills gaps and talent shortages. Organisations must therefore adopt strategic, forward-looking HRM and IHRM practices, prioritising continuous upskilling, ethical technology adoption, and agile talent sourcing across borders. For individuals, this new reality necessitates a commitment to lifelong learning and the cultivation of cross-cultural competencies. Ultimately, success in this transformed environment depends on the synergistic ability of both organisations and their people to proactively adapt, innovate, and collaborate within an increasingly complex global ecosystem.</w:t>
      </w:r>
    </w:p>
    <w:p w:rsidR="00000000" w:rsidDel="00000000" w:rsidP="00000000" w:rsidRDefault="00000000" w:rsidRPr="00000000" w14:paraId="0000005B">
      <w:pPr>
        <w:spacing w:line="360" w:lineRule="auto"/>
        <w:ind w:firstLine="720"/>
        <w:jc w:val="both"/>
        <w:rPr>
          <w:rFonts w:ascii="Arial" w:cs="Arial" w:eastAsia="Arial" w:hAnsi="Arial"/>
          <w:b w:val="1"/>
          <w:color w:val="2e74b5"/>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jc w:val="both"/>
        <w:rPr>
          <w:rFonts w:ascii="Arial" w:cs="Arial" w:eastAsia="Arial" w:hAnsi="Arial"/>
        </w:rPr>
      </w:pPr>
      <w:bookmarkStart w:colFirst="0" w:colLast="0" w:name="_tyn5s3rb1x51" w:id="12"/>
      <w:bookmarkEnd w:id="12"/>
      <w:r w:rsidDel="00000000" w:rsidR="00000000" w:rsidRPr="00000000">
        <w:rPr>
          <w:rFonts w:ascii="Arial" w:cs="Arial" w:eastAsia="Arial" w:hAnsi="Arial"/>
          <w:rtl w:val="0"/>
        </w:rPr>
        <w:t xml:space="preserve">References</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155"/>
        </w:tabs>
        <w:spacing w:after="280" w:before="0" w:line="360" w:lineRule="auto"/>
        <w:ind w:left="0" w:right="0" w:firstLine="0"/>
        <w:jc w:val="left"/>
        <w:rPr>
          <w:rFonts w:ascii="Arial" w:cs="Arial" w:eastAsia="Arial" w:hAnsi="Arial"/>
          <w:b w:val="0"/>
          <w:i w:val="0"/>
          <w:smallCaps w:val="0"/>
          <w:strike w:val="0"/>
          <w:color w:val="404040"/>
          <w:sz w:val="24"/>
          <w:szCs w:val="24"/>
          <w:u w:val="none"/>
          <w:shd w:fill="auto" w:val="clear"/>
          <w:vertAlign w:val="baseline"/>
        </w:rPr>
      </w:pPr>
      <w:r w:rsidDel="00000000" w:rsidR="00000000" w:rsidRPr="00000000">
        <w:rPr>
          <w:rFonts w:ascii="Arial" w:cs="Arial" w:eastAsia="Arial" w:hAnsi="Arial"/>
          <w:b w:val="0"/>
          <w:i w:val="0"/>
          <w:smallCaps w:val="0"/>
          <w:strike w:val="0"/>
          <w:color w:val="404040"/>
          <w:sz w:val="24"/>
          <w:szCs w:val="24"/>
          <w:u w:val="none"/>
          <w:shd w:fill="auto" w:val="clear"/>
          <w:vertAlign w:val="baseline"/>
          <w:rtl w:val="0"/>
        </w:rPr>
        <w:tab/>
      </w:r>
    </w:p>
    <w:p w:rsidR="00000000" w:rsidDel="00000000" w:rsidP="00000000" w:rsidRDefault="00000000" w:rsidRPr="00000000" w14:paraId="0000005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Aston University.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Strategic HRM in a Digital Age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27">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https://publications.aston.ac.uk/id/eprint/46226/1/1467-8551.12824.pdf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British Chambers of Commerce.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Open University Business Barometer 2024</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28">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https://www.britishchambers.org.uk/wp-content/uploads/2024/06/The_Open_University_Business_Barometer_2024.pdf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Budhwar, P., Malik, A., De Silva, T. and Thevisuthan, P.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Introduction: Artificial Intelligence – Challenges and Opportunities for International HRM – A Review and a Research Agenda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In: P. Budhwar, A. Malik, T. De Silva and P. Thevisuthan, ed.,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Routledge Companion to Artificial Intelligence in HRM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1st ed. Routledge.</w:t>
      </w:r>
    </w:p>
    <w:p w:rsidR="00000000" w:rsidDel="00000000" w:rsidP="00000000" w:rsidRDefault="00000000" w:rsidRPr="00000000" w14:paraId="0000006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Braun, G., Pauliina Rikala, Miitta Järvinen, Raija Hämäläinen and Johan Stahre (2024). Bridging Skill Gaps – A Systematic Literature Review of Strategies for Industry. Advances in transdisciplinary engineering. doi:https://doi.org/10.3233/atde240209.</w:t>
      </w:r>
    </w:p>
    <w:p w:rsidR="00000000" w:rsidDel="00000000" w:rsidP="00000000" w:rsidRDefault="00000000" w:rsidRPr="00000000" w14:paraId="0000006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Economy and Labour Market Factsheet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29">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https://www.cipd.org/uk/knowledge/factsheets/economy-labour-market-factsheet/</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(2023b).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Population Dynamics and the Labour Market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30">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https://www.cipd.org/en/views-and-insights/thought-leadership/insight/population-dynamics/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(2023c).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Labour Market Outlook</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31">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https://www.cipd.org/en/knowledge/reports/labour-market-outlook/</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People Profession International: 2023 Report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32">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https://www.cipd.org/globalassets/media/knowledge/knowledge-hub/reports/people-profession-international-report_tcm18-114126.pdf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(2023a). Economy and Labour Market Factsheet. [online] Available at: </w:t>
      </w:r>
      <w:hyperlink r:id="rId33">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https://www.cipd.org/uk/knowledge/factsheets/economy-labour-market-factsheet/</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(2023b). Population Dynamics and the Labour Market. [online] Available at: </w:t>
      </w:r>
      <w:hyperlink r:id="rId34">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https://www.cipd.org/en/views-and-insights/thought-leadership/insight/population-dynamics/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(2023c). Labour Market Outlook. [online] Available at: </w:t>
      </w:r>
      <w:hyperlink r:id="rId35">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https://www.cipd.org/en/knowledge/reports/labour-market-outlook/</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 (2023d). People Profession International: 2023 Report. [online] Available at: </w:t>
      </w:r>
      <w:hyperlink r:id="rId36">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https://www.cipd.org/globalassets/media/knowledge/knowledge-hub/reports/people-profession-international-report_tcm18-114126.pdf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David Publisher.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Ethical Implications of Global Talent Recruitment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37">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https://www.davidpublisher.com/Public/uploads/Contribute/67dbb7cacfa13.pdf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Davidson Morris.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UK Labour Market Trends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38">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https://www.davidsonmorris.com/uk-labour-market/</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 H., Chu, L.X. and Shipton, H. (2025). How and when AI-driven HRM promotes employee resilience and adaptive performance: A self-determination theory.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192, p.115279. doi:https://doi.org/10.1016/j.jbusres.2025.115279.</w:t>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EDGE Foundation.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Skills Shortages Bulletin 13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39">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https://www.edge.co.uk/documents/472/Skills_Shortages_Bulletin_13.pdf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Farndale, E., Horak, S., Piyanontalee, R., Puffer, S.M. and Vidović, M. (2024). Looking back to look forward: Disruption, innovation and future trends in international human resource management. International Business Review, [online] 34(1), p.102362.</w:t>
      </w:r>
      <w:r w:rsidDel="00000000" w:rsidR="00000000" w:rsidRPr="00000000">
        <w:rPr>
          <w:rFonts w:ascii="Arial" w:cs="Arial" w:eastAsia="Arial" w:hAnsi="Arial"/>
          <w:b w:val="0"/>
          <w:i w:val="0"/>
          <w:smallCaps w:val="0"/>
          <w:strike w:val="0"/>
          <w:color w:val="2c3e50"/>
          <w:sz w:val="27"/>
          <w:szCs w:val="27"/>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doi:https://doi.org/10.1016/j.ibusrev.2024.102362.</w:t>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HR News.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Automation and its Ethical Issues: The UK Automation Revolution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40">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https://hrnews.co.uk/automation-and-its-ethical-issues-the-uk-automation-revolution/</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ILO.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Population Trends Shape Our Workforce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ILOSTAT. [online] Available at: </w:t>
      </w:r>
      <w:hyperlink r:id="rId41">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https://ilostat.ilo.org/how-population-trends-shape-our-workforce/</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Infraspec.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Addressing the Skills Gap in UK Infrastructure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42">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https://infraspec.co.uk/addressing-the-skills-gap-in-uk-infrastructure/</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Malik, A., Budhwar, P., Patel, C. and Srikanth, N.R.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Human Resource Management Practices in the Age of Industrial Automation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IGI Global.</w:t>
      </w:r>
    </w:p>
    <w:p w:rsidR="00000000" w:rsidDel="00000000" w:rsidP="00000000" w:rsidRDefault="00000000" w:rsidRPr="00000000" w14:paraId="0000007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OECD.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Bridging Talent Shortages in Tech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43">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https://www.oecd.org/en/publications/bridging-talent-shortages-in-tech_f35da44f-en.html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PMC. (2024). The Gig Economy and Labour Market Precariousness. [online] Available at: https://pmc.ncbi.nlm.nih.gov/articles/PMC10822991/.</w:t>
      </w:r>
    </w:p>
    <w:p w:rsidR="00000000" w:rsidDel="00000000" w:rsidP="00000000" w:rsidRDefault="00000000" w:rsidRPr="00000000" w14:paraId="0000007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Sage Journals. (2023). Talent Shortages and the Global Competition for Skills. [online] Available at: https://journals.sagepub.com/doi/10.1177/15344843231224009. Security Brief.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UK Firms Face Skills Shortages Stalling AI Tech Growth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44">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https://securitybrief.co.uk/story/uk-firms-face-skills-shortages-stalling-ai-tech-growth</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Sciencedirect. (2024). Global Remote Work and IHRM Strategy. [online] Available at: </w:t>
      </w:r>
      <w:hyperlink r:id="rId45">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https://www.sciencedirect.com/science/article/pii/S014829632500102X</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Sciencedirect. (2024). Ethical Governance of HR Technology. [online] Available at: </w:t>
      </w:r>
      <w:hyperlink r:id="rId46">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https://www.sciencedirect.com/science/article/abs/pii/S0969593124001094</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ResearchGate.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Bridging Skill Gaps - A Systematic Literature Review of Strategies for Industry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47">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https://www.researchgate.net/publication/379730932_Bridging_Skill_Gaps_-_A_Systematic_Literature_Review_of_Strategies_for_Industry</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Access Group.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Employee Talent &amp; Skills Development: Skills Shortage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48">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https://www.theaccessgroup.com/en-gb/hr/resources/employee-talent-skills-development-skills-shortage/</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World Economic Forum.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Public-Private Partnerships Can Reskill the Workforce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49">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https://www.weforum.org/stories/2023/01/skills-gap-public-private-partnershipsreskilling-workforce-davos2023/</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World Economic Forum. (2025).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Future of Jobs Report 2025</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w:t>
      </w:r>
      <w:hyperlink r:id="rId50">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https://www.weforum.org/publications/the-future-of-jobs-report-2025/in-full/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C">
      <w:pPr>
        <w:rPr>
          <w:rFonts w:ascii="Arial" w:cs="Arial" w:eastAsia="Arial" w:hAnsi="Arial"/>
          <w:color w:val="0070c0"/>
          <w:sz w:val="24"/>
          <w:szCs w:val="24"/>
        </w:rPr>
      </w:pPr>
      <w:r w:rsidDel="00000000" w:rsidR="00000000" w:rsidRPr="00000000">
        <w:rPr>
          <w:rtl w:val="0"/>
        </w:rPr>
      </w:r>
    </w:p>
    <w:sectPr>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1381568</wp:posOffset>
          </wp:positionH>
          <wp:positionV relativeFrom="paragraph">
            <wp:posOffset>-393064</wp:posOffset>
          </wp:positionV>
          <wp:extent cx="2137145" cy="858053"/>
          <wp:effectExtent b="0" l="0" r="0" t="0"/>
          <wp:wrapNone/>
          <wp:docPr id="10"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2137145" cy="858053"/>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color w:val="2e74b5"/>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5b9bd5"/>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5b9bd5"/>
    </w:rPr>
  </w:style>
  <w:style w:type="paragraph" w:styleId="Heading4">
    <w:name w:val="heading 4"/>
    <w:basedOn w:val="Normal"/>
    <w:next w:val="Normal"/>
    <w:pPr>
      <w:keepNext w:val="1"/>
      <w:keepLines w:val="1"/>
      <w:spacing w:after="0" w:before="200" w:lineRule="auto"/>
    </w:pPr>
    <w:rPr>
      <w:rFonts w:ascii="Calibri" w:cs="Calibri" w:eastAsia="Calibri" w:hAnsi="Calibri"/>
      <w:b w:val="1"/>
      <w:i w:val="1"/>
      <w:color w:val="5b9bd5"/>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40" Type="http://schemas.openxmlformats.org/officeDocument/2006/relationships/hyperlink" Target="https://hrnews.co.uk/automation-and-its-ethical-issues-the-uk-automation-revolution/" TargetMode="External"/><Relationship Id="rId42" Type="http://schemas.openxmlformats.org/officeDocument/2006/relationships/hyperlink" Target="https://infraspec.co.uk/addressing-the-skills-gap-in-uk-infrastructure/" TargetMode="External"/><Relationship Id="rId41" Type="http://schemas.openxmlformats.org/officeDocument/2006/relationships/hyperlink" Target="https://ilostat.ilo.org/how-population-trends-shape-our-workforce/" TargetMode="External"/><Relationship Id="rId44" Type="http://schemas.openxmlformats.org/officeDocument/2006/relationships/hyperlink" Target="https://securitybrief.co.uk/story/uk-firms-face-skills-shortages-stalling-ai-tech-growth" TargetMode="External"/><Relationship Id="rId43" Type="http://schemas.openxmlformats.org/officeDocument/2006/relationships/hyperlink" Target="https://www.oecd.org/en/publications/bridging-talent-shortages-in-tech_f35da44f-en.html" TargetMode="External"/><Relationship Id="rId46" Type="http://schemas.openxmlformats.org/officeDocument/2006/relationships/hyperlink" Target="https://www.sciencedirect.com/science/article/abs/pii/S0969593124001094" TargetMode="External"/><Relationship Id="rId45" Type="http://schemas.openxmlformats.org/officeDocument/2006/relationships/hyperlink" Target="https://www.sciencedirect.com/science/article/pii/S014829632500102X"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3.xml"/><Relationship Id="rId48" Type="http://schemas.openxmlformats.org/officeDocument/2006/relationships/hyperlink" Target="https://www.theaccessgroup.com/en-gb/hr/resources/employee-talent-skills-development-skills-shortage/" TargetMode="External"/><Relationship Id="rId47" Type="http://schemas.openxmlformats.org/officeDocument/2006/relationships/hyperlink" Target="https://www.researchgate.net/publication/379730932_Bridging_Skill_Gaps_-_A_Systematic_Literature_Review_of_Strategies_for_Industry" TargetMode="External"/><Relationship Id="rId49" Type="http://schemas.openxmlformats.org/officeDocument/2006/relationships/hyperlink" Target="https://www.weforum.org/stories/2023/01/skills-gap-public-private-partnershipsreskilling-workforce-davos2023/"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4.png"/><Relationship Id="rId8" Type="http://schemas.openxmlformats.org/officeDocument/2006/relationships/header" Target="header1.xml"/><Relationship Id="rId31" Type="http://schemas.openxmlformats.org/officeDocument/2006/relationships/hyperlink" Target="https://www.cipd.org/en/knowledge/reports/labour-market-outlook/" TargetMode="External"/><Relationship Id="rId30" Type="http://schemas.openxmlformats.org/officeDocument/2006/relationships/hyperlink" Target="https://www.cipd.org/en/views-and-insights/thought-leadership/insight/population-dynamics/" TargetMode="External"/><Relationship Id="rId33" Type="http://schemas.openxmlformats.org/officeDocument/2006/relationships/hyperlink" Target="https://www.cipd.org/uk/knowledge/factsheets/economy-labour-market-factsheet/" TargetMode="External"/><Relationship Id="rId32" Type="http://schemas.openxmlformats.org/officeDocument/2006/relationships/hyperlink" Target="https://www.cipd.org/globalassets/media/knowledge/knowledge-hub/reports/people-profession-international-report_tcm18-114126.pdf" TargetMode="External"/><Relationship Id="rId35" Type="http://schemas.openxmlformats.org/officeDocument/2006/relationships/hyperlink" Target="https://www.cipd.org/en/knowledge/reports/labour-market-outlook/" TargetMode="External"/><Relationship Id="rId34" Type="http://schemas.openxmlformats.org/officeDocument/2006/relationships/hyperlink" Target="https://www.cipd.org/en/views-and-insights/thought-leadership/insight/population-dynamics/" TargetMode="External"/><Relationship Id="rId37" Type="http://schemas.openxmlformats.org/officeDocument/2006/relationships/hyperlink" Target="https://www.davidpublisher.com/Public/uploads/Contribute/67dbb7cacfa13.pdf" TargetMode="External"/><Relationship Id="rId36" Type="http://schemas.openxmlformats.org/officeDocument/2006/relationships/hyperlink" Target="https://www.cipd.org/globalassets/media/knowledge/knowledge-hub/reports/people-profession-international-report_tcm18-114126.pdf" TargetMode="External"/><Relationship Id="rId39" Type="http://schemas.openxmlformats.org/officeDocument/2006/relationships/hyperlink" Target="https://www.edge.co.uk/documents/472/Skills_Shortages_Bulletin_13.pdf" TargetMode="External"/><Relationship Id="rId38" Type="http://schemas.openxmlformats.org/officeDocument/2006/relationships/hyperlink" Target="https://www.davidsonmorris.com/uk-labour-market/" TargetMode="External"/><Relationship Id="rId20" Type="http://schemas.openxmlformats.org/officeDocument/2006/relationships/image" Target="media/image6.png"/><Relationship Id="rId22" Type="http://schemas.openxmlformats.org/officeDocument/2006/relationships/hyperlink" Target="https://ilostat.ilo.org/data" TargetMode="External"/><Relationship Id="rId21" Type="http://schemas.openxmlformats.org/officeDocument/2006/relationships/image" Target="media/image5.png"/><Relationship Id="rId24" Type="http://schemas.openxmlformats.org/officeDocument/2006/relationships/image" Target="media/image8.png"/><Relationship Id="rId23" Type="http://schemas.openxmlformats.org/officeDocument/2006/relationships/hyperlink" Target="about:blank" TargetMode="External"/><Relationship Id="rId26" Type="http://schemas.openxmlformats.org/officeDocument/2006/relationships/hyperlink" Target="about:blank" TargetMode="External"/><Relationship Id="rId25" Type="http://schemas.openxmlformats.org/officeDocument/2006/relationships/hyperlink" Target="https://ilostat.ilo.org/data" TargetMode="External"/><Relationship Id="rId28" Type="http://schemas.openxmlformats.org/officeDocument/2006/relationships/hyperlink" Target="https://www.britishchambers.org.uk/wp-content/uploads/2024/06/The_Open_University_Business_Barometer_2024.pdf" TargetMode="External"/><Relationship Id="rId27" Type="http://schemas.openxmlformats.org/officeDocument/2006/relationships/hyperlink" Target="https://publications.aston.ac.uk/id/eprint/46226/1/1467-8551.12824.pdf" TargetMode="External"/><Relationship Id="rId29" Type="http://schemas.openxmlformats.org/officeDocument/2006/relationships/hyperlink" Target="https://www.cipd.org/uk/knowledge/factsheets/economy-labour-market-factsheet/" TargetMode="External"/><Relationship Id="rId50" Type="http://schemas.openxmlformats.org/officeDocument/2006/relationships/hyperlink" Target="https://www.weforum.org/publications/the-future-of-jobs-report-2025/in-full/" TargetMode="External"/><Relationship Id="rId11" Type="http://schemas.openxmlformats.org/officeDocument/2006/relationships/footer" Target="footer3.xml"/><Relationship Id="rId10" Type="http://schemas.openxmlformats.org/officeDocument/2006/relationships/header" Target="header2.xml"/><Relationship Id="rId13" Type="http://schemas.openxmlformats.org/officeDocument/2006/relationships/footer" Target="footer1.xml"/><Relationship Id="rId12" Type="http://schemas.openxmlformats.org/officeDocument/2006/relationships/footer" Target="footer2.xml"/><Relationship Id="rId15" Type="http://schemas.openxmlformats.org/officeDocument/2006/relationships/image" Target="media/image2.png"/><Relationship Id="rId14" Type="http://schemas.openxmlformats.org/officeDocument/2006/relationships/image" Target="media/image7.png"/><Relationship Id="rId17" Type="http://schemas.openxmlformats.org/officeDocument/2006/relationships/image" Target="media/image9.png"/><Relationship Id="rId16" Type="http://schemas.openxmlformats.org/officeDocument/2006/relationships/image" Target="media/image3.png"/><Relationship Id="rId19" Type="http://schemas.openxmlformats.org/officeDocument/2006/relationships/hyperlink" Target="about:blank" TargetMode="External"/><Relationship Id="rId18" Type="http://schemas.openxmlformats.org/officeDocument/2006/relationships/hyperlink" Target="https://ilostat.ilo.org/dat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