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BF02A" w14:textId="77777777" w:rsidR="00E0767D" w:rsidRPr="007A6AC4" w:rsidRDefault="00E0767D" w:rsidP="00E0767D">
      <w:pPr>
        <w:jc w:val="center"/>
        <w:rPr>
          <w:rFonts w:ascii="Times New Roman" w:hAnsi="Times New Roman" w:cs="Times New Roman"/>
        </w:rPr>
      </w:pPr>
      <w:r w:rsidRPr="007A6AC4">
        <w:rPr>
          <w:rFonts w:ascii="Times New Roman" w:hAnsi="Times New Roman" w:cs="Times New Roman"/>
          <w:noProof/>
        </w:rPr>
        <w:drawing>
          <wp:inline distT="0" distB="0" distL="114300" distR="114300" wp14:anchorId="243C4492" wp14:editId="371F4E5C">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7"/>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E0767D" w14:paraId="3B9C8227" w14:textId="77777777" w:rsidTr="003D3FE9">
        <w:trPr>
          <w:trHeight w:val="300"/>
          <w:jc w:val="center"/>
        </w:trPr>
        <w:tc>
          <w:tcPr>
            <w:tcW w:w="3240" w:type="dxa"/>
          </w:tcPr>
          <w:p w14:paraId="4A396727" w14:textId="6C95C7A8" w:rsidR="00E0767D" w:rsidRPr="007A6AC4" w:rsidRDefault="00E0767D" w:rsidP="00E0767D">
            <w:pPr>
              <w:jc w:val="left"/>
              <w:rPr>
                <w:rFonts w:ascii="Times New Roman" w:hAnsi="Times New Roman" w:cs="Times New Roman" w:hint="eastAsia"/>
              </w:rPr>
            </w:pPr>
            <w:r w:rsidRPr="007A6AC4">
              <w:rPr>
                <w:rFonts w:ascii="Times New Roman" w:hAnsi="Times New Roman" w:cs="Times New Roman"/>
                <w:b/>
                <w:lang w:val="en-US"/>
              </w:rPr>
              <w:t>Module</w:t>
            </w:r>
            <w:r w:rsidRPr="007A6AC4">
              <w:rPr>
                <w:rFonts w:ascii="Times New Roman" w:hAnsi="Times New Roman" w:cs="Times New Roman"/>
                <w:b/>
              </w:rPr>
              <w:t xml:space="preserve"> code:</w:t>
            </w:r>
            <w:r w:rsidRPr="007A6AC4">
              <w:rPr>
                <w:rFonts w:ascii="Times New Roman" w:hAnsi="Times New Roman" w:cs="Times New Roman"/>
                <w:b/>
                <w:color w:val="000000"/>
              </w:rPr>
              <w:t xml:space="preserve"> BMBM602</w:t>
            </w:r>
            <w:r>
              <w:rPr>
                <w:rFonts w:ascii="Times New Roman" w:hAnsi="Times New Roman" w:cs="Times New Roman" w:hint="eastAsia"/>
                <w:b/>
                <w:color w:val="000000"/>
              </w:rPr>
              <w:t>3</w:t>
            </w:r>
          </w:p>
        </w:tc>
        <w:tc>
          <w:tcPr>
            <w:tcW w:w="6300" w:type="dxa"/>
          </w:tcPr>
          <w:p w14:paraId="17373297" w14:textId="064702AF" w:rsidR="00E0767D" w:rsidRPr="007A6AC4" w:rsidRDefault="00E0767D" w:rsidP="00E0767D">
            <w:pPr>
              <w:ind w:firstLineChars="600" w:firstLine="1260"/>
              <w:jc w:val="right"/>
              <w:rPr>
                <w:rFonts w:ascii="Times New Roman" w:hAnsi="Times New Roman" w:cs="Times New Roman" w:hint="eastAsia"/>
              </w:rPr>
            </w:pPr>
            <w:r w:rsidRPr="007A6AC4">
              <w:rPr>
                <w:rFonts w:ascii="Times New Roman" w:hAnsi="Times New Roman" w:cs="Times New Roman"/>
                <w:b/>
                <w:lang w:val="en-US"/>
              </w:rPr>
              <w:t>Module</w:t>
            </w:r>
            <w:r w:rsidRPr="007A6AC4">
              <w:rPr>
                <w:rFonts w:ascii="Times New Roman" w:hAnsi="Times New Roman" w:cs="Times New Roman"/>
                <w:b/>
              </w:rPr>
              <w:t xml:space="preserve">: </w:t>
            </w:r>
            <w:r>
              <w:rPr>
                <w:rFonts w:ascii="Times New Roman" w:hAnsi="Times New Roman" w:cs="Times New Roman" w:hint="eastAsia"/>
                <w:b/>
              </w:rPr>
              <w:t>Leading and Developing People</w:t>
            </w:r>
          </w:p>
        </w:tc>
      </w:tr>
    </w:tbl>
    <w:p w14:paraId="7E39EDF4" w14:textId="77777777" w:rsidR="00E0767D" w:rsidRPr="007A6AC4" w:rsidRDefault="00E0767D" w:rsidP="00E0767D">
      <w:pPr>
        <w:jc w:val="center"/>
        <w:rPr>
          <w:rFonts w:ascii="Times New Roman" w:hAnsi="Times New Roman" w:cs="Times New Roman"/>
          <w:lang w:val="en-US"/>
        </w:rPr>
      </w:pPr>
    </w:p>
    <w:p w14:paraId="61F02B68" w14:textId="77777777" w:rsidR="00E0767D" w:rsidRDefault="00E0767D" w:rsidP="00E0767D">
      <w:pPr>
        <w:jc w:val="center"/>
        <w:rPr>
          <w:rFonts w:ascii="Times New Roman" w:hAnsi="Times New Roman" w:cs="Times New Roman"/>
          <w:b/>
          <w:bCs/>
          <w:color w:val="000000" w:themeColor="text1"/>
          <w:sz w:val="36"/>
          <w:szCs w:val="36"/>
        </w:rPr>
      </w:pPr>
    </w:p>
    <w:p w14:paraId="774F3AEA" w14:textId="77777777" w:rsidR="00E0767D" w:rsidRDefault="00E0767D" w:rsidP="00E0767D">
      <w:pPr>
        <w:jc w:val="center"/>
        <w:rPr>
          <w:rFonts w:ascii="Times New Roman" w:hAnsi="Times New Roman" w:cs="Times New Roman"/>
          <w:b/>
          <w:bCs/>
          <w:color w:val="000000" w:themeColor="text1"/>
          <w:sz w:val="36"/>
          <w:szCs w:val="36"/>
        </w:rPr>
      </w:pPr>
    </w:p>
    <w:p w14:paraId="0C8DFD98" w14:textId="77777777" w:rsidR="00E0767D" w:rsidRDefault="00E0767D" w:rsidP="00E0767D">
      <w:pPr>
        <w:jc w:val="center"/>
        <w:rPr>
          <w:rFonts w:ascii="Times New Roman" w:hAnsi="Times New Roman" w:cs="Times New Roman"/>
          <w:b/>
          <w:bCs/>
          <w:color w:val="000000" w:themeColor="text1"/>
          <w:sz w:val="36"/>
          <w:szCs w:val="36"/>
        </w:rPr>
      </w:pPr>
    </w:p>
    <w:p w14:paraId="0269FC84" w14:textId="77777777" w:rsidR="00E0767D" w:rsidRDefault="00E0767D" w:rsidP="00E0767D">
      <w:pPr>
        <w:jc w:val="center"/>
        <w:rPr>
          <w:rFonts w:ascii="Times New Roman" w:hAnsi="Times New Roman" w:cs="Times New Roman" w:hint="eastAsia"/>
          <w:b/>
          <w:bCs/>
          <w:color w:val="000000" w:themeColor="text1"/>
          <w:sz w:val="36"/>
          <w:szCs w:val="36"/>
        </w:rPr>
      </w:pPr>
    </w:p>
    <w:p w14:paraId="6E32D25E" w14:textId="77777777" w:rsidR="00E0767D" w:rsidRDefault="00E0767D" w:rsidP="00E0767D">
      <w:pPr>
        <w:jc w:val="center"/>
        <w:rPr>
          <w:rFonts w:ascii="Times New Roman" w:hAnsi="Times New Roman" w:cs="Times New Roman"/>
          <w:b/>
          <w:bCs/>
          <w:color w:val="000000" w:themeColor="text1"/>
          <w:sz w:val="36"/>
          <w:szCs w:val="36"/>
        </w:rPr>
      </w:pPr>
    </w:p>
    <w:p w14:paraId="0F6A970A" w14:textId="3708F885" w:rsidR="00E0767D" w:rsidRPr="00670780" w:rsidRDefault="00E0767D" w:rsidP="00E0767D">
      <w:pPr>
        <w:jc w:val="center"/>
        <w:rPr>
          <w:rFonts w:ascii="Times New Roman" w:hAnsi="Times New Roman" w:cs="Times New Roman"/>
          <w:b/>
          <w:bCs/>
          <w:color w:val="000000" w:themeColor="text1"/>
          <w:sz w:val="36"/>
          <w:szCs w:val="36"/>
        </w:rPr>
      </w:pPr>
      <w:r w:rsidRPr="00E0767D">
        <w:rPr>
          <w:rFonts w:ascii="Times New Roman" w:hAnsi="Times New Roman" w:cs="Times New Roman"/>
          <w:b/>
          <w:bCs/>
          <w:color w:val="000000" w:themeColor="text1"/>
          <w:sz w:val="36"/>
          <w:szCs w:val="36"/>
        </w:rPr>
        <w:t>Essay</w:t>
      </w:r>
      <w:r>
        <w:rPr>
          <w:rFonts w:ascii="Times New Roman" w:hAnsi="Times New Roman" w:cs="Times New Roman" w:hint="eastAsia"/>
          <w:b/>
          <w:bCs/>
          <w:color w:val="000000" w:themeColor="text1"/>
          <w:sz w:val="36"/>
          <w:szCs w:val="36"/>
        </w:rPr>
        <w:t>：</w:t>
      </w:r>
      <w:r>
        <w:rPr>
          <w:rFonts w:ascii="Times New Roman" w:hAnsi="Times New Roman" w:cs="Times New Roman" w:hint="eastAsia"/>
          <w:b/>
          <w:bCs/>
          <w:color w:val="000000" w:themeColor="text1"/>
          <w:sz w:val="36"/>
          <w:szCs w:val="36"/>
        </w:rPr>
        <w:t xml:space="preserve"> </w:t>
      </w:r>
      <w:r w:rsidRPr="00E0767D">
        <w:rPr>
          <w:rFonts w:ascii="Times New Roman" w:hAnsi="Times New Roman" w:cs="Times New Roman"/>
          <w:b/>
          <w:bCs/>
          <w:color w:val="000000" w:themeColor="text1"/>
          <w:sz w:val="36"/>
          <w:szCs w:val="36"/>
        </w:rPr>
        <w:t>A critical analysis of Employee and Leadership Development</w:t>
      </w:r>
    </w:p>
    <w:p w14:paraId="5928A9EC" w14:textId="37629EC5" w:rsidR="00E0767D" w:rsidRDefault="00E0767D" w:rsidP="00E0767D">
      <w:pPr>
        <w:jc w:val="center"/>
        <w:rPr>
          <w:rFonts w:ascii="Times New Roman" w:eastAsia="宋体" w:hAnsi="Times New Roman" w:cs="Times New Roman"/>
          <w:sz w:val="28"/>
          <w:szCs w:val="28"/>
        </w:rPr>
      </w:pPr>
    </w:p>
    <w:p w14:paraId="3CDD1361" w14:textId="77777777" w:rsidR="00E0767D" w:rsidRDefault="00E0767D" w:rsidP="00E0767D">
      <w:pPr>
        <w:jc w:val="center"/>
        <w:rPr>
          <w:rFonts w:ascii="Times New Roman" w:eastAsia="宋体" w:hAnsi="Times New Roman" w:cs="Times New Roman" w:hint="eastAsia"/>
          <w:sz w:val="28"/>
          <w:szCs w:val="28"/>
        </w:rPr>
      </w:pPr>
    </w:p>
    <w:p w14:paraId="080BB66E" w14:textId="77777777" w:rsidR="00E0767D" w:rsidRPr="007A6AC4" w:rsidRDefault="00E0767D" w:rsidP="00E0767D">
      <w:pPr>
        <w:jc w:val="center"/>
        <w:rPr>
          <w:rFonts w:ascii="Times New Roman" w:eastAsia="宋体" w:hAnsi="Times New Roman" w:cs="Times New Roman"/>
          <w:sz w:val="28"/>
          <w:szCs w:val="28"/>
        </w:rPr>
      </w:pPr>
    </w:p>
    <w:p w14:paraId="446243EC" w14:textId="017751AF" w:rsidR="00E0767D" w:rsidRPr="007A6AC4" w:rsidRDefault="00E0767D" w:rsidP="00E0767D">
      <w:pPr>
        <w:jc w:val="center"/>
        <w:rPr>
          <w:rFonts w:ascii="Times New Roman" w:eastAsia="宋体" w:hAnsi="Times New Roman" w:cs="Times New Roman"/>
          <w:sz w:val="28"/>
          <w:szCs w:val="28"/>
        </w:rPr>
      </w:pPr>
      <w:r w:rsidRPr="007A6AC4">
        <w:rPr>
          <w:rFonts w:ascii="Times New Roman" w:eastAsia="宋体" w:hAnsi="Times New Roman" w:cs="Times New Roman"/>
          <w:sz w:val="28"/>
          <w:szCs w:val="28"/>
        </w:rPr>
        <w:t xml:space="preserve">Name: </w:t>
      </w:r>
      <w:r w:rsidRPr="007A6AC4">
        <w:rPr>
          <w:rFonts w:ascii="Times New Roman" w:eastAsia="宋体" w:hAnsi="Times New Roman" w:cs="Times New Roman"/>
          <w:sz w:val="28"/>
          <w:szCs w:val="28"/>
          <w:lang w:val="en-US"/>
        </w:rPr>
        <w:t xml:space="preserve">Zihao Xiong </w:t>
      </w:r>
    </w:p>
    <w:p w14:paraId="08D483CA" w14:textId="77777777" w:rsidR="00E0767D" w:rsidRPr="007A6AC4" w:rsidRDefault="00E0767D" w:rsidP="00E0767D">
      <w:pPr>
        <w:jc w:val="center"/>
        <w:rPr>
          <w:rFonts w:ascii="Times New Roman" w:eastAsia="宋体" w:hAnsi="Times New Roman" w:cs="Times New Roman"/>
          <w:sz w:val="28"/>
          <w:szCs w:val="28"/>
        </w:rPr>
      </w:pPr>
      <w:r w:rsidRPr="007A6AC4">
        <w:rPr>
          <w:rFonts w:ascii="Times New Roman" w:eastAsia="宋体" w:hAnsi="Times New Roman" w:cs="Times New Roman"/>
          <w:sz w:val="28"/>
          <w:szCs w:val="28"/>
          <w:lang w:val="en-US"/>
        </w:rPr>
        <w:t>Student number</w:t>
      </w:r>
      <w:r w:rsidRPr="007A6AC4">
        <w:rPr>
          <w:rFonts w:ascii="Times New Roman" w:eastAsia="宋体" w:hAnsi="Times New Roman" w:cs="Times New Roman"/>
          <w:sz w:val="28"/>
          <w:szCs w:val="28"/>
        </w:rPr>
        <w:t xml:space="preserve">: </w:t>
      </w:r>
      <w:r w:rsidRPr="007A6AC4">
        <w:rPr>
          <w:rFonts w:ascii="Times New Roman" w:eastAsia="宋体" w:hAnsi="Times New Roman" w:cs="Times New Roman"/>
          <w:sz w:val="28"/>
          <w:szCs w:val="28"/>
          <w:lang w:val="en-US"/>
        </w:rPr>
        <w:t>2405686</w:t>
      </w:r>
    </w:p>
    <w:p w14:paraId="5BD081B2" w14:textId="3A6B411E" w:rsidR="00E0767D" w:rsidRPr="007A6AC4" w:rsidRDefault="00E0767D" w:rsidP="00E0767D">
      <w:pPr>
        <w:jc w:val="center"/>
        <w:rPr>
          <w:rFonts w:ascii="Times New Roman" w:eastAsia="宋体" w:hAnsi="Times New Roman" w:cs="Times New Roman"/>
          <w:sz w:val="28"/>
          <w:szCs w:val="28"/>
        </w:rPr>
      </w:pPr>
      <w:r w:rsidRPr="007A6AC4">
        <w:rPr>
          <w:rFonts w:ascii="Times New Roman" w:eastAsia="宋体" w:hAnsi="Times New Roman" w:cs="Times New Roman"/>
          <w:sz w:val="28"/>
          <w:szCs w:val="28"/>
          <w:lang w:val="en-US"/>
        </w:rPr>
        <w:t>Lecturer</w:t>
      </w:r>
      <w:r w:rsidRPr="007A6AC4">
        <w:rPr>
          <w:rFonts w:ascii="Times New Roman" w:eastAsia="宋体" w:hAnsi="Times New Roman" w:cs="Times New Roman"/>
          <w:sz w:val="28"/>
          <w:szCs w:val="28"/>
        </w:rPr>
        <w:t xml:space="preserve">: </w:t>
      </w:r>
      <w:proofErr w:type="gramStart"/>
      <w:r w:rsidRPr="00E0767D">
        <w:rPr>
          <w:rFonts w:ascii="Times New Roman" w:eastAsia="宋体" w:hAnsi="Times New Roman" w:cs="Times New Roman"/>
          <w:sz w:val="28"/>
          <w:szCs w:val="28"/>
        </w:rPr>
        <w:t>Helen  Evans</w:t>
      </w:r>
      <w:proofErr w:type="gramEnd"/>
    </w:p>
    <w:p w14:paraId="690C7509" w14:textId="3A522339" w:rsidR="00E0767D" w:rsidRPr="007A6AC4" w:rsidRDefault="00E0767D" w:rsidP="00E0767D">
      <w:pPr>
        <w:jc w:val="center"/>
        <w:rPr>
          <w:rFonts w:ascii="Times New Roman" w:eastAsia="宋体" w:hAnsi="Times New Roman" w:cs="Times New Roman" w:hint="eastAsia"/>
          <w:sz w:val="28"/>
          <w:szCs w:val="28"/>
        </w:rPr>
      </w:pPr>
      <w:r w:rsidRPr="007A6AC4">
        <w:rPr>
          <w:rFonts w:ascii="Times New Roman" w:eastAsia="宋体" w:hAnsi="Times New Roman" w:cs="Times New Roman"/>
          <w:sz w:val="28"/>
          <w:szCs w:val="28"/>
        </w:rPr>
        <w:t>Submission Date: 202</w:t>
      </w:r>
      <w:r>
        <w:rPr>
          <w:rFonts w:ascii="Times New Roman" w:eastAsia="宋体" w:hAnsi="Times New Roman" w:cs="Times New Roman"/>
          <w:sz w:val="28"/>
          <w:szCs w:val="28"/>
        </w:rPr>
        <w:t>5.0</w:t>
      </w:r>
      <w:r>
        <w:rPr>
          <w:rFonts w:ascii="Times New Roman" w:eastAsia="宋体" w:hAnsi="Times New Roman" w:cs="Times New Roman" w:hint="eastAsia"/>
          <w:sz w:val="28"/>
          <w:szCs w:val="28"/>
        </w:rPr>
        <w:t>4.25</w:t>
      </w:r>
    </w:p>
    <w:p w14:paraId="1DF2BF46" w14:textId="3E53FECC" w:rsidR="00E0767D" w:rsidRPr="007A6AC4" w:rsidRDefault="00E0767D" w:rsidP="00E0767D">
      <w:pPr>
        <w:jc w:val="center"/>
        <w:rPr>
          <w:rFonts w:ascii="Times New Roman" w:eastAsia="宋体" w:hAnsi="Times New Roman" w:cs="Times New Roman" w:hint="eastAsia"/>
          <w:sz w:val="28"/>
          <w:szCs w:val="28"/>
        </w:rPr>
      </w:pPr>
      <w:r w:rsidRPr="007A6AC4">
        <w:rPr>
          <w:rFonts w:ascii="Times New Roman" w:eastAsia="宋体" w:hAnsi="Times New Roman" w:cs="Times New Roman"/>
          <w:sz w:val="28"/>
          <w:szCs w:val="28"/>
          <w:lang w:val="en-US"/>
        </w:rPr>
        <w:t xml:space="preserve">Words account: </w:t>
      </w:r>
      <w:r>
        <w:rPr>
          <w:rFonts w:ascii="Times New Roman" w:eastAsia="宋体" w:hAnsi="Times New Roman" w:cs="Times New Roman"/>
          <w:sz w:val="28"/>
          <w:szCs w:val="28"/>
          <w:lang w:val="en-US"/>
        </w:rPr>
        <w:t>2</w:t>
      </w:r>
      <w:r>
        <w:rPr>
          <w:rFonts w:ascii="Times New Roman" w:eastAsia="宋体" w:hAnsi="Times New Roman" w:cs="Times New Roman" w:hint="eastAsia"/>
          <w:sz w:val="28"/>
          <w:szCs w:val="28"/>
          <w:lang w:val="en-US"/>
        </w:rPr>
        <w:t>270</w:t>
      </w:r>
    </w:p>
    <w:p w14:paraId="04A0B494" w14:textId="77777777" w:rsidR="00E0767D" w:rsidRPr="002624EF" w:rsidRDefault="00E0767D" w:rsidP="00E0767D">
      <w:pPr>
        <w:jc w:val="center"/>
        <w:rPr>
          <w:rFonts w:ascii="Times New Roman" w:eastAsia="宋体" w:hAnsi="Times New Roman" w:cs="Times New Roman"/>
          <w:sz w:val="28"/>
          <w:szCs w:val="28"/>
        </w:rPr>
      </w:pPr>
      <w:r w:rsidRPr="007A6AC4">
        <w:rPr>
          <w:rFonts w:ascii="Times New Roman" w:eastAsia="宋体" w:hAnsi="Times New Roman" w:cs="Times New Roman"/>
          <w:sz w:val="28"/>
          <w:szCs w:val="28"/>
          <w:lang w:val="en-US"/>
        </w:rPr>
        <w:t>University of Wales Trinity Saint David</w:t>
      </w:r>
    </w:p>
    <w:p w14:paraId="1A5508AE" w14:textId="2EBD5F01" w:rsidR="00E0767D" w:rsidRDefault="00E0767D">
      <w:pPr>
        <w:widowControl/>
        <w:jc w:val="left"/>
        <w:rPr>
          <w:rFonts w:ascii="Times New Roman" w:eastAsia="宋体" w:hAnsi="Times New Roman" w:cs="Times New Roman"/>
          <w:kern w:val="0"/>
          <w:sz w:val="24"/>
          <w:szCs w:val="24"/>
        </w:rPr>
      </w:pPr>
    </w:p>
    <w:p w14:paraId="4DDABCE3" w14:textId="61BFE8DB"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lastRenderedPageBreak/>
        <w:t xml:space="preserve">Despite significant investment in employee and leadership development initiatives, organizations continue to face persistent challenges in engagement, leadership effectiveness, and skill development. Organizations worldwide spend an estimated $60 billion USD on leadership development programs alone (Harvard Business Review, 2023), </w:t>
      </w:r>
      <w:r w:rsidR="00006E68" w:rsidRPr="006A2272">
        <w:rPr>
          <w:rFonts w:ascii="Times New Roman" w:hAnsi="Times New Roman" w:cs="Times New Roman" w:hint="eastAsia"/>
        </w:rPr>
        <w:t>but</w:t>
      </w:r>
      <w:r w:rsidRPr="006A2272">
        <w:rPr>
          <w:rFonts w:ascii="Times New Roman" w:hAnsi="Times New Roman" w:cs="Times New Roman"/>
        </w:rPr>
        <w:t xml:space="preserve"> the impact of these investments remains questionable. This paradox necessitates a critical evaluation of strategic employee development approaches and their effectiveness in enhancing organizational performance. This essay argues that while strategic employee development can significantly enhance organizational effectiveness and competitive advantage, current approaches often fail to deliver their promised value due to fundamental misalignments with contemporary workplace dynamics, inadequate implementation strategies, and insufficient attention to contextual factors. By critically examining both the transformative potential and inherent limitations of strategic development initiatives, this analysis will demonstrate that organizations must adopt more nuanced, evidence-based approaches that acknowledge complexity, integrate development with performance expectations, and build psychological foundations for sustained growth. The discussion will evaluate the significance of strategic employee development in enhancing the effectiveness of employees and leaders, considering its role in meeting organizational needs and </w:t>
      </w:r>
      <w:r w:rsidRPr="006A2272">
        <w:rPr>
          <w:rFonts w:ascii="Times New Roman" w:hAnsi="Times New Roman" w:cs="Times New Roman"/>
        </w:rPr>
        <w:lastRenderedPageBreak/>
        <w:t>providing competitive advantage, while addressing the challenges and benefits of implementation, the role of technology, and the complexities involved in leading people through change.</w:t>
      </w:r>
    </w:p>
    <w:p w14:paraId="5B8D3E88" w14:textId="35A11996" w:rsidR="00FF3F4B" w:rsidRPr="006A2272" w:rsidRDefault="00006E68"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The strategic significance of employee development in organizational effectiveness deserves a critical examination from both theoretical and practical perspectives.</w:t>
      </w:r>
      <w:r w:rsidRPr="006A2272">
        <w:rPr>
          <w:rFonts w:ascii="Times New Roman" w:hAnsi="Times New Roman" w:cs="Times New Roman" w:hint="eastAsia"/>
        </w:rPr>
        <w:t xml:space="preserve"> </w:t>
      </w:r>
      <w:r w:rsidR="00FF3F4B" w:rsidRPr="006A2272">
        <w:rPr>
          <w:rFonts w:ascii="Times New Roman" w:hAnsi="Times New Roman" w:cs="Times New Roman"/>
        </w:rPr>
        <w:t>The Resource-Based View (RBV) of strategy provides a compelling framework for understanding how employee development contributes to competitive advantage. Management Consulted (2022) argues that "excellent company performance is related to the effective use of resources," particularly those meeting VRIO attributes (valuable, rare, inimitable, and organizationally effective). When applied thoughtfully, this perspective enables organizations to identify and develop distinctive capabilities that competitors cannot easily replicate. However, the RBV's emphasis on inimitability presents a paradoxical challenge: organizations must balance the development of unique capabilities against the adoption of proven best practices that might yield more immediate benefits. This tension reveals a critical consideration for strategic development—the need to simultaneously build distinctive organizational capabilities while ensuring foundational competencies are not neglected.</w:t>
      </w:r>
    </w:p>
    <w:p w14:paraId="54A4E117"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lastRenderedPageBreak/>
        <w:t>Moving from theoretical foundations to practical applications, Human Capital Theory further illuminates the strategic importance of development. Ross (2024) explains that companies have incentives to enhance the "educational attainment, knowledge, experience, and skills" of employees. This perspective correctly identifies employees as essential sources of value creation rather than mere costs to be minimized. When organizations effectively cultivate human capital, they can realize significant returns on their investment. Bloome (2024) notes that organizations with comprehensive training programs experience "218% higher income per employee" compared to those without such programs, demonstrating the potential financial impact of strategic development. However, the theory's emphasis on economic returns risks reducing employees to assets on a balance sheet rather than complex individuals with unique motivations and aspirations. Effective development strategies must therefore balance organizational objectives with individual growth needs—a challenging but essential equilibrium.</w:t>
      </w:r>
    </w:p>
    <w:p w14:paraId="545C0898"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Having established the theoretical value of employee development, it becomes important to examine specific models that guide implementation approaches. The 70:20:10 learning model offers valuable insights, suggesting that 70% of learning occurs through on-the-job experiences, 20% through feedback and social interactions, </w:t>
      </w:r>
      <w:r w:rsidRPr="006A2272">
        <w:rPr>
          <w:rFonts w:ascii="Times New Roman" w:hAnsi="Times New Roman" w:cs="Times New Roman"/>
        </w:rPr>
        <w:lastRenderedPageBreak/>
        <w:t>and only 10% from formal training (BiteSize Learning, 2024). This model has gained widespread acceptance despite limited empirical validation, likely because it intuitively aligns with adult learning experiences. Organizations that thoughtfully apply this model can create more integrated development approaches that combine structured learning with practical application and social reinforcement. However, uncritical adoption often leads to underinvestment in structured learning interventions while overestimating the value of unguided workplace experiences. The most effective organizations recognize that the optimal balance varies by skill type, organizational context, and individual learning preferences, adopting flexible approaches rather than rigid formulas.</w:t>
      </w:r>
    </w:p>
    <w:p w14:paraId="69C295DE"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While employee development broadly impacts organizational capabilities, leadership development deserves specific attention given its multiplicative effects throughout organizations. Jackson (2024) reports that leadership development remains "the top priority for HR leaders" for the third consecutive year, with 75% of HR leaders reporting that managers are struggling to cope with expanding responsibilities. This prioritization reflects recognition that leadership quality fundamentally shapes organizational culture, employee engagement, and performance outcomes. Beauchamp (2024) cites Gallup research showing that "70% of team engagement is determined </w:t>
      </w:r>
      <w:r w:rsidRPr="006A2272">
        <w:rPr>
          <w:rFonts w:ascii="Times New Roman" w:hAnsi="Times New Roman" w:cs="Times New Roman"/>
        </w:rPr>
        <w:lastRenderedPageBreak/>
        <w:t>solely by the manager or team leader," highlighting the multiplicative impact that effective leadership development can have throughout an organization. When leaders develop the capabilities to navigate complexity, inspire commitment, and enable performance, they create conditions for broader organizational effectiveness.</w:t>
      </w:r>
    </w:p>
    <w:p w14:paraId="68FC6001" w14:textId="1D227452"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Despite the clear importance of leadership development, a critical analysis must acknowledge its frequent failure to deliver expected results. Only 36% of HR leaders believe their current leadership development programs effectively prepare leaders for the future (Jackson, 2024), indicating a significant gap between intention and execution. Reeves (2024) notes that "75% of leadership development professionals estimate that less than half of what they train gets applied on the job," revealing a troubling disconnect between development initiatives and workplace application. This implementation gap stems from multiple factors, including inadequate needs assessment, lack of contextual relevance, insufficient reinforcement mechanisms, and competing priorities. Organizations that overcome these challenges typically adopt more integrated approaches that align development with strategic priorities, create accountability for application, and provide ongoing reinforcement rather than relying on </w:t>
      </w:r>
      <w:r w:rsidR="00F67D14" w:rsidRPr="006A2272">
        <w:rPr>
          <w:rFonts w:ascii="Times New Roman" w:hAnsi="Times New Roman" w:cs="Times New Roman" w:hint="eastAsia"/>
        </w:rPr>
        <w:t>occasional</w:t>
      </w:r>
      <w:r w:rsidRPr="006A2272">
        <w:rPr>
          <w:rFonts w:ascii="Times New Roman" w:hAnsi="Times New Roman" w:cs="Times New Roman"/>
        </w:rPr>
        <w:t xml:space="preserve"> training events.</w:t>
      </w:r>
    </w:p>
    <w:p w14:paraId="34FBF7F5"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lastRenderedPageBreak/>
        <w:t>Beyond the specific challenges of leadership development, broader implementation barriers significantly impact the effectiveness of all development programs. Green (2021) identifies numerous obstacles to learning, including emotional barriers (resistance to change, fear of failure, lack of focus), motivational barriers (lack of previous knowledge, lack of seeing the big picture, lack of purpose, boredom, isolation), and personal barriers (different learning styles, impairments). These multifaceted obstacles help explain why well-designed programs often yield disappointing results. Successful organizations address these barriers by creating psychologically safe environments, establishing clear purpose and relevance, offering personalized learning pathways, and providing robust support during the critical application phase. This comprehensive approach requires greater investment than traditional training programs but yields significantly better outcomes by addressing the human factors that ultimately determine learning effectiveness.</w:t>
      </w:r>
    </w:p>
    <w:p w14:paraId="41643391"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Shifting from challenges to benefits, it is important to acknowledge the substantial positive impacts that effective development programs can deliver. When properly implemented, strategic employee development offers documented benefits that extend beyond individual skill acquisition to organizational transformation. Alton (2024) </w:t>
      </w:r>
      <w:r w:rsidRPr="006A2272">
        <w:rPr>
          <w:rFonts w:ascii="Times New Roman" w:hAnsi="Times New Roman" w:cs="Times New Roman"/>
        </w:rPr>
        <w:lastRenderedPageBreak/>
        <w:t>describes how a well-structured approach to learning transfer can significantly enhance the application of new skills, noting that organizations must "clearly identify learning goals and outcomes," "use real-world examples during training," "get buy-in from managers and other stakeholders," "provide post-training support," and "pair new hires with a mentor." These practices address both the design and implementation challenges that frequently undermine development effectiveness. Organizations that adopt such comprehensive approaches can realize the benefits identified by Bloome (2024), including "increased productivity," "improved innovation," and "better customer satisfaction," creating positive cycles of performance improvement and competitive advantage.</w:t>
      </w:r>
    </w:p>
    <w:p w14:paraId="3C1B190B" w14:textId="7731A773"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The evolution of technology has fundamentally changed how organizations approach employee development, creating both opportunities and challenges that </w:t>
      </w:r>
      <w:r w:rsidR="00D572FF" w:rsidRPr="006A2272">
        <w:rPr>
          <w:rFonts w:ascii="Times New Roman" w:hAnsi="Times New Roman" w:cs="Times New Roman" w:hint="eastAsia"/>
        </w:rPr>
        <w:t>deserve</w:t>
      </w:r>
      <w:r w:rsidRPr="006A2272">
        <w:rPr>
          <w:rFonts w:ascii="Times New Roman" w:hAnsi="Times New Roman" w:cs="Times New Roman"/>
        </w:rPr>
        <w:t xml:space="preserve"> critical examination</w:t>
      </w:r>
      <w:r w:rsidR="00D572FF" w:rsidRPr="006A2272">
        <w:rPr>
          <w:rFonts w:ascii="Times New Roman" w:hAnsi="Times New Roman" w:cs="Times New Roman" w:hint="eastAsia"/>
        </w:rPr>
        <w:t xml:space="preserve">. </w:t>
      </w:r>
      <w:r w:rsidRPr="006A2272">
        <w:rPr>
          <w:rFonts w:ascii="Times New Roman" w:hAnsi="Times New Roman" w:cs="Times New Roman"/>
        </w:rPr>
        <w:t xml:space="preserve">Pageot (2024) describes online learning platforms as enabling "students to access and absorb educational content in a digital-only environment, in either group or individual settings," while Fedorychak (2023) highlights virtual reality training's ability to create "immersion effects and realistic learning environments." These technological approaches offer distinct advantages, including cost-effectiveness, </w:t>
      </w:r>
      <w:r w:rsidRPr="006A2272">
        <w:rPr>
          <w:rFonts w:ascii="Times New Roman" w:hAnsi="Times New Roman" w:cs="Times New Roman"/>
        </w:rPr>
        <w:lastRenderedPageBreak/>
        <w:t>scalability, consistency, and the ability to simulate complex or dangerous situations safely. Psico-smart.com (2024) reports that employees engaging with interactive e-learning modules demonstrate a "30% higher retention rate of information compared to those in traditional settings," suggesting measurable benefits from well-designed digital learning experiences.</w:t>
      </w:r>
    </w:p>
    <w:p w14:paraId="769C8CE4"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While technology offers significant benefits, a balanced analysis must acknowledge its limitations in development contexts. Hubkengroup (2025) observes that while e-learning offers many benefits, it lacks the personal connection and immediacy of face-to-face interactions—factors that significantly influence learning effectiveness for many skills, particularly interpersonal capabilities. Organizations that embrace technology without considering these limitations risk creating development experiences that prioritize efficiency over effectiveness, measuring engagement or completion rather than actual capability improvement. The most successful organizations adopt blended approaches that leverage technology for its strengths while incorporating human interactions where they add distinctive value, particularly for complex capabilities that require nuanced feedback and contextual adaptation.</w:t>
      </w:r>
    </w:p>
    <w:p w14:paraId="6ED5F51F"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lastRenderedPageBreak/>
        <w:t>Beyond technology considerations, the human dimension of leadership presents unique development challenges that require sophisticated approaches. Aldrich (2025) emphasizes that leaders must provide "stability by setting priorities, clarifying expectations, and ensuring operational continuity" while simultaneously fostering "a supportive environment where employees feel valued, heard, and empowered." This dual responsibility creates inherent tensions that development programs must acknowledge and address. Antoni Lacinai (2024) identifies six major challenges leaders face in hybrid work environments: maintaining team engagement and energy, structuring work and the workplace, facilitating effective communication, dealing with the lack of non-verbal cues, encouraging employees to return to the office, and balancing work and life. These challenges highlight the evolving nature of leadership and the need for development programs that build adaptive capabilities rather than static competencies.</w:t>
      </w:r>
    </w:p>
    <w:p w14:paraId="21298E7D" w14:textId="3A6FF27A"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In response to these leadership complexities, contemporary leadership theories offer valuable guidance for development approaches. Adaptive leadership emerges as a particularly valuable approach in complex contexts. Bennington (2021) describes adaptive leadership as focusing on "emotional intelligence, organizational justice, </w:t>
      </w:r>
      <w:r w:rsidRPr="006A2272">
        <w:rPr>
          <w:rFonts w:ascii="Times New Roman" w:hAnsi="Times New Roman" w:cs="Times New Roman"/>
        </w:rPr>
        <w:lastRenderedPageBreak/>
        <w:t xml:space="preserve">development, character, and win-win problem solving." This model acknowledges the need for leaders to continuously evolve their approaches in response to changing circumstances—a stark contrast to traditional leadership models that prescribe fixed </w:t>
      </w:r>
      <w:r w:rsidR="006A2272" w:rsidRPr="006A2272">
        <w:rPr>
          <w:rFonts w:ascii="Times New Roman" w:hAnsi="Times New Roman" w:cs="Times New Roman"/>
        </w:rPr>
        <w:t>behaviours</w:t>
      </w:r>
      <w:r w:rsidRPr="006A2272">
        <w:rPr>
          <w:rFonts w:ascii="Times New Roman" w:hAnsi="Times New Roman" w:cs="Times New Roman"/>
        </w:rPr>
        <w:t xml:space="preserve"> or styles. Similarly, Yasmina (2024) advocates for inclusive leadership, which "aims to create an environment where all people, regardless of their differences, feel accepted, valued, and supported." These contemporary leadership frameworks provide valuable guidance for development initiatives that prepare leaders for the complexity and diversity of modern organizational environments, particularly when they incorporate practical application opportunities that build contextual judgment rather than merely theoretical understanding.</w:t>
      </w:r>
    </w:p>
    <w:p w14:paraId="524C1E5C"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Connecting development initiatives to performance outcomes represents another critical factor in maximizing effectiveness. The relationship between employee development and performance management represents a critical but frequently overlooked factor in development effectiveness. Hastwell (2025) argues that "in modern business, the connection between employee development and performance management is not just a matter of policy but of survival," highlighting the need for integrated approaches that align learning with performance expectations. Luc (2023) </w:t>
      </w:r>
      <w:r w:rsidRPr="006A2272">
        <w:rPr>
          <w:rFonts w:ascii="Times New Roman" w:hAnsi="Times New Roman" w:cs="Times New Roman"/>
        </w:rPr>
        <w:lastRenderedPageBreak/>
        <w:t>advocates for continuous performance management, "a more holistic approach focusing on continuous improvement via regular pulse checks, coaching, and employee development conversations." This integrated perspective reflects recognition that development occurs most effectively when embedded in everyday work rather than isolated in separate learning activities. Organizations that successfully integrate development and performance create environments where learning becomes an ongoing process directly connected to meaningful outcomes rather than a periodic event disconnected from daily work.</w:t>
      </w:r>
    </w:p>
    <w:p w14:paraId="4D359E2A"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The psychological dimensions of development further illuminate the factors that determine effectiveness and suggest important design considerations. Self-determination theory, as explained by Cherry (2024), suggests that "people need to feel the following to achieve psychological growth: autonomy, competence, and connection or relatedness." Development initiatives that support these fundamental needs through relevant, self-directed learning experiences embedded in supportive relationships are more likely to foster intrinsic motivation and engagement. Similarly, Cherry (2024) describes self-efficacy as "a person's belief in their ability to complete a task or achieve a goal," noting its crucial role in performance and persistence. Organizations that </w:t>
      </w:r>
      <w:r w:rsidRPr="006A2272">
        <w:rPr>
          <w:rFonts w:ascii="Times New Roman" w:hAnsi="Times New Roman" w:cs="Times New Roman"/>
        </w:rPr>
        <w:lastRenderedPageBreak/>
        <w:t>intentionally build self-efficacy through structured mastery experiences, social modeling, encouragement, and attention to psychological responses create stronger foundations for ongoing development than those focusing exclusively on knowledge or skill acquisition.</w:t>
      </w:r>
    </w:p>
    <w:p w14:paraId="1D019CEF" w14:textId="0326B75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Measuring development effectiveness presents significant challenges that require sophisticated evaluation approaches. The Kirkpatrick Model (Kirkpatrick Partners, 2024) provides a structured framework with four levels of measurement: reaction, learning, </w:t>
      </w:r>
      <w:r w:rsidR="006A2272" w:rsidRPr="006A2272">
        <w:rPr>
          <w:rFonts w:ascii="Times New Roman" w:hAnsi="Times New Roman" w:cs="Times New Roman"/>
        </w:rPr>
        <w:t>behaviour</w:t>
      </w:r>
      <w:r w:rsidRPr="006A2272">
        <w:rPr>
          <w:rFonts w:ascii="Times New Roman" w:hAnsi="Times New Roman" w:cs="Times New Roman"/>
        </w:rPr>
        <w:t xml:space="preserve">, and results. Organizations that focus primarily on level 1 (participant satisfaction) and level 2 (knowledge acquisition) miss critical insights about actual </w:t>
      </w:r>
      <w:r w:rsidR="006A2272" w:rsidRPr="006A2272">
        <w:rPr>
          <w:rFonts w:ascii="Times New Roman" w:hAnsi="Times New Roman" w:cs="Times New Roman"/>
        </w:rPr>
        <w:t>behaviour</w:t>
      </w:r>
      <w:r w:rsidRPr="006A2272">
        <w:rPr>
          <w:rFonts w:ascii="Times New Roman" w:hAnsi="Times New Roman" w:cs="Times New Roman"/>
        </w:rPr>
        <w:t xml:space="preserve"> change (level 3) and organizational impact (level 4). Murray (2024) emphasizes the importance of aligning employee development with company goals, suggesting strategies such as "establishing clear performance metrics, shifting from annual reviews to continuous feedback, developing managers as coaches, personalizing development plans, and expanding growth opportunities for all employees." These approaches create clearer connections between development initiatives and organizational outcomes, enabling more meaningful evaluation of effectiveness.</w:t>
      </w:r>
    </w:p>
    <w:p w14:paraId="61EE30F9" w14:textId="77777777"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lastRenderedPageBreak/>
        <w:t>Looking toward future challenges, organizations must evolve their development approaches to address emerging workplace dynamics. Gartner (2025) identifies critical future needs including "new demands for a future-ready workforce, the evolving role of managers and leaders, and emerging talent risks to organizational strategy." These evolving requirements necessitate development approaches that build adaptive capabilities and learning agility rather than focusing exclusively on current skill needs that may quickly become obsolete. Organizations that adopt forward-looking, flexible development strategies will be better positioned to navigate uncertainty and capitalize on emerging opportunities than those relying on traditional, backward-looking approaches focused on addressing existing skill gaps. This future-oriented perspective represents a fundamental shift from viewing development as remedial to seeing it as strategic—building capabilities that enable organizational agility and resilience in the face of unpredictable changes.</w:t>
      </w:r>
    </w:p>
    <w:p w14:paraId="09D9AA7C" w14:textId="64450B7D" w:rsidR="00FF3F4B" w:rsidRPr="006A2272" w:rsidRDefault="00FF3F4B" w:rsidP="006A2272">
      <w:pPr>
        <w:pStyle w:val="whitespace-pre-wrap"/>
        <w:spacing w:line="600" w:lineRule="auto"/>
        <w:jc w:val="both"/>
        <w:rPr>
          <w:rFonts w:ascii="Times New Roman" w:hAnsi="Times New Roman" w:cs="Times New Roman"/>
        </w:rPr>
      </w:pPr>
      <w:r w:rsidRPr="006A2272">
        <w:rPr>
          <w:rFonts w:ascii="Times New Roman" w:hAnsi="Times New Roman" w:cs="Times New Roman"/>
        </w:rPr>
        <w:t xml:space="preserve">In conclusion, strategic employee development offers significant potential to enhance organizational effectiveness and competitive advantage, </w:t>
      </w:r>
      <w:r w:rsidR="00632DF0" w:rsidRPr="006A2272">
        <w:rPr>
          <w:rFonts w:ascii="Times New Roman" w:hAnsi="Times New Roman" w:cs="Times New Roman" w:hint="eastAsia"/>
        </w:rPr>
        <w:t>but</w:t>
      </w:r>
      <w:r w:rsidRPr="006A2272">
        <w:rPr>
          <w:rFonts w:ascii="Times New Roman" w:hAnsi="Times New Roman" w:cs="Times New Roman"/>
        </w:rPr>
        <w:t xml:space="preserve"> realizing this potential requires sophisticated approaches that address the complexities of human learning and organizational change. The evidence clearly demonstrates that well-designed and </w:t>
      </w:r>
      <w:r w:rsidRPr="006A2272">
        <w:rPr>
          <w:rFonts w:ascii="Times New Roman" w:hAnsi="Times New Roman" w:cs="Times New Roman"/>
        </w:rPr>
        <w:lastRenderedPageBreak/>
        <w:t xml:space="preserve">effectively implemented development initiatives can yield substantial benefits, including improved performance, increased innovation, enhanced engagement, and stronger retention. However, achieving these outcomes requires organizations to move beyond simplistic models and one-size-fits-all approaches to embrace more nuanced, contextually sensitive strategies. </w:t>
      </w:r>
      <w:r w:rsidR="00D0432B" w:rsidRPr="006A2272">
        <w:rPr>
          <w:rFonts w:ascii="Times New Roman" w:hAnsi="Times New Roman" w:cs="Times New Roman"/>
        </w:rPr>
        <w:t xml:space="preserve">The critical analysis presented in this essay reveals that successful strategic development depends on several key factors: aligning development with strategic priorities, integrating learning with performance expectations, addressing psychological foundations of motivation and self-efficacy, leveraging technology appropriately, and building adaptive leadership capabilities. Organizations that thoughtfully address these factors can create development approaches that meaningfully enhance individual effectiveness and organizational outcomes, transforming employee development from a peripheral activity into a strategic imperative with </w:t>
      </w:r>
      <w:r w:rsidR="00D0432B" w:rsidRPr="006A2272">
        <w:rPr>
          <w:rFonts w:ascii="Times New Roman" w:hAnsi="Times New Roman" w:cs="Times New Roman" w:hint="eastAsia"/>
        </w:rPr>
        <w:t>apparent</w:t>
      </w:r>
      <w:r w:rsidR="00D0432B" w:rsidRPr="006A2272">
        <w:rPr>
          <w:rFonts w:ascii="Times New Roman" w:hAnsi="Times New Roman" w:cs="Times New Roman"/>
        </w:rPr>
        <w:t xml:space="preserve"> impact on organizational success.</w:t>
      </w:r>
    </w:p>
    <w:p w14:paraId="54A84AA0" w14:textId="1D1CBA5B" w:rsidR="006A2272" w:rsidRPr="006A2272" w:rsidRDefault="006A2272" w:rsidP="006A2272">
      <w:pPr>
        <w:spacing w:line="600" w:lineRule="auto"/>
        <w:rPr>
          <w:rFonts w:ascii="Times New Roman" w:hAnsi="Times New Roman" w:cs="Times New Roman"/>
          <w:sz w:val="24"/>
          <w:szCs w:val="24"/>
        </w:rPr>
      </w:pPr>
    </w:p>
    <w:p w14:paraId="7225EEFA" w14:textId="77777777" w:rsidR="006A2272" w:rsidRPr="006A2272" w:rsidRDefault="006A2272" w:rsidP="006A2272">
      <w:pPr>
        <w:widowControl/>
        <w:spacing w:line="600" w:lineRule="auto"/>
        <w:jc w:val="left"/>
        <w:rPr>
          <w:rFonts w:ascii="Times New Roman" w:hAnsi="Times New Roman" w:cs="Times New Roman"/>
          <w:sz w:val="24"/>
          <w:szCs w:val="24"/>
        </w:rPr>
      </w:pPr>
      <w:r w:rsidRPr="006A2272">
        <w:rPr>
          <w:rFonts w:ascii="Times New Roman" w:hAnsi="Times New Roman" w:cs="Times New Roman"/>
          <w:sz w:val="24"/>
          <w:szCs w:val="24"/>
        </w:rPr>
        <w:br w:type="page"/>
      </w:r>
    </w:p>
    <w:p w14:paraId="0B1F2C3C" w14:textId="5EE3EB72" w:rsidR="006A2272" w:rsidRPr="006A2272" w:rsidRDefault="006A2272" w:rsidP="006A2272">
      <w:pPr>
        <w:pStyle w:val="ae"/>
        <w:spacing w:before="0" w:beforeAutospacing="0" w:after="240" w:afterAutospacing="0" w:line="360" w:lineRule="auto"/>
        <w:rPr>
          <w:rFonts w:ascii="Times New Roman" w:hAnsi="Times New Roman" w:cs="Times New Roman" w:hint="eastAsia"/>
          <w:b/>
          <w:bCs/>
          <w:sz w:val="28"/>
          <w:szCs w:val="28"/>
          <w:lang w:val="en-GB"/>
        </w:rPr>
      </w:pPr>
      <w:r w:rsidRPr="006A2272">
        <w:rPr>
          <w:rFonts w:ascii="Times New Roman" w:hAnsi="Times New Roman" w:cs="Times New Roman" w:hint="eastAsia"/>
          <w:b/>
          <w:bCs/>
          <w:sz w:val="28"/>
          <w:szCs w:val="28"/>
          <w:lang w:val="en-GB"/>
        </w:rPr>
        <w:lastRenderedPageBreak/>
        <w:t>Reference list:</w:t>
      </w:r>
    </w:p>
    <w:p w14:paraId="4A6FC72F" w14:textId="15A8E328"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Aldrich, A. (2025). </w:t>
      </w:r>
      <w:r w:rsidRPr="006A2272">
        <w:rPr>
          <w:rFonts w:ascii="Times New Roman" w:hAnsi="Times New Roman" w:cs="Times New Roman"/>
          <w:i/>
          <w:iCs/>
          <w:lang w:val="en-GB"/>
        </w:rPr>
        <w:t>Leadership during times of change and uncertainty</w:t>
      </w:r>
      <w:r w:rsidRPr="006A2272">
        <w:rPr>
          <w:rFonts w:ascii="Times New Roman" w:hAnsi="Times New Roman" w:cs="Times New Roman"/>
          <w:lang w:val="en-GB"/>
        </w:rPr>
        <w:t>. [online] Loyola.edu. Available at: https://www.loyola.edu/news/2025/0415-john-michel-leadership.html [Accessed 23 Apr. 2025].</w:t>
      </w:r>
    </w:p>
    <w:p w14:paraId="3D392DD1"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Alton, L. (2024). </w:t>
      </w:r>
      <w:r w:rsidRPr="006A2272">
        <w:rPr>
          <w:rFonts w:ascii="Times New Roman" w:hAnsi="Times New Roman" w:cs="Times New Roman"/>
          <w:i/>
          <w:iCs/>
          <w:lang w:val="en-GB"/>
        </w:rPr>
        <w:t>3 Ways to Improve Transfer of Learning in the Workplace</w:t>
      </w:r>
      <w:r w:rsidRPr="006A2272">
        <w:rPr>
          <w:rFonts w:ascii="Times New Roman" w:hAnsi="Times New Roman" w:cs="Times New Roman"/>
          <w:lang w:val="en-GB"/>
        </w:rPr>
        <w:t>. [online] business.com. Available at: https://www.business.com/articles/3-ways-to-improve-transfer-of-learning-in-the-workplace/ [Accessed 23 Apr. 2025].</w:t>
      </w:r>
    </w:p>
    <w:p w14:paraId="559F904E"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Antoni Lacinai. (2024). </w:t>
      </w:r>
      <w:r w:rsidRPr="006A2272">
        <w:rPr>
          <w:rFonts w:ascii="Times New Roman" w:hAnsi="Times New Roman" w:cs="Times New Roman"/>
          <w:i/>
          <w:iCs/>
          <w:lang w:val="en-GB"/>
        </w:rPr>
        <w:t>The Six Major Challenges Leaders Face in Hybrid Work Environments - Antoni Lacinai</w:t>
      </w:r>
      <w:r w:rsidRPr="006A2272">
        <w:rPr>
          <w:rFonts w:ascii="Times New Roman" w:hAnsi="Times New Roman" w:cs="Times New Roman"/>
          <w:lang w:val="en-GB"/>
        </w:rPr>
        <w:t>. [online] Available at: https://www.antonilacinai.com/news/the-six-major-challenges-leaders-face-in-hybrid-work-environments/ [Accessed 23 Apr. 2025].</w:t>
      </w:r>
    </w:p>
    <w:p w14:paraId="656FD0F5"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Ashley-Timms, L. (2024). </w:t>
      </w:r>
      <w:r w:rsidRPr="006A2272">
        <w:rPr>
          <w:rFonts w:ascii="Times New Roman" w:hAnsi="Times New Roman" w:cs="Times New Roman"/>
          <w:i/>
          <w:iCs/>
          <w:lang w:val="en-GB"/>
        </w:rPr>
        <w:t>We spend billions on leadership development – so why are employees still stressed? -</w:t>
      </w:r>
      <w:r w:rsidRPr="006A2272">
        <w:rPr>
          <w:rFonts w:ascii="Times New Roman" w:hAnsi="Times New Roman" w:cs="Times New Roman"/>
          <w:lang w:val="en-GB"/>
        </w:rPr>
        <w:t>. [online] - Daily insights for people development professionals to transform workplace learning and performance together. Available at: https://www.trainingjournal.com/2024/content-type/features/we-spend-billions-on-leadership-development-so-why-are-employees-still-stressed/ [Accessed 23 Apr. 2025].</w:t>
      </w:r>
    </w:p>
    <w:p w14:paraId="0DB031EE"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Barry, L. (2024). </w:t>
      </w:r>
      <w:r w:rsidRPr="006A2272">
        <w:rPr>
          <w:rFonts w:ascii="Times New Roman" w:hAnsi="Times New Roman" w:cs="Times New Roman"/>
          <w:i/>
          <w:iCs/>
          <w:lang w:val="en-GB"/>
        </w:rPr>
        <w:t>What is Action Learning and why do I need it? | Bayes Business School</w:t>
      </w:r>
      <w:r w:rsidRPr="006A2272">
        <w:rPr>
          <w:rFonts w:ascii="Times New Roman" w:hAnsi="Times New Roman" w:cs="Times New Roman"/>
          <w:lang w:val="en-GB"/>
        </w:rPr>
        <w:t>. [online] Citystgeorges.ac.uk. Available at: https://www.bayes.citystgeorges.ac.uk/news-and-events/blogs/2024/march/what-is-action-learning-and-why-do-i-need-it [Accessed 23 Apr. 2025].</w:t>
      </w:r>
    </w:p>
    <w:p w14:paraId="3B7832A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Beauchamp, F. (2024). </w:t>
      </w:r>
      <w:r w:rsidRPr="006A2272">
        <w:rPr>
          <w:rFonts w:ascii="Times New Roman" w:hAnsi="Times New Roman" w:cs="Times New Roman"/>
          <w:i/>
          <w:iCs/>
          <w:lang w:val="en-GB"/>
        </w:rPr>
        <w:t>Top Leadership Development Statistics 2024</w:t>
      </w:r>
      <w:r w:rsidRPr="006A2272">
        <w:rPr>
          <w:rFonts w:ascii="Times New Roman" w:hAnsi="Times New Roman" w:cs="Times New Roman"/>
          <w:lang w:val="en-GB"/>
        </w:rPr>
        <w:t>. [online] Kinkajou. Available at: https://www.kinkajouconsulting.com/post/topleadershipdevelopmentstatistics [Accessed 23 Apr. 2025].</w:t>
      </w:r>
    </w:p>
    <w:p w14:paraId="0D3C1D8B"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lastRenderedPageBreak/>
        <w:t xml:space="preserve">Bennington, K. (2021). </w:t>
      </w:r>
      <w:r w:rsidRPr="006A2272">
        <w:rPr>
          <w:rFonts w:ascii="Times New Roman" w:hAnsi="Times New Roman" w:cs="Times New Roman"/>
          <w:i/>
          <w:iCs/>
          <w:lang w:val="en-GB"/>
        </w:rPr>
        <w:t>What is Adaptive Leadership: Definition &amp; Heifetz Principles | WDHB</w:t>
      </w:r>
      <w:r w:rsidRPr="006A2272">
        <w:rPr>
          <w:rFonts w:ascii="Times New Roman" w:hAnsi="Times New Roman" w:cs="Times New Roman"/>
          <w:lang w:val="en-GB"/>
        </w:rPr>
        <w:t>. [online] wdhb.com. Available at: https://wdhb.com/blog/what-is-adaptive-leadership/ [Accessed 23 Apr. 2025].</w:t>
      </w:r>
    </w:p>
    <w:p w14:paraId="56460E0C"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BiteSize Learning. (2024). </w:t>
      </w:r>
      <w:r w:rsidRPr="006A2272">
        <w:rPr>
          <w:rFonts w:ascii="Times New Roman" w:hAnsi="Times New Roman" w:cs="Times New Roman"/>
          <w:i/>
          <w:iCs/>
          <w:lang w:val="en-GB"/>
        </w:rPr>
        <w:t>70:20:10 learning model, explained | L&amp;D frameworks</w:t>
      </w:r>
      <w:r w:rsidRPr="006A2272">
        <w:rPr>
          <w:rFonts w:ascii="Times New Roman" w:hAnsi="Times New Roman" w:cs="Times New Roman"/>
          <w:lang w:val="en-GB"/>
        </w:rPr>
        <w:t>. [online] Available at: https://www.bitesizelearning.co.uk/resources/70-20-10-learning-development-model [Accessed 23 Apr. 2025].</w:t>
      </w:r>
    </w:p>
    <w:p w14:paraId="5895D72C"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Bloome, J. (2024). </w:t>
      </w:r>
      <w:r w:rsidRPr="006A2272">
        <w:rPr>
          <w:rFonts w:ascii="Times New Roman" w:hAnsi="Times New Roman" w:cs="Times New Roman"/>
          <w:i/>
          <w:iCs/>
          <w:lang w:val="en-GB"/>
        </w:rPr>
        <w:t>Employee Development: The Key to Driving Business Results - Culture Partners</w:t>
      </w:r>
      <w:r w:rsidRPr="006A2272">
        <w:rPr>
          <w:rFonts w:ascii="Times New Roman" w:hAnsi="Times New Roman" w:cs="Times New Roman"/>
          <w:lang w:val="en-GB"/>
        </w:rPr>
        <w:t>. [online] Culture Partners. Available at: https://culturepartners.com/insights/employee-development-the-key-to-driving-business-results/ [Accessed 23 Apr. 2025].</w:t>
      </w:r>
    </w:p>
    <w:p w14:paraId="076C93A5"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Bosworth, P. (2024). </w:t>
      </w:r>
      <w:r w:rsidRPr="006A2272">
        <w:rPr>
          <w:rFonts w:ascii="Times New Roman" w:hAnsi="Times New Roman" w:cs="Times New Roman"/>
          <w:i/>
          <w:iCs/>
          <w:lang w:val="en-GB"/>
        </w:rPr>
        <w:t>How to Lead Through Change and Uncertainty</w:t>
      </w:r>
      <w:r w:rsidRPr="006A2272">
        <w:rPr>
          <w:rFonts w:ascii="Times New Roman" w:hAnsi="Times New Roman" w:cs="Times New Roman"/>
          <w:lang w:val="en-GB"/>
        </w:rPr>
        <w:t>. [online] Leadership Choice. Available at: https://www.leadershipchoice.com/leading-through-change-and-uncertainty/ [Accessed 23 Apr. 2025].</w:t>
      </w:r>
    </w:p>
    <w:p w14:paraId="6B68E08E"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Bouchrika, I. (2024). </w:t>
      </w:r>
      <w:r w:rsidRPr="006A2272">
        <w:rPr>
          <w:rFonts w:ascii="Times New Roman" w:hAnsi="Times New Roman" w:cs="Times New Roman"/>
          <w:i/>
          <w:iCs/>
          <w:lang w:val="en-GB"/>
        </w:rPr>
        <w:t>The Andragogy Approach: Knowles’ Adult Learning Theory Principles</w:t>
      </w:r>
      <w:r w:rsidRPr="006A2272">
        <w:rPr>
          <w:rFonts w:ascii="Times New Roman" w:hAnsi="Times New Roman" w:cs="Times New Roman"/>
          <w:lang w:val="en-GB"/>
        </w:rPr>
        <w:t>. [online] Research.com. Available at: https://research.com/education/the-andragogy-approach [Accessed 23 Apr. 2025].</w:t>
      </w:r>
    </w:p>
    <w:p w14:paraId="317B899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Business Reporter. (2024). </w:t>
      </w:r>
      <w:r w:rsidRPr="006A2272">
        <w:rPr>
          <w:rFonts w:ascii="Times New Roman" w:hAnsi="Times New Roman" w:cs="Times New Roman"/>
          <w:i/>
          <w:iCs/>
          <w:lang w:val="en-GB"/>
        </w:rPr>
        <w:t>In an era of uncertainty, leadership development is no longer optional</w:t>
      </w:r>
      <w:r w:rsidRPr="006A2272">
        <w:rPr>
          <w:rFonts w:ascii="Times New Roman" w:hAnsi="Times New Roman" w:cs="Times New Roman"/>
          <w:lang w:val="en-GB"/>
        </w:rPr>
        <w:t>. [online] Available at: https://www.business-reporter.co.uk/human-resources/in-an-era-of-uncertainty-leadership-development-is-no-longer-optional [Accessed 23 Apr. 2025].</w:t>
      </w:r>
    </w:p>
    <w:p w14:paraId="6B5A562C"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Carruthers, R. (2023). </w:t>
      </w:r>
      <w:r w:rsidRPr="006A2272">
        <w:rPr>
          <w:rFonts w:ascii="Times New Roman" w:hAnsi="Times New Roman" w:cs="Times New Roman"/>
          <w:i/>
          <w:iCs/>
          <w:lang w:val="en-GB"/>
        </w:rPr>
        <w:t>A guide to people development: 8 Examples and strategies | Together Mentoring Software</w:t>
      </w:r>
      <w:r w:rsidRPr="006A2272">
        <w:rPr>
          <w:rFonts w:ascii="Times New Roman" w:hAnsi="Times New Roman" w:cs="Times New Roman"/>
          <w:lang w:val="en-GB"/>
        </w:rPr>
        <w:t>. [online] www.togetherplatform.com. Available at: https://www.togetherplatform.com/blog/people-development [Accessed 23 Apr. 2025].</w:t>
      </w:r>
    </w:p>
    <w:p w14:paraId="03A8BA8B"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lastRenderedPageBreak/>
        <w:t xml:space="preserve">Carucci, R. (2024). </w:t>
      </w:r>
      <w:r w:rsidRPr="006A2272">
        <w:rPr>
          <w:rFonts w:ascii="Times New Roman" w:hAnsi="Times New Roman" w:cs="Times New Roman"/>
          <w:i/>
          <w:iCs/>
          <w:lang w:val="en-GB"/>
        </w:rPr>
        <w:t>One More Time: Why Diversity Leads To Better Team Performance</w:t>
      </w:r>
      <w:r w:rsidRPr="006A2272">
        <w:rPr>
          <w:rFonts w:ascii="Times New Roman" w:hAnsi="Times New Roman" w:cs="Times New Roman"/>
          <w:lang w:val="en-GB"/>
        </w:rPr>
        <w:t>. [online] Forbes. Available at: https://www.forbes.com/sites/roncarucci/2024/01/24/one-more-time-why-diversity-leads-to-better-team-performance/ [Accessed 23 Apr. 2025].</w:t>
      </w:r>
    </w:p>
    <w:p w14:paraId="7B0910FA"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Cherry, K. (2024a). </w:t>
      </w:r>
      <w:r w:rsidRPr="006A2272">
        <w:rPr>
          <w:rFonts w:ascii="Times New Roman" w:hAnsi="Times New Roman" w:cs="Times New Roman"/>
          <w:i/>
          <w:iCs/>
          <w:lang w:val="en-GB"/>
        </w:rPr>
        <w:t>Self Efficacy: Why Believing in Yourself Matters</w:t>
      </w:r>
      <w:r w:rsidRPr="006A2272">
        <w:rPr>
          <w:rFonts w:ascii="Times New Roman" w:hAnsi="Times New Roman" w:cs="Times New Roman"/>
          <w:lang w:val="en-GB"/>
        </w:rPr>
        <w:t>. [online] Verywell Mind. Available at: https://www.verywellmind.com/what-is-self-efficacy-2795954 [Accessed 23 Apr. 2025].</w:t>
      </w:r>
    </w:p>
    <w:p w14:paraId="25DD46A6"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Cherry, K. (2024b). </w:t>
      </w:r>
      <w:r w:rsidRPr="006A2272">
        <w:rPr>
          <w:rFonts w:ascii="Times New Roman" w:hAnsi="Times New Roman" w:cs="Times New Roman"/>
          <w:i/>
          <w:iCs/>
          <w:lang w:val="en-GB"/>
        </w:rPr>
        <w:t>Self-determination theory and motivation</w:t>
      </w:r>
      <w:r w:rsidRPr="006A2272">
        <w:rPr>
          <w:rFonts w:ascii="Times New Roman" w:hAnsi="Times New Roman" w:cs="Times New Roman"/>
          <w:lang w:val="en-GB"/>
        </w:rPr>
        <w:t>. [online] Verywell Mind. Available at: https://www.verywellmind.com/what-is-self-determination-theory-2795387 [Accessed 23 Apr. 2025].</w:t>
      </w:r>
    </w:p>
    <w:p w14:paraId="34EC23A6"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CoachHub (2022). </w:t>
      </w:r>
      <w:r w:rsidRPr="006A2272">
        <w:rPr>
          <w:rFonts w:ascii="Times New Roman" w:hAnsi="Times New Roman" w:cs="Times New Roman"/>
          <w:i/>
          <w:iCs/>
          <w:lang w:val="en-GB"/>
        </w:rPr>
        <w:t>A Comparison of Change Management Models: Lewin vs. Kotter</w:t>
      </w:r>
      <w:r w:rsidRPr="006A2272">
        <w:rPr>
          <w:rFonts w:ascii="Times New Roman" w:hAnsi="Times New Roman" w:cs="Times New Roman"/>
          <w:lang w:val="en-GB"/>
        </w:rPr>
        <w:t>. [online] CoachHub. Available at: https://www.coachhub.com/en/blog/a-comparison-of-change-management-models-lewin-vs-kotter/ [Accessed 23 Apr. 2025].</w:t>
      </w:r>
    </w:p>
    <w:p w14:paraId="62206CDF"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Dagli, K. (2024). </w:t>
      </w:r>
      <w:r w:rsidRPr="006A2272">
        <w:rPr>
          <w:rFonts w:ascii="Times New Roman" w:hAnsi="Times New Roman" w:cs="Times New Roman"/>
          <w:i/>
          <w:iCs/>
          <w:lang w:val="en-GB"/>
        </w:rPr>
        <w:t>Future of Employee Development: Trends and Strategies in L&amp;D | Together Mentoring Software</w:t>
      </w:r>
      <w:r w:rsidRPr="006A2272">
        <w:rPr>
          <w:rFonts w:ascii="Times New Roman" w:hAnsi="Times New Roman" w:cs="Times New Roman"/>
          <w:lang w:val="en-GB"/>
        </w:rPr>
        <w:t>. [online] www.togetherplatform.com. Available at: https://www.togetherplatform.com/blog/future-of-employee-development-trends-and-strategies-in-l-d [Accessed 23 Apr. 2025].</w:t>
      </w:r>
    </w:p>
    <w:p w14:paraId="10FD917D"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Deller, J. (2022). </w:t>
      </w:r>
      <w:r w:rsidRPr="006A2272">
        <w:rPr>
          <w:rFonts w:ascii="Times New Roman" w:hAnsi="Times New Roman" w:cs="Times New Roman"/>
          <w:i/>
          <w:iCs/>
          <w:lang w:val="en-GB"/>
        </w:rPr>
        <w:t>Learning Transfer System Inventories: Everything You Need to Know</w:t>
      </w:r>
      <w:r w:rsidRPr="006A2272">
        <w:rPr>
          <w:rFonts w:ascii="Times New Roman" w:hAnsi="Times New Roman" w:cs="Times New Roman"/>
          <w:lang w:val="en-GB"/>
        </w:rPr>
        <w:t>. [online] kodosurvey.com. Available at: https://kodosurvey.com/blog/learning-transfer-system-inventories-everything-you-need-know [Accessed 23 Apr. 2025].</w:t>
      </w:r>
    </w:p>
    <w:p w14:paraId="6AC3202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FasterCapital. (2025). </w:t>
      </w:r>
      <w:r w:rsidRPr="006A2272">
        <w:rPr>
          <w:rFonts w:ascii="Times New Roman" w:hAnsi="Times New Roman" w:cs="Times New Roman"/>
          <w:i/>
          <w:iCs/>
          <w:lang w:val="en-GB"/>
        </w:rPr>
        <w:t>What is a Budget Constraint and Its Impact on ROI - FasterCapital</w:t>
      </w:r>
      <w:r w:rsidRPr="006A2272">
        <w:rPr>
          <w:rFonts w:ascii="Times New Roman" w:hAnsi="Times New Roman" w:cs="Times New Roman"/>
          <w:lang w:val="en-GB"/>
        </w:rPr>
        <w:t>. [online] Available at: https://fastercapital.com/articles/What-is-a-Budget-Constraint-and-Its-Impact-on-ROI.html#toc-2-nderstand-the-elationship-etween-udget-and- [Accessed 23 Apr. 2025].</w:t>
      </w:r>
    </w:p>
    <w:p w14:paraId="5AB57DC4"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lastRenderedPageBreak/>
        <w:t xml:space="preserve">Fedorychak, V. (2023). </w:t>
      </w:r>
      <w:r w:rsidRPr="006A2272">
        <w:rPr>
          <w:rFonts w:ascii="Times New Roman" w:hAnsi="Times New Roman" w:cs="Times New Roman"/>
          <w:i/>
          <w:iCs/>
          <w:lang w:val="en-GB"/>
        </w:rPr>
        <w:t>10 Examples of Virtual Reality Training and How it’s Helping Businesses</w:t>
      </w:r>
      <w:r w:rsidRPr="006A2272">
        <w:rPr>
          <w:rFonts w:ascii="Times New Roman" w:hAnsi="Times New Roman" w:cs="Times New Roman"/>
          <w:lang w:val="en-GB"/>
        </w:rPr>
        <w:t>. [online] SmartTek Solutions. Available at: https://smarttek.solutions/blog/virtual-reality-training-examples/ [Accessed 23 Apr. 2025].</w:t>
      </w:r>
    </w:p>
    <w:p w14:paraId="7FA69CDE"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Gartner. (2025). </w:t>
      </w:r>
      <w:r w:rsidRPr="006A2272">
        <w:rPr>
          <w:rFonts w:ascii="Times New Roman" w:hAnsi="Times New Roman" w:cs="Times New Roman"/>
          <w:i/>
          <w:iCs/>
          <w:lang w:val="en-GB"/>
        </w:rPr>
        <w:t>Gartner Identifies Top Nine Workplace Predictions for CHROs in 2025</w:t>
      </w:r>
      <w:r w:rsidRPr="006A2272">
        <w:rPr>
          <w:rFonts w:ascii="Times New Roman" w:hAnsi="Times New Roman" w:cs="Times New Roman"/>
          <w:lang w:val="en-GB"/>
        </w:rPr>
        <w:t>. [online] Available at: https://www.gartner.com/en/newsroom/press-releases/2025-01-08-gartner-identifies-top-nine-workplace-predictions-for-chros-in-2025 [Accessed 23 Apr. 2025].</w:t>
      </w:r>
    </w:p>
    <w:p w14:paraId="35DCFA9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Green, S. (2021). </w:t>
      </w:r>
      <w:r w:rsidRPr="006A2272">
        <w:rPr>
          <w:rFonts w:ascii="Times New Roman" w:hAnsi="Times New Roman" w:cs="Times New Roman"/>
          <w:i/>
          <w:iCs/>
          <w:lang w:val="en-GB"/>
        </w:rPr>
        <w:t>Top 10 Barriers to Learning and How to Overcome Them</w:t>
      </w:r>
      <w:r w:rsidRPr="006A2272">
        <w:rPr>
          <w:rFonts w:ascii="Times New Roman" w:hAnsi="Times New Roman" w:cs="Times New Roman"/>
          <w:lang w:val="en-GB"/>
        </w:rPr>
        <w:t>. [online] https://www.ispringsolutions.com/blog/. Available at: https://www.ispringsolutions.com/blog/barriers-to-learning [Accessed 23 Apr. 2025].</w:t>
      </w:r>
    </w:p>
    <w:p w14:paraId="79865C20"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Hastwell, C. (2025). </w:t>
      </w:r>
      <w:r w:rsidRPr="006A2272">
        <w:rPr>
          <w:rFonts w:ascii="Times New Roman" w:hAnsi="Times New Roman" w:cs="Times New Roman"/>
          <w:i/>
          <w:iCs/>
          <w:lang w:val="en-GB"/>
        </w:rPr>
        <w:t>The Link Between Employee Development and Performance Management: Creating a Culture of Growth</w:t>
      </w:r>
      <w:r w:rsidRPr="006A2272">
        <w:rPr>
          <w:rFonts w:ascii="Times New Roman" w:hAnsi="Times New Roman" w:cs="Times New Roman"/>
          <w:lang w:val="en-GB"/>
        </w:rPr>
        <w:t>. [online] Great Place To Work®. Available at: https://www.greatplacetowork.com/resources/blog/the-link-between-employee-development-and-performance-management [Accessed 23 Apr. 2025].</w:t>
      </w:r>
    </w:p>
    <w:p w14:paraId="32893FB2"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Hoffman, J. (2024). </w:t>
      </w:r>
      <w:r w:rsidRPr="006A2272">
        <w:rPr>
          <w:rFonts w:ascii="Times New Roman" w:hAnsi="Times New Roman" w:cs="Times New Roman"/>
          <w:i/>
          <w:iCs/>
          <w:lang w:val="en-GB"/>
        </w:rPr>
        <w:t>The Crucial Role of Coaching and Mentoring in Building Strong Teams and Fostering Continuous Growth</w:t>
      </w:r>
      <w:r w:rsidRPr="006A2272">
        <w:rPr>
          <w:rFonts w:ascii="Times New Roman" w:hAnsi="Times New Roman" w:cs="Times New Roman"/>
          <w:lang w:val="en-GB"/>
        </w:rPr>
        <w:t>. [online] Foundations Of Effective Leadership. Available at: https://medium.com/foundations-of-effective-leadership/the-crucial-role-of-coaching-and-mentoring-in-building-strong-teams-and-fostering-continuous-growth-ba7d66d1e970 [Accessed 23 Apr. 2025].</w:t>
      </w:r>
    </w:p>
    <w:p w14:paraId="565D641B"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hubkengroup. (2025). </w:t>
      </w:r>
      <w:r w:rsidRPr="006A2272">
        <w:rPr>
          <w:rFonts w:ascii="Times New Roman" w:hAnsi="Times New Roman" w:cs="Times New Roman"/>
          <w:i/>
          <w:iCs/>
          <w:lang w:val="en-GB"/>
        </w:rPr>
        <w:t>E-Learning vs Traditional Training: Which is better for your business?</w:t>
      </w:r>
      <w:r w:rsidRPr="006A2272">
        <w:rPr>
          <w:rFonts w:ascii="Times New Roman" w:hAnsi="Times New Roman" w:cs="Times New Roman"/>
          <w:lang w:val="en-GB"/>
        </w:rPr>
        <w:t xml:space="preserve"> [online] Available at: https://www.hubkengroup.com/resources/e-learning-vs-traditional-training [Accessed 23 Apr. 2025].</w:t>
      </w:r>
    </w:p>
    <w:p w14:paraId="57D654D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lastRenderedPageBreak/>
        <w:t xml:space="preserve">Ilxgroup.com. (2024). </w:t>
      </w:r>
      <w:r w:rsidRPr="006A2272">
        <w:rPr>
          <w:rFonts w:ascii="Times New Roman" w:hAnsi="Times New Roman" w:cs="Times New Roman"/>
          <w:i/>
          <w:iCs/>
          <w:lang w:val="en-GB"/>
        </w:rPr>
        <w:t>The top five challenges facing businesses in 2024 ILX USA | ILX Group US</w:t>
      </w:r>
      <w:r w:rsidRPr="006A2272">
        <w:rPr>
          <w:rFonts w:ascii="Times New Roman" w:hAnsi="Times New Roman" w:cs="Times New Roman"/>
          <w:lang w:val="en-GB"/>
        </w:rPr>
        <w:t>. [online] Available at: https://www.ilxgroup.com/uk/blog/the-top-five-challenges-facing-businesses-in-2024 [Accessed 23 Apr. 2025].</w:t>
      </w:r>
    </w:p>
    <w:p w14:paraId="5481D80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Indeed Career Guide. (2024). </w:t>
      </w:r>
      <w:r w:rsidRPr="006A2272">
        <w:rPr>
          <w:rFonts w:ascii="Times New Roman" w:hAnsi="Times New Roman" w:cs="Times New Roman"/>
          <w:i/>
          <w:iCs/>
          <w:lang w:val="en-GB"/>
        </w:rPr>
        <w:t>9 common work challenges and ways of overcoming them</w:t>
      </w:r>
      <w:r w:rsidRPr="006A2272">
        <w:rPr>
          <w:rFonts w:ascii="Times New Roman" w:hAnsi="Times New Roman" w:cs="Times New Roman"/>
          <w:lang w:val="en-GB"/>
        </w:rPr>
        <w:t>. [online] Available at: https://uk.indeed.com/career-advice/career-development/work-challenges [Accessed 23 Apr. 2025].</w:t>
      </w:r>
    </w:p>
    <w:p w14:paraId="14498486"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Jackson, I. (2024). </w:t>
      </w:r>
      <w:r w:rsidRPr="006A2272">
        <w:rPr>
          <w:rFonts w:ascii="Times New Roman" w:hAnsi="Times New Roman" w:cs="Times New Roman"/>
          <w:i/>
          <w:iCs/>
          <w:lang w:val="en-GB"/>
        </w:rPr>
        <w:t>Leadership development is HR’s top focus for 2025, report reveals</w:t>
      </w:r>
      <w:r w:rsidRPr="006A2272">
        <w:rPr>
          <w:rFonts w:ascii="Times New Roman" w:hAnsi="Times New Roman" w:cs="Times New Roman"/>
          <w:lang w:val="en-GB"/>
        </w:rPr>
        <w:t>. [online] Peoplemanagement.co.uk. Available at: https://www.peoplemanagement.co.uk/article/1893159/leadership-development-hrs-top-focus-2025-report-reveals [Accessed 23 Apr. 2025].</w:t>
      </w:r>
    </w:p>
    <w:p w14:paraId="636DC572"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Kirkpatrick Partners (2024). </w:t>
      </w:r>
      <w:r w:rsidRPr="006A2272">
        <w:rPr>
          <w:rFonts w:ascii="Times New Roman" w:hAnsi="Times New Roman" w:cs="Times New Roman"/>
          <w:i/>
          <w:iCs/>
          <w:lang w:val="en-GB"/>
        </w:rPr>
        <w:t>The Kirkpatrick Model</w:t>
      </w:r>
      <w:r w:rsidRPr="006A2272">
        <w:rPr>
          <w:rFonts w:ascii="Times New Roman" w:hAnsi="Times New Roman" w:cs="Times New Roman"/>
          <w:lang w:val="en-GB"/>
        </w:rPr>
        <w:t>. [online] Kirkpatrick Partners, LLC. Available at: https://www.kirkpatrickpartners.com/the-kirkpatrick-model/ [Accessed 23 Apr. 2025].</w:t>
      </w:r>
    </w:p>
    <w:p w14:paraId="053C8C2C"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Loeb Leadership. (2024). </w:t>
      </w:r>
      <w:r w:rsidRPr="006A2272">
        <w:rPr>
          <w:rFonts w:ascii="Times New Roman" w:hAnsi="Times New Roman" w:cs="Times New Roman"/>
          <w:i/>
          <w:iCs/>
          <w:lang w:val="en-GB"/>
        </w:rPr>
        <w:t>How Does Leadership Impact Organizations?</w:t>
      </w:r>
      <w:r w:rsidRPr="006A2272">
        <w:rPr>
          <w:rFonts w:ascii="Times New Roman" w:hAnsi="Times New Roman" w:cs="Times New Roman"/>
          <w:lang w:val="en-GB"/>
        </w:rPr>
        <w:t xml:space="preserve"> [online] Available at: https://www.loebleadership.com/insights/how-does-leadership-impact-organizations [Accessed 23 Apr. 2025].</w:t>
      </w:r>
    </w:p>
    <w:p w14:paraId="7EDA1AB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lpsonline.sas.upenn.edu. (2023). </w:t>
      </w:r>
      <w:r w:rsidRPr="006A2272">
        <w:rPr>
          <w:rFonts w:ascii="Times New Roman" w:hAnsi="Times New Roman" w:cs="Times New Roman"/>
          <w:i/>
          <w:iCs/>
          <w:lang w:val="en-GB"/>
        </w:rPr>
        <w:t>Learn how effective leadership drives success | Penn LPS Online</w:t>
      </w:r>
      <w:r w:rsidRPr="006A2272">
        <w:rPr>
          <w:rFonts w:ascii="Times New Roman" w:hAnsi="Times New Roman" w:cs="Times New Roman"/>
          <w:lang w:val="en-GB"/>
        </w:rPr>
        <w:t>. [online] Available at: https://lpsonline.sas.upenn.edu/features/learn-how-effective-leadership-drives-success [Accessed 23 Apr. 2025].</w:t>
      </w:r>
    </w:p>
    <w:p w14:paraId="10400187"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Luc, K. (2023). </w:t>
      </w:r>
      <w:r w:rsidRPr="006A2272">
        <w:rPr>
          <w:rFonts w:ascii="Times New Roman" w:hAnsi="Times New Roman" w:cs="Times New Roman"/>
          <w:i/>
          <w:iCs/>
          <w:lang w:val="en-GB"/>
        </w:rPr>
        <w:t>Combining the power of employee performance and development | Culture Amp</w:t>
      </w:r>
      <w:r w:rsidRPr="006A2272">
        <w:rPr>
          <w:rFonts w:ascii="Times New Roman" w:hAnsi="Times New Roman" w:cs="Times New Roman"/>
          <w:lang w:val="en-GB"/>
        </w:rPr>
        <w:t>. [online] Culture Amp. Available at: https://www.cultureamp.com/blog/employee-performance-and-development [Accessed 23 Apr. 2025].</w:t>
      </w:r>
    </w:p>
    <w:p w14:paraId="0287551D"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Management Consulted (2022). </w:t>
      </w:r>
      <w:r w:rsidRPr="006A2272">
        <w:rPr>
          <w:rFonts w:ascii="Times New Roman" w:hAnsi="Times New Roman" w:cs="Times New Roman"/>
          <w:i/>
          <w:iCs/>
          <w:lang w:val="en-GB"/>
        </w:rPr>
        <w:t>Resource Based View: Your Competitive Advantage In Focus</w:t>
      </w:r>
      <w:r w:rsidRPr="006A2272">
        <w:rPr>
          <w:rFonts w:ascii="Times New Roman" w:hAnsi="Times New Roman" w:cs="Times New Roman"/>
          <w:lang w:val="en-GB"/>
        </w:rPr>
        <w:t xml:space="preserve">. [online] Management Consulted. Available at: </w:t>
      </w:r>
      <w:r w:rsidRPr="006A2272">
        <w:rPr>
          <w:rFonts w:ascii="Times New Roman" w:hAnsi="Times New Roman" w:cs="Times New Roman"/>
          <w:lang w:val="en-GB"/>
        </w:rPr>
        <w:lastRenderedPageBreak/>
        <w:t>https://managementconsulted.com/resource-based-view/ [Accessed 23 Apr. 2025].</w:t>
      </w:r>
    </w:p>
    <w:p w14:paraId="1CD8EE70"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Matsh People Development. (2025). </w:t>
      </w:r>
      <w:r w:rsidRPr="006A2272">
        <w:rPr>
          <w:rFonts w:ascii="Times New Roman" w:hAnsi="Times New Roman" w:cs="Times New Roman"/>
          <w:i/>
          <w:iCs/>
          <w:lang w:val="en-GB"/>
        </w:rPr>
        <w:t>Importance of Effective Leadership in Organizational Success</w:t>
      </w:r>
      <w:r w:rsidRPr="006A2272">
        <w:rPr>
          <w:rFonts w:ascii="Times New Roman" w:hAnsi="Times New Roman" w:cs="Times New Roman"/>
          <w:lang w:val="en-GB"/>
        </w:rPr>
        <w:t>. [online] Available at: https://www.matsh.co/en/the-importance-of-effective-leadership-in-achieving-organizational-success/ [Accessed 23 Apr. 2025].</w:t>
      </w:r>
    </w:p>
    <w:p w14:paraId="493FFB4E"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McCann, A. (2024). </w:t>
      </w:r>
      <w:r w:rsidRPr="006A2272">
        <w:rPr>
          <w:rFonts w:ascii="Times New Roman" w:hAnsi="Times New Roman" w:cs="Times New Roman"/>
          <w:i/>
          <w:iCs/>
          <w:lang w:val="en-GB"/>
        </w:rPr>
        <w:t>Effective leadership: How to be an effective leader in the workplace</w:t>
      </w:r>
      <w:r w:rsidRPr="006A2272">
        <w:rPr>
          <w:rFonts w:ascii="Times New Roman" w:hAnsi="Times New Roman" w:cs="Times New Roman"/>
          <w:lang w:val="en-GB"/>
        </w:rPr>
        <w:t>. [online] The Predictive Index. Available at: https://www.predictiveindex.com/blog/effective-leadership/ [Accessed 23 Apr. 2025].</w:t>
      </w:r>
    </w:p>
    <w:p w14:paraId="3698CE2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McKay, A. (2024). </w:t>
      </w:r>
      <w:r w:rsidRPr="006A2272">
        <w:rPr>
          <w:rFonts w:ascii="Times New Roman" w:hAnsi="Times New Roman" w:cs="Times New Roman"/>
          <w:i/>
          <w:iCs/>
          <w:lang w:val="en-GB"/>
        </w:rPr>
        <w:t>Inclusive L&amp;D: the Importance of Accessible e-learning Content</w:t>
      </w:r>
      <w:r w:rsidRPr="006A2272">
        <w:rPr>
          <w:rFonts w:ascii="Times New Roman" w:hAnsi="Times New Roman" w:cs="Times New Roman"/>
          <w:lang w:val="en-GB"/>
        </w:rPr>
        <w:t>. [online] www.peoplemanagement.co.uk. Available at: https://www.peoplemanagement.co.uk/article/1881409/inclusive-l-d-importance-accessible-e-learning-content [Accessed 23 Apr. 2025].</w:t>
      </w:r>
    </w:p>
    <w:p w14:paraId="1F29A0D0"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Miller, D. (2024). </w:t>
      </w:r>
      <w:r w:rsidRPr="006A2272">
        <w:rPr>
          <w:rFonts w:ascii="Times New Roman" w:hAnsi="Times New Roman" w:cs="Times New Roman"/>
          <w:i/>
          <w:iCs/>
          <w:lang w:val="en-GB"/>
        </w:rPr>
        <w:t>4 Critical Success Factors that Technology Companies need to deliver disruptive transformation</w:t>
      </w:r>
      <w:r w:rsidRPr="006A2272">
        <w:rPr>
          <w:rFonts w:ascii="Times New Roman" w:hAnsi="Times New Roman" w:cs="Times New Roman"/>
          <w:lang w:val="en-GB"/>
        </w:rPr>
        <w:t>. [online] blog.changefirst.com. Available at: https://blog.changefirst.com/how-technology-companies-can-transform-themselves-and-their-customers-0 [Accessed 23 Apr. 2025].</w:t>
      </w:r>
    </w:p>
    <w:p w14:paraId="1B0AFB98"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Murray, R. (2024). </w:t>
      </w:r>
      <w:r w:rsidRPr="006A2272">
        <w:rPr>
          <w:rFonts w:ascii="Times New Roman" w:hAnsi="Times New Roman" w:cs="Times New Roman"/>
          <w:i/>
          <w:iCs/>
          <w:lang w:val="en-GB"/>
        </w:rPr>
        <w:t>Five Strategies for Aligning Employee Development with Your Company Goals</w:t>
      </w:r>
      <w:r w:rsidRPr="006A2272">
        <w:rPr>
          <w:rFonts w:ascii="Times New Roman" w:hAnsi="Times New Roman" w:cs="Times New Roman"/>
          <w:lang w:val="en-GB"/>
        </w:rPr>
        <w:t>. [online] Inclusion Geeks. Available at: https://www.inclusiongeeks.com/articles/five-strategies-for-aligning-employee-development-with-your-company-goals/ [Accessed 23 Apr. 2025].</w:t>
      </w:r>
    </w:p>
    <w:p w14:paraId="0F62BA42"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Pageot, B. (2024). </w:t>
      </w:r>
      <w:r w:rsidRPr="006A2272">
        <w:rPr>
          <w:rFonts w:ascii="Times New Roman" w:hAnsi="Times New Roman" w:cs="Times New Roman"/>
          <w:i/>
          <w:iCs/>
          <w:lang w:val="en-GB"/>
        </w:rPr>
        <w:t>Education</w:t>
      </w:r>
      <w:r w:rsidRPr="006A2272">
        <w:rPr>
          <w:rFonts w:ascii="Times New Roman" w:hAnsi="Times New Roman" w:cs="Times New Roman"/>
          <w:lang w:val="en-GB"/>
        </w:rPr>
        <w:t>. [online] Forbes Advisor UK. Available at: https://www.forbes.com/uk/advisor/education/ [Accessed 23 Apr. 2025].</w:t>
      </w:r>
    </w:p>
    <w:p w14:paraId="599026C1"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Paugh, R. (2025). </w:t>
      </w:r>
      <w:r w:rsidRPr="006A2272">
        <w:rPr>
          <w:rFonts w:ascii="Times New Roman" w:hAnsi="Times New Roman" w:cs="Times New Roman"/>
          <w:i/>
          <w:iCs/>
          <w:lang w:val="en-GB"/>
        </w:rPr>
        <w:t>Overcoming the Challenges of Hybrid Work: Insights from HR Leaders</w:t>
      </w:r>
      <w:r w:rsidRPr="006A2272">
        <w:rPr>
          <w:rFonts w:ascii="Times New Roman" w:hAnsi="Times New Roman" w:cs="Times New Roman"/>
          <w:lang w:val="en-GB"/>
        </w:rPr>
        <w:t xml:space="preserve">. [online] Senior Executive. Available at: </w:t>
      </w:r>
      <w:r w:rsidRPr="006A2272">
        <w:rPr>
          <w:rFonts w:ascii="Times New Roman" w:hAnsi="Times New Roman" w:cs="Times New Roman"/>
          <w:lang w:val="en-GB"/>
        </w:rPr>
        <w:lastRenderedPageBreak/>
        <w:t>https://seniorexecutive.com/hybrid-work-challenges-solutions-hr-leadership/ [Accessed 23 Apr. 2025].</w:t>
      </w:r>
    </w:p>
    <w:p w14:paraId="0A2B9D79"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Plifka, J. (2025). </w:t>
      </w:r>
      <w:r w:rsidRPr="006A2272">
        <w:rPr>
          <w:rFonts w:ascii="Times New Roman" w:hAnsi="Times New Roman" w:cs="Times New Roman"/>
          <w:i/>
          <w:iCs/>
          <w:lang w:val="en-GB"/>
        </w:rPr>
        <w:t>John Plifka</w:t>
      </w:r>
      <w:r w:rsidRPr="006A2272">
        <w:rPr>
          <w:rFonts w:ascii="Times New Roman" w:hAnsi="Times New Roman" w:cs="Times New Roman"/>
          <w:lang w:val="en-GB"/>
        </w:rPr>
        <w:t>. [online] AboutLeaders. Available at: https://aboutleaders.com/closing-the-leadership-gap/ [Accessed 23 Apr. 2025].</w:t>
      </w:r>
    </w:p>
    <w:p w14:paraId="4644D8E3"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Practera (2021). </w:t>
      </w:r>
      <w:r w:rsidRPr="006A2272">
        <w:rPr>
          <w:rFonts w:ascii="Times New Roman" w:hAnsi="Times New Roman" w:cs="Times New Roman"/>
          <w:i/>
          <w:iCs/>
          <w:lang w:val="en-GB"/>
        </w:rPr>
        <w:t>What Is the Experiential Learning Theory of David Kolb?</w:t>
      </w:r>
      <w:r w:rsidRPr="006A2272">
        <w:rPr>
          <w:rFonts w:ascii="Times New Roman" w:hAnsi="Times New Roman" w:cs="Times New Roman"/>
          <w:lang w:val="en-GB"/>
        </w:rPr>
        <w:t xml:space="preserve"> [online] Practera. Available at: https://practera.com/what-is-the-experiential-learning-theory-of-david-kolb/ [Accessed 23 Apr. 2025].</w:t>
      </w:r>
    </w:p>
    <w:p w14:paraId="5A416391"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psico-smart.com (2020). </w:t>
      </w:r>
      <w:r w:rsidRPr="006A2272">
        <w:rPr>
          <w:rFonts w:ascii="Times New Roman" w:hAnsi="Times New Roman" w:cs="Times New Roman"/>
          <w:i/>
          <w:iCs/>
          <w:lang w:val="en-GB"/>
        </w:rPr>
        <w:t>How can leadership development programs impact overall organizational performance and resilience?</w:t>
      </w:r>
      <w:r w:rsidRPr="006A2272">
        <w:rPr>
          <w:rFonts w:ascii="Times New Roman" w:hAnsi="Times New Roman" w:cs="Times New Roman"/>
          <w:lang w:val="en-GB"/>
        </w:rPr>
        <w:t xml:space="preserve"> [online] Psico-smart.com. Available at: https://psico-smart.com/en/blogs/blog-how-can-leadership-development-programs-impact-overall-organizational-performance-and-resilience-124981 [Accessed 23 Apr. 2025].</w:t>
      </w:r>
    </w:p>
    <w:p w14:paraId="1995891F"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psico-smart.com (2024). </w:t>
      </w:r>
      <w:r w:rsidRPr="006A2272">
        <w:rPr>
          <w:rFonts w:ascii="Times New Roman" w:hAnsi="Times New Roman" w:cs="Times New Roman"/>
          <w:i/>
          <w:iCs/>
          <w:lang w:val="en-GB"/>
        </w:rPr>
        <w:t>How does the effectiveness of Elearning compare to traditional training methods in HR?</w:t>
      </w:r>
      <w:r w:rsidRPr="006A2272">
        <w:rPr>
          <w:rFonts w:ascii="Times New Roman" w:hAnsi="Times New Roman" w:cs="Times New Roman"/>
          <w:lang w:val="en-GB"/>
        </w:rPr>
        <w:t xml:space="preserve"> [online] Psico-smart.com. Available at: https://psico-smart.com/en/blogs/blog-how-does-the-effectiveness-of-elearning-compare-to-traditional-training-methods-in-hr-156902 [Accessed 23 Apr. 2025].</w:t>
      </w:r>
    </w:p>
    <w:p w14:paraId="18BA1CC4"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Reeves, M. (2024). Council Post: Coaching And Mentoring: Essential Components Of Successful Employee Development. </w:t>
      </w:r>
      <w:r w:rsidRPr="006A2272">
        <w:rPr>
          <w:rFonts w:ascii="Times New Roman" w:hAnsi="Times New Roman" w:cs="Times New Roman"/>
          <w:i/>
          <w:iCs/>
          <w:lang w:val="en-GB"/>
        </w:rPr>
        <w:t>Forbes</w:t>
      </w:r>
      <w:r w:rsidRPr="006A2272">
        <w:rPr>
          <w:rFonts w:ascii="Times New Roman" w:hAnsi="Times New Roman" w:cs="Times New Roman"/>
          <w:lang w:val="en-GB"/>
        </w:rPr>
        <w:t>. [online] 12 Aug. Available at: https://www.forbes.com/councils/forbeshumanresourcescouncil/2023/05/03/coaching-and-mentoring-essential-components-of-successful-employee-development/ [Accessed 23 Apr. 2025].</w:t>
      </w:r>
    </w:p>
    <w:p w14:paraId="36EE4F04"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RLB. (2024). </w:t>
      </w:r>
      <w:r w:rsidRPr="006A2272">
        <w:rPr>
          <w:rFonts w:ascii="Times New Roman" w:hAnsi="Times New Roman" w:cs="Times New Roman"/>
          <w:i/>
          <w:iCs/>
          <w:lang w:val="en-GB"/>
        </w:rPr>
        <w:t>How to lead an organisation through change when uncertainty is the only constant - RLB | Europe</w:t>
      </w:r>
      <w:r w:rsidRPr="006A2272">
        <w:rPr>
          <w:rFonts w:ascii="Times New Roman" w:hAnsi="Times New Roman" w:cs="Times New Roman"/>
          <w:lang w:val="en-GB"/>
        </w:rPr>
        <w:t>. [online] Available at: https://www.rlb.com/europe/insight/how-to-lead-an-organisation-through-change-when-uncertainty-is-the-only-constant/ [Accessed 23 Apr. 2025].</w:t>
      </w:r>
    </w:p>
    <w:p w14:paraId="6F5A0EB0"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lastRenderedPageBreak/>
        <w:t xml:space="preserve">Ross, S. (2024). </w:t>
      </w:r>
      <w:r w:rsidRPr="006A2272">
        <w:rPr>
          <w:rFonts w:ascii="Times New Roman" w:hAnsi="Times New Roman" w:cs="Times New Roman"/>
          <w:i/>
          <w:iCs/>
          <w:lang w:val="en-GB"/>
        </w:rPr>
        <w:t>What is the human capital theory and how is it used?</w:t>
      </w:r>
      <w:r w:rsidRPr="006A2272">
        <w:rPr>
          <w:rFonts w:ascii="Times New Roman" w:hAnsi="Times New Roman" w:cs="Times New Roman"/>
          <w:lang w:val="en-GB"/>
        </w:rPr>
        <w:t xml:space="preserve"> [online] Investopedia. Available at: https://www.investopedia.com/ask/answers/032715/what-human-capital-and-how-it-used.asp [Accessed 23 Apr. 2025].</w:t>
      </w:r>
    </w:p>
    <w:p w14:paraId="6CF265A7"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S.Gillis, A. (2024). </w:t>
      </w:r>
      <w:r w:rsidRPr="006A2272">
        <w:rPr>
          <w:rFonts w:ascii="Times New Roman" w:hAnsi="Times New Roman" w:cs="Times New Roman"/>
          <w:i/>
          <w:iCs/>
          <w:lang w:val="en-GB"/>
        </w:rPr>
        <w:t>What is a Competency Framework and How Do You Develop One?</w:t>
      </w:r>
      <w:r w:rsidRPr="006A2272">
        <w:rPr>
          <w:rFonts w:ascii="Times New Roman" w:hAnsi="Times New Roman" w:cs="Times New Roman"/>
          <w:lang w:val="en-GB"/>
        </w:rPr>
        <w:t xml:space="preserve"> [online] HR Software. Available at: https://www.techtarget.com/searchhrsoftware/definition/competency-framework [Accessed 23 Apr. 2025].</w:t>
      </w:r>
    </w:p>
    <w:p w14:paraId="2A32B147"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Tenney, M. (2023). </w:t>
      </w:r>
      <w:r w:rsidRPr="006A2272">
        <w:rPr>
          <w:rFonts w:ascii="Times New Roman" w:hAnsi="Times New Roman" w:cs="Times New Roman"/>
          <w:i/>
          <w:iCs/>
          <w:lang w:val="en-GB"/>
        </w:rPr>
        <w:t>How Leadership Affects Organizational Success - Business Leadership Today</w:t>
      </w:r>
      <w:r w:rsidRPr="006A2272">
        <w:rPr>
          <w:rFonts w:ascii="Times New Roman" w:hAnsi="Times New Roman" w:cs="Times New Roman"/>
          <w:lang w:val="en-GB"/>
        </w:rPr>
        <w:t>. [online] How Leadership Affects Organizational Success. Available at: https://businessleadershiptoday.com/how-does-leadership-affect-organizational-success/ [Accessed 23 Apr. 2025].</w:t>
      </w:r>
    </w:p>
    <w:p w14:paraId="75C7C323"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Towler, A. (2020). </w:t>
      </w:r>
      <w:r w:rsidRPr="006A2272">
        <w:rPr>
          <w:rFonts w:ascii="Times New Roman" w:hAnsi="Times New Roman" w:cs="Times New Roman"/>
          <w:i/>
          <w:iCs/>
          <w:lang w:val="en-GB"/>
        </w:rPr>
        <w:t>Complexity Leadership: Understanding organizations as dynamic and complex systems of social interactions | CQ Net - Management skills for everyone</w:t>
      </w:r>
      <w:r w:rsidRPr="006A2272">
        <w:rPr>
          <w:rFonts w:ascii="Times New Roman" w:hAnsi="Times New Roman" w:cs="Times New Roman"/>
          <w:lang w:val="en-GB"/>
        </w:rPr>
        <w:t>. [online] CQ Net - Management skills for everyone! Available at: https://www.ckju.net/en/dossier/complexity-leadership-complex-dynamic-organizations-social-interactions/32050 [Accessed 23 Apr. 2025].</w:t>
      </w:r>
    </w:p>
    <w:p w14:paraId="0B960776" w14:textId="77777777" w:rsidR="006A2272" w:rsidRPr="006A2272" w:rsidRDefault="006A2272" w:rsidP="006A2272">
      <w:pPr>
        <w:pStyle w:val="ae"/>
        <w:numPr>
          <w:ilvl w:val="0"/>
          <w:numId w:val="1"/>
        </w:numPr>
        <w:spacing w:before="0" w:beforeAutospacing="0" w:after="240" w:afterAutospacing="0" w:line="360" w:lineRule="auto"/>
        <w:rPr>
          <w:rFonts w:ascii="Times New Roman" w:hAnsi="Times New Roman" w:cs="Times New Roman"/>
          <w:lang w:val="en-GB"/>
        </w:rPr>
      </w:pPr>
      <w:r w:rsidRPr="006A2272">
        <w:rPr>
          <w:rFonts w:ascii="Times New Roman" w:hAnsi="Times New Roman" w:cs="Times New Roman"/>
          <w:lang w:val="en-GB"/>
        </w:rPr>
        <w:t xml:space="preserve">Yasmina (2024). </w:t>
      </w:r>
      <w:r w:rsidRPr="006A2272">
        <w:rPr>
          <w:rFonts w:ascii="Cambria Math" w:hAnsi="Cambria Math" w:cs="Cambria Math"/>
          <w:i/>
          <w:iCs/>
          <w:lang w:val="en-GB"/>
        </w:rPr>
        <w:t>▷</w:t>
      </w:r>
      <w:r w:rsidRPr="006A2272">
        <w:rPr>
          <w:rFonts w:ascii="Times New Roman" w:hAnsi="Times New Roman" w:cs="Times New Roman"/>
          <w:i/>
          <w:iCs/>
          <w:lang w:val="en-GB"/>
        </w:rPr>
        <w:t xml:space="preserve"> Key guide on inclusive Leadership | Esade</w:t>
      </w:r>
      <w:r w:rsidRPr="006A2272">
        <w:rPr>
          <w:rFonts w:ascii="Times New Roman" w:hAnsi="Times New Roman" w:cs="Times New Roman"/>
          <w:lang w:val="en-GB"/>
        </w:rPr>
        <w:t>. [online] Beyond by Esade. Available at: https://www.esade.edu/beyond/en/everything-you-need-to-know-about-inclusive-leadership-and-how-to-implement-it/ [Accessed 23 Apr. 2025].</w:t>
      </w:r>
    </w:p>
    <w:p w14:paraId="43187A68" w14:textId="77777777" w:rsidR="00884654" w:rsidRPr="006A2272" w:rsidRDefault="00884654" w:rsidP="00204335">
      <w:pPr>
        <w:rPr>
          <w:rFonts w:ascii="Times New Roman" w:hAnsi="Times New Roman" w:cs="Times New Roman"/>
          <w:lang w:val="en-US"/>
        </w:rPr>
      </w:pPr>
    </w:p>
    <w:sectPr w:rsidR="00884654" w:rsidRPr="006A2272">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95ACE" w14:textId="77777777" w:rsidR="007A219F" w:rsidRDefault="007A219F" w:rsidP="006A2272">
      <w:r>
        <w:separator/>
      </w:r>
    </w:p>
  </w:endnote>
  <w:endnote w:type="continuationSeparator" w:id="0">
    <w:p w14:paraId="61817DAC" w14:textId="77777777" w:rsidR="007A219F" w:rsidRDefault="007A219F" w:rsidP="006A2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B5C01" w14:textId="77777777" w:rsidR="006A2272" w:rsidRDefault="006A2272">
    <w:pPr>
      <w:pStyle w:val="af1"/>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2941802"/>
      <w:docPartObj>
        <w:docPartGallery w:val="Page Numbers (Bottom of Page)"/>
        <w:docPartUnique/>
      </w:docPartObj>
    </w:sdtPr>
    <w:sdtContent>
      <w:p w14:paraId="71F46E33" w14:textId="485AA900" w:rsidR="006A2272" w:rsidRDefault="006A2272">
        <w:pPr>
          <w:pStyle w:val="af1"/>
          <w:jc w:val="center"/>
        </w:pPr>
        <w:r>
          <w:fldChar w:fldCharType="begin"/>
        </w:r>
        <w:r>
          <w:instrText>PAGE   \* MERGEFORMAT</w:instrText>
        </w:r>
        <w:r>
          <w:fldChar w:fldCharType="separate"/>
        </w:r>
        <w:r>
          <w:rPr>
            <w:lang w:val="zh-CN"/>
          </w:rPr>
          <w:t>2</w:t>
        </w:r>
        <w:r>
          <w:fldChar w:fldCharType="end"/>
        </w:r>
      </w:p>
    </w:sdtContent>
  </w:sdt>
  <w:p w14:paraId="5A0B0A47" w14:textId="77777777" w:rsidR="006A2272" w:rsidRDefault="006A2272">
    <w:pPr>
      <w:pStyle w:val="af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862D6" w14:textId="77777777" w:rsidR="006A2272" w:rsidRDefault="006A2272">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83518" w14:textId="77777777" w:rsidR="007A219F" w:rsidRDefault="007A219F" w:rsidP="006A2272">
      <w:r>
        <w:separator/>
      </w:r>
    </w:p>
  </w:footnote>
  <w:footnote w:type="continuationSeparator" w:id="0">
    <w:p w14:paraId="54ED8C3D" w14:textId="77777777" w:rsidR="007A219F" w:rsidRDefault="007A219F" w:rsidP="006A22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368A9" w14:textId="77777777" w:rsidR="006A2272" w:rsidRDefault="006A2272">
    <w:pPr>
      <w:pStyle w:val="af"/>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A53F9" w14:textId="77777777" w:rsidR="006A2272" w:rsidRDefault="006A2272">
    <w:pPr>
      <w:pStyle w:val="af"/>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60CD6" w14:textId="77777777" w:rsidR="006A2272" w:rsidRDefault="006A2272">
    <w:pPr>
      <w:pStyle w:val="af"/>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A63BB"/>
    <w:multiLevelType w:val="hybridMultilevel"/>
    <w:tmpl w:val="749CDF4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15123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bordersDoNotSurroundHeader/>
  <w:bordersDoNotSurroundFooter/>
  <w:proofState w:spelling="clean" w:grammar="clean"/>
  <w:defaultTabStop w:val="4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53"/>
    <w:rsid w:val="00006E68"/>
    <w:rsid w:val="00034E74"/>
    <w:rsid w:val="000B6C00"/>
    <w:rsid w:val="001825AA"/>
    <w:rsid w:val="00186510"/>
    <w:rsid w:val="001B282D"/>
    <w:rsid w:val="00200288"/>
    <w:rsid w:val="00204335"/>
    <w:rsid w:val="0020463A"/>
    <w:rsid w:val="00280427"/>
    <w:rsid w:val="002D3875"/>
    <w:rsid w:val="002E55F8"/>
    <w:rsid w:val="00382E53"/>
    <w:rsid w:val="003C5597"/>
    <w:rsid w:val="003E433B"/>
    <w:rsid w:val="004A468E"/>
    <w:rsid w:val="005835E7"/>
    <w:rsid w:val="00632DF0"/>
    <w:rsid w:val="006A2272"/>
    <w:rsid w:val="006E44E8"/>
    <w:rsid w:val="007A219F"/>
    <w:rsid w:val="007C3A8E"/>
    <w:rsid w:val="00844931"/>
    <w:rsid w:val="00875242"/>
    <w:rsid w:val="00884654"/>
    <w:rsid w:val="008E2B03"/>
    <w:rsid w:val="009A0A0C"/>
    <w:rsid w:val="009A2635"/>
    <w:rsid w:val="009F41EB"/>
    <w:rsid w:val="00AD7298"/>
    <w:rsid w:val="00B60381"/>
    <w:rsid w:val="00BF1063"/>
    <w:rsid w:val="00C64896"/>
    <w:rsid w:val="00D0432B"/>
    <w:rsid w:val="00D10BEF"/>
    <w:rsid w:val="00D322C6"/>
    <w:rsid w:val="00D56F43"/>
    <w:rsid w:val="00D572FF"/>
    <w:rsid w:val="00D91959"/>
    <w:rsid w:val="00DC72BF"/>
    <w:rsid w:val="00E0767D"/>
    <w:rsid w:val="00EC34D1"/>
    <w:rsid w:val="00F33D5E"/>
    <w:rsid w:val="00F67D14"/>
    <w:rsid w:val="00FE1573"/>
    <w:rsid w:val="00FF3F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CDD00F"/>
  <w15:chartTrackingRefBased/>
  <w15:docId w15:val="{11A6A566-7B8E-4C54-BF72-2BFCCCF8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382E53"/>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382E53"/>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382E53"/>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382E53"/>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382E53"/>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382E53"/>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382E5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82E5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382E53"/>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82E53"/>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382E53"/>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382E53"/>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382E53"/>
    <w:rPr>
      <w:rFonts w:cstheme="majorBidi"/>
      <w:color w:val="2F5496" w:themeColor="accent1" w:themeShade="BF"/>
      <w:sz w:val="28"/>
      <w:szCs w:val="28"/>
    </w:rPr>
  </w:style>
  <w:style w:type="character" w:customStyle="1" w:styleId="50">
    <w:name w:val="标题 5 字符"/>
    <w:basedOn w:val="a0"/>
    <w:link w:val="5"/>
    <w:uiPriority w:val="9"/>
    <w:semiHidden/>
    <w:rsid w:val="00382E53"/>
    <w:rPr>
      <w:rFonts w:cstheme="majorBidi"/>
      <w:color w:val="2F5496" w:themeColor="accent1" w:themeShade="BF"/>
      <w:sz w:val="24"/>
      <w:szCs w:val="24"/>
    </w:rPr>
  </w:style>
  <w:style w:type="character" w:customStyle="1" w:styleId="60">
    <w:name w:val="标题 6 字符"/>
    <w:basedOn w:val="a0"/>
    <w:link w:val="6"/>
    <w:uiPriority w:val="9"/>
    <w:semiHidden/>
    <w:rsid w:val="00382E53"/>
    <w:rPr>
      <w:rFonts w:cstheme="majorBidi"/>
      <w:b/>
      <w:bCs/>
      <w:color w:val="2F5496" w:themeColor="accent1" w:themeShade="BF"/>
    </w:rPr>
  </w:style>
  <w:style w:type="character" w:customStyle="1" w:styleId="70">
    <w:name w:val="标题 7 字符"/>
    <w:basedOn w:val="a0"/>
    <w:link w:val="7"/>
    <w:uiPriority w:val="9"/>
    <w:semiHidden/>
    <w:rsid w:val="00382E53"/>
    <w:rPr>
      <w:rFonts w:cstheme="majorBidi"/>
      <w:b/>
      <w:bCs/>
      <w:color w:val="595959" w:themeColor="text1" w:themeTint="A6"/>
    </w:rPr>
  </w:style>
  <w:style w:type="character" w:customStyle="1" w:styleId="80">
    <w:name w:val="标题 8 字符"/>
    <w:basedOn w:val="a0"/>
    <w:link w:val="8"/>
    <w:uiPriority w:val="9"/>
    <w:semiHidden/>
    <w:rsid w:val="00382E53"/>
    <w:rPr>
      <w:rFonts w:cstheme="majorBidi"/>
      <w:color w:val="595959" w:themeColor="text1" w:themeTint="A6"/>
    </w:rPr>
  </w:style>
  <w:style w:type="character" w:customStyle="1" w:styleId="90">
    <w:name w:val="标题 9 字符"/>
    <w:basedOn w:val="a0"/>
    <w:link w:val="9"/>
    <w:uiPriority w:val="9"/>
    <w:semiHidden/>
    <w:rsid w:val="00382E53"/>
    <w:rPr>
      <w:rFonts w:eastAsiaTheme="majorEastAsia" w:cstheme="majorBidi"/>
      <w:color w:val="595959" w:themeColor="text1" w:themeTint="A6"/>
    </w:rPr>
  </w:style>
  <w:style w:type="paragraph" w:styleId="a3">
    <w:name w:val="Title"/>
    <w:basedOn w:val="a"/>
    <w:next w:val="a"/>
    <w:link w:val="a4"/>
    <w:uiPriority w:val="10"/>
    <w:qFormat/>
    <w:rsid w:val="00382E5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82E5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82E5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82E5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82E53"/>
    <w:pPr>
      <w:spacing w:before="160" w:after="160"/>
      <w:jc w:val="center"/>
    </w:pPr>
    <w:rPr>
      <w:i/>
      <w:iCs/>
      <w:color w:val="404040" w:themeColor="text1" w:themeTint="BF"/>
    </w:rPr>
  </w:style>
  <w:style w:type="character" w:customStyle="1" w:styleId="a8">
    <w:name w:val="引用 字符"/>
    <w:basedOn w:val="a0"/>
    <w:link w:val="a7"/>
    <w:uiPriority w:val="29"/>
    <w:rsid w:val="00382E53"/>
    <w:rPr>
      <w:i/>
      <w:iCs/>
      <w:color w:val="404040" w:themeColor="text1" w:themeTint="BF"/>
    </w:rPr>
  </w:style>
  <w:style w:type="paragraph" w:styleId="a9">
    <w:name w:val="List Paragraph"/>
    <w:basedOn w:val="a"/>
    <w:uiPriority w:val="34"/>
    <w:qFormat/>
    <w:rsid w:val="00382E53"/>
    <w:pPr>
      <w:ind w:left="720"/>
      <w:contextualSpacing/>
    </w:pPr>
  </w:style>
  <w:style w:type="character" w:styleId="aa">
    <w:name w:val="Intense Emphasis"/>
    <w:basedOn w:val="a0"/>
    <w:uiPriority w:val="21"/>
    <w:qFormat/>
    <w:rsid w:val="00382E53"/>
    <w:rPr>
      <w:i/>
      <w:iCs/>
      <w:color w:val="2F5496" w:themeColor="accent1" w:themeShade="BF"/>
    </w:rPr>
  </w:style>
  <w:style w:type="paragraph" w:styleId="ab">
    <w:name w:val="Intense Quote"/>
    <w:basedOn w:val="a"/>
    <w:next w:val="a"/>
    <w:link w:val="ac"/>
    <w:uiPriority w:val="30"/>
    <w:qFormat/>
    <w:rsid w:val="00382E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382E53"/>
    <w:rPr>
      <w:i/>
      <w:iCs/>
      <w:color w:val="2F5496" w:themeColor="accent1" w:themeShade="BF"/>
    </w:rPr>
  </w:style>
  <w:style w:type="character" w:styleId="ad">
    <w:name w:val="Intense Reference"/>
    <w:basedOn w:val="a0"/>
    <w:uiPriority w:val="32"/>
    <w:qFormat/>
    <w:rsid w:val="00382E53"/>
    <w:rPr>
      <w:b/>
      <w:bCs/>
      <w:smallCaps/>
      <w:color w:val="2F5496" w:themeColor="accent1" w:themeShade="BF"/>
      <w:spacing w:val="5"/>
    </w:rPr>
  </w:style>
  <w:style w:type="paragraph" w:customStyle="1" w:styleId="whitespace-pre-wrap">
    <w:name w:val="whitespace-pre-wrap"/>
    <w:basedOn w:val="a"/>
    <w:rsid w:val="00FF3F4B"/>
    <w:pPr>
      <w:widowControl/>
      <w:spacing w:before="100" w:beforeAutospacing="1" w:after="100" w:afterAutospacing="1"/>
      <w:jc w:val="left"/>
    </w:pPr>
    <w:rPr>
      <w:rFonts w:ascii="宋体" w:eastAsia="宋体" w:hAnsi="宋体" w:cs="宋体"/>
      <w:kern w:val="0"/>
      <w:sz w:val="24"/>
      <w:szCs w:val="24"/>
    </w:rPr>
  </w:style>
  <w:style w:type="paragraph" w:styleId="ae">
    <w:name w:val="Normal (Web)"/>
    <w:basedOn w:val="a"/>
    <w:uiPriority w:val="99"/>
    <w:semiHidden/>
    <w:unhideWhenUsed/>
    <w:rsid w:val="006A2272"/>
    <w:pPr>
      <w:widowControl/>
      <w:spacing w:before="100" w:beforeAutospacing="1" w:after="100" w:afterAutospacing="1"/>
      <w:jc w:val="left"/>
    </w:pPr>
    <w:rPr>
      <w:rFonts w:ascii="宋体" w:eastAsia="宋体" w:hAnsi="宋体" w:cs="宋体"/>
      <w:kern w:val="0"/>
      <w:sz w:val="24"/>
      <w:szCs w:val="24"/>
      <w:lang w:val="en-US"/>
      <w14:ligatures w14:val="none"/>
    </w:rPr>
  </w:style>
  <w:style w:type="paragraph" w:styleId="af">
    <w:name w:val="header"/>
    <w:basedOn w:val="a"/>
    <w:link w:val="af0"/>
    <w:uiPriority w:val="99"/>
    <w:unhideWhenUsed/>
    <w:rsid w:val="006A2272"/>
    <w:pPr>
      <w:tabs>
        <w:tab w:val="center" w:pos="4153"/>
        <w:tab w:val="right" w:pos="8306"/>
      </w:tabs>
      <w:snapToGrid w:val="0"/>
      <w:jc w:val="center"/>
    </w:pPr>
    <w:rPr>
      <w:sz w:val="18"/>
      <w:szCs w:val="18"/>
    </w:rPr>
  </w:style>
  <w:style w:type="character" w:customStyle="1" w:styleId="af0">
    <w:name w:val="页眉 字符"/>
    <w:basedOn w:val="a0"/>
    <w:link w:val="af"/>
    <w:uiPriority w:val="99"/>
    <w:rsid w:val="006A2272"/>
    <w:rPr>
      <w:sz w:val="18"/>
      <w:szCs w:val="18"/>
      <w:lang w:val="en-GB"/>
    </w:rPr>
  </w:style>
  <w:style w:type="paragraph" w:styleId="af1">
    <w:name w:val="footer"/>
    <w:basedOn w:val="a"/>
    <w:link w:val="af2"/>
    <w:uiPriority w:val="99"/>
    <w:unhideWhenUsed/>
    <w:rsid w:val="006A2272"/>
    <w:pPr>
      <w:tabs>
        <w:tab w:val="center" w:pos="4153"/>
        <w:tab w:val="right" w:pos="8306"/>
      </w:tabs>
      <w:snapToGrid w:val="0"/>
      <w:jc w:val="left"/>
    </w:pPr>
    <w:rPr>
      <w:sz w:val="18"/>
      <w:szCs w:val="18"/>
    </w:rPr>
  </w:style>
  <w:style w:type="character" w:customStyle="1" w:styleId="af2">
    <w:name w:val="页脚 字符"/>
    <w:basedOn w:val="a0"/>
    <w:link w:val="af1"/>
    <w:uiPriority w:val="99"/>
    <w:rsid w:val="006A2272"/>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08383">
      <w:bodyDiv w:val="1"/>
      <w:marLeft w:val="0"/>
      <w:marRight w:val="0"/>
      <w:marTop w:val="0"/>
      <w:marBottom w:val="0"/>
      <w:divBdr>
        <w:top w:val="none" w:sz="0" w:space="0" w:color="auto"/>
        <w:left w:val="none" w:sz="0" w:space="0" w:color="auto"/>
        <w:bottom w:val="none" w:sz="0" w:space="0" w:color="auto"/>
        <w:right w:val="none" w:sz="0" w:space="0" w:color="auto"/>
      </w:divBdr>
      <w:divsChild>
        <w:div w:id="1054738473">
          <w:marLeft w:val="0"/>
          <w:marRight w:val="0"/>
          <w:marTop w:val="0"/>
          <w:marBottom w:val="0"/>
          <w:divBdr>
            <w:top w:val="none" w:sz="0" w:space="0" w:color="auto"/>
            <w:left w:val="none" w:sz="0" w:space="0" w:color="auto"/>
            <w:bottom w:val="none" w:sz="0" w:space="0" w:color="auto"/>
            <w:right w:val="none" w:sz="0" w:space="0" w:color="auto"/>
          </w:divBdr>
        </w:div>
      </w:divsChild>
    </w:div>
    <w:div w:id="648707275">
      <w:bodyDiv w:val="1"/>
      <w:marLeft w:val="0"/>
      <w:marRight w:val="0"/>
      <w:marTop w:val="0"/>
      <w:marBottom w:val="0"/>
      <w:divBdr>
        <w:top w:val="none" w:sz="0" w:space="0" w:color="auto"/>
        <w:left w:val="none" w:sz="0" w:space="0" w:color="auto"/>
        <w:bottom w:val="none" w:sz="0" w:space="0" w:color="auto"/>
        <w:right w:val="none" w:sz="0" w:space="0" w:color="auto"/>
      </w:divBdr>
    </w:div>
    <w:div w:id="903956581">
      <w:bodyDiv w:val="1"/>
      <w:marLeft w:val="0"/>
      <w:marRight w:val="0"/>
      <w:marTop w:val="0"/>
      <w:marBottom w:val="0"/>
      <w:divBdr>
        <w:top w:val="none" w:sz="0" w:space="0" w:color="auto"/>
        <w:left w:val="none" w:sz="0" w:space="0" w:color="auto"/>
        <w:bottom w:val="none" w:sz="0" w:space="0" w:color="auto"/>
        <w:right w:val="none" w:sz="0" w:space="0" w:color="auto"/>
      </w:divBdr>
      <w:divsChild>
        <w:div w:id="1750695366">
          <w:marLeft w:val="0"/>
          <w:marRight w:val="0"/>
          <w:marTop w:val="0"/>
          <w:marBottom w:val="0"/>
          <w:divBdr>
            <w:top w:val="none" w:sz="0" w:space="0" w:color="auto"/>
            <w:left w:val="none" w:sz="0" w:space="0" w:color="auto"/>
            <w:bottom w:val="none" w:sz="0" w:space="0" w:color="auto"/>
            <w:right w:val="none" w:sz="0" w:space="0" w:color="auto"/>
          </w:divBdr>
          <w:divsChild>
            <w:div w:id="43070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TotalTime>
  <Pages>23</Pages>
  <Words>3677</Words>
  <Characters>28064</Characters>
  <Application>Microsoft Office Word</Application>
  <DocSecurity>0</DocSecurity>
  <Lines>475</Lines>
  <Paragraphs>132</Paragraphs>
  <ScaleCrop>false</ScaleCrop>
  <Company/>
  <LinksUpToDate>false</LinksUpToDate>
  <CharactersWithSpaces>31609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2025-04-24T00:28:00Z</dcterms:created>
  <dcterms:modified xsi:type="dcterms:W3CDTF">2025-04-25T10:48:00Z</dcterms:modified>
</cp:coreProperties>
</file>