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923049" w14:textId="77777777" w:rsidR="000A720E" w:rsidRDefault="000A720E" w:rsidP="000A720E">
      <w:pPr>
        <w:spacing w:line="259" w:lineRule="auto"/>
        <w:jc w:val="center"/>
        <w:rPr>
          <w:b/>
          <w:bCs/>
        </w:rPr>
      </w:pPr>
      <w:r w:rsidRPr="00027E02">
        <w:rPr>
          <w:b/>
          <w:bCs/>
          <w:noProof/>
          <w:lang w:val="en-US"/>
        </w:rPr>
        <w:drawing>
          <wp:anchor distT="0" distB="0" distL="114300" distR="114300" simplePos="0" relativeHeight="251659264" behindDoc="0" locked="0" layoutInCell="1" allowOverlap="1" wp14:anchorId="033B2848" wp14:editId="0F8502DD">
            <wp:simplePos x="0" y="0"/>
            <wp:positionH relativeFrom="margin">
              <wp:posOffset>1676400</wp:posOffset>
            </wp:positionH>
            <wp:positionV relativeFrom="margin">
              <wp:posOffset>161925</wp:posOffset>
            </wp:positionV>
            <wp:extent cx="2305050" cy="771525"/>
            <wp:effectExtent l="1905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305050" cy="771525"/>
                    </a:xfrm>
                    <a:prstGeom prst="rect">
                      <a:avLst/>
                    </a:prstGeom>
                    <a:ln/>
                  </pic:spPr>
                </pic:pic>
              </a:graphicData>
            </a:graphic>
          </wp:anchor>
        </w:drawing>
      </w:r>
    </w:p>
    <w:p w14:paraId="75531318" w14:textId="77777777" w:rsidR="000A720E" w:rsidRDefault="000A720E" w:rsidP="000A720E">
      <w:pPr>
        <w:spacing w:line="259" w:lineRule="auto"/>
        <w:jc w:val="center"/>
        <w:rPr>
          <w:b/>
          <w:bCs/>
        </w:rPr>
      </w:pPr>
    </w:p>
    <w:p w14:paraId="0F1070DD" w14:textId="77777777" w:rsidR="000A720E" w:rsidRDefault="000A720E" w:rsidP="000A720E">
      <w:pPr>
        <w:spacing w:line="259" w:lineRule="auto"/>
        <w:jc w:val="center"/>
        <w:rPr>
          <w:b/>
          <w:bCs/>
        </w:rPr>
      </w:pPr>
    </w:p>
    <w:p w14:paraId="04C68C8E" w14:textId="77777777" w:rsidR="000A720E" w:rsidRDefault="000A720E" w:rsidP="000A720E">
      <w:pPr>
        <w:spacing w:line="259" w:lineRule="auto"/>
        <w:jc w:val="center"/>
        <w:rPr>
          <w:b/>
          <w:bCs/>
        </w:rPr>
      </w:pPr>
    </w:p>
    <w:p w14:paraId="500AD4E3" w14:textId="77777777" w:rsidR="000A720E" w:rsidRDefault="000A720E" w:rsidP="000A720E">
      <w:pPr>
        <w:spacing w:line="259" w:lineRule="auto"/>
        <w:jc w:val="center"/>
        <w:rPr>
          <w:b/>
          <w:bCs/>
        </w:rPr>
      </w:pPr>
    </w:p>
    <w:p w14:paraId="4A95F63C" w14:textId="77777777" w:rsidR="000A720E" w:rsidRDefault="000A720E" w:rsidP="000A720E">
      <w:pPr>
        <w:spacing w:line="259" w:lineRule="auto"/>
        <w:jc w:val="center"/>
        <w:rPr>
          <w:b/>
          <w:bCs/>
        </w:rPr>
      </w:pPr>
    </w:p>
    <w:p w14:paraId="7614399B" w14:textId="77777777" w:rsidR="000A720E" w:rsidRDefault="000A720E" w:rsidP="000A720E">
      <w:pPr>
        <w:spacing w:line="259" w:lineRule="auto"/>
        <w:jc w:val="center"/>
        <w:rPr>
          <w:b/>
          <w:bCs/>
          <w:sz w:val="36"/>
          <w:szCs w:val="32"/>
        </w:rPr>
      </w:pPr>
      <w:r w:rsidRPr="006E17A4">
        <w:rPr>
          <w:b/>
          <w:bCs/>
          <w:sz w:val="36"/>
          <w:szCs w:val="32"/>
        </w:rPr>
        <w:t>Research Project Proposal</w:t>
      </w:r>
    </w:p>
    <w:p w14:paraId="00F2D909" w14:textId="77777777" w:rsidR="000A720E" w:rsidRDefault="000A720E" w:rsidP="000A720E">
      <w:pPr>
        <w:spacing w:line="259" w:lineRule="auto"/>
        <w:jc w:val="center"/>
        <w:rPr>
          <w:b/>
          <w:bCs/>
          <w:sz w:val="36"/>
          <w:szCs w:val="32"/>
        </w:rPr>
      </w:pPr>
    </w:p>
    <w:p w14:paraId="7F7CED21" w14:textId="77777777" w:rsidR="000A720E" w:rsidRDefault="000A720E" w:rsidP="000A720E">
      <w:pPr>
        <w:spacing w:line="259" w:lineRule="auto"/>
        <w:jc w:val="center"/>
        <w:rPr>
          <w:b/>
          <w:bCs/>
          <w:sz w:val="36"/>
          <w:szCs w:val="32"/>
        </w:rPr>
      </w:pPr>
      <w:r>
        <w:rPr>
          <w:b/>
          <w:bCs/>
          <w:sz w:val="36"/>
          <w:szCs w:val="32"/>
        </w:rPr>
        <w:t xml:space="preserve">Applicability of Employee Engagement Approach in the Marriot International’s Business Context </w:t>
      </w:r>
    </w:p>
    <w:p w14:paraId="76A21A66" w14:textId="77777777" w:rsidR="000A720E" w:rsidRDefault="000A720E" w:rsidP="000A720E">
      <w:pPr>
        <w:spacing w:line="259" w:lineRule="auto"/>
        <w:jc w:val="center"/>
        <w:rPr>
          <w:b/>
          <w:bCs/>
          <w:sz w:val="36"/>
          <w:szCs w:val="32"/>
        </w:rPr>
      </w:pPr>
    </w:p>
    <w:p w14:paraId="43DBB9C2" w14:textId="77777777" w:rsidR="000A720E" w:rsidRDefault="000A720E" w:rsidP="000A720E">
      <w:pPr>
        <w:spacing w:line="259" w:lineRule="auto"/>
        <w:jc w:val="center"/>
        <w:rPr>
          <w:b/>
          <w:bCs/>
          <w:sz w:val="36"/>
          <w:szCs w:val="32"/>
        </w:rPr>
      </w:pPr>
    </w:p>
    <w:p w14:paraId="5F72274F" w14:textId="77777777" w:rsidR="000A720E" w:rsidRDefault="000A720E" w:rsidP="000A720E">
      <w:pPr>
        <w:spacing w:line="259" w:lineRule="auto"/>
        <w:jc w:val="center"/>
        <w:rPr>
          <w:b/>
          <w:bCs/>
          <w:sz w:val="36"/>
          <w:szCs w:val="32"/>
        </w:rPr>
      </w:pPr>
    </w:p>
    <w:p w14:paraId="395AE7C1" w14:textId="77777777" w:rsidR="000A720E" w:rsidRDefault="000A720E" w:rsidP="000A720E">
      <w:pPr>
        <w:spacing w:line="259" w:lineRule="auto"/>
        <w:jc w:val="center"/>
        <w:rPr>
          <w:b/>
          <w:bCs/>
          <w:sz w:val="36"/>
          <w:szCs w:val="32"/>
        </w:rPr>
      </w:pPr>
    </w:p>
    <w:p w14:paraId="6F7999B9" w14:textId="77777777" w:rsidR="000A720E" w:rsidRDefault="000A720E" w:rsidP="000A720E">
      <w:pPr>
        <w:spacing w:line="259" w:lineRule="auto"/>
        <w:jc w:val="center"/>
        <w:rPr>
          <w:b/>
          <w:bCs/>
          <w:sz w:val="36"/>
          <w:szCs w:val="32"/>
        </w:rPr>
      </w:pPr>
    </w:p>
    <w:p w14:paraId="270B3A68" w14:textId="77777777" w:rsidR="000A720E" w:rsidRDefault="000A720E" w:rsidP="000A720E">
      <w:pPr>
        <w:jc w:val="center"/>
      </w:pPr>
      <w:r>
        <w:t>Name of the Student:</w:t>
      </w:r>
      <w:r>
        <w:t xml:space="preserve"> Md Forhad Hossain</w:t>
      </w:r>
    </w:p>
    <w:p w14:paraId="74CC6658" w14:textId="77777777" w:rsidR="000A720E" w:rsidRDefault="000A720E" w:rsidP="000A720E">
      <w:pPr>
        <w:jc w:val="center"/>
      </w:pPr>
      <w:r>
        <w:t>Student’s ID:</w:t>
      </w:r>
      <w:r>
        <w:t xml:space="preserve"> 1706033</w:t>
      </w:r>
    </w:p>
    <w:p w14:paraId="607F3182" w14:textId="77777777" w:rsidR="000A720E" w:rsidRPr="006E17A4" w:rsidRDefault="000A720E" w:rsidP="000A720E">
      <w:pPr>
        <w:jc w:val="center"/>
      </w:pPr>
      <w:r>
        <w:t>Course:</w:t>
      </w:r>
      <w:r w:rsidR="000E7245">
        <w:t xml:space="preserve"> BMIH5005</w:t>
      </w:r>
      <w:bookmarkStart w:id="0" w:name="_GoBack"/>
      <w:bookmarkEnd w:id="0"/>
      <w:r>
        <w:br w:type="page"/>
      </w:r>
    </w:p>
    <w:sdt>
      <w:sdtPr>
        <w:rPr>
          <w:rFonts w:ascii="Arial" w:eastAsiaTheme="minorHAnsi" w:hAnsi="Arial" w:cstheme="minorBidi"/>
          <w:color w:val="auto"/>
          <w:sz w:val="24"/>
          <w:szCs w:val="22"/>
          <w:lang w:val="en-IN"/>
        </w:rPr>
        <w:id w:val="-1866900611"/>
        <w:docPartObj>
          <w:docPartGallery w:val="Table of Contents"/>
          <w:docPartUnique/>
        </w:docPartObj>
      </w:sdtPr>
      <w:sdtEndPr>
        <w:rPr>
          <w:b/>
          <w:bCs/>
          <w:noProof/>
        </w:rPr>
      </w:sdtEndPr>
      <w:sdtContent>
        <w:p w14:paraId="0A9B25AA" w14:textId="77777777" w:rsidR="000A720E" w:rsidRPr="00266FBF" w:rsidRDefault="000A720E" w:rsidP="000A720E">
          <w:pPr>
            <w:pStyle w:val="TOCHeading"/>
            <w:jc w:val="center"/>
            <w:rPr>
              <w:b/>
              <w:bCs/>
              <w:color w:val="auto"/>
            </w:rPr>
          </w:pPr>
          <w:r w:rsidRPr="00266FBF">
            <w:rPr>
              <w:b/>
              <w:bCs/>
              <w:color w:val="auto"/>
            </w:rPr>
            <w:t>Table of Contents</w:t>
          </w:r>
        </w:p>
        <w:p w14:paraId="7D00B1A3" w14:textId="77777777" w:rsidR="000A720E" w:rsidRDefault="000A720E">
          <w:pPr>
            <w:pStyle w:val="TOC1"/>
            <w:tabs>
              <w:tab w:val="right" w:leader="dot" w:pos="9016"/>
            </w:tabs>
            <w:rPr>
              <w:rFonts w:asciiTheme="minorHAnsi" w:eastAsiaTheme="minorEastAsia" w:hAnsiTheme="minorHAnsi"/>
              <w:noProof/>
              <w:szCs w:val="24"/>
              <w:lang w:val="en-GB" w:eastAsia="ja-JP"/>
            </w:rPr>
          </w:pPr>
          <w:r>
            <w:fldChar w:fldCharType="begin"/>
          </w:r>
          <w:r>
            <w:instrText xml:space="preserve"> TOC \o "1-3" \h \z \u </w:instrText>
          </w:r>
          <w:r>
            <w:fldChar w:fldCharType="separate"/>
          </w:r>
          <w:r>
            <w:rPr>
              <w:noProof/>
            </w:rPr>
            <w:t>Task 1</w:t>
          </w:r>
          <w:r>
            <w:rPr>
              <w:noProof/>
            </w:rPr>
            <w:tab/>
          </w:r>
          <w:r>
            <w:rPr>
              <w:noProof/>
            </w:rPr>
            <w:fldChar w:fldCharType="begin"/>
          </w:r>
          <w:r>
            <w:rPr>
              <w:noProof/>
            </w:rPr>
            <w:instrText xml:space="preserve"> PAGEREF _Toc518765041 \h </w:instrText>
          </w:r>
          <w:r>
            <w:rPr>
              <w:noProof/>
            </w:rPr>
          </w:r>
          <w:r>
            <w:rPr>
              <w:noProof/>
            </w:rPr>
            <w:fldChar w:fldCharType="separate"/>
          </w:r>
          <w:r>
            <w:rPr>
              <w:noProof/>
            </w:rPr>
            <w:t>3</w:t>
          </w:r>
          <w:r>
            <w:rPr>
              <w:noProof/>
            </w:rPr>
            <w:fldChar w:fldCharType="end"/>
          </w:r>
        </w:p>
        <w:p w14:paraId="1EABB3FA"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Introduction and Background</w:t>
          </w:r>
          <w:r>
            <w:rPr>
              <w:noProof/>
            </w:rPr>
            <w:tab/>
          </w:r>
          <w:r>
            <w:rPr>
              <w:noProof/>
            </w:rPr>
            <w:fldChar w:fldCharType="begin"/>
          </w:r>
          <w:r>
            <w:rPr>
              <w:noProof/>
            </w:rPr>
            <w:instrText xml:space="preserve"> PAGEREF _Toc518765042 \h </w:instrText>
          </w:r>
          <w:r>
            <w:rPr>
              <w:noProof/>
            </w:rPr>
          </w:r>
          <w:r>
            <w:rPr>
              <w:noProof/>
            </w:rPr>
            <w:fldChar w:fldCharType="separate"/>
          </w:r>
          <w:r>
            <w:rPr>
              <w:noProof/>
            </w:rPr>
            <w:t>3</w:t>
          </w:r>
          <w:r>
            <w:rPr>
              <w:noProof/>
            </w:rPr>
            <w:fldChar w:fldCharType="end"/>
          </w:r>
        </w:p>
        <w:p w14:paraId="3C2437BE"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Rational of the Theme</w:t>
          </w:r>
          <w:r>
            <w:rPr>
              <w:noProof/>
            </w:rPr>
            <w:tab/>
          </w:r>
          <w:r>
            <w:rPr>
              <w:noProof/>
            </w:rPr>
            <w:fldChar w:fldCharType="begin"/>
          </w:r>
          <w:r>
            <w:rPr>
              <w:noProof/>
            </w:rPr>
            <w:instrText xml:space="preserve"> PAGEREF _Toc518765043 \h </w:instrText>
          </w:r>
          <w:r>
            <w:rPr>
              <w:noProof/>
            </w:rPr>
          </w:r>
          <w:r>
            <w:rPr>
              <w:noProof/>
            </w:rPr>
            <w:fldChar w:fldCharType="separate"/>
          </w:r>
          <w:r>
            <w:rPr>
              <w:noProof/>
            </w:rPr>
            <w:t>3</w:t>
          </w:r>
          <w:r>
            <w:rPr>
              <w:noProof/>
            </w:rPr>
            <w:fldChar w:fldCharType="end"/>
          </w:r>
        </w:p>
        <w:p w14:paraId="547B3729"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Background of the Company</w:t>
          </w:r>
          <w:r>
            <w:rPr>
              <w:noProof/>
            </w:rPr>
            <w:tab/>
          </w:r>
          <w:r>
            <w:rPr>
              <w:noProof/>
            </w:rPr>
            <w:fldChar w:fldCharType="begin"/>
          </w:r>
          <w:r>
            <w:rPr>
              <w:noProof/>
            </w:rPr>
            <w:instrText xml:space="preserve"> PAGEREF _Toc518765044 \h </w:instrText>
          </w:r>
          <w:r>
            <w:rPr>
              <w:noProof/>
            </w:rPr>
          </w:r>
          <w:r>
            <w:rPr>
              <w:noProof/>
            </w:rPr>
            <w:fldChar w:fldCharType="separate"/>
          </w:r>
          <w:r>
            <w:rPr>
              <w:noProof/>
            </w:rPr>
            <w:t>3</w:t>
          </w:r>
          <w:r>
            <w:rPr>
              <w:noProof/>
            </w:rPr>
            <w:fldChar w:fldCharType="end"/>
          </w:r>
        </w:p>
        <w:p w14:paraId="15FFF025"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Tasks 2 and 3</w:t>
          </w:r>
          <w:r>
            <w:rPr>
              <w:noProof/>
            </w:rPr>
            <w:tab/>
          </w:r>
          <w:r>
            <w:rPr>
              <w:noProof/>
            </w:rPr>
            <w:fldChar w:fldCharType="begin"/>
          </w:r>
          <w:r>
            <w:rPr>
              <w:noProof/>
            </w:rPr>
            <w:instrText xml:space="preserve"> PAGEREF _Toc518765045 \h </w:instrText>
          </w:r>
          <w:r>
            <w:rPr>
              <w:noProof/>
            </w:rPr>
          </w:r>
          <w:r>
            <w:rPr>
              <w:noProof/>
            </w:rPr>
            <w:fldChar w:fldCharType="separate"/>
          </w:r>
          <w:r>
            <w:rPr>
              <w:noProof/>
            </w:rPr>
            <w:t>4</w:t>
          </w:r>
          <w:r>
            <w:rPr>
              <w:noProof/>
            </w:rPr>
            <w:fldChar w:fldCharType="end"/>
          </w:r>
        </w:p>
        <w:p w14:paraId="16AC8386"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Discussion on LiteratureAnd Methodical Approach</w:t>
          </w:r>
          <w:r>
            <w:rPr>
              <w:noProof/>
            </w:rPr>
            <w:tab/>
          </w:r>
          <w:r>
            <w:rPr>
              <w:noProof/>
            </w:rPr>
            <w:fldChar w:fldCharType="begin"/>
          </w:r>
          <w:r>
            <w:rPr>
              <w:noProof/>
            </w:rPr>
            <w:instrText xml:space="preserve"> PAGEREF _Toc518765046 \h </w:instrText>
          </w:r>
          <w:r>
            <w:rPr>
              <w:noProof/>
            </w:rPr>
          </w:r>
          <w:r>
            <w:rPr>
              <w:noProof/>
            </w:rPr>
            <w:fldChar w:fldCharType="separate"/>
          </w:r>
          <w:r>
            <w:rPr>
              <w:noProof/>
            </w:rPr>
            <w:t>4</w:t>
          </w:r>
          <w:r>
            <w:rPr>
              <w:noProof/>
            </w:rPr>
            <w:fldChar w:fldCharType="end"/>
          </w:r>
        </w:p>
        <w:p w14:paraId="733E7B7A"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The Significance and Relevance of Employee Engagement</w:t>
          </w:r>
          <w:r>
            <w:rPr>
              <w:noProof/>
            </w:rPr>
            <w:tab/>
          </w:r>
          <w:r>
            <w:rPr>
              <w:noProof/>
            </w:rPr>
            <w:fldChar w:fldCharType="begin"/>
          </w:r>
          <w:r>
            <w:rPr>
              <w:noProof/>
            </w:rPr>
            <w:instrText xml:space="preserve"> PAGEREF _Toc518765047 \h </w:instrText>
          </w:r>
          <w:r>
            <w:rPr>
              <w:noProof/>
            </w:rPr>
          </w:r>
          <w:r>
            <w:rPr>
              <w:noProof/>
            </w:rPr>
            <w:fldChar w:fldCharType="separate"/>
          </w:r>
          <w:r>
            <w:rPr>
              <w:noProof/>
            </w:rPr>
            <w:t>4</w:t>
          </w:r>
          <w:r>
            <w:rPr>
              <w:noProof/>
            </w:rPr>
            <w:fldChar w:fldCharType="end"/>
          </w:r>
        </w:p>
        <w:p w14:paraId="3F13E251"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Methodology for Employee Engagement Measurement</w:t>
          </w:r>
          <w:r>
            <w:rPr>
              <w:noProof/>
            </w:rPr>
            <w:tab/>
          </w:r>
          <w:r>
            <w:rPr>
              <w:noProof/>
            </w:rPr>
            <w:fldChar w:fldCharType="begin"/>
          </w:r>
          <w:r>
            <w:rPr>
              <w:noProof/>
            </w:rPr>
            <w:instrText xml:space="preserve"> PAGEREF _Toc518765048 \h </w:instrText>
          </w:r>
          <w:r>
            <w:rPr>
              <w:noProof/>
            </w:rPr>
          </w:r>
          <w:r>
            <w:rPr>
              <w:noProof/>
            </w:rPr>
            <w:fldChar w:fldCharType="separate"/>
          </w:r>
          <w:r>
            <w:rPr>
              <w:noProof/>
            </w:rPr>
            <w:t>5</w:t>
          </w:r>
          <w:r>
            <w:rPr>
              <w:noProof/>
            </w:rPr>
            <w:fldChar w:fldCharType="end"/>
          </w:r>
        </w:p>
        <w:p w14:paraId="78DE25F3"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Benefits of Employee Engagement Survey</w:t>
          </w:r>
          <w:r>
            <w:rPr>
              <w:noProof/>
            </w:rPr>
            <w:tab/>
          </w:r>
          <w:r>
            <w:rPr>
              <w:noProof/>
            </w:rPr>
            <w:fldChar w:fldCharType="begin"/>
          </w:r>
          <w:r>
            <w:rPr>
              <w:noProof/>
            </w:rPr>
            <w:instrText xml:space="preserve"> PAGEREF _Toc518765049 \h </w:instrText>
          </w:r>
          <w:r>
            <w:rPr>
              <w:noProof/>
            </w:rPr>
          </w:r>
          <w:r>
            <w:rPr>
              <w:noProof/>
            </w:rPr>
            <w:fldChar w:fldCharType="separate"/>
          </w:r>
          <w:r>
            <w:rPr>
              <w:noProof/>
            </w:rPr>
            <w:t>6</w:t>
          </w:r>
          <w:r>
            <w:rPr>
              <w:noProof/>
            </w:rPr>
            <w:fldChar w:fldCharType="end"/>
          </w:r>
        </w:p>
        <w:p w14:paraId="7D62C406"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Justification for the Selected Method</w:t>
          </w:r>
          <w:r>
            <w:rPr>
              <w:noProof/>
            </w:rPr>
            <w:tab/>
          </w:r>
          <w:r>
            <w:rPr>
              <w:noProof/>
            </w:rPr>
            <w:fldChar w:fldCharType="begin"/>
          </w:r>
          <w:r>
            <w:rPr>
              <w:noProof/>
            </w:rPr>
            <w:instrText xml:space="preserve"> PAGEREF _Toc518765050 \h </w:instrText>
          </w:r>
          <w:r>
            <w:rPr>
              <w:noProof/>
            </w:rPr>
          </w:r>
          <w:r>
            <w:rPr>
              <w:noProof/>
            </w:rPr>
            <w:fldChar w:fldCharType="separate"/>
          </w:r>
          <w:r>
            <w:rPr>
              <w:noProof/>
            </w:rPr>
            <w:t>7</w:t>
          </w:r>
          <w:r>
            <w:rPr>
              <w:noProof/>
            </w:rPr>
            <w:fldChar w:fldCharType="end"/>
          </w:r>
        </w:p>
        <w:p w14:paraId="510717FC"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Task 4</w:t>
          </w:r>
          <w:r>
            <w:rPr>
              <w:noProof/>
            </w:rPr>
            <w:tab/>
          </w:r>
          <w:r>
            <w:rPr>
              <w:noProof/>
            </w:rPr>
            <w:fldChar w:fldCharType="begin"/>
          </w:r>
          <w:r>
            <w:rPr>
              <w:noProof/>
            </w:rPr>
            <w:instrText xml:space="preserve"> PAGEREF _Toc518765051 \h </w:instrText>
          </w:r>
          <w:r>
            <w:rPr>
              <w:noProof/>
            </w:rPr>
          </w:r>
          <w:r>
            <w:rPr>
              <w:noProof/>
            </w:rPr>
            <w:fldChar w:fldCharType="separate"/>
          </w:r>
          <w:r>
            <w:rPr>
              <w:noProof/>
            </w:rPr>
            <w:t>7</w:t>
          </w:r>
          <w:r>
            <w:rPr>
              <w:noProof/>
            </w:rPr>
            <w:fldChar w:fldCharType="end"/>
          </w:r>
        </w:p>
        <w:p w14:paraId="182FF77D"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Evaluation and Conclusion</w:t>
          </w:r>
          <w:r>
            <w:rPr>
              <w:noProof/>
            </w:rPr>
            <w:tab/>
          </w:r>
          <w:r>
            <w:rPr>
              <w:noProof/>
            </w:rPr>
            <w:fldChar w:fldCharType="begin"/>
          </w:r>
          <w:r>
            <w:rPr>
              <w:noProof/>
            </w:rPr>
            <w:instrText xml:space="preserve"> PAGEREF _Toc518765052 \h </w:instrText>
          </w:r>
          <w:r>
            <w:rPr>
              <w:noProof/>
            </w:rPr>
          </w:r>
          <w:r>
            <w:rPr>
              <w:noProof/>
            </w:rPr>
            <w:fldChar w:fldCharType="separate"/>
          </w:r>
          <w:r>
            <w:rPr>
              <w:noProof/>
            </w:rPr>
            <w:t>7</w:t>
          </w:r>
          <w:r>
            <w:rPr>
              <w:noProof/>
            </w:rPr>
            <w:fldChar w:fldCharType="end"/>
          </w:r>
        </w:p>
        <w:p w14:paraId="03364131"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References</w:t>
          </w:r>
          <w:r>
            <w:rPr>
              <w:noProof/>
            </w:rPr>
            <w:tab/>
          </w:r>
          <w:r>
            <w:rPr>
              <w:noProof/>
            </w:rPr>
            <w:fldChar w:fldCharType="begin"/>
          </w:r>
          <w:r>
            <w:rPr>
              <w:noProof/>
            </w:rPr>
            <w:instrText xml:space="preserve"> PAGEREF _Toc518765053 \h </w:instrText>
          </w:r>
          <w:r>
            <w:rPr>
              <w:noProof/>
            </w:rPr>
          </w:r>
          <w:r>
            <w:rPr>
              <w:noProof/>
            </w:rPr>
            <w:fldChar w:fldCharType="separate"/>
          </w:r>
          <w:r>
            <w:rPr>
              <w:noProof/>
            </w:rPr>
            <w:t>9</w:t>
          </w:r>
          <w:r>
            <w:rPr>
              <w:noProof/>
            </w:rPr>
            <w:fldChar w:fldCharType="end"/>
          </w:r>
        </w:p>
        <w:p w14:paraId="536FB2EA" w14:textId="77777777" w:rsidR="000A720E" w:rsidRDefault="000A720E" w:rsidP="000A720E">
          <w:r>
            <w:rPr>
              <w:b/>
              <w:bCs/>
              <w:noProof/>
            </w:rPr>
            <w:fldChar w:fldCharType="end"/>
          </w:r>
        </w:p>
      </w:sdtContent>
    </w:sdt>
    <w:p w14:paraId="7F2FAB19" w14:textId="77777777" w:rsidR="000A720E" w:rsidRDefault="000A720E" w:rsidP="000A720E">
      <w:pPr>
        <w:spacing w:line="259" w:lineRule="auto"/>
        <w:jc w:val="left"/>
        <w:rPr>
          <w:rFonts w:eastAsiaTheme="majorEastAsia" w:cstheme="majorBidi"/>
          <w:b/>
          <w:szCs w:val="32"/>
        </w:rPr>
      </w:pPr>
      <w:r>
        <w:br w:type="page"/>
      </w:r>
    </w:p>
    <w:p w14:paraId="62C3EB18" w14:textId="77777777" w:rsidR="000A720E" w:rsidRDefault="000A720E" w:rsidP="000A720E">
      <w:pPr>
        <w:pStyle w:val="Heading1"/>
      </w:pPr>
      <w:bookmarkStart w:id="1" w:name="_Toc518765041"/>
      <w:r w:rsidRPr="00AE05D2">
        <w:lastRenderedPageBreak/>
        <w:t>Task 1</w:t>
      </w:r>
      <w:bookmarkEnd w:id="1"/>
    </w:p>
    <w:p w14:paraId="111EF23B" w14:textId="77777777" w:rsidR="000A720E" w:rsidRPr="006D7AE8" w:rsidRDefault="000A720E" w:rsidP="000A720E">
      <w:pPr>
        <w:pStyle w:val="Heading1"/>
      </w:pPr>
      <w:bookmarkStart w:id="2" w:name="_Toc518765042"/>
      <w:r w:rsidRPr="006D7AE8">
        <w:t>Introduction and Background</w:t>
      </w:r>
      <w:bookmarkEnd w:id="2"/>
    </w:p>
    <w:p w14:paraId="6B3F743C" w14:textId="77777777" w:rsidR="000A720E" w:rsidRDefault="000A720E" w:rsidP="000A720E">
      <w:pPr>
        <w:pStyle w:val="Heading2"/>
      </w:pPr>
      <w:bookmarkStart w:id="3" w:name="_Toc518765043"/>
      <w:r>
        <w:t>Rational of the Theme</w:t>
      </w:r>
      <w:bookmarkEnd w:id="3"/>
    </w:p>
    <w:p w14:paraId="7C5B017A" w14:textId="77777777" w:rsidR="000A720E" w:rsidRDefault="000A720E" w:rsidP="000A720E">
      <w:r>
        <w:t>Employee engagement is one of the most significant aspects that has gained much priority in past few years(</w:t>
      </w:r>
      <w:r w:rsidRPr="001A5DDD">
        <w:t>Elshaer and Azazz, 2021</w:t>
      </w:r>
      <w:r>
        <w:t xml:space="preserve">). </w:t>
      </w:r>
      <w:r w:rsidRPr="00DF7770">
        <w:t>An HR term known as "employee engagement" refers to how enthusiastic and committed the staff is about his profession. Employees that are invested in the success of the organisation are motivated by a sense of purpose and ownership in their job</w:t>
      </w:r>
      <w:r>
        <w:rPr>
          <w:lang w:val="en-US"/>
        </w:rPr>
        <w:t>(</w:t>
      </w:r>
      <w:r w:rsidRPr="009F09C3">
        <w:t>Kaliannanand Adjovu, 2015</w:t>
      </w:r>
      <w:r>
        <w:t>)</w:t>
      </w:r>
      <w:r w:rsidRPr="00DF7770">
        <w:t>.</w:t>
      </w:r>
      <w:r>
        <w:t xml:space="preserve"> This is the driving force for any company to move further. Especially, in the labour-intensive industry of hospitality, ensuring employee engagement is a key priority. It is important to explore the ways in which the hospitality industry can retain its staff and acquire a talented workforce. to keep pace with the current industry standards (</w:t>
      </w:r>
      <w:r w:rsidRPr="009F09C3">
        <w:t>Shrotryia and Dhanda, 2018</w:t>
      </w:r>
      <w:r>
        <w:t>). After the covid-19, the stress on the hotels has risen as they had to furlough almost 10 thousand talented employees due to the economic strain on the operational process (</w:t>
      </w:r>
      <w:r w:rsidRPr="004D71A6">
        <w:t>Kumar</w:t>
      </w:r>
      <w:r w:rsidRPr="00FB1CC8">
        <w:rPr>
          <w:i/>
          <w:iCs/>
        </w:rPr>
        <w:t>et al</w:t>
      </w:r>
      <w:r>
        <w:t xml:space="preserve">., 2021). Marriot is one such company that had furloughed many staffs during the pandemic which has impacted their company employee culture and engagement at the same time. Now the hotel is facing issues with its employee hiring process. </w:t>
      </w:r>
    </w:p>
    <w:p w14:paraId="4A54A3E0" w14:textId="77777777" w:rsidR="000A720E" w:rsidRPr="00DF7770" w:rsidRDefault="000A720E" w:rsidP="000A720E">
      <w:r w:rsidRPr="00076E26">
        <w:t>Amid a surge in hotel reservations, Marriott's CEO has stressed that the business is in a "competition for expertise" as it looks to hire 10,000 more employees in the US to keep up</w:t>
      </w:r>
      <w:r>
        <w:t xml:space="preserve"> (</w:t>
      </w:r>
      <w:r w:rsidRPr="001A5DDD">
        <w:t>Elshaer and Azazz, 2021</w:t>
      </w:r>
      <w:r>
        <w:t>)</w:t>
      </w:r>
      <w:r w:rsidRPr="00076E26">
        <w:t>. "Rattled" trust in the travel and tourism industry was determined to be the cause of significant employee shortfalls, according to the findings of the various study. There are around 10,000 vacancies in Marriott's 600 facilities located in the United States. The company's employee values and engagement will suffer if these positions are not filled</w:t>
      </w:r>
      <w:r>
        <w:t xml:space="preserve"> (</w:t>
      </w:r>
      <w:r w:rsidRPr="001A5DDD">
        <w:t>Singh and Wang, 2021</w:t>
      </w:r>
      <w:r>
        <w:t>)</w:t>
      </w:r>
      <w:r w:rsidRPr="00076E26">
        <w:t>.</w:t>
      </w:r>
      <w:r>
        <w:t xml:space="preserve"> The current report will also base its exploration and discussion on how employee engagement can be influenced and what factors impact employee engagement in their profession. </w:t>
      </w:r>
    </w:p>
    <w:p w14:paraId="2C1F9A46" w14:textId="77777777" w:rsidR="000A720E" w:rsidRPr="006D7AE8" w:rsidRDefault="000A720E" w:rsidP="000A720E">
      <w:pPr>
        <w:pStyle w:val="Heading2"/>
      </w:pPr>
      <w:bookmarkStart w:id="4" w:name="_Toc518765044"/>
      <w:r w:rsidRPr="006D7AE8">
        <w:t>Background of the Company</w:t>
      </w:r>
      <w:bookmarkEnd w:id="4"/>
    </w:p>
    <w:p w14:paraId="536E375C" w14:textId="77777777" w:rsidR="000A720E" w:rsidRDefault="000A720E" w:rsidP="000A720E">
      <w:r w:rsidRPr="00407CD3">
        <w:t xml:space="preserve">Founded by J. Willard Marriott in 1927, the nine-seat root beer station became the Hot Shoppes Restaurant franchise and developed into the current Marriott International hotel firm. For the following 58 years, he developed the Marriott brand </w:t>
      </w:r>
      <w:r w:rsidRPr="00407CD3">
        <w:lastRenderedPageBreak/>
        <w:t>on a bedrock of guiding values that are still in place today</w:t>
      </w:r>
      <w:r>
        <w:t xml:space="preserve"> (</w:t>
      </w:r>
      <w:r w:rsidRPr="008D09E7">
        <w:t>Catana and Toma, 2021</w:t>
      </w:r>
      <w:r>
        <w:t>)</w:t>
      </w:r>
      <w:r w:rsidRPr="00407CD3">
        <w:t>. In the hospitality industry, Marriott is recognised for its extensive collection of high-end resorts.</w:t>
      </w:r>
    </w:p>
    <w:p w14:paraId="464EACA6" w14:textId="77777777" w:rsidR="000A720E" w:rsidRDefault="000A720E" w:rsidP="000A720E">
      <w:pPr>
        <w:pStyle w:val="Heading1"/>
      </w:pPr>
      <w:bookmarkStart w:id="5" w:name="_Toc518765045"/>
      <w:r>
        <w:t>Tasks 2 and 3</w:t>
      </w:r>
      <w:bookmarkEnd w:id="5"/>
    </w:p>
    <w:p w14:paraId="5342292E" w14:textId="77777777" w:rsidR="000A720E" w:rsidRDefault="000A720E" w:rsidP="000A720E">
      <w:pPr>
        <w:pStyle w:val="Heading1"/>
      </w:pPr>
      <w:bookmarkStart w:id="6" w:name="_Toc518765046"/>
      <w:r>
        <w:t>Discussion on LiteratureAnd Methodical Approach</w:t>
      </w:r>
      <w:bookmarkEnd w:id="6"/>
    </w:p>
    <w:p w14:paraId="2C32B17D" w14:textId="77777777" w:rsidR="000A720E" w:rsidRPr="00584EE9" w:rsidRDefault="000A720E" w:rsidP="000A720E">
      <w:pPr>
        <w:pStyle w:val="Heading2"/>
      </w:pPr>
      <w:bookmarkStart w:id="7" w:name="_Toc518765047"/>
      <w:r>
        <w:t>The Significance and Relevance of Employee Engagement</w:t>
      </w:r>
      <w:bookmarkEnd w:id="7"/>
    </w:p>
    <w:p w14:paraId="2FCFD1D7" w14:textId="77777777" w:rsidR="000A720E" w:rsidRDefault="000A720E" w:rsidP="000A720E">
      <w:r w:rsidRPr="00E43F89">
        <w:t>Engaged workers are those who are fully devoted to their organization's values and objectives and driven to participate in the organization's success, as well as those who have an increased feeling of their personal well-being</w:t>
      </w:r>
      <w:r>
        <w:t xml:space="preserve"> (</w:t>
      </w:r>
      <w:r w:rsidRPr="009F09C3">
        <w:t>Shrotryia and Dhanda, 2018</w:t>
      </w:r>
      <w:r>
        <w:t>)</w:t>
      </w:r>
      <w:r w:rsidRPr="00E43F89">
        <w:t>. Trust, honesty, two-way dedication and interaction are the building blocks of employee engagement. Using this strategy, a company and its employees will both be more successful and happier in the long run. In fact, it's measurable and therefore contributes to the growth of any company</w:t>
      </w:r>
      <w:r>
        <w:t xml:space="preserve"> (</w:t>
      </w:r>
      <w:r w:rsidRPr="009F09C3">
        <w:t>Matthews,2018</w:t>
      </w:r>
      <w:r>
        <w:t>)</w:t>
      </w:r>
      <w:r w:rsidRPr="00E43F89">
        <w:t xml:space="preserve">. It differs greatly in extent but most market-aware companies will find it a key priority to ensure that their employees are properly engaged and are confidently participating in the professional activities. It has the potential to grow and flourish, or it has the potential to be squandered and discarded. Lockdown has made engagement, collaboration and communication </w:t>
      </w:r>
      <w:r>
        <w:t>few</w:t>
      </w:r>
      <w:r w:rsidRPr="00E43F89">
        <w:t xml:space="preserve"> of the most important priorities for human resource associates and professionals in companies during the COVID-19 epidemic.  During this difficult time, organisations are continuously discovering new and efficient ways to keep their staff engaged. The worldwide epidemic of COVID-19 is affecting the way businesses are set up right now. </w:t>
      </w:r>
    </w:p>
    <w:p w14:paraId="52B1FF3E" w14:textId="77777777" w:rsidR="000A720E" w:rsidRDefault="000A720E" w:rsidP="000A720E">
      <w:r w:rsidRPr="00E43F89">
        <w:t>During these trying times, human resource managers are always coming up with new, inventive, and effective strategies to keep their staff happier and more productive. In the workforce, employee participation refers to a mindset that encourages everyone who is a part of a company to bring their best every day in pursuit of the mission and values of that company</w:t>
      </w:r>
      <w:r>
        <w:t xml:space="preserve"> (</w:t>
      </w:r>
      <w:r w:rsidRPr="009F09C3">
        <w:t>Singh, 2019</w:t>
      </w:r>
      <w:r>
        <w:t>)</w:t>
      </w:r>
      <w:r w:rsidRPr="00E43F89">
        <w:t>. Organizations have become constantly conscious of the fact that happy workers contribute to increased productivity at work, which in turn leads to satisfied customers and, undoubtedly, increases in sales and profits for the firm.</w:t>
      </w:r>
    </w:p>
    <w:p w14:paraId="1199DB12" w14:textId="77777777" w:rsidR="000A720E" w:rsidRDefault="000A720E" w:rsidP="000A720E">
      <w:pPr>
        <w:pStyle w:val="Heading2"/>
      </w:pPr>
      <w:bookmarkStart w:id="8" w:name="_Toc518765048"/>
      <w:r>
        <w:lastRenderedPageBreak/>
        <w:t>Methodology for Employee Engagement Measurement</w:t>
      </w:r>
      <w:bookmarkEnd w:id="8"/>
    </w:p>
    <w:p w14:paraId="56760A71" w14:textId="77777777" w:rsidR="000A720E" w:rsidRDefault="000A720E" w:rsidP="000A720E">
      <w:r>
        <w:t>In this scenario, the example of the employee engagement issue of Marriot International can be illustrated as the company has been struggling to build up their staff force with talented and equally professional people who would have confidence on their job (</w:t>
      </w:r>
      <w:r w:rsidRPr="004D71A6">
        <w:t>Kumar</w:t>
      </w:r>
      <w:r w:rsidRPr="00FB1CC8">
        <w:rPr>
          <w:i/>
          <w:iCs/>
        </w:rPr>
        <w:t>et al</w:t>
      </w:r>
      <w:r>
        <w:t>., 2021). Marriot has been lacking its core staff capacity which is necessary to keep the corporate values and reputation intact. After they had furloughed a vast number of staff after which it has become tough for the company to establish itself as a reliable company to seek a job in. not only that, but the entire employee market has grown disinterested in the hospitality and travel industry as they are more concerned about its resilience in the backdrop of a pandemic (</w:t>
      </w:r>
      <w:r w:rsidRPr="001A5DDD">
        <w:t>Elshaer and Azazz, 2021</w:t>
      </w:r>
      <w:r>
        <w:t xml:space="preserve">). </w:t>
      </w:r>
      <w:r w:rsidRPr="00D4428F">
        <w:t>Former employees hoping to return are worried that the digitization of check-in and meal ordering would result in their positions being eliminated in the long run due to increased usage of technology</w:t>
      </w:r>
      <w:r>
        <w:t xml:space="preserve"> (</w:t>
      </w:r>
      <w:r w:rsidRPr="001A5DDD">
        <w:t>Choirisa and Rizkalla, 2021</w:t>
      </w:r>
      <w:r>
        <w:t>)</w:t>
      </w:r>
      <w:r w:rsidRPr="00D4428F">
        <w:t>.</w:t>
      </w:r>
    </w:p>
    <w:p w14:paraId="097B8724" w14:textId="77777777" w:rsidR="000A720E" w:rsidRDefault="000A720E" w:rsidP="000A720E">
      <w:r>
        <w:t>The existing workforce has also become highly reluctant about their professional growth which has impacted their motivation level as well. The lack of rapidity in staff onboarding has also contributed to this already existent uncertainty. After the pandemic, the rules and standards of operations have changed which has imposed additional responsibilities on the employees and has reduced their engagement with their work. For a big company like Marriot, it has become extremely important to ensure that the existing employees are at least provided with an approach that will ease their concerns and encourage them to put their best foot forward (</w:t>
      </w:r>
      <w:r w:rsidRPr="001A5DDD">
        <w:t>Singh and Wang, 2021</w:t>
      </w:r>
      <w:r>
        <w:t xml:space="preserve">). Although the company is trying to entice the employee market by advertising for higher salaries and increased incentives, the issue is remaining constant as according to the new market reports, employees are not only seeking good salaried professions but also hoping for a complete package with flexible working hours and proper facilities to keep them enthused about their work. </w:t>
      </w:r>
    </w:p>
    <w:p w14:paraId="62FC2DBE" w14:textId="77777777" w:rsidR="000A720E" w:rsidRDefault="000A720E" w:rsidP="000A720E">
      <w:r>
        <w:t>Thus, while recruiting new employees, the company needs to follow these aspects and design a job structure which will facilitate the new recruits to stay motivated and feel confident about their work (</w:t>
      </w:r>
      <w:r w:rsidRPr="001A5DDD">
        <w:t>Choirisa and Rizkalla, 2021</w:t>
      </w:r>
      <w:r>
        <w:t xml:space="preserve">). This practice should be applied to all the employees who are existent currently. But is not enough to deploy and implement this strategy, constant monitoring is essential when it comes to proper employee engagement assurance. In order to measure employee </w:t>
      </w:r>
      <w:r>
        <w:lastRenderedPageBreak/>
        <w:t>engagement after implementing the strategies, a quantitative approach can be taken to ensure regular monitoring of the positive or negative aspects among the employees (</w:t>
      </w:r>
      <w:r w:rsidRPr="00EF263A">
        <w:t>Huffman</w:t>
      </w:r>
      <w:r w:rsidRPr="00FB1CC8">
        <w:rPr>
          <w:i/>
          <w:iCs/>
        </w:rPr>
        <w:t>et al</w:t>
      </w:r>
      <w:r>
        <w:t xml:space="preserve">., 2021). A quantitative approach will be helpful to ensure that all the employees are participating and they are sharing their perspectives unhesitant. </w:t>
      </w:r>
      <w:r w:rsidRPr="00000991">
        <w:t xml:space="preserve">Evaluating employee feedback is the first step in creating, attaining, and sustaining employee engagement. </w:t>
      </w:r>
    </w:p>
    <w:p w14:paraId="7F73BEAA" w14:textId="77777777" w:rsidR="000A720E" w:rsidRDefault="000A720E" w:rsidP="000A720E">
      <w:r w:rsidRPr="00000991">
        <w:t>Finding out how engaged the workers are may have a significant influence on the productivity of the company's executives and managers</w:t>
      </w:r>
      <w:r>
        <w:t xml:space="preserve"> (</w:t>
      </w:r>
      <w:r w:rsidRPr="008C3B72">
        <w:t>Bridger, 2022</w:t>
      </w:r>
      <w:r>
        <w:t>)</w:t>
      </w:r>
      <w:r w:rsidRPr="00000991">
        <w:t>. Engaging employees has been shown to have a positive impact on company KPIs such as productivity and turnover.   An annual employee engagement survey is conducted throughout the whole business and includes all workers. Conventional means for evaluating employee engagement include an annual survey. Surveys like this may be used to uncover patterns in overall employee engagement and establish benchmarks to monitor subtle changes over time.</w:t>
      </w:r>
    </w:p>
    <w:p w14:paraId="16668E80" w14:textId="77777777" w:rsidR="000A720E" w:rsidRDefault="000A720E" w:rsidP="000A720E">
      <w:pPr>
        <w:pStyle w:val="Heading2"/>
      </w:pPr>
      <w:bookmarkStart w:id="9" w:name="_Toc518765049"/>
      <w:r>
        <w:t>Benefits of Employee Engagement Survey</w:t>
      </w:r>
      <w:bookmarkEnd w:id="9"/>
    </w:p>
    <w:p w14:paraId="77757906" w14:textId="77777777" w:rsidR="000A720E" w:rsidRDefault="000A720E" w:rsidP="000A720E">
      <w:r>
        <w:t xml:space="preserve">There is a range of benefits of conducting an employee survey. </w:t>
      </w:r>
    </w:p>
    <w:p w14:paraId="70B0C1AE" w14:textId="77777777" w:rsidR="000A720E" w:rsidRDefault="000A720E" w:rsidP="000A720E">
      <w:pPr>
        <w:pStyle w:val="ListParagraph"/>
        <w:numPr>
          <w:ilvl w:val="0"/>
          <w:numId w:val="1"/>
        </w:numPr>
      </w:pPr>
      <w:r w:rsidRPr="001B480B">
        <w:t>It is reasonable to collect identified feedback for certain employee surveys. As long as the individual workers' identities are protected and consolidated for a company-wide perspective, a complete employee engagement survey is a must</w:t>
      </w:r>
      <w:r>
        <w:t xml:space="preserve"> (</w:t>
      </w:r>
      <w:r w:rsidRPr="008C3B72">
        <w:t>Duffy</w:t>
      </w:r>
      <w:r w:rsidRPr="00FB1CC8">
        <w:rPr>
          <w:i/>
          <w:iCs/>
        </w:rPr>
        <w:t>et al</w:t>
      </w:r>
      <w:r>
        <w:t>., 2021)</w:t>
      </w:r>
      <w:r w:rsidRPr="001B480B">
        <w:t>. Employees are much more likely to react clearly and freely to surveys when they are kept private.</w:t>
      </w:r>
    </w:p>
    <w:p w14:paraId="48031CA2" w14:textId="77777777" w:rsidR="000A720E" w:rsidRDefault="000A720E" w:rsidP="000A720E">
      <w:pPr>
        <w:pStyle w:val="ListParagraph"/>
        <w:numPr>
          <w:ilvl w:val="0"/>
          <w:numId w:val="1"/>
        </w:numPr>
      </w:pPr>
      <w:r w:rsidRPr="001B480B">
        <w:t>One of the most crucial aspects of conducting a survey is implementing the findings. Engagement surveys give the information required to identify the areas that need to be improved over time.</w:t>
      </w:r>
    </w:p>
    <w:p w14:paraId="3A6E4666" w14:textId="77777777" w:rsidR="000A720E" w:rsidRDefault="000A720E" w:rsidP="000A720E">
      <w:pPr>
        <w:pStyle w:val="ListParagraph"/>
        <w:numPr>
          <w:ilvl w:val="0"/>
          <w:numId w:val="1"/>
        </w:numPr>
      </w:pPr>
      <w:r w:rsidRPr="001B480B">
        <w:t>In order to improve employee engagement, it is vital to give workers a voice. To ensure that leaders and managers receive from all employees, surveys are extremely beneficial.</w:t>
      </w:r>
    </w:p>
    <w:p w14:paraId="338F7ED6" w14:textId="77777777" w:rsidR="000A720E" w:rsidRDefault="000A720E" w:rsidP="000A720E">
      <w:pPr>
        <w:pStyle w:val="ListParagraph"/>
        <w:numPr>
          <w:ilvl w:val="0"/>
          <w:numId w:val="1"/>
        </w:numPr>
      </w:pPr>
      <w:r w:rsidRPr="00D115E4">
        <w:t>Distributing, completing, collecting, and analysing feedback from employees is considerably simpler than using surveys</w:t>
      </w:r>
      <w:r>
        <w:t xml:space="preserve"> (</w:t>
      </w:r>
      <w:r w:rsidRPr="008C3B72">
        <w:t>Duffy</w:t>
      </w:r>
      <w:r w:rsidRPr="00FB1CC8">
        <w:rPr>
          <w:i/>
          <w:iCs/>
        </w:rPr>
        <w:t>et al</w:t>
      </w:r>
      <w:r>
        <w:t>., 2021)</w:t>
      </w:r>
      <w:r w:rsidRPr="00D115E4">
        <w:t>. It will be considerably simpler to collect feedback if the company utilizes an easy-to-use survey tool.</w:t>
      </w:r>
      <w:r>
        <w:t xml:space="preserve"> It will save time and efforts which can enhance overall operational standards simultaneously. </w:t>
      </w:r>
    </w:p>
    <w:p w14:paraId="2301B208" w14:textId="77777777" w:rsidR="000A720E" w:rsidRDefault="000A720E" w:rsidP="000A720E">
      <w:pPr>
        <w:pStyle w:val="Heading2"/>
      </w:pPr>
      <w:bookmarkStart w:id="10" w:name="_Toc518765050"/>
      <w:r>
        <w:lastRenderedPageBreak/>
        <w:t>Justification for the Selected Method</w:t>
      </w:r>
      <w:bookmarkEnd w:id="10"/>
    </w:p>
    <w:p w14:paraId="1317B207" w14:textId="77777777" w:rsidR="000A720E" w:rsidRDefault="000A720E" w:rsidP="000A720E">
      <w:r>
        <w:t>Considering all the benefits, it can be stated, that although employee surveys are great tools for exploring employee perception yet only sending out questionnaires will not be enough for Marriot International to get the right output, they intend to get (</w:t>
      </w:r>
      <w:r w:rsidRPr="008C3B72">
        <w:t>Bridger, 2022</w:t>
      </w:r>
      <w:r>
        <w:t xml:space="preserve">). </w:t>
      </w:r>
      <w:r w:rsidRPr="00584EE9">
        <w:t xml:space="preserve">If HR wants to have a deeper knowledge of their workers, they must ask the correct questions of them. When it comes to employee engagement surveys, basic questions aren't the best option since they reveal a company's lack of enthusiasm in getting to know their workers. Employees enjoy simple survey questions that make it easy for them to communicate their thoughts with the administration. </w:t>
      </w:r>
    </w:p>
    <w:p w14:paraId="0F157736" w14:textId="77777777" w:rsidR="000A720E" w:rsidRDefault="000A720E" w:rsidP="000A720E">
      <w:r w:rsidRPr="00584EE9">
        <w:t>Every employee engagement survey should have an underlying theme or aim, even if questions are asked about a wide range of elements that affect employee engagement</w:t>
      </w:r>
      <w:r>
        <w:t xml:space="preserve"> (</w:t>
      </w:r>
      <w:r w:rsidRPr="00EF263A">
        <w:t>Huffman</w:t>
      </w:r>
      <w:r w:rsidRPr="00FB1CC8">
        <w:rPr>
          <w:i/>
          <w:iCs/>
        </w:rPr>
        <w:t>et al</w:t>
      </w:r>
      <w:r>
        <w:t>., 2021)</w:t>
      </w:r>
      <w:r w:rsidRPr="00584EE9">
        <w:t>. This enables managers and leaders to focus on the genuine issues faced by their people. Employee Net Promoter Score (ENPS) can only be improved if the survey objectives are aligned with the findings of past surveys. Leaders and HR professionals who fail to study the results of the surveys will be unable to put the information they learn to good use in their organisations. </w:t>
      </w:r>
    </w:p>
    <w:p w14:paraId="458AFCBA" w14:textId="77777777" w:rsidR="000A720E" w:rsidRDefault="000A720E" w:rsidP="000A720E">
      <w:pPr>
        <w:pStyle w:val="Heading1"/>
      </w:pPr>
      <w:bookmarkStart w:id="11" w:name="_Toc518765051"/>
      <w:r>
        <w:t>Task 4</w:t>
      </w:r>
      <w:bookmarkEnd w:id="11"/>
    </w:p>
    <w:p w14:paraId="000E4890" w14:textId="77777777" w:rsidR="000A720E" w:rsidRDefault="000A720E" w:rsidP="000A720E">
      <w:pPr>
        <w:pStyle w:val="Heading1"/>
      </w:pPr>
      <w:bookmarkStart w:id="12" w:name="_Toc518765052"/>
      <w:r w:rsidRPr="006E17A4">
        <w:t>Evaluation and Conclusion</w:t>
      </w:r>
      <w:bookmarkEnd w:id="12"/>
    </w:p>
    <w:p w14:paraId="3F025963" w14:textId="77777777" w:rsidR="000A720E" w:rsidRDefault="000A720E" w:rsidP="000A720E">
      <w:r w:rsidRPr="002F1431">
        <w:t>Surveys of employee involvement may help Marriot to discover new strategies for enhancing staff well-being and boosting output. When they know how the team members feel about the job, they may fix issues that could have a detrimental effect on their morale. This boosts the economic output of the whole team since more productive personnel are engaged at work. Recruitment and retention are correlated with levels of employee contentment. As a result, the business does not have to spend time and money hiring new staff or training new staff frequently, which will help the company to save money. Employees are more inclined to endorse the organisation if they love working there. Employee engagement surveys may also be used to gauge team policies and procedures. To create decisions that will benefit everybody, Marriot may utilise survey findings to get input from workers. The team's various programs and practices may also be evaluated via surveys.</w:t>
      </w:r>
    </w:p>
    <w:p w14:paraId="582BF0B9" w14:textId="77777777" w:rsidR="000A720E" w:rsidRDefault="000A720E" w:rsidP="000A720E">
      <w:r>
        <w:lastRenderedPageBreak/>
        <w:t>Especially keeping in mind, the recent pandemic disaster and detrimental effect on the labour market and its confidence on the industrial practices, Marriot will have to focus on its staff engagement policies and practices so that the new recruits do not have any hesitance or lack of confidence about their professional security and stability. Marriot International can also carry out such employee engagement surveys to ensure that they are able to identify the gaps and bridge those gaps to create a consistent employee force which will help them to minimize the frequent staff turnover rate(</w:t>
      </w:r>
      <w:r w:rsidRPr="008C3B72">
        <w:t>Bridger, 2022</w:t>
      </w:r>
      <w:r>
        <w:t xml:space="preserve">). Since the company is intending to recruit a new bunch of talented candidates after the pandemic, it will be beneficial for them to focus on an engaged and motivated staff force which will allow the company to leverage the employee expertise and recover from the past decline in their profitability. </w:t>
      </w:r>
    </w:p>
    <w:p w14:paraId="28BED4CE" w14:textId="77777777" w:rsidR="000A720E" w:rsidRPr="008D45F7" w:rsidRDefault="000A720E" w:rsidP="000A720E">
      <w:r w:rsidRPr="008D45F7">
        <w:t xml:space="preserve">Additionally, staff interviews can also be conducted to ensure that all the employees are positively conveying their opinions. Marriot being an internationally renowned employer, need to ensure that they complete these surveys every 3 months considering the last few months during and after the pandemic. Even after the new recruitments, all the employees should be urged to participate in such engagement surveys so that the company can evaluate their motivations and inspiration or any negative perceptions as well. </w:t>
      </w:r>
    </w:p>
    <w:p w14:paraId="3BF6B662" w14:textId="77777777" w:rsidR="000A720E" w:rsidRPr="002F1431" w:rsidRDefault="000A720E" w:rsidP="000A720E"/>
    <w:p w14:paraId="02BF9563" w14:textId="77777777" w:rsidR="000A720E" w:rsidRDefault="000A720E" w:rsidP="000A720E">
      <w:pPr>
        <w:spacing w:line="259" w:lineRule="auto"/>
        <w:jc w:val="left"/>
      </w:pPr>
      <w:r>
        <w:br w:type="page"/>
      </w:r>
    </w:p>
    <w:p w14:paraId="0AD2AAE5" w14:textId="77777777" w:rsidR="000A720E" w:rsidRDefault="000A720E" w:rsidP="000A720E">
      <w:pPr>
        <w:pStyle w:val="Heading1"/>
      </w:pPr>
      <w:bookmarkStart w:id="13" w:name="_Toc518765053"/>
      <w:r>
        <w:lastRenderedPageBreak/>
        <w:t>References</w:t>
      </w:r>
      <w:bookmarkEnd w:id="13"/>
    </w:p>
    <w:p w14:paraId="4EF2C1F3" w14:textId="77777777" w:rsidR="000A720E" w:rsidRDefault="000A720E" w:rsidP="000A720E">
      <w:r w:rsidRPr="008C3B72">
        <w:t>Bridger, E., 2022. </w:t>
      </w:r>
      <w:r w:rsidRPr="00C2539B">
        <w:rPr>
          <w:i/>
          <w:iCs/>
        </w:rPr>
        <w:t>Employee engagement: A practical introduction</w:t>
      </w:r>
      <w:r w:rsidRPr="008C3B72">
        <w:t> (Vol. 24). Kogan Page Publishers.</w:t>
      </w:r>
    </w:p>
    <w:p w14:paraId="52075EEF" w14:textId="77777777" w:rsidR="000A720E" w:rsidRDefault="000A720E" w:rsidP="000A720E">
      <w:r w:rsidRPr="008D09E7">
        <w:t>Catana, Ş.A. and Toma, S.G., 2021. Entrepreneurship in the hospitality industry. Case study: Marriott International. </w:t>
      </w:r>
      <w:r w:rsidRPr="008D09E7">
        <w:rPr>
          <w:i/>
          <w:iCs/>
        </w:rPr>
        <w:t>SEA-Practical Application of Science</w:t>
      </w:r>
      <w:r w:rsidRPr="008D09E7">
        <w:t>, (27), pp.221-225.</w:t>
      </w:r>
    </w:p>
    <w:p w14:paraId="7FD1D54E" w14:textId="77777777" w:rsidR="000A720E" w:rsidRDefault="000A720E" w:rsidP="000A720E">
      <w:r w:rsidRPr="001A5DDD">
        <w:t>Choirisa, S.F. and Rizkalla, N., 2021. Understanding the multiple factor determining of Z generation to hotel staycation during Covid-19 Pandemic. </w:t>
      </w:r>
      <w:r w:rsidRPr="00C2539B">
        <w:rPr>
          <w:i/>
          <w:iCs/>
        </w:rPr>
        <w:t>JurnalPariwisataTerapan</w:t>
      </w:r>
      <w:r w:rsidRPr="001A5DDD">
        <w:t>, </w:t>
      </w:r>
      <w:r w:rsidRPr="00C2539B">
        <w:rPr>
          <w:i/>
          <w:iCs/>
        </w:rPr>
        <w:t>5</w:t>
      </w:r>
      <w:r w:rsidRPr="001A5DDD">
        <w:t>(2), pp.145-159.</w:t>
      </w:r>
    </w:p>
    <w:p w14:paraId="2FF1136A" w14:textId="77777777" w:rsidR="000A720E" w:rsidRDefault="000A720E" w:rsidP="000A720E">
      <w:r w:rsidRPr="008C3B72">
        <w:t>Duffy, C., Gaddes, R., Montgomery, S., Stangle, J. and Staff, D.E., 2021. Employee retention and engagement in the civilian labour force. </w:t>
      </w:r>
      <w:r w:rsidRPr="00C2539B">
        <w:rPr>
          <w:i/>
          <w:iCs/>
        </w:rPr>
        <w:t>Insight Policy Research, Inc., Arlington, Virginia, viewed</w:t>
      </w:r>
      <w:r w:rsidRPr="008C3B72">
        <w:t>, </w:t>
      </w:r>
      <w:r w:rsidRPr="00C2539B">
        <w:rPr>
          <w:i/>
          <w:iCs/>
        </w:rPr>
        <w:t>12</w:t>
      </w:r>
      <w:r w:rsidRPr="008C3B72">
        <w:t>.</w:t>
      </w:r>
    </w:p>
    <w:p w14:paraId="4E828992" w14:textId="77777777" w:rsidR="000A720E" w:rsidRDefault="000A720E" w:rsidP="000A720E">
      <w:r w:rsidRPr="001A5DDD">
        <w:t>Elshaer, I.A. and Azazz, A.M., 2021. Amid the COVID-19 Pandemic, Unethical Behavior in the Name of the Company: The Role of Job Insecurity, Job Embeddedness, and Turnover Intention. </w:t>
      </w:r>
      <w:r w:rsidRPr="00C2539B">
        <w:rPr>
          <w:i/>
          <w:iCs/>
        </w:rPr>
        <w:t>International Journal of Environmental Research and Public Health</w:t>
      </w:r>
      <w:r w:rsidRPr="001A5DDD">
        <w:t>, </w:t>
      </w:r>
      <w:r w:rsidRPr="00C2539B">
        <w:rPr>
          <w:i/>
          <w:iCs/>
        </w:rPr>
        <w:t>19</w:t>
      </w:r>
      <w:r w:rsidRPr="001A5DDD">
        <w:t>(1), p.247.</w:t>
      </w:r>
    </w:p>
    <w:p w14:paraId="00E48B7F" w14:textId="77777777" w:rsidR="000A720E" w:rsidRDefault="000A720E" w:rsidP="000A720E">
      <w:r w:rsidRPr="00EF263A">
        <w:t>Huffman, A.H., Albritton, M.D., Matthews, R.A., Muse, L.A. and Howes, S.S., 2021. Managing furloughs: how furlough policy and perceptions of fairness impact turnover intentions over time. </w:t>
      </w:r>
      <w:r w:rsidRPr="00C2539B">
        <w:rPr>
          <w:i/>
          <w:iCs/>
        </w:rPr>
        <w:t>The International Journal of Human Resource Management</w:t>
      </w:r>
      <w:r w:rsidRPr="00EF263A">
        <w:t>, pp.1-28.</w:t>
      </w:r>
    </w:p>
    <w:p w14:paraId="5AC8385D" w14:textId="77777777" w:rsidR="000A720E" w:rsidRDefault="000A720E" w:rsidP="000A720E">
      <w:r w:rsidRPr="009F09C3">
        <w:t>Kaliannan, M. and Adjovu, S.N., 2015. Effective employee engagement and organizational success: a case study. </w:t>
      </w:r>
      <w:r w:rsidRPr="00C2539B">
        <w:rPr>
          <w:i/>
          <w:iCs/>
        </w:rPr>
        <w:t>Procedia-Social and Behavioral Sciences</w:t>
      </w:r>
      <w:r w:rsidRPr="009F09C3">
        <w:t>, </w:t>
      </w:r>
      <w:r w:rsidRPr="00C2539B">
        <w:rPr>
          <w:i/>
          <w:iCs/>
        </w:rPr>
        <w:t>172</w:t>
      </w:r>
      <w:r w:rsidRPr="009F09C3">
        <w:t>, pp.161-168.</w:t>
      </w:r>
    </w:p>
    <w:p w14:paraId="4E272E96" w14:textId="77777777" w:rsidR="000A720E" w:rsidRDefault="000A720E" w:rsidP="000A720E">
      <w:r w:rsidRPr="004D71A6">
        <w:t>Kumar, A., Sowdamini, T., Manocha, S. and Pujari, P., 2021. Gamification as a sustainable tool for HR managers. </w:t>
      </w:r>
      <w:r w:rsidRPr="00C2539B">
        <w:rPr>
          <w:i/>
          <w:iCs/>
        </w:rPr>
        <w:t>Acta Universitatis BohemiaeMeridionalis</w:t>
      </w:r>
      <w:r w:rsidRPr="004D71A6">
        <w:t>, </w:t>
      </w:r>
      <w:r w:rsidRPr="00C2539B">
        <w:rPr>
          <w:i/>
          <w:iCs/>
        </w:rPr>
        <w:t>24</w:t>
      </w:r>
      <w:r w:rsidRPr="004D71A6">
        <w:t>(2), pp.1-14.</w:t>
      </w:r>
    </w:p>
    <w:p w14:paraId="50331DE3" w14:textId="77777777" w:rsidR="000A720E" w:rsidRDefault="000A720E" w:rsidP="000A720E">
      <w:r w:rsidRPr="009F09C3">
        <w:t>Matthews, G., 2018. Employee engagement: what’s your strategy?. </w:t>
      </w:r>
      <w:r w:rsidRPr="00C2539B">
        <w:rPr>
          <w:i/>
          <w:iCs/>
        </w:rPr>
        <w:t>Strategic HR Review</w:t>
      </w:r>
      <w:r w:rsidRPr="009F09C3">
        <w:t>.</w:t>
      </w:r>
    </w:p>
    <w:p w14:paraId="540E6ECC" w14:textId="77777777" w:rsidR="000A720E" w:rsidRDefault="000A720E" w:rsidP="000A720E">
      <w:r w:rsidRPr="009F09C3">
        <w:lastRenderedPageBreak/>
        <w:t>Shrotryia, V.K. and Dhanda, U., 2018. Trends and directions of employee engagement: perspectives from literature review. </w:t>
      </w:r>
      <w:r w:rsidRPr="00C2539B">
        <w:rPr>
          <w:i/>
          <w:iCs/>
        </w:rPr>
        <w:t>Asian Journal of Management</w:t>
      </w:r>
      <w:r w:rsidRPr="009F09C3">
        <w:t>, </w:t>
      </w:r>
      <w:r w:rsidRPr="00C2539B">
        <w:rPr>
          <w:i/>
          <w:iCs/>
        </w:rPr>
        <w:t>9</w:t>
      </w:r>
      <w:r w:rsidRPr="009F09C3">
        <w:t>(1), pp.69-79.</w:t>
      </w:r>
    </w:p>
    <w:p w14:paraId="48BD6013" w14:textId="77777777" w:rsidR="000A720E" w:rsidRDefault="000A720E" w:rsidP="000A720E">
      <w:r w:rsidRPr="001A5DDD">
        <w:t>Singh, A.J. and Wang, B., 2021. Impact of COVID-19 on the Hospitality Industry and Implication for Operations and Asset Management. </w:t>
      </w:r>
      <w:r w:rsidRPr="00C2539B">
        <w:rPr>
          <w:i/>
          <w:iCs/>
        </w:rPr>
        <w:t>Boston Hospitality Review</w:t>
      </w:r>
      <w:r w:rsidRPr="001A5DDD">
        <w:t>.</w:t>
      </w:r>
    </w:p>
    <w:p w14:paraId="241B9C2F" w14:textId="77777777" w:rsidR="000A720E" w:rsidRDefault="000A720E" w:rsidP="000A720E">
      <w:r w:rsidRPr="009F09C3">
        <w:t>Singh, D., 2019. A literature review on employee retention with focus on recent trends. </w:t>
      </w:r>
      <w:r w:rsidRPr="00C2539B">
        <w:rPr>
          <w:i/>
          <w:iCs/>
        </w:rPr>
        <w:t>International Journal of Scientific Research in Science and Technology</w:t>
      </w:r>
      <w:r w:rsidRPr="009F09C3">
        <w:t>, </w:t>
      </w:r>
      <w:r w:rsidRPr="00C2539B">
        <w:rPr>
          <w:i/>
          <w:iCs/>
        </w:rPr>
        <w:t>6</w:t>
      </w:r>
      <w:r w:rsidRPr="009F09C3">
        <w:t>(1), pp.425-431.</w:t>
      </w:r>
    </w:p>
    <w:p w14:paraId="52438466" w14:textId="77777777" w:rsidR="00E420FD" w:rsidRDefault="00E420FD"/>
    <w:sectPr w:rsidR="00E420FD" w:rsidSect="00EB67DF">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Lucida Grande">
    <w:panose1 w:val="020B0600040502020204"/>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8282889"/>
      <w:docPartObj>
        <w:docPartGallery w:val="Page Numbers (Bottom of Page)"/>
        <w:docPartUnique/>
      </w:docPartObj>
    </w:sdtPr>
    <w:sdtEndPr/>
    <w:sdtContent>
      <w:p w14:paraId="7CCB8E4F" w14:textId="77777777" w:rsidR="00EB67DF" w:rsidRDefault="000E724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81F5C1F" w14:textId="77777777" w:rsidR="00EB67DF" w:rsidRDefault="000E7245">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000A0F"/>
    <w:multiLevelType w:val="hybridMultilevel"/>
    <w:tmpl w:val="1DCC6CFC"/>
    <w:lvl w:ilvl="0" w:tplc="032ACB98">
      <w:start w:val="1"/>
      <w:numFmt w:val="bullet"/>
      <w:lvlText w:val=""/>
      <w:lvlJc w:val="left"/>
      <w:pPr>
        <w:ind w:left="720" w:hanging="360"/>
      </w:pPr>
      <w:rPr>
        <w:rFonts w:ascii="Symbol" w:hAnsi="Symbol" w:hint="default"/>
      </w:rPr>
    </w:lvl>
    <w:lvl w:ilvl="1" w:tplc="449228C6" w:tentative="1">
      <w:start w:val="1"/>
      <w:numFmt w:val="bullet"/>
      <w:lvlText w:val="o"/>
      <w:lvlJc w:val="left"/>
      <w:pPr>
        <w:ind w:left="1440" w:hanging="360"/>
      </w:pPr>
      <w:rPr>
        <w:rFonts w:ascii="Courier New" w:hAnsi="Courier New" w:cs="Courier New" w:hint="default"/>
      </w:rPr>
    </w:lvl>
    <w:lvl w:ilvl="2" w:tplc="959AB436" w:tentative="1">
      <w:start w:val="1"/>
      <w:numFmt w:val="bullet"/>
      <w:lvlText w:val=""/>
      <w:lvlJc w:val="left"/>
      <w:pPr>
        <w:ind w:left="2160" w:hanging="360"/>
      </w:pPr>
      <w:rPr>
        <w:rFonts w:ascii="Wingdings" w:hAnsi="Wingdings" w:hint="default"/>
      </w:rPr>
    </w:lvl>
    <w:lvl w:ilvl="3" w:tplc="2BC6D146" w:tentative="1">
      <w:start w:val="1"/>
      <w:numFmt w:val="bullet"/>
      <w:lvlText w:val=""/>
      <w:lvlJc w:val="left"/>
      <w:pPr>
        <w:ind w:left="2880" w:hanging="360"/>
      </w:pPr>
      <w:rPr>
        <w:rFonts w:ascii="Symbol" w:hAnsi="Symbol" w:hint="default"/>
      </w:rPr>
    </w:lvl>
    <w:lvl w:ilvl="4" w:tplc="E06C2D1A" w:tentative="1">
      <w:start w:val="1"/>
      <w:numFmt w:val="bullet"/>
      <w:lvlText w:val="o"/>
      <w:lvlJc w:val="left"/>
      <w:pPr>
        <w:ind w:left="3600" w:hanging="360"/>
      </w:pPr>
      <w:rPr>
        <w:rFonts w:ascii="Courier New" w:hAnsi="Courier New" w:cs="Courier New" w:hint="default"/>
      </w:rPr>
    </w:lvl>
    <w:lvl w:ilvl="5" w:tplc="C8121244" w:tentative="1">
      <w:start w:val="1"/>
      <w:numFmt w:val="bullet"/>
      <w:lvlText w:val=""/>
      <w:lvlJc w:val="left"/>
      <w:pPr>
        <w:ind w:left="4320" w:hanging="360"/>
      </w:pPr>
      <w:rPr>
        <w:rFonts w:ascii="Wingdings" w:hAnsi="Wingdings" w:hint="default"/>
      </w:rPr>
    </w:lvl>
    <w:lvl w:ilvl="6" w:tplc="1D5E2394" w:tentative="1">
      <w:start w:val="1"/>
      <w:numFmt w:val="bullet"/>
      <w:lvlText w:val=""/>
      <w:lvlJc w:val="left"/>
      <w:pPr>
        <w:ind w:left="5040" w:hanging="360"/>
      </w:pPr>
      <w:rPr>
        <w:rFonts w:ascii="Symbol" w:hAnsi="Symbol" w:hint="default"/>
      </w:rPr>
    </w:lvl>
    <w:lvl w:ilvl="7" w:tplc="69624F2C" w:tentative="1">
      <w:start w:val="1"/>
      <w:numFmt w:val="bullet"/>
      <w:lvlText w:val="o"/>
      <w:lvlJc w:val="left"/>
      <w:pPr>
        <w:ind w:left="5760" w:hanging="360"/>
      </w:pPr>
      <w:rPr>
        <w:rFonts w:ascii="Courier New" w:hAnsi="Courier New" w:cs="Courier New" w:hint="default"/>
      </w:rPr>
    </w:lvl>
    <w:lvl w:ilvl="8" w:tplc="BFF6D28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720E"/>
    <w:rsid w:val="000A720E"/>
    <w:rsid w:val="000E7245"/>
    <w:rsid w:val="00E420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BD05D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720E"/>
    <w:pPr>
      <w:spacing w:after="160" w:line="360" w:lineRule="auto"/>
      <w:jc w:val="both"/>
    </w:pPr>
    <w:rPr>
      <w:rFonts w:ascii="Arial" w:eastAsiaTheme="minorHAnsi" w:hAnsi="Arial"/>
      <w:szCs w:val="22"/>
      <w:lang w:val="en-IN"/>
    </w:rPr>
  </w:style>
  <w:style w:type="paragraph" w:styleId="Heading1">
    <w:name w:val="heading 1"/>
    <w:basedOn w:val="Normal"/>
    <w:next w:val="Normal"/>
    <w:link w:val="Heading1Char"/>
    <w:uiPriority w:val="9"/>
    <w:qFormat/>
    <w:rsid w:val="000A720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720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20E"/>
    <w:rPr>
      <w:rFonts w:ascii="Arial" w:eastAsiaTheme="majorEastAsia" w:hAnsi="Arial" w:cstheme="majorBidi"/>
      <w:b/>
      <w:szCs w:val="32"/>
      <w:lang w:val="en-IN"/>
    </w:rPr>
  </w:style>
  <w:style w:type="character" w:customStyle="1" w:styleId="Heading2Char">
    <w:name w:val="Heading 2 Char"/>
    <w:basedOn w:val="DefaultParagraphFont"/>
    <w:link w:val="Heading2"/>
    <w:uiPriority w:val="9"/>
    <w:rsid w:val="000A720E"/>
    <w:rPr>
      <w:rFonts w:ascii="Arial" w:eastAsiaTheme="majorEastAsia" w:hAnsi="Arial" w:cstheme="majorBidi"/>
      <w:b/>
      <w:szCs w:val="26"/>
      <w:lang w:val="en-IN"/>
    </w:rPr>
  </w:style>
  <w:style w:type="paragraph" w:styleId="ListParagraph">
    <w:name w:val="List Paragraph"/>
    <w:basedOn w:val="Normal"/>
    <w:uiPriority w:val="34"/>
    <w:qFormat/>
    <w:rsid w:val="000A720E"/>
    <w:pPr>
      <w:ind w:left="720"/>
      <w:contextualSpacing/>
    </w:pPr>
  </w:style>
  <w:style w:type="paragraph" w:styleId="Footer">
    <w:name w:val="footer"/>
    <w:basedOn w:val="Normal"/>
    <w:link w:val="FooterChar"/>
    <w:uiPriority w:val="99"/>
    <w:unhideWhenUsed/>
    <w:rsid w:val="000A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20E"/>
    <w:rPr>
      <w:rFonts w:ascii="Arial" w:eastAsiaTheme="minorHAnsi" w:hAnsi="Arial"/>
      <w:szCs w:val="22"/>
      <w:lang w:val="en-IN"/>
    </w:rPr>
  </w:style>
  <w:style w:type="paragraph" w:styleId="TOCHeading">
    <w:name w:val="TOC Heading"/>
    <w:basedOn w:val="Heading1"/>
    <w:next w:val="Normal"/>
    <w:uiPriority w:val="39"/>
    <w:unhideWhenUsed/>
    <w:qFormat/>
    <w:rsid w:val="000A720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A720E"/>
    <w:pPr>
      <w:spacing w:after="100"/>
    </w:pPr>
  </w:style>
  <w:style w:type="paragraph" w:styleId="TOC2">
    <w:name w:val="toc 2"/>
    <w:basedOn w:val="Normal"/>
    <w:next w:val="Normal"/>
    <w:autoRedefine/>
    <w:uiPriority w:val="39"/>
    <w:unhideWhenUsed/>
    <w:rsid w:val="000A720E"/>
    <w:pPr>
      <w:spacing w:after="100"/>
      <w:ind w:left="240"/>
    </w:pPr>
  </w:style>
  <w:style w:type="character" w:styleId="Hyperlink">
    <w:name w:val="Hyperlink"/>
    <w:basedOn w:val="DefaultParagraphFont"/>
    <w:uiPriority w:val="99"/>
    <w:unhideWhenUsed/>
    <w:rsid w:val="000A720E"/>
    <w:rPr>
      <w:color w:val="0000FF" w:themeColor="hyperlink"/>
      <w:u w:val="single"/>
    </w:rPr>
  </w:style>
  <w:style w:type="paragraph" w:styleId="BalloonText">
    <w:name w:val="Balloon Text"/>
    <w:basedOn w:val="Normal"/>
    <w:link w:val="BalloonTextChar"/>
    <w:uiPriority w:val="99"/>
    <w:semiHidden/>
    <w:unhideWhenUsed/>
    <w:rsid w:val="000A720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A720E"/>
    <w:rPr>
      <w:rFonts w:ascii="Lucida Grande" w:eastAsiaTheme="minorHAnsi" w:hAnsi="Lucida Grande"/>
      <w:sz w:val="18"/>
      <w:szCs w:val="18"/>
      <w:lang w:val="en-I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720E"/>
    <w:pPr>
      <w:spacing w:after="160" w:line="360" w:lineRule="auto"/>
      <w:jc w:val="both"/>
    </w:pPr>
    <w:rPr>
      <w:rFonts w:ascii="Arial" w:eastAsiaTheme="minorHAnsi" w:hAnsi="Arial"/>
      <w:szCs w:val="22"/>
      <w:lang w:val="en-IN"/>
    </w:rPr>
  </w:style>
  <w:style w:type="paragraph" w:styleId="Heading1">
    <w:name w:val="heading 1"/>
    <w:basedOn w:val="Normal"/>
    <w:next w:val="Normal"/>
    <w:link w:val="Heading1Char"/>
    <w:uiPriority w:val="9"/>
    <w:qFormat/>
    <w:rsid w:val="000A720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720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20E"/>
    <w:rPr>
      <w:rFonts w:ascii="Arial" w:eastAsiaTheme="majorEastAsia" w:hAnsi="Arial" w:cstheme="majorBidi"/>
      <w:b/>
      <w:szCs w:val="32"/>
      <w:lang w:val="en-IN"/>
    </w:rPr>
  </w:style>
  <w:style w:type="character" w:customStyle="1" w:styleId="Heading2Char">
    <w:name w:val="Heading 2 Char"/>
    <w:basedOn w:val="DefaultParagraphFont"/>
    <w:link w:val="Heading2"/>
    <w:uiPriority w:val="9"/>
    <w:rsid w:val="000A720E"/>
    <w:rPr>
      <w:rFonts w:ascii="Arial" w:eastAsiaTheme="majorEastAsia" w:hAnsi="Arial" w:cstheme="majorBidi"/>
      <w:b/>
      <w:szCs w:val="26"/>
      <w:lang w:val="en-IN"/>
    </w:rPr>
  </w:style>
  <w:style w:type="paragraph" w:styleId="ListParagraph">
    <w:name w:val="List Paragraph"/>
    <w:basedOn w:val="Normal"/>
    <w:uiPriority w:val="34"/>
    <w:qFormat/>
    <w:rsid w:val="000A720E"/>
    <w:pPr>
      <w:ind w:left="720"/>
      <w:contextualSpacing/>
    </w:pPr>
  </w:style>
  <w:style w:type="paragraph" w:styleId="Footer">
    <w:name w:val="footer"/>
    <w:basedOn w:val="Normal"/>
    <w:link w:val="FooterChar"/>
    <w:uiPriority w:val="99"/>
    <w:unhideWhenUsed/>
    <w:rsid w:val="000A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20E"/>
    <w:rPr>
      <w:rFonts w:ascii="Arial" w:eastAsiaTheme="minorHAnsi" w:hAnsi="Arial"/>
      <w:szCs w:val="22"/>
      <w:lang w:val="en-IN"/>
    </w:rPr>
  </w:style>
  <w:style w:type="paragraph" w:styleId="TOCHeading">
    <w:name w:val="TOC Heading"/>
    <w:basedOn w:val="Heading1"/>
    <w:next w:val="Normal"/>
    <w:uiPriority w:val="39"/>
    <w:unhideWhenUsed/>
    <w:qFormat/>
    <w:rsid w:val="000A720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A720E"/>
    <w:pPr>
      <w:spacing w:after="100"/>
    </w:pPr>
  </w:style>
  <w:style w:type="paragraph" w:styleId="TOC2">
    <w:name w:val="toc 2"/>
    <w:basedOn w:val="Normal"/>
    <w:next w:val="Normal"/>
    <w:autoRedefine/>
    <w:uiPriority w:val="39"/>
    <w:unhideWhenUsed/>
    <w:rsid w:val="000A720E"/>
    <w:pPr>
      <w:spacing w:after="100"/>
      <w:ind w:left="240"/>
    </w:pPr>
  </w:style>
  <w:style w:type="character" w:styleId="Hyperlink">
    <w:name w:val="Hyperlink"/>
    <w:basedOn w:val="DefaultParagraphFont"/>
    <w:uiPriority w:val="99"/>
    <w:unhideWhenUsed/>
    <w:rsid w:val="000A720E"/>
    <w:rPr>
      <w:color w:val="0000FF" w:themeColor="hyperlink"/>
      <w:u w:val="single"/>
    </w:rPr>
  </w:style>
  <w:style w:type="paragraph" w:styleId="BalloonText">
    <w:name w:val="Balloon Text"/>
    <w:basedOn w:val="Normal"/>
    <w:link w:val="BalloonTextChar"/>
    <w:uiPriority w:val="99"/>
    <w:semiHidden/>
    <w:unhideWhenUsed/>
    <w:rsid w:val="000A720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A720E"/>
    <w:rPr>
      <w:rFonts w:ascii="Lucida Grande" w:eastAsiaTheme="minorHAnsi" w:hAnsi="Lucida Grande"/>
      <w:sz w:val="18"/>
      <w:szCs w:val="1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2402</Words>
  <Characters>13693</Characters>
  <Application>Microsoft Macintosh Word</Application>
  <DocSecurity>0</DocSecurity>
  <Lines>114</Lines>
  <Paragraphs>32</Paragraphs>
  <ScaleCrop>false</ScaleCrop>
  <Company>Nothing &amp; Company</Company>
  <LinksUpToDate>false</LinksUpToDate>
  <CharactersWithSpaces>16063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Forhad Hossain</dc:creator>
  <cp:keywords/>
  <dc:description/>
  <cp:lastModifiedBy>Forhad Hossain</cp:lastModifiedBy>
  <cp:revision>2</cp:revision>
  <dcterms:created xsi:type="dcterms:W3CDTF">2022-07-06T21:14:00Z</dcterms:created>
  <dcterms:modified xsi:type="dcterms:W3CDTF">2022-07-06T21:18:00Z</dcterms:modified>
</cp:coreProperties>
</file>