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1FDDEA5" w:rsidR="00ED5964" w:rsidRPr="00245281" w:rsidRDefault="00ED5964" w:rsidP="00245281">
      <w:pPr>
        <w:spacing w:after="30"/>
        <w:jc w:val="both"/>
        <w:rPr>
          <w:rFonts w:asciiTheme="minorBidi" w:hAnsiTheme="minorBidi"/>
          <w:sz w:val="24"/>
          <w:szCs w:val="24"/>
        </w:rPr>
      </w:pPr>
      <w:r w:rsidRPr="00245281">
        <w:rPr>
          <w:rFonts w:asciiTheme="minorBidi" w:hAnsiTheme="minorBidi"/>
          <w:sz w:val="24"/>
          <w:szCs w:val="24"/>
        </w:rPr>
        <w:t xml:space="preserve">Name: </w:t>
      </w:r>
      <w:r w:rsidR="00880923">
        <w:rPr>
          <w:rFonts w:asciiTheme="minorBidi" w:hAnsiTheme="minorBidi"/>
          <w:sz w:val="24"/>
          <w:szCs w:val="24"/>
        </w:rPr>
        <w:t xml:space="preserve">ibrat </w:t>
      </w:r>
      <w:r w:rsidR="00386622">
        <w:rPr>
          <w:rFonts w:asciiTheme="minorBidi" w:hAnsiTheme="minorBidi"/>
          <w:sz w:val="24"/>
          <w:szCs w:val="24"/>
        </w:rPr>
        <w:t>bi</w:t>
      </w:r>
    </w:p>
    <w:p w14:paraId="485B6F49" w14:textId="72A03A6F" w:rsidR="00ED5964" w:rsidRPr="00245281" w:rsidRDefault="00ED5964" w:rsidP="00245281">
      <w:pPr>
        <w:spacing w:after="30"/>
        <w:jc w:val="both"/>
        <w:rPr>
          <w:rFonts w:asciiTheme="minorBidi" w:hAnsiTheme="minorBidi"/>
          <w:sz w:val="24"/>
          <w:szCs w:val="24"/>
        </w:rPr>
      </w:pPr>
      <w:r w:rsidRPr="00245281">
        <w:rPr>
          <w:rFonts w:asciiTheme="minorBidi" w:hAnsiTheme="minorBidi"/>
          <w:sz w:val="24"/>
          <w:szCs w:val="24"/>
        </w:rPr>
        <w:t xml:space="preserve">Student ID: </w:t>
      </w:r>
      <w:r w:rsidR="00386622">
        <w:rPr>
          <w:rFonts w:asciiTheme="minorBidi" w:hAnsiTheme="minorBidi"/>
          <w:sz w:val="24"/>
          <w:szCs w:val="24"/>
        </w:rPr>
        <w:t>2533707</w:t>
      </w:r>
    </w:p>
    <w:p w14:paraId="3C1E7A20" w14:textId="5ED667E9" w:rsidR="00ED5964" w:rsidRPr="00245281" w:rsidRDefault="00ED5964" w:rsidP="00245281">
      <w:pPr>
        <w:spacing w:after="30"/>
        <w:jc w:val="both"/>
        <w:rPr>
          <w:rFonts w:asciiTheme="minorBidi" w:hAnsiTheme="minorBidi"/>
          <w:sz w:val="24"/>
          <w:szCs w:val="24"/>
        </w:rPr>
      </w:pPr>
      <w:r w:rsidRPr="00245281">
        <w:rPr>
          <w:rFonts w:asciiTheme="minorBidi" w:hAnsiTheme="minorBidi"/>
          <w:sz w:val="24"/>
          <w:szCs w:val="24"/>
        </w:rPr>
        <w:t xml:space="preserve">Module Code: </w:t>
      </w:r>
      <w:r w:rsidR="00F73185">
        <w:rPr>
          <w:rFonts w:asciiTheme="minorBidi" w:hAnsiTheme="minorBidi"/>
          <w:sz w:val="24"/>
          <w:szCs w:val="24"/>
        </w:rPr>
        <w:t>LCHS4001</w:t>
      </w:r>
    </w:p>
    <w:p w14:paraId="4EEB2DA3" w14:textId="344028ED" w:rsidR="00ED5964" w:rsidRPr="00245281" w:rsidRDefault="00ED5964" w:rsidP="00245281">
      <w:pPr>
        <w:spacing w:after="30"/>
        <w:jc w:val="both"/>
        <w:rPr>
          <w:rFonts w:asciiTheme="minorBidi" w:hAnsiTheme="minorBidi"/>
          <w:sz w:val="24"/>
          <w:szCs w:val="24"/>
        </w:rPr>
      </w:pPr>
      <w:r w:rsidRPr="00245281">
        <w:rPr>
          <w:rFonts w:asciiTheme="minorBidi" w:hAnsiTheme="minorBidi"/>
          <w:sz w:val="24"/>
          <w:szCs w:val="24"/>
        </w:rPr>
        <w:t xml:space="preserve">Module: </w:t>
      </w:r>
      <w:r w:rsidR="00982D3D">
        <w:rPr>
          <w:rFonts w:asciiTheme="minorBidi" w:hAnsiTheme="minorBidi"/>
          <w:sz w:val="24"/>
          <w:szCs w:val="24"/>
        </w:rPr>
        <w:t>Academic and Employability Skills</w:t>
      </w:r>
    </w:p>
    <w:p w14:paraId="112342CB" w14:textId="76EC7AF1" w:rsidR="00ED5964" w:rsidRDefault="00ED5964" w:rsidP="00245281">
      <w:pPr>
        <w:spacing w:after="30"/>
        <w:jc w:val="both"/>
        <w:rPr>
          <w:rFonts w:asciiTheme="minorBidi" w:hAnsiTheme="minorBidi"/>
          <w:sz w:val="24"/>
          <w:szCs w:val="24"/>
        </w:rPr>
      </w:pPr>
      <w:r w:rsidRPr="00245281">
        <w:rPr>
          <w:rFonts w:asciiTheme="minorBidi" w:hAnsiTheme="minorBidi"/>
          <w:sz w:val="24"/>
          <w:szCs w:val="24"/>
        </w:rPr>
        <w:t xml:space="preserve">Lecturer: </w:t>
      </w:r>
      <w:r w:rsidR="00982D3D">
        <w:rPr>
          <w:rFonts w:asciiTheme="minorBidi" w:hAnsiTheme="minorBidi"/>
          <w:sz w:val="24"/>
          <w:szCs w:val="24"/>
        </w:rPr>
        <w:t>Abdulla Sodiq</w:t>
      </w:r>
    </w:p>
    <w:p w14:paraId="42BF48D8" w14:textId="77777777" w:rsidR="00982D3D" w:rsidRPr="00245281" w:rsidRDefault="00982D3D" w:rsidP="00245281">
      <w:pPr>
        <w:spacing w:after="30"/>
        <w:jc w:val="both"/>
        <w:rPr>
          <w:rFonts w:asciiTheme="minorBidi" w:hAnsiTheme="minorBidi"/>
          <w:sz w:val="24"/>
          <w:szCs w:val="24"/>
        </w:rPr>
      </w:pPr>
    </w:p>
    <w:p w14:paraId="78C0B80E" w14:textId="77777777" w:rsidR="00ED5964" w:rsidRPr="00245281" w:rsidRDefault="00ED5964" w:rsidP="00245281">
      <w:pPr>
        <w:spacing w:after="30"/>
        <w:jc w:val="both"/>
        <w:rPr>
          <w:rFonts w:asciiTheme="minorBidi" w:hAnsiTheme="minorBidi"/>
          <w:sz w:val="24"/>
          <w:szCs w:val="24"/>
        </w:rPr>
      </w:pPr>
    </w:p>
    <w:p w14:paraId="0C6F95D6" w14:textId="77777777" w:rsidR="00ED5964" w:rsidRPr="00245281" w:rsidRDefault="00ED5964" w:rsidP="00245281">
      <w:pPr>
        <w:spacing w:after="30"/>
        <w:jc w:val="both"/>
        <w:rPr>
          <w:rFonts w:asciiTheme="minorBidi" w:hAnsiTheme="minorBidi"/>
          <w:sz w:val="24"/>
          <w:szCs w:val="24"/>
        </w:rPr>
      </w:pPr>
    </w:p>
    <w:p w14:paraId="4E987134" w14:textId="25857B8E" w:rsidR="006D4A28" w:rsidRDefault="006D4A28" w:rsidP="00245281">
      <w:pPr>
        <w:spacing w:after="30"/>
        <w:jc w:val="both"/>
        <w:rPr>
          <w:rFonts w:asciiTheme="minorBidi" w:hAnsiTheme="minorBidi"/>
          <w:b/>
          <w:bCs/>
          <w:sz w:val="24"/>
          <w:szCs w:val="24"/>
        </w:rPr>
      </w:pPr>
    </w:p>
    <w:p w14:paraId="0A7C486E" w14:textId="77777777" w:rsidR="0025338C" w:rsidRDefault="0025338C" w:rsidP="00245281">
      <w:pPr>
        <w:spacing w:after="30"/>
        <w:jc w:val="both"/>
        <w:rPr>
          <w:rFonts w:asciiTheme="minorBidi" w:hAnsiTheme="minorBidi"/>
          <w:b/>
          <w:bCs/>
          <w:sz w:val="24"/>
          <w:szCs w:val="24"/>
        </w:rPr>
      </w:pPr>
    </w:p>
    <w:sdt>
      <w:sdtPr>
        <w:rPr>
          <w:rFonts w:eastAsiaTheme="minorEastAsia" w:cstheme="minorBidi"/>
          <w:bCs w:val="0"/>
          <w:color w:val="auto"/>
          <w:kern w:val="2"/>
          <w:sz w:val="22"/>
          <w:szCs w:val="22"/>
          <w:lang w:val="en-GB" w:eastAsia="zh-CN"/>
          <w14:ligatures w14:val="standardContextual"/>
        </w:rPr>
        <w:id w:val="-332464661"/>
        <w:docPartObj>
          <w:docPartGallery w:val="Table of Contents"/>
          <w:docPartUnique/>
        </w:docPartObj>
      </w:sdtPr>
      <w:sdtEndPr>
        <w:rPr>
          <w:sz w:val="24"/>
          <w:szCs w:val="24"/>
        </w:rPr>
      </w:sdtEndPr>
      <w:sdtContent>
        <w:p w14:paraId="69916705" w14:textId="77777777" w:rsidR="00D73B32" w:rsidRPr="000464D4" w:rsidRDefault="00D73B32" w:rsidP="00FD5CB9">
          <w:pPr>
            <w:pStyle w:val="TOCHeading"/>
            <w:spacing w:after="30"/>
            <w:rPr>
              <w:rFonts w:ascii="Arial" w:hAnsi="Arial"/>
              <w:b/>
              <w:bCs w:val="0"/>
              <w:color w:val="000000" w:themeColor="text1"/>
              <w:sz w:val="24"/>
              <w:szCs w:val="24"/>
            </w:rPr>
          </w:pPr>
          <w:r w:rsidRPr="000464D4">
            <w:rPr>
              <w:b/>
              <w:bCs w:val="0"/>
              <w:color w:val="000000" w:themeColor="text1"/>
              <w:sz w:val="24"/>
              <w:szCs w:val="24"/>
            </w:rPr>
            <w:t>Table of Contents</w:t>
          </w:r>
        </w:p>
        <w:p w14:paraId="0A2A1033"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r w:rsidRPr="00880923">
            <w:rPr>
              <w:szCs w:val="24"/>
            </w:rPr>
            <w:fldChar w:fldCharType="begin"/>
          </w:r>
          <w:r w:rsidRPr="00880923">
            <w:rPr>
              <w:szCs w:val="24"/>
            </w:rPr>
            <w:instrText xml:space="preserve"> TOC \o "1-3" \h \z \u </w:instrText>
          </w:r>
          <w:r w:rsidRPr="00880923">
            <w:rPr>
              <w:szCs w:val="24"/>
            </w:rPr>
            <w:fldChar w:fldCharType="separate"/>
          </w:r>
          <w:hyperlink r:id="rId9" w:anchor="_Toc233727221" w:history="1">
            <w:r w:rsidRPr="00880923">
              <w:rPr>
                <w:rStyle w:val="Hyperlink"/>
                <w:noProof/>
                <w:color w:val="000000" w:themeColor="text1"/>
                <w:szCs w:val="24"/>
              </w:rPr>
              <w:t>1.1 Introduction</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_Toc233727221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3</w:t>
            </w:r>
            <w:r w:rsidRPr="00880923">
              <w:rPr>
                <w:rStyle w:val="Hyperlink"/>
                <w:noProof/>
                <w:webHidden/>
                <w:color w:val="000000" w:themeColor="text1"/>
                <w:szCs w:val="24"/>
                <w:u w:val="none"/>
              </w:rPr>
              <w:fldChar w:fldCharType="end"/>
            </w:r>
          </w:hyperlink>
        </w:p>
        <w:p w14:paraId="0ABC1ECA"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hyperlink r:id="rId10" w:anchor="_Toc233727222" w:history="1">
            <w:r w:rsidRPr="00880923">
              <w:rPr>
                <w:rStyle w:val="Hyperlink"/>
                <w:noProof/>
                <w:color w:val="000000" w:themeColor="text1"/>
                <w:szCs w:val="24"/>
              </w:rPr>
              <w:t>Role of a healthcare support worker</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_Toc233727222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3</w:t>
            </w:r>
            <w:r w:rsidRPr="00880923">
              <w:rPr>
                <w:rStyle w:val="Hyperlink"/>
                <w:noProof/>
                <w:webHidden/>
                <w:color w:val="000000" w:themeColor="text1"/>
                <w:szCs w:val="24"/>
                <w:u w:val="none"/>
              </w:rPr>
              <w:fldChar w:fldCharType="end"/>
            </w:r>
          </w:hyperlink>
        </w:p>
        <w:p w14:paraId="6DF5EFF1" w14:textId="77777777" w:rsidR="00D73B32" w:rsidRPr="00880923" w:rsidRDefault="00D73B32" w:rsidP="00880923">
          <w:pPr>
            <w:pStyle w:val="TOC2"/>
            <w:rPr>
              <w:rFonts w:cstheme="minorBidi"/>
              <w:b/>
              <w:bCs/>
              <w:kern w:val="0"/>
              <w:lang w:eastAsia="en-GB"/>
              <w14:ligatures w14:val="none"/>
            </w:rPr>
          </w:pPr>
          <w:hyperlink r:id="rId11" w:anchor="_Toc233727223" w:history="1">
            <w:r w:rsidRPr="00880923">
              <w:rPr>
                <w:rStyle w:val="Hyperlink"/>
                <w:b/>
                <w:bCs/>
                <w:color w:val="000000" w:themeColor="text1"/>
              </w:rPr>
              <w:t>Duties of a support worker</w:t>
            </w:r>
            <w:r w:rsidRPr="00880923">
              <w:rPr>
                <w:rStyle w:val="Hyperlink"/>
                <w:b/>
                <w:bCs/>
                <w:webHidden/>
                <w:color w:val="000000" w:themeColor="text1"/>
                <w:u w:val="none"/>
              </w:rPr>
              <w:tab/>
            </w:r>
            <w:r w:rsidRPr="00880923">
              <w:rPr>
                <w:rStyle w:val="Hyperlink"/>
                <w:b/>
                <w:bCs/>
                <w:webHidden/>
                <w:color w:val="000000" w:themeColor="text1"/>
                <w:u w:val="none"/>
              </w:rPr>
              <w:fldChar w:fldCharType="begin"/>
            </w:r>
            <w:r w:rsidRPr="00880923">
              <w:rPr>
                <w:rStyle w:val="Hyperlink"/>
                <w:b/>
                <w:bCs/>
                <w:webHidden/>
                <w:color w:val="000000" w:themeColor="text1"/>
                <w:u w:val="none"/>
              </w:rPr>
              <w:instrText xml:space="preserve"> PAGEREF _Toc233727223 \h </w:instrText>
            </w:r>
            <w:r w:rsidRPr="00880923">
              <w:rPr>
                <w:rStyle w:val="Hyperlink"/>
                <w:b/>
                <w:bCs/>
                <w:webHidden/>
                <w:color w:val="000000" w:themeColor="text1"/>
                <w:u w:val="none"/>
              </w:rPr>
            </w:r>
            <w:r w:rsidRPr="00880923">
              <w:rPr>
                <w:rStyle w:val="Hyperlink"/>
                <w:b/>
                <w:bCs/>
                <w:webHidden/>
                <w:color w:val="000000" w:themeColor="text1"/>
                <w:u w:val="none"/>
              </w:rPr>
              <w:fldChar w:fldCharType="separate"/>
            </w:r>
            <w:r w:rsidRPr="00880923">
              <w:rPr>
                <w:rStyle w:val="Hyperlink"/>
                <w:b/>
                <w:bCs/>
                <w:webHidden/>
                <w:color w:val="000000" w:themeColor="text1"/>
                <w:u w:val="none"/>
              </w:rPr>
              <w:t>3</w:t>
            </w:r>
            <w:r w:rsidRPr="00880923">
              <w:rPr>
                <w:rStyle w:val="Hyperlink"/>
                <w:b/>
                <w:bCs/>
                <w:webHidden/>
                <w:color w:val="000000" w:themeColor="text1"/>
                <w:u w:val="none"/>
              </w:rPr>
              <w:fldChar w:fldCharType="end"/>
            </w:r>
          </w:hyperlink>
        </w:p>
        <w:p w14:paraId="0F02D21C" w14:textId="77777777" w:rsidR="00D73B32" w:rsidRPr="00880923" w:rsidRDefault="00D73B32" w:rsidP="00880923">
          <w:pPr>
            <w:pStyle w:val="TOC2"/>
            <w:rPr>
              <w:rFonts w:cstheme="minorBidi"/>
              <w:b/>
              <w:bCs/>
              <w:kern w:val="0"/>
              <w:lang w:eastAsia="en-GB"/>
              <w14:ligatures w14:val="none"/>
            </w:rPr>
          </w:pPr>
          <w:hyperlink r:id="rId12" w:anchor="_Toc233727224" w:history="1">
            <w:r w:rsidRPr="00880923">
              <w:rPr>
                <w:rStyle w:val="Hyperlink"/>
                <w:b/>
                <w:bCs/>
                <w:color w:val="000000" w:themeColor="text1"/>
              </w:rPr>
              <w:t>Skills Required</w:t>
            </w:r>
            <w:r w:rsidRPr="00880923">
              <w:rPr>
                <w:rStyle w:val="Hyperlink"/>
                <w:b/>
                <w:bCs/>
                <w:webHidden/>
                <w:color w:val="000000" w:themeColor="text1"/>
                <w:u w:val="none"/>
              </w:rPr>
              <w:tab/>
            </w:r>
            <w:r w:rsidRPr="00880923">
              <w:rPr>
                <w:rStyle w:val="Hyperlink"/>
                <w:b/>
                <w:bCs/>
                <w:webHidden/>
                <w:color w:val="000000" w:themeColor="text1"/>
                <w:u w:val="none"/>
              </w:rPr>
              <w:fldChar w:fldCharType="begin"/>
            </w:r>
            <w:r w:rsidRPr="00880923">
              <w:rPr>
                <w:rStyle w:val="Hyperlink"/>
                <w:b/>
                <w:bCs/>
                <w:webHidden/>
                <w:color w:val="000000" w:themeColor="text1"/>
                <w:u w:val="none"/>
              </w:rPr>
              <w:instrText xml:space="preserve"> PAGEREF _Toc233727224 \h </w:instrText>
            </w:r>
            <w:r w:rsidRPr="00880923">
              <w:rPr>
                <w:rStyle w:val="Hyperlink"/>
                <w:b/>
                <w:bCs/>
                <w:webHidden/>
                <w:color w:val="000000" w:themeColor="text1"/>
                <w:u w:val="none"/>
              </w:rPr>
            </w:r>
            <w:r w:rsidRPr="00880923">
              <w:rPr>
                <w:rStyle w:val="Hyperlink"/>
                <w:b/>
                <w:bCs/>
                <w:webHidden/>
                <w:color w:val="000000" w:themeColor="text1"/>
                <w:u w:val="none"/>
              </w:rPr>
              <w:fldChar w:fldCharType="separate"/>
            </w:r>
            <w:r w:rsidRPr="00880923">
              <w:rPr>
                <w:rStyle w:val="Hyperlink"/>
                <w:b/>
                <w:bCs/>
                <w:webHidden/>
                <w:color w:val="000000" w:themeColor="text1"/>
                <w:u w:val="none"/>
              </w:rPr>
              <w:t>3</w:t>
            </w:r>
            <w:r w:rsidRPr="00880923">
              <w:rPr>
                <w:rStyle w:val="Hyperlink"/>
                <w:b/>
                <w:bCs/>
                <w:webHidden/>
                <w:color w:val="000000" w:themeColor="text1"/>
                <w:u w:val="none"/>
              </w:rPr>
              <w:fldChar w:fldCharType="end"/>
            </w:r>
          </w:hyperlink>
        </w:p>
        <w:p w14:paraId="7A4342D3"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hyperlink r:id="rId13" w:anchor="_Toc233727225" w:history="1">
            <w:r w:rsidRPr="00880923">
              <w:rPr>
                <w:rStyle w:val="Hyperlink"/>
                <w:noProof/>
                <w:color w:val="000000" w:themeColor="text1"/>
                <w:szCs w:val="24"/>
              </w:rPr>
              <w:t>1.3 Evaluation of the skills</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_Toc233727225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4</w:t>
            </w:r>
            <w:r w:rsidRPr="00880923">
              <w:rPr>
                <w:rStyle w:val="Hyperlink"/>
                <w:noProof/>
                <w:webHidden/>
                <w:color w:val="000000" w:themeColor="text1"/>
                <w:szCs w:val="24"/>
                <w:u w:val="none"/>
              </w:rPr>
              <w:fldChar w:fldCharType="end"/>
            </w:r>
          </w:hyperlink>
        </w:p>
        <w:p w14:paraId="0167A3E0"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hyperlink r:id="rId14" w:anchor="_Toc233727226" w:history="1">
            <w:r w:rsidRPr="00880923">
              <w:rPr>
                <w:rStyle w:val="Hyperlink"/>
                <w:noProof/>
                <w:color w:val="000000" w:themeColor="text1"/>
                <w:szCs w:val="24"/>
              </w:rPr>
              <w:t>1.4 Strategies to improve communication, empathy and patience</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_Toc233727226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5</w:t>
            </w:r>
            <w:r w:rsidRPr="00880923">
              <w:rPr>
                <w:rStyle w:val="Hyperlink"/>
                <w:noProof/>
                <w:webHidden/>
                <w:color w:val="000000" w:themeColor="text1"/>
                <w:szCs w:val="24"/>
                <w:u w:val="none"/>
              </w:rPr>
              <w:fldChar w:fldCharType="end"/>
            </w:r>
          </w:hyperlink>
        </w:p>
        <w:p w14:paraId="00066860"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hyperlink r:id="rId15" w:anchor="_Toc233727227" w:history="1">
            <w:r w:rsidRPr="00880923">
              <w:rPr>
                <w:rStyle w:val="Hyperlink"/>
                <w:noProof/>
                <w:color w:val="000000" w:themeColor="text1"/>
                <w:szCs w:val="24"/>
              </w:rPr>
              <w:t>1.4 Conclusion</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_Toc233727227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6</w:t>
            </w:r>
            <w:r w:rsidRPr="00880923">
              <w:rPr>
                <w:rStyle w:val="Hyperlink"/>
                <w:noProof/>
                <w:webHidden/>
                <w:color w:val="000000" w:themeColor="text1"/>
                <w:szCs w:val="24"/>
                <w:u w:val="none"/>
              </w:rPr>
              <w:fldChar w:fldCharType="end"/>
            </w:r>
          </w:hyperlink>
        </w:p>
        <w:p w14:paraId="10DECD7F" w14:textId="77777777" w:rsidR="00D73B32" w:rsidRPr="00880923" w:rsidRDefault="00D73B32" w:rsidP="00FD5CB9">
          <w:pPr>
            <w:pStyle w:val="TOC1"/>
            <w:tabs>
              <w:tab w:val="right" w:leader="dot" w:pos="9016"/>
            </w:tabs>
            <w:spacing w:after="30"/>
            <w:rPr>
              <w:rFonts w:asciiTheme="minorHAnsi" w:hAnsiTheme="minorHAnsi" w:cstheme="minorBidi"/>
              <w:caps w:val="0"/>
              <w:noProof/>
              <w:color w:val="000000" w:themeColor="text1"/>
              <w:kern w:val="0"/>
              <w:szCs w:val="24"/>
              <w:lang w:eastAsia="en-GB"/>
              <w14:ligatures w14:val="none"/>
            </w:rPr>
          </w:pPr>
          <w:hyperlink r:id="rId16" w:anchor="_Toc233727228" w:history="1">
            <w:r w:rsidRPr="00880923">
              <w:rPr>
                <w:rStyle w:val="Hyperlink"/>
                <w:noProof/>
                <w:color w:val="000000" w:themeColor="text1"/>
                <w:szCs w:val="24"/>
              </w:rPr>
              <w:t>1.5 Reference List</w:t>
            </w:r>
            <w:r w:rsidRPr="00880923">
              <w:rPr>
                <w:rStyle w:val="Hyperlink"/>
                <w:noProof/>
                <w:webHidden/>
                <w:color w:val="000000" w:themeColor="text1"/>
                <w:szCs w:val="24"/>
                <w:u w:val="none"/>
              </w:rPr>
              <w:tab/>
            </w:r>
            <w:r w:rsidRPr="00880923">
              <w:rPr>
                <w:rStyle w:val="Hyperlink"/>
                <w:noProof/>
                <w:webHidden/>
                <w:color w:val="000000" w:themeColor="text1"/>
                <w:szCs w:val="24"/>
                <w:u w:val="none"/>
              </w:rPr>
              <w:fldChar w:fldCharType="begin"/>
            </w:r>
            <w:r w:rsidRPr="00880923">
              <w:rPr>
                <w:rStyle w:val="Hyperlink"/>
                <w:noProof/>
                <w:webHidden/>
                <w:color w:val="000000" w:themeColor="text1"/>
                <w:szCs w:val="24"/>
                <w:u w:val="none"/>
              </w:rPr>
              <w:instrText xml:space="preserve"> PAGEREF _Toc233727228 \h </w:instrText>
            </w:r>
            <w:r w:rsidRPr="00880923">
              <w:rPr>
                <w:rStyle w:val="Hyperlink"/>
                <w:noProof/>
                <w:webHidden/>
                <w:color w:val="000000" w:themeColor="text1"/>
                <w:szCs w:val="24"/>
                <w:u w:val="none"/>
              </w:rPr>
            </w:r>
            <w:r w:rsidRPr="00880923">
              <w:rPr>
                <w:rStyle w:val="Hyperlink"/>
                <w:noProof/>
                <w:webHidden/>
                <w:color w:val="000000" w:themeColor="text1"/>
                <w:szCs w:val="24"/>
                <w:u w:val="none"/>
              </w:rPr>
              <w:fldChar w:fldCharType="separate"/>
            </w:r>
            <w:r w:rsidRPr="00880923">
              <w:rPr>
                <w:rStyle w:val="Hyperlink"/>
                <w:noProof/>
                <w:webHidden/>
                <w:color w:val="000000" w:themeColor="text1"/>
                <w:szCs w:val="24"/>
                <w:u w:val="none"/>
              </w:rPr>
              <w:t>7</w:t>
            </w:r>
            <w:r w:rsidRPr="00880923">
              <w:rPr>
                <w:rStyle w:val="Hyperlink"/>
                <w:noProof/>
                <w:webHidden/>
                <w:color w:val="000000" w:themeColor="text1"/>
                <w:szCs w:val="24"/>
                <w:u w:val="none"/>
              </w:rPr>
              <w:fldChar w:fldCharType="end"/>
            </w:r>
          </w:hyperlink>
        </w:p>
        <w:p w14:paraId="4E7E3CF7" w14:textId="77777777" w:rsidR="00D73B32" w:rsidRPr="00880923" w:rsidRDefault="00D73B32" w:rsidP="00FD5CB9">
          <w:pPr>
            <w:spacing w:after="30"/>
            <w:rPr>
              <w:rFonts w:ascii="Arial" w:hAnsi="Arial"/>
              <w:sz w:val="24"/>
              <w:szCs w:val="24"/>
            </w:rPr>
          </w:pPr>
          <w:r w:rsidRPr="00880923">
            <w:rPr>
              <w:b/>
              <w:bCs/>
              <w:noProof/>
              <w:sz w:val="24"/>
              <w:szCs w:val="24"/>
            </w:rPr>
            <w:fldChar w:fldCharType="end"/>
          </w:r>
        </w:p>
      </w:sdtContent>
    </w:sdt>
    <w:p w14:paraId="5BF5A970" w14:textId="77777777" w:rsidR="00D73B32" w:rsidRDefault="00D73B32" w:rsidP="00FD5CB9">
      <w:pPr>
        <w:spacing w:after="30" w:line="360" w:lineRule="auto"/>
        <w:jc w:val="both"/>
        <w:rPr>
          <w:rFonts w:asciiTheme="minorBidi" w:hAnsiTheme="minorBidi"/>
          <w:b/>
          <w:bCs/>
          <w:sz w:val="28"/>
          <w:szCs w:val="28"/>
        </w:rPr>
      </w:pPr>
    </w:p>
    <w:p w14:paraId="137E8562" w14:textId="77777777" w:rsidR="00F33B9C" w:rsidRPr="00F33B9C" w:rsidRDefault="00F33B9C" w:rsidP="00F33B9C">
      <w:pPr>
        <w:spacing w:line="360" w:lineRule="auto"/>
        <w:rPr>
          <w:rFonts w:ascii="Arial" w:hAnsi="Arial"/>
          <w:b/>
          <w:bCs/>
          <w:sz w:val="21"/>
          <w:szCs w:val="21"/>
        </w:rPr>
      </w:pPr>
    </w:p>
    <w:p w14:paraId="77CFC8AE" w14:textId="77777777" w:rsidR="00F33B9C" w:rsidRPr="00F33B9C" w:rsidRDefault="00F33B9C" w:rsidP="000464D4">
      <w:pPr>
        <w:keepNext/>
        <w:keepLines/>
        <w:spacing w:before="240" w:after="30" w:line="240" w:lineRule="auto"/>
        <w:outlineLvl w:val="0"/>
        <w:rPr>
          <w:rFonts w:ascii="Arial" w:eastAsiaTheme="majorEastAsia" w:hAnsi="Arial" w:cstheme="majorBidi"/>
          <w:b/>
          <w:color w:val="000000" w:themeColor="text1"/>
          <w:sz w:val="24"/>
          <w:szCs w:val="24"/>
        </w:rPr>
      </w:pPr>
      <w:bookmarkStart w:id="0" w:name="_Toc228861925"/>
      <w:bookmarkStart w:id="1" w:name="_Toc228861968"/>
      <w:bookmarkStart w:id="2" w:name="_Toc228862231"/>
      <w:bookmarkStart w:id="3" w:name="_Toc233717190"/>
      <w:bookmarkStart w:id="4" w:name="_Toc233727221"/>
      <w:r w:rsidRPr="00F33B9C">
        <w:rPr>
          <w:rFonts w:ascii="Arial" w:eastAsiaTheme="majorEastAsia" w:hAnsi="Arial" w:cstheme="majorBidi"/>
          <w:b/>
          <w:color w:val="000000" w:themeColor="text1"/>
          <w:sz w:val="24"/>
          <w:szCs w:val="24"/>
        </w:rPr>
        <w:t>1.1 Introduction</w:t>
      </w:r>
      <w:bookmarkEnd w:id="0"/>
      <w:bookmarkEnd w:id="1"/>
      <w:bookmarkEnd w:id="2"/>
      <w:bookmarkEnd w:id="3"/>
      <w:bookmarkEnd w:id="4"/>
    </w:p>
    <w:p w14:paraId="7952B15F" w14:textId="77777777" w:rsidR="00F33B9C" w:rsidRPr="00F33B9C" w:rsidRDefault="00F33B9C" w:rsidP="000464D4">
      <w:pPr>
        <w:spacing w:after="30" w:line="240" w:lineRule="auto"/>
        <w:jc w:val="both"/>
        <w:rPr>
          <w:rFonts w:ascii="Arial" w:hAnsi="Arial"/>
          <w:bCs/>
          <w:iCs/>
          <w:sz w:val="21"/>
          <w:szCs w:val="21"/>
        </w:rPr>
      </w:pPr>
    </w:p>
    <w:p w14:paraId="746B7495" w14:textId="77777777" w:rsidR="00F33B9C" w:rsidRPr="00F33B9C" w:rsidRDefault="00F33B9C" w:rsidP="000464D4">
      <w:pPr>
        <w:spacing w:after="30" w:line="360" w:lineRule="auto"/>
        <w:jc w:val="both"/>
        <w:rPr>
          <w:rFonts w:ascii="Arial" w:hAnsi="Arial"/>
          <w:bCs/>
          <w:iCs/>
          <w:sz w:val="22"/>
        </w:rPr>
      </w:pPr>
      <w:r w:rsidRPr="00F33B9C">
        <w:rPr>
          <w:rFonts w:ascii="Arial" w:hAnsi="Arial"/>
          <w:bCs/>
          <w:iCs/>
          <w:sz w:val="22"/>
        </w:rPr>
        <w:t>The role selected for this report is that of a support worker. Support workers play an essential role in providing care to individuals. Support workers are responsible for providing physical, emotional, and psychological support to their patients (Manthorpe et al., 2010).  A support worker aims to promote independence, dignity, and autonomy. They work tirelessly to improve their patients' quality of life, and this is exactly why this role has been chosen for this report.</w:t>
      </w:r>
    </w:p>
    <w:p w14:paraId="596467B2" w14:textId="77777777" w:rsidR="00F33B9C" w:rsidRPr="00F33B9C" w:rsidRDefault="00F33B9C" w:rsidP="000464D4">
      <w:pPr>
        <w:spacing w:after="30" w:line="360" w:lineRule="auto"/>
        <w:jc w:val="both"/>
        <w:rPr>
          <w:rFonts w:ascii="Arial" w:hAnsi="Arial"/>
          <w:bCs/>
          <w:iCs/>
          <w:sz w:val="22"/>
        </w:rPr>
      </w:pPr>
    </w:p>
    <w:p w14:paraId="7BEB0355" w14:textId="77777777" w:rsidR="00F33B9C" w:rsidRPr="00F33B9C" w:rsidRDefault="00F33B9C" w:rsidP="000464D4">
      <w:pPr>
        <w:spacing w:after="30" w:line="360" w:lineRule="auto"/>
        <w:jc w:val="both"/>
        <w:rPr>
          <w:rFonts w:ascii="Arial" w:hAnsi="Arial"/>
          <w:bCs/>
          <w:iCs/>
          <w:sz w:val="22"/>
        </w:rPr>
      </w:pPr>
      <w:r w:rsidRPr="00F33B9C">
        <w:rPr>
          <w:rFonts w:ascii="Arial" w:hAnsi="Arial"/>
          <w:bCs/>
          <w:iCs/>
          <w:sz w:val="22"/>
        </w:rPr>
        <w:t>This report will describe the duties and responsibilities of a support worker, the most important skills for this job, and strategies for adapting those skills.</w:t>
      </w:r>
    </w:p>
    <w:p w14:paraId="01EBD4C2" w14:textId="77777777" w:rsidR="00F33B9C" w:rsidRPr="00F33B9C" w:rsidRDefault="00F33B9C" w:rsidP="000464D4">
      <w:pPr>
        <w:keepNext/>
        <w:keepLines/>
        <w:spacing w:before="240" w:after="30" w:line="360" w:lineRule="auto"/>
        <w:outlineLvl w:val="0"/>
        <w:rPr>
          <w:rFonts w:ascii="Arial" w:eastAsiaTheme="majorEastAsia" w:hAnsi="Arial" w:cstheme="majorBidi"/>
          <w:b/>
          <w:color w:val="000000" w:themeColor="text1"/>
          <w:sz w:val="24"/>
          <w:szCs w:val="24"/>
        </w:rPr>
      </w:pPr>
      <w:bookmarkStart w:id="5" w:name="_Toc233717191"/>
      <w:bookmarkStart w:id="6" w:name="_Toc233727222"/>
      <w:r w:rsidRPr="00F33B9C">
        <w:rPr>
          <w:rFonts w:ascii="Arial" w:eastAsiaTheme="majorEastAsia" w:hAnsi="Arial" w:cstheme="majorBidi"/>
          <w:b/>
          <w:color w:val="000000" w:themeColor="text1"/>
          <w:sz w:val="24"/>
          <w:szCs w:val="24"/>
        </w:rPr>
        <w:t>Role of a healthcare support worker</w:t>
      </w:r>
      <w:bookmarkEnd w:id="5"/>
      <w:bookmarkEnd w:id="6"/>
    </w:p>
    <w:p w14:paraId="4F4DDA23" w14:textId="065C08D6" w:rsidR="00F33B9C" w:rsidRPr="00F33B9C" w:rsidRDefault="00F33B9C" w:rsidP="000464D4">
      <w:pPr>
        <w:spacing w:after="30" w:line="360" w:lineRule="auto"/>
        <w:jc w:val="both"/>
        <w:rPr>
          <w:rFonts w:ascii="Arial" w:hAnsi="Arial"/>
          <w:bCs/>
          <w:iCs/>
          <w:sz w:val="22"/>
        </w:rPr>
      </w:pPr>
      <w:r w:rsidRPr="00F33B9C">
        <w:rPr>
          <w:rFonts w:ascii="Arial" w:hAnsi="Arial"/>
          <w:bCs/>
          <w:iCs/>
          <w:sz w:val="22"/>
        </w:rPr>
        <w:t xml:space="preserve">The main duties of a support worker are to provide physical and emotional support to people with physical disabilities, learning disabilities, mental-health conditions, and age-related needs (Moran et al., 2010). The individuals can include the elderly, children with learning disabilities, or people with mental health conditions; hence, the job is not </w:t>
      </w:r>
      <w:r w:rsidR="00982D3D" w:rsidRPr="00F33B9C">
        <w:rPr>
          <w:rFonts w:ascii="Arial" w:hAnsi="Arial"/>
          <w:bCs/>
          <w:iCs/>
          <w:sz w:val="22"/>
        </w:rPr>
        <w:t>age specific</w:t>
      </w:r>
      <w:r w:rsidRPr="00F33B9C">
        <w:rPr>
          <w:rFonts w:ascii="Arial" w:hAnsi="Arial"/>
          <w:bCs/>
          <w:iCs/>
          <w:sz w:val="22"/>
        </w:rPr>
        <w:t>. However, a support worker can choose which age group they want to serve (</w:t>
      </w:r>
      <w:proofErr w:type="spellStart"/>
      <w:r w:rsidRPr="00F33B9C">
        <w:rPr>
          <w:rFonts w:ascii="Arial" w:hAnsi="Arial"/>
          <w:bCs/>
          <w:iCs/>
          <w:sz w:val="22"/>
        </w:rPr>
        <w:t>Caredemy</w:t>
      </w:r>
      <w:proofErr w:type="spellEnd"/>
      <w:r w:rsidRPr="00F33B9C">
        <w:rPr>
          <w:rFonts w:ascii="Arial" w:hAnsi="Arial"/>
          <w:bCs/>
          <w:iCs/>
          <w:sz w:val="22"/>
        </w:rPr>
        <w:t>, 2026).</w:t>
      </w:r>
    </w:p>
    <w:p w14:paraId="78B64B61" w14:textId="77777777" w:rsidR="00F33B9C" w:rsidRPr="00F33B9C" w:rsidRDefault="00F33B9C" w:rsidP="000464D4">
      <w:pPr>
        <w:spacing w:after="30" w:line="360" w:lineRule="auto"/>
        <w:jc w:val="both"/>
        <w:rPr>
          <w:rFonts w:ascii="Arial" w:hAnsi="Arial"/>
          <w:sz w:val="21"/>
          <w:szCs w:val="21"/>
        </w:rPr>
      </w:pPr>
    </w:p>
    <w:p w14:paraId="0476B0D8" w14:textId="77777777" w:rsidR="00F33B9C" w:rsidRPr="00F33B9C" w:rsidRDefault="00F33B9C" w:rsidP="000464D4">
      <w:pPr>
        <w:keepNext/>
        <w:keepLines/>
        <w:spacing w:before="40" w:after="30" w:line="360" w:lineRule="auto"/>
        <w:outlineLvl w:val="1"/>
        <w:rPr>
          <w:rFonts w:ascii="Arial" w:eastAsiaTheme="majorEastAsia" w:hAnsi="Arial" w:cstheme="majorBidi"/>
          <w:b/>
          <w:bCs/>
          <w:color w:val="000000" w:themeColor="text1"/>
          <w:sz w:val="24"/>
          <w:szCs w:val="24"/>
        </w:rPr>
      </w:pPr>
      <w:bookmarkStart w:id="7" w:name="_Toc233717192"/>
      <w:bookmarkStart w:id="8" w:name="_Toc233727223"/>
      <w:r w:rsidRPr="00F33B9C">
        <w:rPr>
          <w:rFonts w:ascii="Arial" w:eastAsiaTheme="majorEastAsia" w:hAnsi="Arial" w:cstheme="majorBidi"/>
          <w:b/>
          <w:bCs/>
          <w:color w:val="000000" w:themeColor="text1"/>
          <w:sz w:val="24"/>
          <w:szCs w:val="24"/>
        </w:rPr>
        <w:t>Duties of a support worker</w:t>
      </w:r>
      <w:bookmarkEnd w:id="7"/>
      <w:bookmarkEnd w:id="8"/>
    </w:p>
    <w:p w14:paraId="586AF176"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Assisting individuals with personal care (eating, washing, dressing, mobility)</w:t>
      </w:r>
    </w:p>
    <w:p w14:paraId="19BE0F0A"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Medication</w:t>
      </w:r>
    </w:p>
    <w:p w14:paraId="2B53BDF0"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Encouraging them to take part in social and physical activities</w:t>
      </w:r>
    </w:p>
    <w:p w14:paraId="46AA68B8"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Help them achieve personal goals.</w:t>
      </w:r>
    </w:p>
    <w:p w14:paraId="12802E18"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Maintain records</w:t>
      </w:r>
    </w:p>
    <w:p w14:paraId="5A74FAA0"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Observe and report any concerns to senior staff</w:t>
      </w:r>
    </w:p>
    <w:p w14:paraId="54BFB6E6" w14:textId="77777777" w:rsidR="00F33B9C" w:rsidRPr="00F33B9C" w:rsidRDefault="00F33B9C">
      <w:pPr>
        <w:numPr>
          <w:ilvl w:val="0"/>
          <w:numId w:val="1"/>
        </w:numPr>
        <w:spacing w:after="30" w:line="360" w:lineRule="auto"/>
        <w:contextualSpacing/>
        <w:rPr>
          <w:rFonts w:ascii="Arial" w:hAnsi="Arial"/>
          <w:sz w:val="22"/>
        </w:rPr>
      </w:pPr>
      <w:r w:rsidRPr="00F33B9C">
        <w:rPr>
          <w:rFonts w:ascii="Arial" w:hAnsi="Arial"/>
          <w:sz w:val="22"/>
        </w:rPr>
        <w:t>Communicate effectively with responsible stakeholders (Manthorpe et al., 2010)</w:t>
      </w:r>
    </w:p>
    <w:p w14:paraId="59D8692C" w14:textId="77777777" w:rsidR="00F33B9C" w:rsidRPr="00F33B9C" w:rsidRDefault="00F33B9C" w:rsidP="000464D4">
      <w:pPr>
        <w:spacing w:after="30" w:line="360" w:lineRule="auto"/>
        <w:rPr>
          <w:rFonts w:ascii="Arial" w:hAnsi="Arial"/>
          <w:sz w:val="22"/>
        </w:rPr>
      </w:pPr>
      <w:r w:rsidRPr="00F33B9C">
        <w:rPr>
          <w:rFonts w:ascii="Arial" w:hAnsi="Arial"/>
          <w:sz w:val="22"/>
        </w:rPr>
        <w:t xml:space="preserve">Along with providing all these services, it is equally important to have knowledge of health and social care principles. One of the exceptionally important principles is person-centred care. Person-centred care ensures that care is planned around the patient’s unique needs (The American Geriatrics Society Expert Panel on Person-Centred Care, 2016). </w:t>
      </w:r>
    </w:p>
    <w:p w14:paraId="5E47B219" w14:textId="77777777" w:rsidR="00F33B9C" w:rsidRPr="00F33B9C" w:rsidRDefault="00F33B9C" w:rsidP="000464D4">
      <w:pPr>
        <w:spacing w:after="30" w:line="360" w:lineRule="auto"/>
        <w:rPr>
          <w:rFonts w:ascii="Arial" w:hAnsi="Arial"/>
          <w:sz w:val="22"/>
        </w:rPr>
      </w:pPr>
      <w:r w:rsidRPr="00F33B9C">
        <w:rPr>
          <w:rFonts w:ascii="Arial" w:hAnsi="Arial"/>
          <w:sz w:val="22"/>
        </w:rPr>
        <w:t>The role of the support worker is to understand each person’s needs, goals, and preferences and use that information to improve their quality of life (</w:t>
      </w:r>
      <w:r w:rsidRPr="00F33B9C">
        <w:rPr>
          <w:rFonts w:ascii="Arial" w:hAnsi="Arial" w:cs="Arial"/>
          <w:color w:val="222222"/>
          <w:sz w:val="22"/>
          <w:shd w:val="clear" w:color="auto" w:fill="FFFFFF"/>
        </w:rPr>
        <w:t>Manthorpe et al., 2010)</w:t>
      </w:r>
      <w:r w:rsidRPr="00F33B9C">
        <w:rPr>
          <w:rFonts w:ascii="Arial" w:hAnsi="Arial"/>
          <w:sz w:val="22"/>
        </w:rPr>
        <w:t>.</w:t>
      </w:r>
    </w:p>
    <w:p w14:paraId="7F883F3F" w14:textId="77777777" w:rsidR="00F33B9C" w:rsidRPr="00F33B9C" w:rsidRDefault="00F33B9C" w:rsidP="000464D4">
      <w:pPr>
        <w:keepNext/>
        <w:keepLines/>
        <w:spacing w:before="40" w:after="30" w:line="360" w:lineRule="auto"/>
        <w:outlineLvl w:val="1"/>
        <w:rPr>
          <w:rFonts w:ascii="Arial" w:eastAsiaTheme="majorEastAsia" w:hAnsi="Arial" w:cstheme="majorBidi"/>
          <w:b/>
          <w:bCs/>
          <w:color w:val="000000" w:themeColor="text1"/>
          <w:sz w:val="24"/>
          <w:szCs w:val="24"/>
        </w:rPr>
      </w:pPr>
      <w:bookmarkStart w:id="9" w:name="_Toc233717193"/>
      <w:bookmarkStart w:id="10" w:name="_Toc233727224"/>
      <w:r w:rsidRPr="00F33B9C">
        <w:rPr>
          <w:rFonts w:ascii="Arial" w:eastAsiaTheme="majorEastAsia" w:hAnsi="Arial" w:cstheme="majorBidi"/>
          <w:b/>
          <w:bCs/>
          <w:color w:val="000000" w:themeColor="text1"/>
          <w:sz w:val="24"/>
          <w:szCs w:val="24"/>
        </w:rPr>
        <w:lastRenderedPageBreak/>
        <w:t>Skills Required</w:t>
      </w:r>
      <w:bookmarkEnd w:id="9"/>
      <w:bookmarkEnd w:id="10"/>
      <w:r w:rsidRPr="00F33B9C">
        <w:rPr>
          <w:rFonts w:ascii="Arial" w:eastAsiaTheme="majorEastAsia" w:hAnsi="Arial" w:cstheme="majorBidi"/>
          <w:b/>
          <w:bCs/>
          <w:color w:val="000000" w:themeColor="text1"/>
          <w:sz w:val="24"/>
          <w:szCs w:val="24"/>
        </w:rPr>
        <w:t xml:space="preserve"> </w:t>
      </w:r>
    </w:p>
    <w:p w14:paraId="28EF4FBF" w14:textId="77777777" w:rsidR="00F33B9C" w:rsidRPr="00F33B9C" w:rsidRDefault="00F33B9C" w:rsidP="000464D4">
      <w:pPr>
        <w:spacing w:after="30" w:line="360" w:lineRule="auto"/>
        <w:rPr>
          <w:rFonts w:ascii="Arial" w:hAnsi="Arial"/>
          <w:sz w:val="22"/>
        </w:rPr>
      </w:pPr>
      <w:r w:rsidRPr="00F33B9C">
        <w:rPr>
          <w:rFonts w:ascii="Arial" w:hAnsi="Arial"/>
          <w:sz w:val="22"/>
        </w:rPr>
        <w:t>To perform this role effectively, support workers also require a lot of employability skills. Some of these skills include;</w:t>
      </w:r>
    </w:p>
    <w:p w14:paraId="7FD30F99" w14:textId="77777777" w:rsidR="00F33B9C" w:rsidRPr="00F33B9C" w:rsidRDefault="00F33B9C">
      <w:pPr>
        <w:numPr>
          <w:ilvl w:val="0"/>
          <w:numId w:val="2"/>
        </w:numPr>
        <w:spacing w:after="30" w:line="360" w:lineRule="auto"/>
        <w:contextualSpacing/>
        <w:rPr>
          <w:rFonts w:ascii="Arial" w:hAnsi="Arial"/>
          <w:sz w:val="22"/>
        </w:rPr>
      </w:pPr>
      <w:r w:rsidRPr="00F33B9C">
        <w:rPr>
          <w:rFonts w:ascii="Arial" w:hAnsi="Arial"/>
          <w:sz w:val="22"/>
        </w:rPr>
        <w:t>Communication skill</w:t>
      </w:r>
    </w:p>
    <w:p w14:paraId="5F0A7025" w14:textId="77777777" w:rsidR="00F33B9C" w:rsidRPr="00F33B9C" w:rsidRDefault="00F33B9C">
      <w:pPr>
        <w:numPr>
          <w:ilvl w:val="0"/>
          <w:numId w:val="2"/>
        </w:numPr>
        <w:spacing w:after="30" w:line="360" w:lineRule="auto"/>
        <w:contextualSpacing/>
        <w:rPr>
          <w:rFonts w:ascii="Arial" w:hAnsi="Arial"/>
          <w:sz w:val="22"/>
        </w:rPr>
      </w:pPr>
      <w:r w:rsidRPr="00F33B9C">
        <w:rPr>
          <w:rFonts w:ascii="Arial" w:hAnsi="Arial"/>
          <w:sz w:val="22"/>
        </w:rPr>
        <w:t>Observational skill</w:t>
      </w:r>
    </w:p>
    <w:p w14:paraId="2E7D162E" w14:textId="77777777" w:rsidR="00F33B9C" w:rsidRPr="00F33B9C" w:rsidRDefault="00F33B9C">
      <w:pPr>
        <w:numPr>
          <w:ilvl w:val="0"/>
          <w:numId w:val="2"/>
        </w:numPr>
        <w:spacing w:after="30" w:line="360" w:lineRule="auto"/>
        <w:contextualSpacing/>
        <w:rPr>
          <w:rFonts w:ascii="Arial" w:hAnsi="Arial"/>
          <w:sz w:val="22"/>
        </w:rPr>
      </w:pPr>
      <w:r w:rsidRPr="00F33B9C">
        <w:rPr>
          <w:rFonts w:ascii="Arial" w:hAnsi="Arial"/>
          <w:sz w:val="22"/>
        </w:rPr>
        <w:t xml:space="preserve">Patience </w:t>
      </w:r>
    </w:p>
    <w:p w14:paraId="0FC8BB48" w14:textId="77777777" w:rsidR="00F33B9C" w:rsidRPr="00F33B9C" w:rsidRDefault="00F33B9C">
      <w:pPr>
        <w:numPr>
          <w:ilvl w:val="0"/>
          <w:numId w:val="2"/>
        </w:numPr>
        <w:spacing w:after="30" w:line="360" w:lineRule="auto"/>
        <w:contextualSpacing/>
        <w:rPr>
          <w:rFonts w:ascii="Arial" w:hAnsi="Arial"/>
          <w:sz w:val="22"/>
        </w:rPr>
      </w:pPr>
      <w:r w:rsidRPr="00F33B9C">
        <w:rPr>
          <w:rFonts w:ascii="Arial" w:hAnsi="Arial"/>
          <w:sz w:val="22"/>
        </w:rPr>
        <w:t>Empathy</w:t>
      </w:r>
    </w:p>
    <w:p w14:paraId="22C56118" w14:textId="77777777" w:rsidR="00F33B9C" w:rsidRPr="00F33B9C" w:rsidRDefault="00F33B9C" w:rsidP="000464D4">
      <w:pPr>
        <w:keepNext/>
        <w:keepLines/>
        <w:spacing w:before="240" w:after="30" w:line="240" w:lineRule="auto"/>
        <w:outlineLvl w:val="0"/>
        <w:rPr>
          <w:rFonts w:ascii="Arial" w:eastAsiaTheme="majorEastAsia" w:hAnsi="Arial" w:cstheme="majorBidi"/>
          <w:b/>
          <w:color w:val="000000" w:themeColor="text1"/>
          <w:sz w:val="24"/>
          <w:szCs w:val="24"/>
        </w:rPr>
      </w:pPr>
      <w:bookmarkStart w:id="11" w:name="_Toc233717194"/>
      <w:bookmarkStart w:id="12" w:name="_Toc233727225"/>
      <w:r w:rsidRPr="00F33B9C">
        <w:rPr>
          <w:rFonts w:ascii="Arial" w:eastAsiaTheme="majorEastAsia" w:hAnsi="Arial" w:cstheme="majorBidi"/>
          <w:b/>
          <w:color w:val="000000" w:themeColor="text1"/>
          <w:sz w:val="24"/>
          <w:szCs w:val="24"/>
        </w:rPr>
        <w:t>1.3 Evaluation of the skills</w:t>
      </w:r>
      <w:bookmarkEnd w:id="11"/>
      <w:bookmarkEnd w:id="12"/>
    </w:p>
    <w:p w14:paraId="092AA871" w14:textId="77777777" w:rsidR="00F33B9C" w:rsidRPr="00F33B9C" w:rsidRDefault="00F33B9C" w:rsidP="000464D4">
      <w:pPr>
        <w:spacing w:after="30" w:line="240" w:lineRule="auto"/>
        <w:jc w:val="both"/>
        <w:rPr>
          <w:rFonts w:ascii="Arial" w:hAnsi="Arial"/>
          <w:b/>
          <w:bCs/>
          <w:iCs/>
          <w:sz w:val="21"/>
          <w:szCs w:val="21"/>
        </w:rPr>
      </w:pPr>
    </w:p>
    <w:p w14:paraId="448CBEE8" w14:textId="77777777" w:rsidR="00F33B9C" w:rsidRPr="00F33B9C" w:rsidRDefault="00F33B9C" w:rsidP="000464D4">
      <w:pPr>
        <w:spacing w:after="30" w:line="360" w:lineRule="auto"/>
        <w:jc w:val="both"/>
        <w:rPr>
          <w:rFonts w:ascii="Arial" w:hAnsi="Arial"/>
          <w:bCs/>
          <w:iCs/>
          <w:sz w:val="22"/>
        </w:rPr>
      </w:pPr>
      <w:r w:rsidRPr="00F33B9C">
        <w:rPr>
          <w:rFonts w:ascii="Arial" w:hAnsi="Arial"/>
          <w:bCs/>
          <w:iCs/>
          <w:sz w:val="22"/>
        </w:rPr>
        <w:t>Support workers require a range of employability skills to provide safe, effective, and person-centred care. The three most important skills that a support worker should possess are;</w:t>
      </w:r>
    </w:p>
    <w:p w14:paraId="6684AB89" w14:textId="77777777" w:rsidR="00F33B9C" w:rsidRPr="00F33B9C" w:rsidRDefault="00F33B9C" w:rsidP="000464D4">
      <w:pPr>
        <w:spacing w:after="30" w:line="240" w:lineRule="auto"/>
        <w:jc w:val="both"/>
        <w:rPr>
          <w:rFonts w:ascii="Arial" w:hAnsi="Arial"/>
          <w:bCs/>
          <w:iCs/>
          <w:sz w:val="22"/>
        </w:rPr>
      </w:pPr>
    </w:p>
    <w:p w14:paraId="0AB59E22" w14:textId="77777777" w:rsidR="00F33B9C" w:rsidRPr="00F33B9C" w:rsidRDefault="00F33B9C">
      <w:pPr>
        <w:numPr>
          <w:ilvl w:val="0"/>
          <w:numId w:val="3"/>
        </w:numPr>
        <w:spacing w:after="30" w:line="360" w:lineRule="auto"/>
        <w:contextualSpacing/>
        <w:jc w:val="both"/>
        <w:rPr>
          <w:rFonts w:ascii="Arial" w:hAnsi="Arial"/>
          <w:bCs/>
          <w:iCs/>
          <w:sz w:val="22"/>
        </w:rPr>
      </w:pPr>
      <w:r w:rsidRPr="00F33B9C">
        <w:rPr>
          <w:rFonts w:ascii="Arial" w:hAnsi="Arial"/>
          <w:b/>
          <w:bCs/>
          <w:iCs/>
          <w:sz w:val="22"/>
        </w:rPr>
        <w:t>Empathy:</w:t>
      </w:r>
      <w:r w:rsidRPr="00F33B9C">
        <w:rPr>
          <w:rFonts w:ascii="Arial" w:hAnsi="Arial"/>
          <w:bCs/>
          <w:iCs/>
          <w:sz w:val="22"/>
        </w:rPr>
        <w:t xml:space="preserve"> is the ability to put yourself in others' shoes and feel their pain. It is crucial to empathise with the pain your patients are experiencing; only then will one be able to respond to them effectively (</w:t>
      </w:r>
      <w:proofErr w:type="spellStart"/>
      <w:r w:rsidRPr="00F33B9C">
        <w:rPr>
          <w:rFonts w:ascii="Arial" w:hAnsi="Arial"/>
          <w:bCs/>
          <w:iCs/>
          <w:sz w:val="22"/>
        </w:rPr>
        <w:t>Moudatsou</w:t>
      </w:r>
      <w:proofErr w:type="spellEnd"/>
      <w:r w:rsidRPr="00F33B9C">
        <w:rPr>
          <w:rFonts w:ascii="Arial" w:hAnsi="Arial"/>
          <w:bCs/>
          <w:iCs/>
          <w:sz w:val="22"/>
        </w:rPr>
        <w:t xml:space="preserve"> et al., 2020). If a support worker lacks empathy, individuals may feel ignored, disrespected, or isolated. A lack of empathy can also lead to dissatisfaction, complaints, and misunderstandings. A support worker should always understand that his job is not about performing his duties, but about providing exceptional care (Holm, 2002). </w:t>
      </w:r>
    </w:p>
    <w:p w14:paraId="74803F63" w14:textId="77777777" w:rsidR="00F33B9C" w:rsidRPr="00F33B9C" w:rsidRDefault="00F33B9C" w:rsidP="000464D4">
      <w:pPr>
        <w:spacing w:after="30" w:line="240" w:lineRule="auto"/>
        <w:ind w:left="720"/>
        <w:contextualSpacing/>
        <w:jc w:val="both"/>
        <w:rPr>
          <w:rFonts w:ascii="Arial" w:hAnsi="Arial"/>
          <w:bCs/>
          <w:iCs/>
          <w:sz w:val="22"/>
        </w:rPr>
      </w:pPr>
      <w:r w:rsidRPr="00F33B9C">
        <w:rPr>
          <w:rFonts w:ascii="Arial" w:hAnsi="Arial"/>
          <w:b/>
          <w:bCs/>
          <w:iCs/>
          <w:sz w:val="22"/>
        </w:rPr>
        <w:t xml:space="preserve"> </w:t>
      </w:r>
    </w:p>
    <w:p w14:paraId="770CAC47" w14:textId="77777777" w:rsidR="00F33B9C" w:rsidRPr="00F33B9C" w:rsidRDefault="00F33B9C" w:rsidP="000464D4">
      <w:pPr>
        <w:spacing w:after="30" w:line="360" w:lineRule="auto"/>
        <w:ind w:left="720"/>
        <w:jc w:val="both"/>
        <w:rPr>
          <w:rFonts w:ascii="Arial" w:hAnsi="Arial"/>
          <w:bCs/>
          <w:iCs/>
          <w:sz w:val="22"/>
        </w:rPr>
      </w:pPr>
      <w:r w:rsidRPr="00F33B9C">
        <w:rPr>
          <w:rFonts w:ascii="Arial" w:hAnsi="Arial"/>
          <w:bCs/>
          <w:iCs/>
          <w:sz w:val="22"/>
        </w:rPr>
        <w:t xml:space="preserve">For example, the greatest inspiration for me to pursue this role was my grandfather. I have seen how he suffered with his disability and the support he needs. I felt that pain, and that’s when I started to assist him with his daily chores. Without empathy, a support worker will struggle to understand their patient’s feelings and will not be able to respond to their emotional needs. </w:t>
      </w:r>
    </w:p>
    <w:p w14:paraId="3C3A0E9D" w14:textId="77777777" w:rsidR="00F33B9C" w:rsidRPr="00F33B9C" w:rsidRDefault="00F33B9C" w:rsidP="000464D4">
      <w:pPr>
        <w:spacing w:after="30" w:line="240" w:lineRule="auto"/>
        <w:ind w:left="360"/>
        <w:jc w:val="both"/>
        <w:rPr>
          <w:rFonts w:ascii="Arial" w:hAnsi="Arial"/>
          <w:bCs/>
          <w:iCs/>
          <w:sz w:val="22"/>
        </w:rPr>
      </w:pPr>
    </w:p>
    <w:p w14:paraId="1A4F6964" w14:textId="77777777" w:rsidR="00F33B9C" w:rsidRPr="00F33B9C" w:rsidRDefault="00F33B9C">
      <w:pPr>
        <w:numPr>
          <w:ilvl w:val="0"/>
          <w:numId w:val="3"/>
        </w:numPr>
        <w:spacing w:after="30" w:line="360" w:lineRule="auto"/>
        <w:contextualSpacing/>
        <w:jc w:val="both"/>
        <w:rPr>
          <w:rFonts w:ascii="Arial" w:hAnsi="Arial"/>
          <w:b/>
          <w:bCs/>
          <w:iCs/>
          <w:sz w:val="22"/>
        </w:rPr>
      </w:pPr>
      <w:r w:rsidRPr="00F33B9C">
        <w:rPr>
          <w:rFonts w:ascii="Arial" w:hAnsi="Arial"/>
          <w:b/>
          <w:bCs/>
          <w:iCs/>
          <w:sz w:val="22"/>
        </w:rPr>
        <w:t xml:space="preserve">Communication skills: </w:t>
      </w:r>
      <w:r w:rsidRPr="00F33B9C">
        <w:rPr>
          <w:rFonts w:ascii="Arial" w:hAnsi="Arial"/>
          <w:bCs/>
          <w:iCs/>
          <w:sz w:val="22"/>
        </w:rPr>
        <w:t>Communication is another important skill because support workers interact with the patients, their families, and other multidisciplinary teams as well. Good communication helps staff to understand their patient’s needs, explain care, and maintain accurate records (Moss, 2017). Effective communication will help the patients feel valued and respected and build trust. A support worker should be a good listener and a humble speaker. Effective communication, along with empathy, will encourage patients to be friendlier and express their needs and concerns more openly.</w:t>
      </w:r>
    </w:p>
    <w:p w14:paraId="738AD853" w14:textId="77777777" w:rsidR="00F33B9C" w:rsidRPr="00F33B9C" w:rsidRDefault="00F33B9C" w:rsidP="000464D4">
      <w:pPr>
        <w:spacing w:after="30" w:line="360" w:lineRule="auto"/>
        <w:ind w:firstLine="720"/>
        <w:jc w:val="both"/>
        <w:rPr>
          <w:rFonts w:ascii="Arial" w:hAnsi="Arial"/>
          <w:bCs/>
          <w:iCs/>
          <w:sz w:val="22"/>
        </w:rPr>
      </w:pPr>
    </w:p>
    <w:p w14:paraId="3099CE6E" w14:textId="77777777" w:rsidR="00F33B9C" w:rsidRPr="00F33B9C" w:rsidRDefault="00F33B9C" w:rsidP="000464D4">
      <w:pPr>
        <w:spacing w:after="30" w:line="360" w:lineRule="auto"/>
        <w:ind w:left="720"/>
        <w:jc w:val="both"/>
        <w:rPr>
          <w:rFonts w:ascii="Arial" w:hAnsi="Arial"/>
          <w:bCs/>
          <w:iCs/>
          <w:sz w:val="22"/>
        </w:rPr>
      </w:pPr>
      <w:r w:rsidRPr="00F33B9C">
        <w:rPr>
          <w:rFonts w:ascii="Arial" w:hAnsi="Arial"/>
          <w:bCs/>
          <w:iCs/>
          <w:sz w:val="22"/>
        </w:rPr>
        <w:t xml:space="preserve">For example, a support worker is working with a dementia patient who seems confused and avoids taking medication. Now, a support worker will spend time with him to understand his concerns, build a relationship that boosts trust, and explain why that </w:t>
      </w:r>
      <w:r w:rsidRPr="00F33B9C">
        <w:rPr>
          <w:rFonts w:ascii="Arial" w:hAnsi="Arial"/>
          <w:bCs/>
          <w:iCs/>
          <w:sz w:val="22"/>
        </w:rPr>
        <w:lastRenderedPageBreak/>
        <w:t xml:space="preserve">medication is necessary for him. If the patient still refuses to take the medication, the support worker will note the incident and report to a senior carer. </w:t>
      </w:r>
    </w:p>
    <w:p w14:paraId="1791298E" w14:textId="77777777" w:rsidR="00F33B9C" w:rsidRPr="00F33B9C" w:rsidRDefault="00F33B9C" w:rsidP="000464D4">
      <w:pPr>
        <w:spacing w:after="30" w:line="360" w:lineRule="auto"/>
        <w:ind w:left="720"/>
        <w:contextualSpacing/>
        <w:jc w:val="both"/>
        <w:rPr>
          <w:rFonts w:ascii="Arial" w:hAnsi="Arial"/>
          <w:bCs/>
          <w:iCs/>
          <w:sz w:val="22"/>
        </w:rPr>
      </w:pPr>
      <w:r w:rsidRPr="00F33B9C">
        <w:rPr>
          <w:rFonts w:ascii="Arial" w:hAnsi="Arial"/>
          <w:bCs/>
          <w:iCs/>
          <w:sz w:val="22"/>
        </w:rPr>
        <w:t>A lack of good communication skills will lead to errors in care, reduced trust, and an increased risk to the individual’s health and safety.</w:t>
      </w:r>
    </w:p>
    <w:p w14:paraId="36F3ED06" w14:textId="77777777" w:rsidR="00F33B9C" w:rsidRPr="00F33B9C" w:rsidRDefault="00F33B9C" w:rsidP="000464D4">
      <w:pPr>
        <w:spacing w:after="30" w:line="240" w:lineRule="auto"/>
        <w:jc w:val="both"/>
        <w:rPr>
          <w:rFonts w:ascii="Arial" w:hAnsi="Arial"/>
          <w:b/>
          <w:bCs/>
          <w:iCs/>
          <w:sz w:val="22"/>
        </w:rPr>
      </w:pPr>
    </w:p>
    <w:p w14:paraId="46D8E11C" w14:textId="77777777" w:rsidR="00F33B9C" w:rsidRPr="00F33B9C" w:rsidRDefault="00F33B9C">
      <w:pPr>
        <w:numPr>
          <w:ilvl w:val="0"/>
          <w:numId w:val="3"/>
        </w:numPr>
        <w:spacing w:after="30" w:line="360" w:lineRule="auto"/>
        <w:contextualSpacing/>
        <w:jc w:val="both"/>
        <w:rPr>
          <w:rFonts w:ascii="Arial" w:hAnsi="Arial"/>
          <w:b/>
          <w:bCs/>
          <w:iCs/>
          <w:sz w:val="22"/>
        </w:rPr>
      </w:pPr>
      <w:r w:rsidRPr="00F33B9C">
        <w:rPr>
          <w:rFonts w:ascii="Arial" w:hAnsi="Arial"/>
          <w:b/>
          <w:bCs/>
          <w:iCs/>
          <w:sz w:val="22"/>
        </w:rPr>
        <w:t xml:space="preserve">Patience: </w:t>
      </w:r>
      <w:r w:rsidRPr="00F33B9C">
        <w:rPr>
          <w:rFonts w:ascii="Arial" w:hAnsi="Arial"/>
          <w:bCs/>
          <w:iCs/>
          <w:sz w:val="22"/>
        </w:rPr>
        <w:t>When working with the elderly, people with disabilities, or those with mental conditions, it is highly important to instil patience in oneself. Support workers often care for people with dementia, learning disabilities, or long-term health conditions, which may require extra time and reassurance. For example, when supporting a person with dementia to get dressed, a support worker should remain calm, provide step-by-step guidance, and encourage the person rather than rushing them.</w:t>
      </w:r>
    </w:p>
    <w:p w14:paraId="0940D886" w14:textId="77777777" w:rsidR="00F33B9C" w:rsidRPr="00F33B9C" w:rsidRDefault="00F33B9C" w:rsidP="000464D4">
      <w:pPr>
        <w:spacing w:after="30" w:line="240" w:lineRule="auto"/>
        <w:ind w:left="720"/>
        <w:contextualSpacing/>
        <w:rPr>
          <w:rFonts w:ascii="Arial" w:hAnsi="Arial"/>
          <w:b/>
          <w:bCs/>
          <w:iCs/>
          <w:sz w:val="22"/>
        </w:rPr>
      </w:pPr>
    </w:p>
    <w:p w14:paraId="17BF4EFE" w14:textId="77777777" w:rsidR="00F33B9C" w:rsidRPr="00F33B9C" w:rsidRDefault="00F33B9C" w:rsidP="000464D4">
      <w:pPr>
        <w:spacing w:after="30" w:line="360" w:lineRule="auto"/>
        <w:ind w:left="720"/>
        <w:contextualSpacing/>
        <w:jc w:val="both"/>
        <w:rPr>
          <w:rFonts w:ascii="Arial" w:hAnsi="Arial"/>
          <w:b/>
          <w:bCs/>
          <w:iCs/>
          <w:sz w:val="22"/>
        </w:rPr>
      </w:pPr>
      <w:r w:rsidRPr="00F33B9C">
        <w:rPr>
          <w:rFonts w:ascii="Arial" w:hAnsi="Arial"/>
          <w:sz w:val="22"/>
        </w:rPr>
        <w:t>Generally, lacking these essential skills can negatively affect a support worker's performance, reduce the quality of care provided, and compromise the safety, dignity, and well-being of the people they support (</w:t>
      </w:r>
      <w:proofErr w:type="spellStart"/>
      <w:r w:rsidRPr="00F33B9C">
        <w:rPr>
          <w:rFonts w:ascii="Arial" w:hAnsi="Arial" w:cs="Arial"/>
          <w:color w:val="222222"/>
          <w:sz w:val="22"/>
          <w:shd w:val="clear" w:color="auto" w:fill="FFFFFF"/>
        </w:rPr>
        <w:t>Wahyuningtyas</w:t>
      </w:r>
      <w:proofErr w:type="spellEnd"/>
      <w:r w:rsidRPr="00F33B9C">
        <w:rPr>
          <w:rFonts w:ascii="Arial" w:hAnsi="Arial" w:cs="Arial"/>
          <w:color w:val="222222"/>
          <w:sz w:val="22"/>
          <w:shd w:val="clear" w:color="auto" w:fill="FFFFFF"/>
        </w:rPr>
        <w:t>, 2025)</w:t>
      </w:r>
      <w:r w:rsidRPr="00F33B9C">
        <w:rPr>
          <w:rFonts w:ascii="Arial" w:hAnsi="Arial"/>
          <w:sz w:val="22"/>
        </w:rPr>
        <w:t>.</w:t>
      </w:r>
      <w:bookmarkStart w:id="13" w:name="_Toc228861927"/>
      <w:bookmarkStart w:id="14" w:name="_Toc228861970"/>
      <w:bookmarkStart w:id="15" w:name="_Toc228862233"/>
    </w:p>
    <w:p w14:paraId="21463699" w14:textId="77777777" w:rsidR="00F33B9C" w:rsidRPr="00F33B9C" w:rsidRDefault="00F33B9C" w:rsidP="000464D4">
      <w:pPr>
        <w:keepNext/>
        <w:keepLines/>
        <w:spacing w:before="240" w:after="30" w:line="360" w:lineRule="auto"/>
        <w:outlineLvl w:val="0"/>
        <w:rPr>
          <w:rFonts w:ascii="Arial" w:eastAsiaTheme="majorEastAsia" w:hAnsi="Arial" w:cstheme="majorBidi"/>
          <w:b/>
          <w:color w:val="000000" w:themeColor="text1"/>
          <w:sz w:val="24"/>
          <w:szCs w:val="24"/>
        </w:rPr>
      </w:pPr>
      <w:bookmarkStart w:id="16" w:name="_Toc233717195"/>
      <w:bookmarkStart w:id="17" w:name="_Toc233727226"/>
      <w:r w:rsidRPr="00F33B9C">
        <w:rPr>
          <w:rFonts w:ascii="Arial" w:eastAsiaTheme="majorEastAsia" w:hAnsi="Arial" w:cstheme="majorBidi"/>
          <w:b/>
          <w:color w:val="000000" w:themeColor="text1"/>
          <w:sz w:val="24"/>
          <w:szCs w:val="24"/>
        </w:rPr>
        <w:t xml:space="preserve">1.4 Strategies to improve </w:t>
      </w:r>
      <w:bookmarkEnd w:id="13"/>
      <w:bookmarkEnd w:id="14"/>
      <w:bookmarkEnd w:id="15"/>
      <w:r w:rsidRPr="00F33B9C">
        <w:rPr>
          <w:rFonts w:ascii="Arial" w:eastAsiaTheme="majorEastAsia" w:hAnsi="Arial" w:cstheme="majorBidi"/>
          <w:b/>
          <w:color w:val="000000" w:themeColor="text1"/>
          <w:sz w:val="24"/>
          <w:szCs w:val="24"/>
        </w:rPr>
        <w:t>communication, empathy and patience</w:t>
      </w:r>
      <w:bookmarkEnd w:id="16"/>
      <w:bookmarkEnd w:id="17"/>
    </w:p>
    <w:p w14:paraId="1DA95AA2"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Communication skills, empathy, and patience all play a vital role in providing compassionate, safe, and person-centred care. Some might think that most of these skills are innate, such as empathy and the art of communication, but with some help and structured training, these skills can be developed and polished as well (Davidhizar et al., 2009).</w:t>
      </w:r>
    </w:p>
    <w:p w14:paraId="0506C488"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Three effective strategies for improving these skills are;</w:t>
      </w:r>
    </w:p>
    <w:p w14:paraId="6FAE5A6A" w14:textId="77777777" w:rsidR="00F33B9C" w:rsidRPr="00F33B9C" w:rsidRDefault="00F33B9C">
      <w:pPr>
        <w:numPr>
          <w:ilvl w:val="0"/>
          <w:numId w:val="3"/>
        </w:numPr>
        <w:spacing w:after="30" w:line="240" w:lineRule="auto"/>
        <w:contextualSpacing/>
        <w:rPr>
          <w:rFonts w:ascii="Arial" w:hAnsi="Arial"/>
          <w:b/>
          <w:sz w:val="22"/>
        </w:rPr>
      </w:pPr>
      <w:r w:rsidRPr="00F33B9C">
        <w:rPr>
          <w:rFonts w:ascii="Arial" w:hAnsi="Arial"/>
          <w:b/>
          <w:sz w:val="22"/>
        </w:rPr>
        <w:t>Professional training</w:t>
      </w:r>
    </w:p>
    <w:p w14:paraId="0ECF7984"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 xml:space="preserve">Individuals can undertake professional training in communication, dementia, safeguarding, person-centred care, equality, and diversity. It is important to know the subjects and related issues to communicate effectively. For example, dementia awareness training will explain why a resident may become confused or repeat the same questions. </w:t>
      </w:r>
    </w:p>
    <w:p w14:paraId="48756ABC"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Multiple organisations in the UK provide these professional trainings, such as Skills for Care, The Care Certificate, and NHS Learning Hub.</w:t>
      </w:r>
    </w:p>
    <w:p w14:paraId="5B8C8776" w14:textId="77777777" w:rsidR="00F33B9C" w:rsidRPr="00F33B9C" w:rsidRDefault="00F33B9C">
      <w:pPr>
        <w:numPr>
          <w:ilvl w:val="0"/>
          <w:numId w:val="3"/>
        </w:numPr>
        <w:spacing w:after="30" w:line="240" w:lineRule="auto"/>
        <w:contextualSpacing/>
        <w:rPr>
          <w:rFonts w:ascii="Arial" w:hAnsi="Arial"/>
          <w:b/>
          <w:sz w:val="22"/>
        </w:rPr>
      </w:pPr>
      <w:r w:rsidRPr="00F33B9C">
        <w:rPr>
          <w:rFonts w:ascii="Arial" w:hAnsi="Arial"/>
          <w:b/>
          <w:sz w:val="22"/>
        </w:rPr>
        <w:t>Practical experience</w:t>
      </w:r>
    </w:p>
    <w:p w14:paraId="3935998D"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 xml:space="preserve">Along with the professional training, it is equally important to gain some first-hand experience through work placements, volunteering, or supervised employment. Interaction with service users helps the support workers to apply what they have learnt. For example, supporting an elderly resident can help a worker practice active listening, clear speech, and sympathy and empathy for the service user's concerns. Practical experience also exposes support workers to individuals’ different needs. Interacting with multiple service users will help the support staff to adapt their communication style and develop an understanding of their feelings and </w:t>
      </w:r>
      <w:r w:rsidRPr="00F33B9C">
        <w:rPr>
          <w:rFonts w:ascii="Arial" w:hAnsi="Arial"/>
          <w:sz w:val="22"/>
        </w:rPr>
        <w:lastRenderedPageBreak/>
        <w:t xml:space="preserve">behaviours. The National Careers Service highlights that experience is an important part of developing employability skills in health and social care (National Careers Service, 2025). </w:t>
      </w:r>
    </w:p>
    <w:p w14:paraId="58508E56" w14:textId="77777777" w:rsidR="00F33B9C" w:rsidRPr="00F33B9C" w:rsidRDefault="00F33B9C">
      <w:pPr>
        <w:numPr>
          <w:ilvl w:val="0"/>
          <w:numId w:val="3"/>
        </w:numPr>
        <w:spacing w:after="30" w:line="360" w:lineRule="auto"/>
        <w:contextualSpacing/>
        <w:rPr>
          <w:rFonts w:ascii="Arial" w:hAnsi="Arial"/>
          <w:b/>
          <w:sz w:val="22"/>
        </w:rPr>
      </w:pPr>
      <w:r w:rsidRPr="00F33B9C">
        <w:rPr>
          <w:rFonts w:ascii="Arial" w:hAnsi="Arial"/>
          <w:b/>
          <w:sz w:val="22"/>
        </w:rPr>
        <w:t>Self-reflection</w:t>
      </w:r>
    </w:p>
    <w:p w14:paraId="25716A76"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 xml:space="preserve">Another important strategy that will help to build oneself is the ability to be one's own judge. Reflective practice is a great way to evaluate performances. Support workers should reflect upon their daily or weekly activities. After every workday, they should ask themselves what went well and what could be improved. Support workers can also take feedback from their peers and colleagues.  All the feedback should be taken positively. Reflective practice will help strengthen communication, empathy, and patience over time. </w:t>
      </w:r>
    </w:p>
    <w:p w14:paraId="0B0DF5F4" w14:textId="77777777" w:rsidR="00F33B9C" w:rsidRPr="00F33B9C" w:rsidRDefault="00F33B9C" w:rsidP="000464D4">
      <w:pPr>
        <w:spacing w:after="30" w:line="360" w:lineRule="auto"/>
        <w:jc w:val="both"/>
        <w:rPr>
          <w:rFonts w:ascii="Arial" w:hAnsi="Arial"/>
          <w:sz w:val="22"/>
        </w:rPr>
      </w:pPr>
      <w:r w:rsidRPr="00F33B9C">
        <w:rPr>
          <w:rFonts w:ascii="Arial" w:hAnsi="Arial"/>
          <w:sz w:val="22"/>
        </w:rPr>
        <w:t>Generally, these three strategies encourage lifelong learning and continuous improvement, enabling support workers to build strong relationships, deliver person-centred care, and improve the health and well-being of people.</w:t>
      </w:r>
    </w:p>
    <w:p w14:paraId="31A15740" w14:textId="77777777" w:rsidR="00F33B9C" w:rsidRPr="00F33B9C" w:rsidRDefault="00F33B9C" w:rsidP="000464D4">
      <w:pPr>
        <w:keepNext/>
        <w:keepLines/>
        <w:spacing w:before="240" w:after="30" w:line="360" w:lineRule="auto"/>
        <w:outlineLvl w:val="0"/>
        <w:rPr>
          <w:rFonts w:ascii="Arial" w:eastAsiaTheme="majorEastAsia" w:hAnsi="Arial" w:cstheme="majorBidi"/>
          <w:b/>
          <w:color w:val="000000" w:themeColor="text1"/>
          <w:sz w:val="24"/>
          <w:szCs w:val="24"/>
        </w:rPr>
      </w:pPr>
      <w:bookmarkStart w:id="18" w:name="_Toc228861928"/>
      <w:bookmarkStart w:id="19" w:name="_Toc228861971"/>
      <w:bookmarkStart w:id="20" w:name="_Toc228862234"/>
      <w:bookmarkStart w:id="21" w:name="_Toc233717196"/>
      <w:bookmarkStart w:id="22" w:name="_Toc233727227"/>
      <w:r w:rsidRPr="00F33B9C">
        <w:rPr>
          <w:rFonts w:ascii="Arial" w:eastAsiaTheme="majorEastAsia" w:hAnsi="Arial" w:cstheme="majorBidi"/>
          <w:b/>
          <w:color w:val="000000" w:themeColor="text1"/>
          <w:sz w:val="24"/>
          <w:szCs w:val="24"/>
        </w:rPr>
        <w:t>1.4 Conclusion</w:t>
      </w:r>
      <w:bookmarkEnd w:id="18"/>
      <w:bookmarkEnd w:id="19"/>
      <w:bookmarkEnd w:id="20"/>
      <w:bookmarkEnd w:id="21"/>
      <w:bookmarkEnd w:id="22"/>
    </w:p>
    <w:p w14:paraId="159D0247" w14:textId="77777777" w:rsidR="00F33B9C" w:rsidRPr="00F33B9C" w:rsidRDefault="00F33B9C" w:rsidP="000464D4">
      <w:pPr>
        <w:spacing w:after="30" w:line="360" w:lineRule="auto"/>
        <w:jc w:val="both"/>
        <w:rPr>
          <w:rFonts w:ascii="Arial" w:hAnsi="Arial"/>
          <w:sz w:val="22"/>
        </w:rPr>
      </w:pPr>
      <w:bookmarkStart w:id="23" w:name="_Toc228861929"/>
      <w:bookmarkStart w:id="24" w:name="_Toc228861972"/>
      <w:bookmarkStart w:id="25" w:name="_Toc228862235"/>
      <w:r w:rsidRPr="00F33B9C">
        <w:rPr>
          <w:rFonts w:ascii="Arial" w:hAnsi="Arial"/>
          <w:sz w:val="22"/>
        </w:rPr>
        <w:t>In conclusion, the role of a support worker is essential in providing safe, effective, and person-centred care within the health and social care system. Support workers help individuals maintain their independence, dignity, and well-being. This report concludes that communication, empathy, and patience are three important skills for becoming an effective support worker. By continually improving these skills, support workers can provide compassionate, high-quality care that promotes the safety, dignity, independence, and well-being of the individuals they support.</w:t>
      </w:r>
    </w:p>
    <w:p w14:paraId="436D10F8" w14:textId="77777777" w:rsidR="00F33B9C" w:rsidRPr="00F33B9C" w:rsidRDefault="00F33B9C" w:rsidP="000464D4">
      <w:pPr>
        <w:spacing w:after="30"/>
        <w:rPr>
          <w:rFonts w:ascii="Arial" w:hAnsi="Arial"/>
          <w:sz w:val="22"/>
        </w:rPr>
      </w:pPr>
      <w:r w:rsidRPr="00F33B9C">
        <w:rPr>
          <w:rFonts w:ascii="Arial" w:hAnsi="Arial"/>
          <w:sz w:val="22"/>
        </w:rPr>
        <w:br w:type="page"/>
      </w:r>
    </w:p>
    <w:p w14:paraId="4A30D641" w14:textId="77777777" w:rsidR="00F33B9C" w:rsidRPr="00F33B9C" w:rsidRDefault="00F33B9C" w:rsidP="000464D4">
      <w:pPr>
        <w:keepNext/>
        <w:keepLines/>
        <w:spacing w:before="240" w:after="30" w:line="360" w:lineRule="auto"/>
        <w:outlineLvl w:val="0"/>
        <w:rPr>
          <w:rFonts w:ascii="Arial" w:eastAsiaTheme="majorEastAsia" w:hAnsi="Arial" w:cstheme="majorBidi"/>
          <w:b/>
          <w:color w:val="000000" w:themeColor="text1"/>
          <w:sz w:val="24"/>
          <w:szCs w:val="24"/>
        </w:rPr>
      </w:pPr>
      <w:bookmarkStart w:id="26" w:name="_Toc233717197"/>
      <w:bookmarkStart w:id="27" w:name="_Toc233727228"/>
      <w:r w:rsidRPr="00F33B9C">
        <w:rPr>
          <w:rFonts w:ascii="Arial" w:eastAsiaTheme="majorEastAsia" w:hAnsi="Arial" w:cstheme="majorBidi"/>
          <w:b/>
          <w:color w:val="000000" w:themeColor="text1"/>
          <w:sz w:val="24"/>
          <w:szCs w:val="24"/>
        </w:rPr>
        <w:lastRenderedPageBreak/>
        <w:t>1.5 Reference List</w:t>
      </w:r>
      <w:bookmarkEnd w:id="23"/>
      <w:bookmarkEnd w:id="24"/>
      <w:bookmarkEnd w:id="25"/>
      <w:bookmarkEnd w:id="26"/>
      <w:bookmarkEnd w:id="27"/>
    </w:p>
    <w:p w14:paraId="4E98657D" w14:textId="77777777" w:rsidR="00F33B9C" w:rsidRP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12121"/>
          <w:sz w:val="22"/>
          <w:shd w:val="clear" w:color="auto" w:fill="FFFFFF"/>
        </w:rPr>
        <w:t>American Geriatrics Society Expert Panel on Person-</w:t>
      </w:r>
      <w:proofErr w:type="spellStart"/>
      <w:r w:rsidRPr="00F33B9C">
        <w:rPr>
          <w:rFonts w:ascii="Arial" w:hAnsi="Arial" w:cs="Arial"/>
          <w:color w:val="212121"/>
          <w:sz w:val="22"/>
          <w:shd w:val="clear" w:color="auto" w:fill="FFFFFF"/>
        </w:rPr>
        <w:t>Centered</w:t>
      </w:r>
      <w:proofErr w:type="spellEnd"/>
      <w:r w:rsidRPr="00F33B9C">
        <w:rPr>
          <w:rFonts w:ascii="Arial" w:hAnsi="Arial" w:cs="Arial"/>
          <w:color w:val="212121"/>
          <w:sz w:val="22"/>
          <w:shd w:val="clear" w:color="auto" w:fill="FFFFFF"/>
        </w:rPr>
        <w:t xml:space="preserve"> Care (2016) ‘Person-</w:t>
      </w:r>
      <w:proofErr w:type="spellStart"/>
      <w:r w:rsidRPr="00F33B9C">
        <w:rPr>
          <w:rFonts w:ascii="Arial" w:hAnsi="Arial" w:cs="Arial"/>
          <w:color w:val="212121"/>
          <w:sz w:val="22"/>
          <w:shd w:val="clear" w:color="auto" w:fill="FFFFFF"/>
        </w:rPr>
        <w:t>Centered</w:t>
      </w:r>
      <w:proofErr w:type="spellEnd"/>
      <w:r w:rsidRPr="00F33B9C">
        <w:rPr>
          <w:rFonts w:ascii="Arial" w:hAnsi="Arial" w:cs="Arial"/>
          <w:color w:val="212121"/>
          <w:sz w:val="22"/>
          <w:shd w:val="clear" w:color="auto" w:fill="FFFFFF"/>
        </w:rPr>
        <w:t xml:space="preserve"> Care: A Definition and Essential Elements’, </w:t>
      </w:r>
      <w:r w:rsidRPr="00F33B9C">
        <w:rPr>
          <w:rFonts w:ascii="Arial" w:hAnsi="Arial" w:cs="Arial"/>
          <w:i/>
          <w:iCs/>
          <w:color w:val="212121"/>
          <w:sz w:val="22"/>
          <w:shd w:val="clear" w:color="auto" w:fill="FFFFFF"/>
        </w:rPr>
        <w:t>Journal of the American Geriatrics Society</w:t>
      </w:r>
      <w:r w:rsidRPr="00F33B9C">
        <w:rPr>
          <w:rFonts w:ascii="Arial" w:hAnsi="Arial" w:cs="Arial"/>
          <w:color w:val="212121"/>
          <w:sz w:val="22"/>
          <w:shd w:val="clear" w:color="auto" w:fill="FFFFFF"/>
        </w:rPr>
        <w:t>, </w:t>
      </w:r>
      <w:r w:rsidRPr="00F33B9C">
        <w:rPr>
          <w:rFonts w:ascii="Arial" w:hAnsi="Arial" w:cs="Arial"/>
          <w:i/>
          <w:iCs/>
          <w:color w:val="212121"/>
          <w:sz w:val="22"/>
          <w:shd w:val="clear" w:color="auto" w:fill="FFFFFF"/>
        </w:rPr>
        <w:t>64</w:t>
      </w:r>
      <w:r w:rsidRPr="00F33B9C">
        <w:rPr>
          <w:rFonts w:ascii="Arial" w:hAnsi="Arial" w:cs="Arial"/>
          <w:color w:val="212121"/>
          <w:sz w:val="22"/>
          <w:shd w:val="clear" w:color="auto" w:fill="FFFFFF"/>
        </w:rPr>
        <w:t xml:space="preserve">(1), 15–18. </w:t>
      </w:r>
      <w:hyperlink r:id="rId17" w:history="1">
        <w:r w:rsidRPr="00F33B9C">
          <w:rPr>
            <w:rFonts w:ascii="Arial" w:hAnsi="Arial" w:cs="Arial"/>
            <w:color w:val="0563C1" w:themeColor="hyperlink"/>
            <w:sz w:val="22"/>
            <w:u w:val="single"/>
            <w:shd w:val="clear" w:color="auto" w:fill="FFFFFF"/>
          </w:rPr>
          <w:t>https://doi.org/10.1111/jgs.13866</w:t>
        </w:r>
      </w:hyperlink>
      <w:r w:rsidRPr="00F33B9C">
        <w:rPr>
          <w:rFonts w:ascii="Arial" w:hAnsi="Arial" w:cs="Arial"/>
          <w:color w:val="212121"/>
          <w:sz w:val="22"/>
          <w:shd w:val="clear" w:color="auto" w:fill="FFFFFF"/>
        </w:rPr>
        <w:t xml:space="preserve"> </w:t>
      </w:r>
    </w:p>
    <w:p w14:paraId="477A3923" w14:textId="77777777" w:rsidR="00F33B9C" w:rsidRDefault="00F33B9C" w:rsidP="000464D4">
      <w:pPr>
        <w:spacing w:after="30" w:line="360" w:lineRule="auto"/>
        <w:jc w:val="both"/>
        <w:rPr>
          <w:rFonts w:ascii="Arial" w:hAnsi="Arial" w:cs="Arial"/>
          <w:color w:val="222222"/>
          <w:sz w:val="22"/>
          <w:shd w:val="clear" w:color="auto" w:fill="FFFFFF"/>
        </w:rPr>
      </w:pPr>
      <w:proofErr w:type="spellStart"/>
      <w:r w:rsidRPr="00F33B9C">
        <w:rPr>
          <w:rFonts w:ascii="Arial" w:hAnsi="Arial" w:cs="Arial"/>
          <w:color w:val="222222"/>
          <w:sz w:val="22"/>
          <w:shd w:val="clear" w:color="auto" w:fill="FFFFFF"/>
        </w:rPr>
        <w:t>Caredemy</w:t>
      </w:r>
      <w:proofErr w:type="spellEnd"/>
      <w:r w:rsidRPr="00F33B9C">
        <w:rPr>
          <w:rFonts w:ascii="Arial" w:hAnsi="Arial" w:cs="Arial"/>
          <w:color w:val="222222"/>
          <w:sz w:val="22"/>
          <w:shd w:val="clear" w:color="auto" w:fill="FFFFFF"/>
        </w:rPr>
        <w:t xml:space="preserve"> (2026). </w:t>
      </w:r>
      <w:r w:rsidRPr="00F33B9C">
        <w:rPr>
          <w:rFonts w:ascii="Arial" w:hAnsi="Arial" w:cs="Arial"/>
          <w:i/>
          <w:color w:val="222222"/>
          <w:sz w:val="22"/>
          <w:shd w:val="clear" w:color="auto" w:fill="FFFFFF"/>
        </w:rPr>
        <w:t>7 Essential Skills Required for Care Workers.</w:t>
      </w:r>
      <w:r w:rsidRPr="00F33B9C">
        <w:rPr>
          <w:rFonts w:ascii="Arial" w:hAnsi="Arial" w:cs="Arial"/>
          <w:color w:val="222222"/>
          <w:sz w:val="22"/>
          <w:shd w:val="clear" w:color="auto" w:fill="FFFFFF"/>
        </w:rPr>
        <w:t xml:space="preserve"> Available at: </w:t>
      </w:r>
      <w:hyperlink r:id="rId18" w:history="1">
        <w:r w:rsidRPr="00F33B9C">
          <w:rPr>
            <w:rFonts w:ascii="Arial" w:hAnsi="Arial" w:cs="Arial"/>
            <w:color w:val="0563C1" w:themeColor="hyperlink"/>
            <w:sz w:val="22"/>
            <w:u w:val="single"/>
            <w:shd w:val="clear" w:color="auto" w:fill="FFFFFF"/>
          </w:rPr>
          <w:t>https://caredemy.co.uk/articles/skills-for-care/?gad_source=1&amp;gad_campaignid=23071147606&amp;gbraid=0AAAAABZeP4VgGODCFK4guO5Y5F78DhJ9s&amp;gclid=CjwKCAjw0o3SBhBVEiwAh28-jRbRjNP-57j4bYj2-fura5BNVyL6K18xluYPrfE0GQFQ3U-yHq1izxoCIiYQAvD_BwE</w:t>
        </w:r>
      </w:hyperlink>
      <w:r w:rsidRPr="00F33B9C">
        <w:rPr>
          <w:rFonts w:ascii="Arial" w:hAnsi="Arial" w:cs="Arial"/>
          <w:color w:val="222222"/>
          <w:sz w:val="22"/>
          <w:shd w:val="clear" w:color="auto" w:fill="FFFFFF"/>
        </w:rPr>
        <w:t xml:space="preserve"> (Accessed 30 Jun. 2026).</w:t>
      </w:r>
    </w:p>
    <w:p w14:paraId="0C89A18F" w14:textId="77777777" w:rsidR="0028153B" w:rsidRPr="00F33B9C" w:rsidRDefault="0028153B" w:rsidP="000464D4">
      <w:pPr>
        <w:spacing w:after="30" w:line="360" w:lineRule="auto"/>
        <w:jc w:val="both"/>
        <w:rPr>
          <w:rFonts w:ascii="Arial" w:hAnsi="Arial" w:cs="Arial"/>
          <w:color w:val="222222"/>
          <w:sz w:val="22"/>
          <w:shd w:val="clear" w:color="auto" w:fill="FFFFFF"/>
        </w:rPr>
      </w:pPr>
    </w:p>
    <w:p w14:paraId="52280948" w14:textId="77777777" w:rsidR="007879A7"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 xml:space="preserve">Davidhizar, Ruth &amp; Mallory, Judy and McCoy, Carrie. (2009) ‘The Art of Promoting Patience’, </w:t>
      </w:r>
      <w:r w:rsidRPr="00F33B9C">
        <w:rPr>
          <w:rFonts w:ascii="Arial" w:hAnsi="Arial" w:cs="Arial"/>
          <w:i/>
          <w:color w:val="222222"/>
          <w:sz w:val="22"/>
          <w:shd w:val="clear" w:color="auto" w:fill="FFFFFF"/>
        </w:rPr>
        <w:t>Journal of emergency nursing: JEN: official publication of the Emergency Department Nurses Association</w:t>
      </w:r>
      <w:r w:rsidRPr="00F33B9C">
        <w:rPr>
          <w:rFonts w:ascii="Arial" w:hAnsi="Arial" w:cs="Arial"/>
          <w:color w:val="222222"/>
          <w:sz w:val="22"/>
          <w:shd w:val="clear" w:color="auto" w:fill="FFFFFF"/>
        </w:rPr>
        <w:t>, 35. 31-5. 10.1016/j.jen.2008.03.007</w:t>
      </w:r>
    </w:p>
    <w:p w14:paraId="02509243" w14:textId="5596D95E" w:rsid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 xml:space="preserve"> Holm, U. (2002) ‘Empathy and professional attitude in social workers and non</w:t>
      </w:r>
      <w:r w:rsidRPr="00F33B9C">
        <w:rPr>
          <w:rFonts w:ascii="Cambria Math" w:hAnsi="Cambria Math" w:cs="Cambria Math"/>
          <w:color w:val="222222"/>
          <w:sz w:val="22"/>
          <w:shd w:val="clear" w:color="auto" w:fill="FFFFFF"/>
        </w:rPr>
        <w:t>‐</w:t>
      </w:r>
      <w:r w:rsidRPr="00F33B9C">
        <w:rPr>
          <w:rFonts w:ascii="Arial" w:hAnsi="Arial" w:cs="Arial"/>
          <w:color w:val="222222"/>
          <w:sz w:val="22"/>
          <w:shd w:val="clear" w:color="auto" w:fill="FFFFFF"/>
        </w:rPr>
        <w:t>trained aides’, </w:t>
      </w:r>
      <w:r w:rsidRPr="00F33B9C">
        <w:rPr>
          <w:rFonts w:ascii="Arial" w:hAnsi="Arial" w:cs="Arial"/>
          <w:i/>
          <w:iCs/>
          <w:color w:val="222222"/>
          <w:sz w:val="22"/>
          <w:shd w:val="clear" w:color="auto" w:fill="FFFFFF"/>
        </w:rPr>
        <w:t>International Journal of Social Welfare</w:t>
      </w:r>
      <w:r w:rsidRPr="00F33B9C">
        <w:rPr>
          <w:rFonts w:ascii="Arial" w:hAnsi="Arial" w:cs="Arial"/>
          <w:color w:val="222222"/>
          <w:sz w:val="22"/>
          <w:shd w:val="clear" w:color="auto" w:fill="FFFFFF"/>
        </w:rPr>
        <w:t>, </w:t>
      </w:r>
      <w:r w:rsidRPr="00F33B9C">
        <w:rPr>
          <w:rFonts w:ascii="Arial" w:hAnsi="Arial" w:cs="Arial"/>
          <w:i/>
          <w:iCs/>
          <w:color w:val="222222"/>
          <w:sz w:val="22"/>
          <w:shd w:val="clear" w:color="auto" w:fill="FFFFFF"/>
        </w:rPr>
        <w:t>11</w:t>
      </w:r>
      <w:r w:rsidRPr="00F33B9C">
        <w:rPr>
          <w:rFonts w:ascii="Arial" w:hAnsi="Arial" w:cs="Arial"/>
          <w:color w:val="222222"/>
          <w:sz w:val="22"/>
          <w:shd w:val="clear" w:color="auto" w:fill="FFFFFF"/>
        </w:rPr>
        <w:t xml:space="preserve">(1), pp.66-75. </w:t>
      </w:r>
      <w:hyperlink r:id="rId19" w:history="1">
        <w:r w:rsidRPr="00F33B9C">
          <w:rPr>
            <w:rFonts w:ascii="Arial" w:hAnsi="Arial" w:cs="Arial"/>
            <w:color w:val="0563C1" w:themeColor="hyperlink"/>
            <w:sz w:val="22"/>
            <w:u w:val="single"/>
            <w:shd w:val="clear" w:color="auto" w:fill="FFFFFF"/>
          </w:rPr>
          <w:t>https://doi.org/10.1111/1468-2397.00197</w:t>
        </w:r>
      </w:hyperlink>
      <w:r w:rsidRPr="00F33B9C">
        <w:rPr>
          <w:rFonts w:ascii="Arial" w:hAnsi="Arial" w:cs="Arial"/>
          <w:color w:val="222222"/>
          <w:sz w:val="22"/>
          <w:shd w:val="clear" w:color="auto" w:fill="FFFFFF"/>
        </w:rPr>
        <w:t xml:space="preserve"> </w:t>
      </w:r>
    </w:p>
    <w:p w14:paraId="3B03FC56" w14:textId="77777777" w:rsidR="007879A7" w:rsidRPr="00F33B9C" w:rsidRDefault="007879A7" w:rsidP="000464D4">
      <w:pPr>
        <w:spacing w:after="30" w:line="360" w:lineRule="auto"/>
        <w:jc w:val="both"/>
        <w:rPr>
          <w:rFonts w:ascii="Arial" w:hAnsi="Arial" w:cs="Arial"/>
          <w:sz w:val="22"/>
        </w:rPr>
      </w:pPr>
    </w:p>
    <w:p w14:paraId="6807C75D" w14:textId="77777777" w:rsid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 xml:space="preserve">Manthorpe, J., Martineau, S., Moriarty, J., Hussein, S., and Stevens, M. (2010) ‘Support workers in social care in England: a scoping study’, </w:t>
      </w:r>
      <w:r w:rsidRPr="00F33B9C">
        <w:rPr>
          <w:rFonts w:ascii="Arial" w:hAnsi="Arial" w:cs="Arial"/>
          <w:i/>
          <w:color w:val="222222"/>
          <w:sz w:val="22"/>
          <w:shd w:val="clear" w:color="auto" w:fill="FFFFFF"/>
        </w:rPr>
        <w:t>Health &amp; social care in the community</w:t>
      </w:r>
      <w:r w:rsidRPr="00F33B9C">
        <w:rPr>
          <w:rFonts w:ascii="Arial" w:hAnsi="Arial" w:cs="Arial"/>
          <w:color w:val="222222"/>
          <w:sz w:val="22"/>
          <w:shd w:val="clear" w:color="auto" w:fill="FFFFFF"/>
        </w:rPr>
        <w:t xml:space="preserve">, 18(3), 316–324. </w:t>
      </w:r>
      <w:hyperlink r:id="rId20" w:history="1">
        <w:r w:rsidRPr="00F33B9C">
          <w:rPr>
            <w:rFonts w:ascii="Arial" w:hAnsi="Arial" w:cs="Arial"/>
            <w:color w:val="0563C1" w:themeColor="hyperlink"/>
            <w:sz w:val="22"/>
            <w:u w:val="single"/>
            <w:shd w:val="clear" w:color="auto" w:fill="FFFFFF"/>
          </w:rPr>
          <w:t>https://doi.org/10.1111/j.1365-2524.2010.00910.x</w:t>
        </w:r>
      </w:hyperlink>
      <w:r w:rsidRPr="00F33B9C">
        <w:rPr>
          <w:rFonts w:ascii="Arial" w:hAnsi="Arial" w:cs="Arial"/>
          <w:color w:val="222222"/>
          <w:sz w:val="22"/>
          <w:shd w:val="clear" w:color="auto" w:fill="FFFFFF"/>
        </w:rPr>
        <w:t xml:space="preserve"> </w:t>
      </w:r>
    </w:p>
    <w:p w14:paraId="1084DDBA" w14:textId="77777777" w:rsidR="007879A7" w:rsidRPr="00F33B9C" w:rsidRDefault="007879A7" w:rsidP="000464D4">
      <w:pPr>
        <w:spacing w:after="30" w:line="360" w:lineRule="auto"/>
        <w:jc w:val="both"/>
        <w:rPr>
          <w:rFonts w:ascii="Arial" w:hAnsi="Arial" w:cs="Arial"/>
          <w:color w:val="222222"/>
          <w:sz w:val="22"/>
          <w:shd w:val="clear" w:color="auto" w:fill="FFFFFF"/>
        </w:rPr>
      </w:pPr>
    </w:p>
    <w:p w14:paraId="72129EC7" w14:textId="77777777" w:rsidR="007879A7" w:rsidRDefault="00F33B9C" w:rsidP="000464D4">
      <w:pPr>
        <w:spacing w:after="30" w:line="360" w:lineRule="auto"/>
        <w:jc w:val="both"/>
      </w:pPr>
      <w:r w:rsidRPr="00F33B9C">
        <w:rPr>
          <w:rFonts w:ascii="Arial" w:hAnsi="Arial" w:cs="Arial"/>
          <w:color w:val="212121"/>
          <w:sz w:val="22"/>
          <w:shd w:val="clear" w:color="auto" w:fill="FFFFFF"/>
        </w:rPr>
        <w:t>Moran, A., Enderby, P., and Nancarrow, S. (2011) ‘Defining and identifying common elements of and contextual influences on the roles of support workers in health and social care: a thematic analysis of the literature’, </w:t>
      </w:r>
      <w:r w:rsidRPr="00F33B9C">
        <w:rPr>
          <w:rFonts w:ascii="Arial" w:hAnsi="Arial" w:cs="Arial"/>
          <w:i/>
          <w:iCs/>
          <w:color w:val="212121"/>
          <w:sz w:val="22"/>
          <w:shd w:val="clear" w:color="auto" w:fill="FFFFFF"/>
        </w:rPr>
        <w:t>Journal of evaluation in clinical practice</w:t>
      </w:r>
      <w:r w:rsidRPr="00F33B9C">
        <w:rPr>
          <w:rFonts w:ascii="Arial" w:hAnsi="Arial" w:cs="Arial"/>
          <w:color w:val="212121"/>
          <w:sz w:val="22"/>
          <w:shd w:val="clear" w:color="auto" w:fill="FFFFFF"/>
        </w:rPr>
        <w:t>, </w:t>
      </w:r>
      <w:r w:rsidRPr="00F33B9C">
        <w:rPr>
          <w:rFonts w:ascii="Arial" w:hAnsi="Arial" w:cs="Arial"/>
          <w:i/>
          <w:iCs/>
          <w:color w:val="212121"/>
          <w:sz w:val="22"/>
          <w:shd w:val="clear" w:color="auto" w:fill="FFFFFF"/>
        </w:rPr>
        <w:t>17</w:t>
      </w:r>
      <w:r w:rsidRPr="00F33B9C">
        <w:rPr>
          <w:rFonts w:ascii="Arial" w:hAnsi="Arial" w:cs="Arial"/>
          <w:color w:val="212121"/>
          <w:sz w:val="22"/>
          <w:shd w:val="clear" w:color="auto" w:fill="FFFFFF"/>
        </w:rPr>
        <w:t xml:space="preserve">(6), 1191–1199. </w:t>
      </w:r>
      <w:hyperlink r:id="rId21" w:history="1">
        <w:r w:rsidRPr="00F33B9C">
          <w:rPr>
            <w:rFonts w:ascii="Arial" w:hAnsi="Arial" w:cs="Arial"/>
            <w:color w:val="0563C1" w:themeColor="hyperlink"/>
            <w:sz w:val="22"/>
            <w:u w:val="single"/>
            <w:shd w:val="clear" w:color="auto" w:fill="FFFFFF"/>
          </w:rPr>
          <w:t>https://doi.org/10.1111/j.1365-2753.2010.01505.x</w:t>
        </w:r>
      </w:hyperlink>
    </w:p>
    <w:p w14:paraId="0D782F61" w14:textId="543AE290" w:rsidR="00F33B9C" w:rsidRP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12121"/>
          <w:sz w:val="22"/>
          <w:shd w:val="clear" w:color="auto" w:fill="FFFFFF"/>
        </w:rPr>
        <w:t xml:space="preserve"> </w:t>
      </w:r>
    </w:p>
    <w:p w14:paraId="56BE58A1" w14:textId="77777777" w:rsid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 xml:space="preserve">Moudatsou, M., Stavropoulou, A., </w:t>
      </w:r>
      <w:proofErr w:type="spellStart"/>
      <w:r w:rsidRPr="00F33B9C">
        <w:rPr>
          <w:rFonts w:ascii="Arial" w:hAnsi="Arial" w:cs="Arial"/>
          <w:color w:val="222222"/>
          <w:sz w:val="22"/>
          <w:shd w:val="clear" w:color="auto" w:fill="FFFFFF"/>
        </w:rPr>
        <w:t>Philalithis</w:t>
      </w:r>
      <w:proofErr w:type="spellEnd"/>
      <w:r w:rsidRPr="00F33B9C">
        <w:rPr>
          <w:rFonts w:ascii="Arial" w:hAnsi="Arial" w:cs="Arial"/>
          <w:color w:val="222222"/>
          <w:sz w:val="22"/>
          <w:shd w:val="clear" w:color="auto" w:fill="FFFFFF"/>
        </w:rPr>
        <w:t xml:space="preserve">, A., and </w:t>
      </w:r>
      <w:proofErr w:type="spellStart"/>
      <w:r w:rsidRPr="00F33B9C">
        <w:rPr>
          <w:rFonts w:ascii="Arial" w:hAnsi="Arial" w:cs="Arial"/>
          <w:color w:val="222222"/>
          <w:sz w:val="22"/>
          <w:shd w:val="clear" w:color="auto" w:fill="FFFFFF"/>
        </w:rPr>
        <w:t>Koukouli</w:t>
      </w:r>
      <w:proofErr w:type="spellEnd"/>
      <w:r w:rsidRPr="00F33B9C">
        <w:rPr>
          <w:rFonts w:ascii="Arial" w:hAnsi="Arial" w:cs="Arial"/>
          <w:color w:val="222222"/>
          <w:sz w:val="22"/>
          <w:shd w:val="clear" w:color="auto" w:fill="FFFFFF"/>
        </w:rPr>
        <w:t xml:space="preserve">, S. (2020) ‘The Role of Empathy in Health and Social Care Professionals’, </w:t>
      </w:r>
      <w:r w:rsidRPr="00F33B9C">
        <w:rPr>
          <w:rFonts w:ascii="Arial" w:hAnsi="Arial" w:cs="Arial"/>
          <w:i/>
          <w:color w:val="222222"/>
          <w:sz w:val="22"/>
          <w:shd w:val="clear" w:color="auto" w:fill="FFFFFF"/>
        </w:rPr>
        <w:t>Healthcare</w:t>
      </w:r>
      <w:r w:rsidRPr="00F33B9C">
        <w:rPr>
          <w:rFonts w:ascii="Arial" w:hAnsi="Arial" w:cs="Arial"/>
          <w:color w:val="222222"/>
          <w:sz w:val="22"/>
          <w:shd w:val="clear" w:color="auto" w:fill="FFFFFF"/>
        </w:rPr>
        <w:t xml:space="preserve">, 8(1), 26. </w:t>
      </w:r>
      <w:hyperlink r:id="rId22" w:history="1">
        <w:r w:rsidRPr="00F33B9C">
          <w:rPr>
            <w:rFonts w:ascii="Arial" w:hAnsi="Arial" w:cs="Arial"/>
            <w:color w:val="0563C1" w:themeColor="hyperlink"/>
            <w:sz w:val="22"/>
            <w:u w:val="single"/>
            <w:shd w:val="clear" w:color="auto" w:fill="FFFFFF"/>
          </w:rPr>
          <w:t>https://doi.org/10.3390/healthcare8010026</w:t>
        </w:r>
      </w:hyperlink>
      <w:r w:rsidRPr="00F33B9C">
        <w:rPr>
          <w:rFonts w:ascii="Arial" w:hAnsi="Arial" w:cs="Arial"/>
          <w:color w:val="222222"/>
          <w:sz w:val="22"/>
          <w:shd w:val="clear" w:color="auto" w:fill="FFFFFF"/>
        </w:rPr>
        <w:t xml:space="preserve"> </w:t>
      </w:r>
    </w:p>
    <w:p w14:paraId="76AF1FAB" w14:textId="77777777" w:rsidR="001564BE" w:rsidRPr="00F33B9C" w:rsidRDefault="001564BE" w:rsidP="000464D4">
      <w:pPr>
        <w:spacing w:after="30" w:line="360" w:lineRule="auto"/>
        <w:jc w:val="both"/>
        <w:rPr>
          <w:rFonts w:ascii="Arial" w:hAnsi="Arial" w:cs="Arial"/>
          <w:color w:val="222222"/>
          <w:sz w:val="22"/>
          <w:shd w:val="clear" w:color="auto" w:fill="FFFFFF"/>
        </w:rPr>
      </w:pPr>
    </w:p>
    <w:p w14:paraId="5F5B01C3" w14:textId="77777777" w:rsidR="00F33B9C" w:rsidRPr="00F33B9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Moss, B. (2017) </w:t>
      </w:r>
      <w:r w:rsidRPr="00F33B9C">
        <w:rPr>
          <w:rFonts w:ascii="Arial" w:hAnsi="Arial" w:cs="Arial"/>
          <w:i/>
          <w:iCs/>
          <w:color w:val="222222"/>
          <w:sz w:val="22"/>
          <w:shd w:val="clear" w:color="auto" w:fill="FFFFFF"/>
        </w:rPr>
        <w:t>Communication skills in health and social care</w:t>
      </w:r>
      <w:r w:rsidRPr="00F33B9C">
        <w:rPr>
          <w:rFonts w:ascii="Arial" w:hAnsi="Arial" w:cs="Arial"/>
          <w:color w:val="222222"/>
          <w:sz w:val="22"/>
          <w:shd w:val="clear" w:color="auto" w:fill="FFFFFF"/>
        </w:rPr>
        <w:t>. Thousand Oaks, CA: Sage.</w:t>
      </w:r>
    </w:p>
    <w:p w14:paraId="49A50872" w14:textId="77777777" w:rsidR="00B800AC" w:rsidRDefault="00F33B9C" w:rsidP="000464D4">
      <w:pPr>
        <w:spacing w:after="30" w:line="360" w:lineRule="auto"/>
        <w:jc w:val="both"/>
        <w:rPr>
          <w:rFonts w:ascii="Arial" w:hAnsi="Arial" w:cs="Arial"/>
          <w:color w:val="222222"/>
          <w:sz w:val="22"/>
          <w:shd w:val="clear" w:color="auto" w:fill="FFFFFF"/>
        </w:rPr>
      </w:pPr>
      <w:r w:rsidRPr="00F33B9C">
        <w:rPr>
          <w:rFonts w:ascii="Arial" w:hAnsi="Arial" w:cs="Arial"/>
          <w:color w:val="222222"/>
          <w:sz w:val="22"/>
          <w:shd w:val="clear" w:color="auto" w:fill="FFFFFF"/>
        </w:rPr>
        <w:t xml:space="preserve">NHS England (2026) </w:t>
      </w:r>
      <w:r w:rsidRPr="00F33B9C">
        <w:rPr>
          <w:rFonts w:ascii="Arial" w:hAnsi="Arial" w:cs="Arial"/>
          <w:i/>
          <w:color w:val="222222"/>
          <w:sz w:val="22"/>
          <w:shd w:val="clear" w:color="auto" w:fill="FFFFFF"/>
        </w:rPr>
        <w:t>Personal Skills.</w:t>
      </w:r>
      <w:r w:rsidRPr="00F33B9C">
        <w:rPr>
          <w:rFonts w:ascii="Arial" w:hAnsi="Arial" w:cs="Arial"/>
          <w:color w:val="222222"/>
          <w:sz w:val="22"/>
          <w:shd w:val="clear" w:color="auto" w:fill="FFFFFF"/>
        </w:rPr>
        <w:t xml:space="preserve"> Available at: </w:t>
      </w:r>
      <w:hyperlink r:id="rId23" w:history="1">
        <w:r w:rsidRPr="00F33B9C">
          <w:rPr>
            <w:rFonts w:ascii="Arial" w:hAnsi="Arial" w:cs="Arial"/>
            <w:color w:val="0563C1" w:themeColor="hyperlink"/>
            <w:sz w:val="22"/>
            <w:u w:val="single"/>
            <w:shd w:val="clear" w:color="auto" w:fill="FFFFFF"/>
          </w:rPr>
          <w:t>https://www.hee.nhs.uk/our-work/talent-care-widening-participation/support-worker-help-resources/healthcare-support-worker-learning-development-roadmap/personal-skills</w:t>
        </w:r>
      </w:hyperlink>
      <w:r w:rsidRPr="00F33B9C">
        <w:rPr>
          <w:rFonts w:ascii="Arial" w:hAnsi="Arial" w:cs="Arial"/>
          <w:color w:val="222222"/>
          <w:sz w:val="22"/>
          <w:shd w:val="clear" w:color="auto" w:fill="FFFFFF"/>
        </w:rPr>
        <w:t xml:space="preserve"> (Accessed: 28 June 2026).</w:t>
      </w:r>
    </w:p>
    <w:p w14:paraId="067A0A4F" w14:textId="72A1F0EF" w:rsidR="00F33B9C" w:rsidRPr="00F33B9C" w:rsidRDefault="00F33B9C" w:rsidP="000464D4">
      <w:pPr>
        <w:spacing w:after="30" w:line="360" w:lineRule="auto"/>
        <w:jc w:val="both"/>
        <w:rPr>
          <w:rFonts w:ascii="Arial" w:hAnsi="Arial" w:cs="Arial"/>
          <w:color w:val="222222"/>
          <w:sz w:val="22"/>
          <w:shd w:val="clear" w:color="auto" w:fill="FFFFFF"/>
        </w:rPr>
      </w:pPr>
      <w:proofErr w:type="spellStart"/>
      <w:r w:rsidRPr="00F33B9C">
        <w:rPr>
          <w:rFonts w:ascii="Arial" w:hAnsi="Arial" w:cs="Arial"/>
          <w:color w:val="222222"/>
          <w:sz w:val="22"/>
          <w:shd w:val="clear" w:color="auto" w:fill="FFFFFF"/>
        </w:rPr>
        <w:lastRenderedPageBreak/>
        <w:t>Wahyuningtyas</w:t>
      </w:r>
      <w:proofErr w:type="spellEnd"/>
      <w:r w:rsidRPr="00F33B9C">
        <w:rPr>
          <w:rFonts w:ascii="Arial" w:hAnsi="Arial" w:cs="Arial"/>
          <w:color w:val="222222"/>
          <w:sz w:val="22"/>
          <w:shd w:val="clear" w:color="auto" w:fill="FFFFFF"/>
        </w:rPr>
        <w:t xml:space="preserve">, E. (2025) ‘Your patients need your patience: A closer look at wound care’, </w:t>
      </w:r>
      <w:r w:rsidRPr="00F33B9C">
        <w:rPr>
          <w:rFonts w:ascii="Arial" w:hAnsi="Arial" w:cs="Arial"/>
          <w:i/>
          <w:color w:val="222222"/>
          <w:sz w:val="22"/>
          <w:shd w:val="clear" w:color="auto" w:fill="FFFFFF"/>
        </w:rPr>
        <w:t>Journal of Holistic Nursing Science,</w:t>
      </w:r>
      <w:r w:rsidRPr="00F33B9C">
        <w:rPr>
          <w:rFonts w:ascii="Arial" w:hAnsi="Arial" w:cs="Arial"/>
          <w:color w:val="222222"/>
          <w:sz w:val="22"/>
          <w:shd w:val="clear" w:color="auto" w:fill="FFFFFF"/>
        </w:rPr>
        <w:t xml:space="preserve"> 12. 165-171. 10.31603/</w:t>
      </w:r>
      <w:proofErr w:type="gramStart"/>
      <w:r w:rsidRPr="00F33B9C">
        <w:rPr>
          <w:rFonts w:ascii="Arial" w:hAnsi="Arial" w:cs="Arial"/>
          <w:color w:val="222222"/>
          <w:sz w:val="22"/>
          <w:shd w:val="clear" w:color="auto" w:fill="FFFFFF"/>
        </w:rPr>
        <w:t>jhns.v</w:t>
      </w:r>
      <w:proofErr w:type="gramEnd"/>
      <w:r w:rsidRPr="00F33B9C">
        <w:rPr>
          <w:rFonts w:ascii="Arial" w:hAnsi="Arial" w:cs="Arial"/>
          <w:color w:val="222222"/>
          <w:sz w:val="22"/>
          <w:shd w:val="clear" w:color="auto" w:fill="FFFFFF"/>
        </w:rPr>
        <w:t xml:space="preserve">12i2.13864  </w:t>
      </w:r>
    </w:p>
    <w:p w14:paraId="7F76A975" w14:textId="77777777" w:rsidR="0025338C" w:rsidRPr="006D4A28" w:rsidRDefault="0025338C" w:rsidP="000464D4">
      <w:pPr>
        <w:spacing w:after="30"/>
        <w:jc w:val="both"/>
        <w:rPr>
          <w:rFonts w:asciiTheme="minorBidi" w:hAnsiTheme="minorBidi"/>
          <w:b/>
          <w:bCs/>
          <w:sz w:val="24"/>
          <w:szCs w:val="24"/>
        </w:rPr>
      </w:pPr>
    </w:p>
    <w:sectPr w:rsidR="0025338C" w:rsidRPr="006D4A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84E29" w14:textId="77777777" w:rsidR="00E658E5" w:rsidRDefault="00E658E5" w:rsidP="003C7C97">
      <w:pPr>
        <w:spacing w:after="0" w:line="240" w:lineRule="auto"/>
      </w:pPr>
      <w:r>
        <w:separator/>
      </w:r>
    </w:p>
  </w:endnote>
  <w:endnote w:type="continuationSeparator" w:id="0">
    <w:p w14:paraId="76E87782" w14:textId="77777777" w:rsidR="00E658E5" w:rsidRDefault="00E658E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6B41C" w14:textId="77777777" w:rsidR="00E658E5" w:rsidRDefault="00E658E5" w:rsidP="003C7C97">
      <w:pPr>
        <w:spacing w:after="0" w:line="240" w:lineRule="auto"/>
      </w:pPr>
      <w:r>
        <w:separator/>
      </w:r>
    </w:p>
  </w:footnote>
  <w:footnote w:type="continuationSeparator" w:id="0">
    <w:p w14:paraId="2C0788E2" w14:textId="77777777" w:rsidR="00E658E5" w:rsidRDefault="00E658E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43CA3"/>
    <w:multiLevelType w:val="hybridMultilevel"/>
    <w:tmpl w:val="119614D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DFE60DC"/>
    <w:multiLevelType w:val="hybridMultilevel"/>
    <w:tmpl w:val="6AC0CA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FEA1B6A"/>
    <w:multiLevelType w:val="hybridMultilevel"/>
    <w:tmpl w:val="3F445D9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51230745">
    <w:abstractNumId w:val="1"/>
  </w:num>
  <w:num w:numId="2" w16cid:durableId="712005687">
    <w:abstractNumId w:val="0"/>
  </w:num>
  <w:num w:numId="3" w16cid:durableId="1556503860">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54F"/>
    <w:rsid w:val="0001715D"/>
    <w:rsid w:val="00022C42"/>
    <w:rsid w:val="00027B15"/>
    <w:rsid w:val="00030A05"/>
    <w:rsid w:val="000464D4"/>
    <w:rsid w:val="00070818"/>
    <w:rsid w:val="0008238F"/>
    <w:rsid w:val="00082EC6"/>
    <w:rsid w:val="00085388"/>
    <w:rsid w:val="00091653"/>
    <w:rsid w:val="000D41DC"/>
    <w:rsid w:val="00125D37"/>
    <w:rsid w:val="00127C1A"/>
    <w:rsid w:val="0014689B"/>
    <w:rsid w:val="00150D81"/>
    <w:rsid w:val="001564BE"/>
    <w:rsid w:val="00166CEB"/>
    <w:rsid w:val="001730B8"/>
    <w:rsid w:val="00183CB9"/>
    <w:rsid w:val="00184A9A"/>
    <w:rsid w:val="001947DF"/>
    <w:rsid w:val="001A5DF5"/>
    <w:rsid w:val="001B22BB"/>
    <w:rsid w:val="001B619C"/>
    <w:rsid w:val="001D1D3C"/>
    <w:rsid w:val="002205D4"/>
    <w:rsid w:val="00222C3A"/>
    <w:rsid w:val="00226D31"/>
    <w:rsid w:val="00236401"/>
    <w:rsid w:val="002370CE"/>
    <w:rsid w:val="00242974"/>
    <w:rsid w:val="00245281"/>
    <w:rsid w:val="00250C71"/>
    <w:rsid w:val="0025338C"/>
    <w:rsid w:val="0028153B"/>
    <w:rsid w:val="002976D4"/>
    <w:rsid w:val="002A5577"/>
    <w:rsid w:val="002B4AA4"/>
    <w:rsid w:val="002E6EB4"/>
    <w:rsid w:val="002E71BA"/>
    <w:rsid w:val="002F5066"/>
    <w:rsid w:val="003003FD"/>
    <w:rsid w:val="00310245"/>
    <w:rsid w:val="00316C95"/>
    <w:rsid w:val="003458DB"/>
    <w:rsid w:val="003523D3"/>
    <w:rsid w:val="00364C35"/>
    <w:rsid w:val="00380C68"/>
    <w:rsid w:val="0038300C"/>
    <w:rsid w:val="00386622"/>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85BF0"/>
    <w:rsid w:val="004D1EE6"/>
    <w:rsid w:val="004E1928"/>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18FA"/>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B5C90"/>
    <w:rsid w:val="006C5138"/>
    <w:rsid w:val="006C689B"/>
    <w:rsid w:val="006D4A28"/>
    <w:rsid w:val="006E005C"/>
    <w:rsid w:val="006E6EE5"/>
    <w:rsid w:val="006F0029"/>
    <w:rsid w:val="007138EF"/>
    <w:rsid w:val="007632A9"/>
    <w:rsid w:val="00774092"/>
    <w:rsid w:val="00775895"/>
    <w:rsid w:val="00782830"/>
    <w:rsid w:val="0078664A"/>
    <w:rsid w:val="007879A7"/>
    <w:rsid w:val="007B0F6D"/>
    <w:rsid w:val="007B2036"/>
    <w:rsid w:val="007C0AA6"/>
    <w:rsid w:val="007C3887"/>
    <w:rsid w:val="007C3EA1"/>
    <w:rsid w:val="007C62C3"/>
    <w:rsid w:val="007D25AA"/>
    <w:rsid w:val="007E0354"/>
    <w:rsid w:val="007F0873"/>
    <w:rsid w:val="00805726"/>
    <w:rsid w:val="00815117"/>
    <w:rsid w:val="00816F99"/>
    <w:rsid w:val="008520F8"/>
    <w:rsid w:val="00855F34"/>
    <w:rsid w:val="00872076"/>
    <w:rsid w:val="00880923"/>
    <w:rsid w:val="008826B6"/>
    <w:rsid w:val="008B0B22"/>
    <w:rsid w:val="008C58B0"/>
    <w:rsid w:val="008C591B"/>
    <w:rsid w:val="008C6182"/>
    <w:rsid w:val="008E1C20"/>
    <w:rsid w:val="00922B53"/>
    <w:rsid w:val="00926458"/>
    <w:rsid w:val="00933720"/>
    <w:rsid w:val="00982D3D"/>
    <w:rsid w:val="009C7E52"/>
    <w:rsid w:val="009E4934"/>
    <w:rsid w:val="009F40A7"/>
    <w:rsid w:val="009F5CE6"/>
    <w:rsid w:val="00A035CD"/>
    <w:rsid w:val="00A34C44"/>
    <w:rsid w:val="00A50E80"/>
    <w:rsid w:val="00A513B0"/>
    <w:rsid w:val="00A63F7F"/>
    <w:rsid w:val="00A667CE"/>
    <w:rsid w:val="00A75042"/>
    <w:rsid w:val="00A774BC"/>
    <w:rsid w:val="00A82678"/>
    <w:rsid w:val="00A946CB"/>
    <w:rsid w:val="00AA77C8"/>
    <w:rsid w:val="00AC7BE2"/>
    <w:rsid w:val="00AE35BF"/>
    <w:rsid w:val="00B1067E"/>
    <w:rsid w:val="00B800AC"/>
    <w:rsid w:val="00B81790"/>
    <w:rsid w:val="00B81BBC"/>
    <w:rsid w:val="00BD03D5"/>
    <w:rsid w:val="00BF34E1"/>
    <w:rsid w:val="00C3215E"/>
    <w:rsid w:val="00C45272"/>
    <w:rsid w:val="00C47770"/>
    <w:rsid w:val="00C5417A"/>
    <w:rsid w:val="00C75856"/>
    <w:rsid w:val="00C85A7C"/>
    <w:rsid w:val="00C94C02"/>
    <w:rsid w:val="00C95214"/>
    <w:rsid w:val="00CC3F59"/>
    <w:rsid w:val="00CD4774"/>
    <w:rsid w:val="00D10AAF"/>
    <w:rsid w:val="00D27540"/>
    <w:rsid w:val="00D4006B"/>
    <w:rsid w:val="00D40D7A"/>
    <w:rsid w:val="00D64A0D"/>
    <w:rsid w:val="00D65FB5"/>
    <w:rsid w:val="00D73B32"/>
    <w:rsid w:val="00D750B4"/>
    <w:rsid w:val="00D81C18"/>
    <w:rsid w:val="00D8461A"/>
    <w:rsid w:val="00D95CAF"/>
    <w:rsid w:val="00DB60B6"/>
    <w:rsid w:val="00DC1CC6"/>
    <w:rsid w:val="00DD69CB"/>
    <w:rsid w:val="00E067A8"/>
    <w:rsid w:val="00E13924"/>
    <w:rsid w:val="00E15FD5"/>
    <w:rsid w:val="00E1725A"/>
    <w:rsid w:val="00E33758"/>
    <w:rsid w:val="00E53E5E"/>
    <w:rsid w:val="00E64325"/>
    <w:rsid w:val="00E658E5"/>
    <w:rsid w:val="00E673C5"/>
    <w:rsid w:val="00E67967"/>
    <w:rsid w:val="00E82723"/>
    <w:rsid w:val="00EA29A5"/>
    <w:rsid w:val="00EC107C"/>
    <w:rsid w:val="00EC60EF"/>
    <w:rsid w:val="00EC7EBE"/>
    <w:rsid w:val="00EC7FD2"/>
    <w:rsid w:val="00ED5964"/>
    <w:rsid w:val="00F1720B"/>
    <w:rsid w:val="00F33B9C"/>
    <w:rsid w:val="00F36ADC"/>
    <w:rsid w:val="00F514B7"/>
    <w:rsid w:val="00F5199A"/>
    <w:rsid w:val="00F605C6"/>
    <w:rsid w:val="00F6785B"/>
    <w:rsid w:val="00F73185"/>
    <w:rsid w:val="00F915D6"/>
    <w:rsid w:val="00FB1D27"/>
    <w:rsid w:val="00FB73F0"/>
    <w:rsid w:val="00FD4173"/>
    <w:rsid w:val="00FD5CB9"/>
    <w:rsid w:val="00FE4797"/>
    <w:rsid w:val="00FF2B0A"/>
    <w:rsid w:val="00FF5D06"/>
    <w:rsid w:val="00FF69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880923"/>
    <w:pPr>
      <w:tabs>
        <w:tab w:val="right" w:leader="dot" w:pos="9016"/>
      </w:tabs>
      <w:spacing w:before="240" w:after="30"/>
    </w:pPr>
    <w:rPr>
      <w:rFonts w:asciiTheme="minorHAnsi" w:hAnsiTheme="minorHAnsi" w:cstheme="minorHAnsi"/>
      <w:noProof/>
      <w:color w:val="000000" w:themeColor="text1"/>
      <w:sz w:val="24"/>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aragraph">
    <w:name w:val="paragraph"/>
    <w:basedOn w:val="Normal"/>
    <w:rsid w:val="00FB1D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B1D27"/>
  </w:style>
  <w:style w:type="character" w:customStyle="1" w:styleId="eop">
    <w:name w:val="eop"/>
    <w:basedOn w:val="DefaultParagraphFont"/>
    <w:rsid w:val="00FB1D27"/>
  </w:style>
  <w:style w:type="character" w:customStyle="1" w:styleId="contentcontrolboundarysink">
    <w:name w:val="contentcontrolboundarysink"/>
    <w:basedOn w:val="DefaultParagraphFont"/>
    <w:rsid w:val="00FB1D27"/>
  </w:style>
  <w:style w:type="character" w:styleId="UnresolvedMention">
    <w:name w:val="Unresolved Mention"/>
    <w:basedOn w:val="DefaultParagraphFont"/>
    <w:uiPriority w:val="99"/>
    <w:semiHidden/>
    <w:unhideWhenUsed/>
    <w:rsid w:val="00C54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18" Type="http://schemas.openxmlformats.org/officeDocument/2006/relationships/hyperlink" Target="https://caredemy.co.uk/articles/skills-for-care/?gad_source=1&amp;gad_campaignid=23071147606&amp;gbraid=0AAAAABZeP4VgGODCFK4guO5Y5F78DhJ9s&amp;gclid=CjwKCAjw0o3SBhBVEiwAh28-jRbRjNP-57j4bYj2-fura5BNVyL6K18xluYPrfE0GQFQ3U-yHq1izxoCIiYQAvD_BwE" TargetMode="External"/><Relationship Id="rId3" Type="http://schemas.openxmlformats.org/officeDocument/2006/relationships/styles" Target="styles.xml"/><Relationship Id="rId21" Type="http://schemas.openxmlformats.org/officeDocument/2006/relationships/hyperlink" Target="https://doi.org/10.1111/j.1365-2753.2010.01505.x" TargetMode="External"/><Relationship Id="rId7" Type="http://schemas.openxmlformats.org/officeDocument/2006/relationships/endnotes" Target="endnotes.xml"/><Relationship Id="rId12"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17" Type="http://schemas.openxmlformats.org/officeDocument/2006/relationships/hyperlink" Target="https://doi.org/10.1111/jgs.1386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20" Type="http://schemas.openxmlformats.org/officeDocument/2006/relationships/hyperlink" Target="https://doi.org/10.1111/j.1365-2524.2010.00910.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23" Type="http://schemas.openxmlformats.org/officeDocument/2006/relationships/hyperlink" Target="https://www.hee.nhs.uk/our-work/talent-care-widening-participation/support-worker-help-resources/healthcare-support-worker-learning-development-roadmap/personal-skills" TargetMode="External"/><Relationship Id="rId10"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19" Type="http://schemas.openxmlformats.org/officeDocument/2006/relationships/hyperlink" Target="https://doi.org/10.1111/1468-2397.00197" TargetMode="External"/><Relationship Id="rId4" Type="http://schemas.openxmlformats.org/officeDocument/2006/relationships/settings" Target="settings.xml"/><Relationship Id="rId9"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14" Type="http://schemas.openxmlformats.org/officeDocument/2006/relationships/hyperlink" Target="file:///C:\Users\ibrat\AppData\Local\Microsoft\Olk\Attachments\ooa-30f88419-b287-4fe0-bb7b-173b4015da41\450eba98aa400f1e793a546f8fac65234cc698c10b0688c521c5ac9ee25aa533\Task%203-%20Acadedmic%20skills-%20ibrat%20bi.docx" TargetMode="External"/><Relationship Id="rId22" Type="http://schemas.openxmlformats.org/officeDocument/2006/relationships/hyperlink" Target="https://doi.org/10.3390/healthcare8010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Ibrat Bi (2533707)</cp:lastModifiedBy>
  <cp:revision>35</cp:revision>
  <cp:lastPrinted>2026-07-13T13:27:00Z</cp:lastPrinted>
  <dcterms:created xsi:type="dcterms:W3CDTF">2026-07-13T13:28:00Z</dcterms:created>
  <dcterms:modified xsi:type="dcterms:W3CDTF">2026-07-13T15:23:00Z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