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33620" w14:textId="7F7292FE" w:rsidR="00830032" w:rsidRPr="00985EF8" w:rsidRDefault="00830032" w:rsidP="00830032">
      <w:pPr>
        <w:rPr>
          <w:rFonts w:ascii="Century Gothic" w:hAnsi="Century Gothic"/>
          <w:b/>
          <w:bCs/>
        </w:rPr>
      </w:pPr>
      <w:r w:rsidRPr="00985EF8">
        <w:rPr>
          <w:rFonts w:ascii="Century Gothic" w:hAnsi="Century Gothic"/>
          <w:b/>
          <w:bCs/>
        </w:rPr>
        <w:t xml:space="preserve">                                     </w:t>
      </w:r>
      <w:r w:rsidRPr="00985EF8">
        <w:rPr>
          <w:rFonts w:ascii="Century Gothic" w:hAnsi="Century Gothic"/>
          <w:b/>
          <w:bCs/>
          <w:noProof/>
        </w:rPr>
        <w:drawing>
          <wp:inline distT="0" distB="0" distL="0" distR="0" wp14:anchorId="31B1DF60" wp14:editId="50F26DFE">
            <wp:extent cx="3524250" cy="1400175"/>
            <wp:effectExtent l="0" t="0" r="0" b="9525"/>
            <wp:docPr id="1863210173"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2794449" descr="A close-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4250" cy="1400175"/>
                    </a:xfrm>
                    <a:prstGeom prst="rect">
                      <a:avLst/>
                    </a:prstGeom>
                    <a:noFill/>
                    <a:ln>
                      <a:noFill/>
                    </a:ln>
                  </pic:spPr>
                </pic:pic>
              </a:graphicData>
            </a:graphic>
          </wp:inline>
        </w:drawing>
      </w:r>
    </w:p>
    <w:p w14:paraId="34D031B5" w14:textId="77777777" w:rsidR="00830032" w:rsidRPr="00985EF8" w:rsidRDefault="00830032" w:rsidP="00830032">
      <w:pPr>
        <w:rPr>
          <w:rFonts w:ascii="Century Gothic" w:hAnsi="Century Gothic"/>
          <w:b/>
          <w:bCs/>
          <w:sz w:val="52"/>
          <w:szCs w:val="52"/>
        </w:rPr>
      </w:pPr>
    </w:p>
    <w:p w14:paraId="320FBC8E" w14:textId="77777777" w:rsidR="00830032" w:rsidRPr="00985EF8" w:rsidRDefault="00830032" w:rsidP="00830032">
      <w:pPr>
        <w:rPr>
          <w:rFonts w:ascii="Century Gothic" w:hAnsi="Century Gothic"/>
          <w:b/>
          <w:bCs/>
          <w:sz w:val="52"/>
          <w:szCs w:val="52"/>
        </w:rPr>
      </w:pPr>
    </w:p>
    <w:p w14:paraId="20C15839" w14:textId="778168B0" w:rsidR="00830032" w:rsidRPr="00985EF8" w:rsidRDefault="00830032" w:rsidP="00830032">
      <w:pPr>
        <w:rPr>
          <w:rFonts w:ascii="Century Gothic" w:hAnsi="Century Gothic"/>
          <w:b/>
          <w:bCs/>
          <w:sz w:val="52"/>
          <w:szCs w:val="52"/>
        </w:rPr>
      </w:pPr>
      <w:r w:rsidRPr="00985EF8">
        <w:rPr>
          <w:rFonts w:ascii="Century Gothic" w:hAnsi="Century Gothic"/>
          <w:b/>
          <w:bCs/>
          <w:sz w:val="52"/>
          <w:szCs w:val="52"/>
          <w:highlight w:val="yellow"/>
        </w:rPr>
        <w:t xml:space="preserve">Module Code:  ECDE7012 </w:t>
      </w:r>
      <w:r w:rsidR="00070101" w:rsidRPr="00985EF8">
        <w:rPr>
          <w:rFonts w:ascii="Century Gothic" w:hAnsi="Century Gothic"/>
          <w:b/>
          <w:bCs/>
          <w:sz w:val="52"/>
          <w:szCs w:val="52"/>
          <w:highlight w:val="yellow"/>
        </w:rPr>
        <w:br/>
      </w:r>
      <w:r w:rsidR="00070101" w:rsidRPr="00985EF8">
        <w:rPr>
          <w:rFonts w:ascii="Century Gothic" w:hAnsi="Century Gothic"/>
          <w:b/>
          <w:bCs/>
          <w:sz w:val="52"/>
          <w:szCs w:val="52"/>
          <w:highlight w:val="green"/>
        </w:rPr>
        <w:t>Research</w:t>
      </w:r>
      <w:r w:rsidR="00070101" w:rsidRPr="00985EF8">
        <w:rPr>
          <w:rFonts w:ascii="Century Gothic" w:hAnsi="Century Gothic"/>
          <w:b/>
          <w:bCs/>
          <w:sz w:val="52"/>
          <w:szCs w:val="52"/>
          <w:highlight w:val="green"/>
        </w:rPr>
        <w:t xml:space="preserve"> </w:t>
      </w:r>
      <w:r w:rsidR="00070101" w:rsidRPr="00985EF8">
        <w:rPr>
          <w:rFonts w:ascii="Century Gothic" w:hAnsi="Century Gothic"/>
          <w:b/>
          <w:bCs/>
          <w:sz w:val="52"/>
          <w:szCs w:val="52"/>
          <w:highlight w:val="green"/>
        </w:rPr>
        <w:t>Design and Management in Education</w:t>
      </w:r>
      <w:r w:rsidRPr="00985EF8">
        <w:rPr>
          <w:rFonts w:ascii="Century Gothic" w:hAnsi="Century Gothic"/>
          <w:b/>
          <w:bCs/>
          <w:sz w:val="52"/>
          <w:szCs w:val="52"/>
        </w:rPr>
        <w:t xml:space="preserve">                                      </w:t>
      </w:r>
    </w:p>
    <w:p w14:paraId="69289A29" w14:textId="77777777" w:rsidR="00070101" w:rsidRPr="00985EF8" w:rsidRDefault="00070101" w:rsidP="00070101">
      <w:pPr>
        <w:rPr>
          <w:rFonts w:ascii="Century Gothic" w:hAnsi="Century Gothic"/>
          <w:b/>
          <w:bCs/>
          <w:sz w:val="44"/>
          <w:szCs w:val="44"/>
        </w:rPr>
      </w:pPr>
      <w:r w:rsidRPr="00985EF8">
        <w:rPr>
          <w:rFonts w:ascii="Century Gothic" w:hAnsi="Century Gothic"/>
          <w:b/>
          <w:bCs/>
          <w:sz w:val="44"/>
          <w:szCs w:val="44"/>
          <w:highlight w:val="green"/>
        </w:rPr>
        <w:t>Dr Julia Holloway and Mrs Nanna Ryder</w:t>
      </w:r>
    </w:p>
    <w:p w14:paraId="346244DF" w14:textId="7F2EA08D" w:rsidR="00830032" w:rsidRPr="00985EF8" w:rsidRDefault="00830032" w:rsidP="003B4755">
      <w:pPr>
        <w:rPr>
          <w:rFonts w:ascii="Century Gothic" w:hAnsi="Century Gothic"/>
          <w:b/>
          <w:bCs/>
          <w:sz w:val="28"/>
          <w:szCs w:val="28"/>
        </w:rPr>
      </w:pPr>
      <w:r w:rsidRPr="00985EF8">
        <w:rPr>
          <w:rFonts w:ascii="Century Gothic" w:hAnsi="Century Gothic"/>
          <w:b/>
          <w:bCs/>
          <w:sz w:val="52"/>
          <w:szCs w:val="52"/>
          <w:highlight w:val="cyan"/>
        </w:rPr>
        <w:t>Assignment Title: COMPONENT 2</w:t>
      </w:r>
      <w:r w:rsidRPr="00985EF8">
        <w:rPr>
          <w:rFonts w:ascii="Century Gothic" w:hAnsi="Century Gothic"/>
          <w:b/>
          <w:bCs/>
          <w:sz w:val="52"/>
          <w:szCs w:val="52"/>
        </w:rPr>
        <w:t xml:space="preserve"> </w:t>
      </w:r>
      <w:r w:rsidR="003B4755" w:rsidRPr="00985EF8">
        <w:rPr>
          <w:rFonts w:ascii="Century Gothic" w:hAnsi="Century Gothic"/>
          <w:b/>
          <w:bCs/>
          <w:sz w:val="52"/>
          <w:szCs w:val="52"/>
        </w:rPr>
        <w:br/>
      </w:r>
      <w:r w:rsidR="003B4755" w:rsidRPr="00985EF8">
        <w:rPr>
          <w:rFonts w:ascii="Century Gothic" w:hAnsi="Century Gothic"/>
          <w:b/>
          <w:bCs/>
          <w:sz w:val="28"/>
          <w:szCs w:val="28"/>
          <w:highlight w:val="cyan"/>
        </w:rPr>
        <w:t xml:space="preserve">Describe and critically evaluate the philosophical worldview that underpins your research, justifying why it is appropriate. Present a plan for an appropriate data collection process and associated analysis of the data, reflecting on its strengths and limitations. </w:t>
      </w:r>
      <w:r w:rsidR="003B4755" w:rsidRPr="00985EF8">
        <w:rPr>
          <w:rFonts w:ascii="Century Gothic" w:hAnsi="Century Gothic"/>
          <w:b/>
          <w:bCs/>
          <w:sz w:val="28"/>
          <w:szCs w:val="28"/>
          <w:highlight w:val="cyan"/>
        </w:rPr>
        <w:br/>
      </w:r>
      <w:r w:rsidR="003B4755" w:rsidRPr="00985EF8">
        <w:rPr>
          <w:rFonts w:ascii="Century Gothic" w:hAnsi="Century Gothic"/>
          <w:b/>
          <w:bCs/>
          <w:sz w:val="28"/>
          <w:szCs w:val="28"/>
          <w:highlight w:val="cyan"/>
        </w:rPr>
        <w:t>Written Assignment: 3200 words</w:t>
      </w:r>
    </w:p>
    <w:p w14:paraId="40D45864" w14:textId="77777777" w:rsidR="00830032" w:rsidRPr="00985EF8" w:rsidRDefault="00830032" w:rsidP="00830032">
      <w:pPr>
        <w:rPr>
          <w:rFonts w:ascii="Century Gothic" w:hAnsi="Century Gothic"/>
          <w:b/>
          <w:bCs/>
          <w:sz w:val="52"/>
          <w:szCs w:val="52"/>
        </w:rPr>
      </w:pPr>
    </w:p>
    <w:p w14:paraId="2D4FDC41" w14:textId="77777777" w:rsidR="00830032" w:rsidRPr="00985EF8" w:rsidRDefault="00830032" w:rsidP="00830032">
      <w:pPr>
        <w:rPr>
          <w:rFonts w:ascii="Century Gothic" w:hAnsi="Century Gothic"/>
          <w:b/>
          <w:bCs/>
          <w:sz w:val="52"/>
          <w:szCs w:val="52"/>
          <w:highlight w:val="magenta"/>
        </w:rPr>
      </w:pPr>
      <w:r w:rsidRPr="00985EF8">
        <w:rPr>
          <w:rFonts w:ascii="Century Gothic" w:hAnsi="Century Gothic"/>
          <w:b/>
          <w:bCs/>
          <w:sz w:val="52"/>
          <w:szCs w:val="52"/>
          <w:highlight w:val="magenta"/>
        </w:rPr>
        <w:t>Student Name: Laura Emanuel</w:t>
      </w:r>
    </w:p>
    <w:p w14:paraId="6BC180FA" w14:textId="77777777" w:rsidR="00830032" w:rsidRPr="00985EF8" w:rsidRDefault="00830032" w:rsidP="00830032">
      <w:pPr>
        <w:rPr>
          <w:rFonts w:ascii="Century Gothic" w:hAnsi="Century Gothic"/>
          <w:b/>
          <w:bCs/>
          <w:sz w:val="52"/>
          <w:szCs w:val="52"/>
        </w:rPr>
      </w:pPr>
      <w:r w:rsidRPr="00985EF8">
        <w:rPr>
          <w:rFonts w:ascii="Century Gothic" w:hAnsi="Century Gothic"/>
          <w:b/>
          <w:bCs/>
          <w:sz w:val="52"/>
          <w:szCs w:val="52"/>
          <w:highlight w:val="magenta"/>
        </w:rPr>
        <w:t>Student Number: 2308139</w:t>
      </w:r>
    </w:p>
    <w:p w14:paraId="3C8D08F7" w14:textId="42939430" w:rsidR="00005B5A" w:rsidRPr="00985EF8" w:rsidRDefault="00005B5A" w:rsidP="00005B5A">
      <w:pPr>
        <w:spacing w:line="360" w:lineRule="auto"/>
        <w:rPr>
          <w:rFonts w:ascii="Century Gothic" w:hAnsi="Century Gothic"/>
          <w:b/>
          <w:bCs/>
          <w:sz w:val="36"/>
          <w:szCs w:val="36"/>
        </w:rPr>
      </w:pPr>
      <w:r w:rsidRPr="00985EF8">
        <w:rPr>
          <w:rFonts w:ascii="Century Gothic" w:hAnsi="Century Gothic"/>
          <w:b/>
          <w:bCs/>
          <w:sz w:val="36"/>
          <w:szCs w:val="36"/>
          <w:highlight w:val="darkMagenta"/>
        </w:rPr>
        <w:t>Word Count: 3</w:t>
      </w:r>
      <w:r w:rsidR="00D33C20">
        <w:rPr>
          <w:rFonts w:ascii="Century Gothic" w:hAnsi="Century Gothic"/>
          <w:b/>
          <w:bCs/>
          <w:sz w:val="36"/>
          <w:szCs w:val="36"/>
          <w:highlight w:val="darkMagenta"/>
        </w:rPr>
        <w:t>50</w:t>
      </w:r>
      <w:r w:rsidR="00B45998">
        <w:rPr>
          <w:rFonts w:ascii="Century Gothic" w:hAnsi="Century Gothic"/>
          <w:b/>
          <w:bCs/>
          <w:sz w:val="36"/>
          <w:szCs w:val="36"/>
          <w:highlight w:val="darkMagenta"/>
        </w:rPr>
        <w:t>3</w:t>
      </w:r>
      <w:r w:rsidRPr="00985EF8">
        <w:rPr>
          <w:rFonts w:ascii="Century Gothic" w:hAnsi="Century Gothic"/>
          <w:b/>
          <w:bCs/>
          <w:sz w:val="36"/>
          <w:szCs w:val="36"/>
          <w:highlight w:val="darkMagenta"/>
        </w:rPr>
        <w:t xml:space="preserve"> words</w:t>
      </w:r>
    </w:p>
    <w:p w14:paraId="292E52C1" w14:textId="77777777" w:rsidR="009E0ADD" w:rsidRPr="00985EF8" w:rsidRDefault="009E0ADD" w:rsidP="009E0ADD">
      <w:pPr>
        <w:pStyle w:val="Heading1"/>
        <w:spacing w:line="360" w:lineRule="auto"/>
        <w:rPr>
          <w:rFonts w:ascii="Century Gothic" w:hAnsi="Century Gothic"/>
        </w:rPr>
      </w:pPr>
      <w:r w:rsidRPr="00985EF8">
        <w:rPr>
          <w:rFonts w:ascii="Century Gothic" w:hAnsi="Century Gothic"/>
        </w:rPr>
        <w:lastRenderedPageBreak/>
        <w:t>Contents</w:t>
      </w:r>
    </w:p>
    <w:p w14:paraId="71298935" w14:textId="3683AF0B" w:rsidR="009E0ADD" w:rsidRPr="00985EF8" w:rsidRDefault="00102F4B" w:rsidP="009E0ADD">
      <w:pPr>
        <w:spacing w:line="360" w:lineRule="auto"/>
        <w:rPr>
          <w:rFonts w:ascii="Century Gothic" w:hAnsi="Century Gothic"/>
          <w:b/>
          <w:bCs/>
          <w:sz w:val="52"/>
          <w:szCs w:val="52"/>
        </w:rPr>
      </w:pPr>
      <w:r>
        <w:rPr>
          <w:rStyle w:val="Heading1Char"/>
          <w:rFonts w:ascii="Century Gothic" w:hAnsi="Century Gothic"/>
          <w:sz w:val="24"/>
          <w:szCs w:val="24"/>
        </w:rPr>
        <w:t>Research Context</w:t>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sidR="009E0ADD" w:rsidRPr="00985EF8">
        <w:rPr>
          <w:rStyle w:val="Heading1Char"/>
          <w:rFonts w:ascii="Century Gothic" w:hAnsi="Century Gothic"/>
          <w:sz w:val="24"/>
          <w:szCs w:val="24"/>
        </w:rPr>
        <w:tab/>
      </w:r>
      <w:r w:rsidR="009E0ADD" w:rsidRPr="00985EF8">
        <w:rPr>
          <w:rStyle w:val="Heading1Char"/>
          <w:rFonts w:ascii="Century Gothic" w:hAnsi="Century Gothic"/>
          <w:sz w:val="24"/>
          <w:szCs w:val="24"/>
        </w:rPr>
        <w:tab/>
      </w:r>
      <w:r w:rsidR="009E0ADD" w:rsidRPr="00985EF8">
        <w:rPr>
          <w:rStyle w:val="Heading1Char"/>
          <w:rFonts w:ascii="Century Gothic" w:hAnsi="Century Gothic"/>
          <w:sz w:val="24"/>
          <w:szCs w:val="24"/>
        </w:rPr>
        <w:tab/>
      </w:r>
      <w:r w:rsidR="009E0ADD" w:rsidRPr="00985EF8">
        <w:rPr>
          <w:rStyle w:val="Heading1Char"/>
          <w:rFonts w:ascii="Century Gothic" w:hAnsi="Century Gothic"/>
          <w:sz w:val="24"/>
          <w:szCs w:val="24"/>
        </w:rPr>
        <w:tab/>
        <w:t>p3</w:t>
      </w:r>
    </w:p>
    <w:p w14:paraId="7F634B80" w14:textId="1F545FFE" w:rsidR="00102F4B" w:rsidRDefault="00102F4B" w:rsidP="009E0ADD">
      <w:pPr>
        <w:rPr>
          <w:rStyle w:val="Heading1Char"/>
          <w:rFonts w:ascii="Century Gothic" w:hAnsi="Century Gothic"/>
          <w:sz w:val="24"/>
          <w:szCs w:val="24"/>
        </w:rPr>
      </w:pPr>
      <w:bookmarkStart w:id="0" w:name="_Overview_of_relevant"/>
      <w:bookmarkEnd w:id="0"/>
      <w:r>
        <w:rPr>
          <w:rStyle w:val="Heading1Char"/>
          <w:rFonts w:ascii="Century Gothic" w:hAnsi="Century Gothic"/>
          <w:sz w:val="24"/>
          <w:szCs w:val="24"/>
        </w:rPr>
        <w:t>Research Design and Methodology</w:t>
      </w:r>
      <w:r w:rsidR="009E0ADD" w:rsidRPr="00985EF8">
        <w:rPr>
          <w:rStyle w:val="Heading1Char"/>
          <w:rFonts w:ascii="Century Gothic" w:hAnsi="Century Gothic"/>
          <w:sz w:val="24"/>
          <w:szCs w:val="24"/>
        </w:rPr>
        <w:tab/>
      </w:r>
      <w:r w:rsidR="009E0ADD" w:rsidRPr="00985EF8">
        <w:rPr>
          <w:rStyle w:val="Heading1Char"/>
          <w:rFonts w:ascii="Century Gothic" w:hAnsi="Century Gothic"/>
          <w:sz w:val="24"/>
          <w:szCs w:val="24"/>
        </w:rPr>
        <w:tab/>
      </w:r>
      <w:r w:rsidR="009E0ADD" w:rsidRPr="00985EF8">
        <w:rPr>
          <w:rStyle w:val="Heading1Char"/>
          <w:rFonts w:ascii="Century Gothic" w:hAnsi="Century Gothic"/>
          <w:sz w:val="24"/>
          <w:szCs w:val="24"/>
        </w:rPr>
        <w:tab/>
      </w:r>
      <w:r w:rsidR="009E0ADD" w:rsidRPr="00985EF8">
        <w:rPr>
          <w:rStyle w:val="Heading1Char"/>
          <w:rFonts w:ascii="Century Gothic" w:hAnsi="Century Gothic"/>
          <w:sz w:val="24"/>
          <w:szCs w:val="24"/>
        </w:rPr>
        <w:tab/>
      </w:r>
      <w:r w:rsidR="009E0ADD" w:rsidRPr="00985EF8">
        <w:rPr>
          <w:rStyle w:val="Heading1Char"/>
          <w:rFonts w:ascii="Century Gothic" w:hAnsi="Century Gothic"/>
          <w:sz w:val="24"/>
          <w:szCs w:val="24"/>
        </w:rPr>
        <w:tab/>
        <w:t>p</w:t>
      </w:r>
      <w:r>
        <w:rPr>
          <w:rStyle w:val="Heading1Char"/>
          <w:rFonts w:ascii="Century Gothic" w:hAnsi="Century Gothic"/>
          <w:sz w:val="24"/>
          <w:szCs w:val="24"/>
        </w:rPr>
        <w:t>3</w:t>
      </w:r>
    </w:p>
    <w:p w14:paraId="4ECD8D4B" w14:textId="68C3E497" w:rsidR="00102F4B" w:rsidRDefault="00102F4B" w:rsidP="009E0ADD">
      <w:pPr>
        <w:rPr>
          <w:rStyle w:val="Heading1Char"/>
          <w:rFonts w:ascii="Century Gothic" w:hAnsi="Century Gothic"/>
          <w:sz w:val="24"/>
          <w:szCs w:val="24"/>
        </w:rPr>
      </w:pPr>
      <w:r>
        <w:rPr>
          <w:rStyle w:val="Heading1Char"/>
          <w:rFonts w:ascii="Century Gothic" w:hAnsi="Century Gothic"/>
          <w:sz w:val="24"/>
          <w:szCs w:val="24"/>
        </w:rPr>
        <w:t>Research Methods and Tool</w:t>
      </w:r>
      <w:r w:rsidR="00421564">
        <w:rPr>
          <w:rStyle w:val="Heading1Char"/>
          <w:rFonts w:ascii="Century Gothic" w:hAnsi="Century Gothic"/>
          <w:sz w:val="24"/>
          <w:szCs w:val="24"/>
        </w:rPr>
        <w:t>s</w:t>
      </w:r>
      <w:r w:rsidR="00421564">
        <w:rPr>
          <w:rStyle w:val="Heading1Char"/>
          <w:rFonts w:ascii="Century Gothic" w:hAnsi="Century Gothic"/>
          <w:sz w:val="24"/>
          <w:szCs w:val="24"/>
        </w:rPr>
        <w:tab/>
      </w:r>
      <w:r w:rsidR="00421564">
        <w:rPr>
          <w:rStyle w:val="Heading1Char"/>
          <w:rFonts w:ascii="Century Gothic" w:hAnsi="Century Gothic"/>
          <w:sz w:val="24"/>
          <w:szCs w:val="24"/>
        </w:rPr>
        <w:tab/>
      </w:r>
      <w:r w:rsidR="00421564">
        <w:rPr>
          <w:rStyle w:val="Heading1Char"/>
          <w:rFonts w:ascii="Century Gothic" w:hAnsi="Century Gothic"/>
          <w:sz w:val="24"/>
          <w:szCs w:val="24"/>
        </w:rPr>
        <w:tab/>
      </w:r>
      <w:r w:rsidR="00421564">
        <w:rPr>
          <w:rStyle w:val="Heading1Char"/>
          <w:rFonts w:ascii="Century Gothic" w:hAnsi="Century Gothic"/>
          <w:sz w:val="24"/>
          <w:szCs w:val="24"/>
        </w:rPr>
        <w:tab/>
      </w:r>
      <w:r w:rsidR="00421564">
        <w:rPr>
          <w:rStyle w:val="Heading1Char"/>
          <w:rFonts w:ascii="Century Gothic" w:hAnsi="Century Gothic"/>
          <w:sz w:val="24"/>
          <w:szCs w:val="24"/>
        </w:rPr>
        <w:tab/>
      </w:r>
      <w:r w:rsidR="00421564">
        <w:rPr>
          <w:rStyle w:val="Heading1Char"/>
          <w:rFonts w:ascii="Century Gothic" w:hAnsi="Century Gothic"/>
          <w:sz w:val="24"/>
          <w:szCs w:val="24"/>
        </w:rPr>
        <w:tab/>
        <w:t>p6</w:t>
      </w:r>
    </w:p>
    <w:p w14:paraId="26B9DF0E" w14:textId="77777777" w:rsidR="003864B0" w:rsidRDefault="00421564" w:rsidP="00421564">
      <w:pPr>
        <w:rPr>
          <w:rStyle w:val="Heading1Char"/>
          <w:rFonts w:ascii="Century Gothic" w:hAnsi="Century Gothic"/>
          <w:sz w:val="24"/>
          <w:szCs w:val="24"/>
        </w:rPr>
      </w:pPr>
      <w:r>
        <w:rPr>
          <w:rStyle w:val="Heading1Char"/>
          <w:rFonts w:ascii="Century Gothic" w:hAnsi="Century Gothic"/>
          <w:sz w:val="24"/>
          <w:szCs w:val="24"/>
        </w:rPr>
        <w:t>Applying the Research Onion</w:t>
      </w:r>
      <w:r w:rsidR="003864B0">
        <w:rPr>
          <w:rStyle w:val="Heading1Char"/>
          <w:rFonts w:ascii="Century Gothic" w:hAnsi="Century Gothic"/>
          <w:sz w:val="24"/>
          <w:szCs w:val="24"/>
        </w:rPr>
        <w:tab/>
      </w:r>
      <w:r w:rsidR="003864B0">
        <w:rPr>
          <w:rStyle w:val="Heading1Char"/>
          <w:rFonts w:ascii="Century Gothic" w:hAnsi="Century Gothic"/>
          <w:sz w:val="24"/>
          <w:szCs w:val="24"/>
        </w:rPr>
        <w:tab/>
      </w:r>
      <w:r w:rsidR="003864B0">
        <w:rPr>
          <w:rStyle w:val="Heading1Char"/>
          <w:rFonts w:ascii="Century Gothic" w:hAnsi="Century Gothic"/>
          <w:sz w:val="24"/>
          <w:szCs w:val="24"/>
        </w:rPr>
        <w:tab/>
      </w:r>
      <w:r w:rsidR="003864B0">
        <w:rPr>
          <w:rStyle w:val="Heading1Char"/>
          <w:rFonts w:ascii="Century Gothic" w:hAnsi="Century Gothic"/>
          <w:sz w:val="24"/>
          <w:szCs w:val="24"/>
        </w:rPr>
        <w:tab/>
      </w:r>
      <w:r w:rsidR="003864B0">
        <w:rPr>
          <w:rStyle w:val="Heading1Char"/>
          <w:rFonts w:ascii="Century Gothic" w:hAnsi="Century Gothic"/>
          <w:sz w:val="24"/>
          <w:szCs w:val="24"/>
        </w:rPr>
        <w:tab/>
      </w:r>
      <w:r w:rsidR="003864B0">
        <w:rPr>
          <w:rStyle w:val="Heading1Char"/>
          <w:rFonts w:ascii="Century Gothic" w:hAnsi="Century Gothic"/>
          <w:sz w:val="24"/>
          <w:szCs w:val="24"/>
        </w:rPr>
        <w:tab/>
        <w:t>p7</w:t>
      </w:r>
    </w:p>
    <w:p w14:paraId="7E4BA210" w14:textId="77777777" w:rsidR="003864B0" w:rsidRDefault="003864B0" w:rsidP="00421564">
      <w:pPr>
        <w:rPr>
          <w:rStyle w:val="Heading1Char"/>
          <w:rFonts w:ascii="Century Gothic" w:hAnsi="Century Gothic"/>
          <w:sz w:val="24"/>
          <w:szCs w:val="24"/>
        </w:rPr>
      </w:pPr>
      <w:r>
        <w:rPr>
          <w:rStyle w:val="Heading1Char"/>
          <w:rFonts w:ascii="Century Gothic" w:hAnsi="Century Gothic"/>
          <w:sz w:val="24"/>
          <w:szCs w:val="24"/>
        </w:rPr>
        <w:t>Description and Structure of the Research Tools</w:t>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t>p7</w:t>
      </w:r>
    </w:p>
    <w:p w14:paraId="314F8F1C" w14:textId="306900B7" w:rsidR="003864B0" w:rsidRDefault="003864B0" w:rsidP="00421564">
      <w:pPr>
        <w:rPr>
          <w:rStyle w:val="Heading1Char"/>
          <w:rFonts w:ascii="Century Gothic" w:hAnsi="Century Gothic"/>
          <w:sz w:val="24"/>
          <w:szCs w:val="24"/>
        </w:rPr>
      </w:pPr>
      <w:r>
        <w:rPr>
          <w:rStyle w:val="Heading1Char"/>
          <w:rFonts w:ascii="Century Gothic" w:hAnsi="Century Gothic"/>
          <w:sz w:val="24"/>
          <w:szCs w:val="24"/>
        </w:rPr>
        <w:t>Sampling Strategy and Context</w:t>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t>p8</w:t>
      </w:r>
    </w:p>
    <w:p w14:paraId="795ED72B" w14:textId="19BBD22C" w:rsidR="003864B0" w:rsidRDefault="006F3249" w:rsidP="00421564">
      <w:pPr>
        <w:rPr>
          <w:rStyle w:val="Heading1Char"/>
          <w:rFonts w:ascii="Century Gothic" w:hAnsi="Century Gothic"/>
          <w:sz w:val="24"/>
          <w:szCs w:val="24"/>
        </w:rPr>
      </w:pPr>
      <w:r>
        <w:rPr>
          <w:rStyle w:val="Heading1Char"/>
          <w:rFonts w:ascii="Century Gothic" w:hAnsi="Century Gothic"/>
          <w:sz w:val="24"/>
          <w:szCs w:val="24"/>
        </w:rPr>
        <w:t>Ethical Considerations</w:t>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t>p9</w:t>
      </w:r>
    </w:p>
    <w:p w14:paraId="5B3A7C3C" w14:textId="47384D1B" w:rsidR="006F3249" w:rsidRDefault="006F3249" w:rsidP="00421564">
      <w:pPr>
        <w:rPr>
          <w:rStyle w:val="Heading1Char"/>
          <w:rFonts w:ascii="Century Gothic" w:hAnsi="Century Gothic"/>
          <w:sz w:val="24"/>
          <w:szCs w:val="24"/>
        </w:rPr>
      </w:pPr>
      <w:r>
        <w:rPr>
          <w:rStyle w:val="Heading1Char"/>
          <w:rFonts w:ascii="Century Gothic" w:hAnsi="Century Gothic"/>
          <w:sz w:val="24"/>
          <w:szCs w:val="24"/>
        </w:rPr>
        <w:t>Strengths and Limitations of the Method</w:t>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t>p9</w:t>
      </w:r>
    </w:p>
    <w:p w14:paraId="71801DE4" w14:textId="143C920F" w:rsidR="006F3249" w:rsidRDefault="006F3249" w:rsidP="00421564">
      <w:pPr>
        <w:rPr>
          <w:rStyle w:val="Heading1Char"/>
          <w:rFonts w:ascii="Century Gothic" w:hAnsi="Century Gothic"/>
          <w:sz w:val="24"/>
          <w:szCs w:val="24"/>
        </w:rPr>
      </w:pPr>
      <w:r>
        <w:rPr>
          <w:rStyle w:val="Heading1Char"/>
          <w:rFonts w:ascii="Century Gothic" w:hAnsi="Century Gothic"/>
          <w:sz w:val="24"/>
          <w:szCs w:val="24"/>
        </w:rPr>
        <w:t>Data Presentation and Analysis Methods</w:t>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t>p10</w:t>
      </w:r>
    </w:p>
    <w:p w14:paraId="700F87B6" w14:textId="2D829D4E" w:rsidR="00BD772D" w:rsidRDefault="00BD772D" w:rsidP="00421564">
      <w:pPr>
        <w:rPr>
          <w:rStyle w:val="Heading1Char"/>
          <w:rFonts w:ascii="Century Gothic" w:hAnsi="Century Gothic"/>
          <w:sz w:val="24"/>
          <w:szCs w:val="24"/>
        </w:rPr>
      </w:pPr>
      <w:r>
        <w:rPr>
          <w:rStyle w:val="Heading1Char"/>
          <w:rFonts w:ascii="Century Gothic" w:hAnsi="Century Gothic"/>
          <w:sz w:val="24"/>
          <w:szCs w:val="24"/>
        </w:rPr>
        <w:t>Impact on Knowledge and Future Practice</w:t>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t>p12</w:t>
      </w:r>
    </w:p>
    <w:p w14:paraId="5F4B6766" w14:textId="59690D88" w:rsidR="00BD772D" w:rsidRDefault="00BD772D" w:rsidP="00421564">
      <w:pPr>
        <w:rPr>
          <w:rStyle w:val="Heading1Char"/>
          <w:rFonts w:ascii="Century Gothic" w:hAnsi="Century Gothic"/>
          <w:sz w:val="24"/>
          <w:szCs w:val="24"/>
        </w:rPr>
      </w:pPr>
      <w:r>
        <w:rPr>
          <w:rStyle w:val="Heading1Char"/>
          <w:rFonts w:ascii="Century Gothic" w:hAnsi="Century Gothic"/>
          <w:sz w:val="24"/>
          <w:szCs w:val="24"/>
        </w:rPr>
        <w:t>Reference List</w:t>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r>
      <w:r>
        <w:rPr>
          <w:rStyle w:val="Heading1Char"/>
          <w:rFonts w:ascii="Century Gothic" w:hAnsi="Century Gothic"/>
          <w:sz w:val="24"/>
          <w:szCs w:val="24"/>
        </w:rPr>
        <w:tab/>
        <w:t>p14</w:t>
      </w:r>
    </w:p>
    <w:p w14:paraId="72024CA9" w14:textId="3A1EA1FC" w:rsidR="00830032" w:rsidRPr="00985EF8" w:rsidRDefault="00830032" w:rsidP="00421564">
      <w:pPr>
        <w:rPr>
          <w:rFonts w:ascii="Century Gothic" w:hAnsi="Century Gothic"/>
          <w:b/>
          <w:bCs/>
          <w:sz w:val="52"/>
          <w:szCs w:val="52"/>
        </w:rPr>
      </w:pPr>
    </w:p>
    <w:p w14:paraId="0FFE4CEB" w14:textId="77777777" w:rsidR="00830032" w:rsidRPr="00985EF8" w:rsidRDefault="00830032" w:rsidP="00830032">
      <w:pPr>
        <w:rPr>
          <w:rFonts w:ascii="Century Gothic" w:hAnsi="Century Gothic"/>
          <w:b/>
          <w:bCs/>
        </w:rPr>
      </w:pPr>
    </w:p>
    <w:p w14:paraId="1B3C0BCE" w14:textId="77777777" w:rsidR="00830032" w:rsidRPr="00985EF8" w:rsidRDefault="00830032" w:rsidP="00830032">
      <w:pPr>
        <w:rPr>
          <w:rFonts w:ascii="Century Gothic" w:hAnsi="Century Gothic"/>
          <w:b/>
          <w:bCs/>
        </w:rPr>
      </w:pPr>
    </w:p>
    <w:p w14:paraId="5F913C91" w14:textId="77777777" w:rsidR="00830032" w:rsidRPr="00985EF8" w:rsidRDefault="00830032" w:rsidP="00830032">
      <w:pPr>
        <w:rPr>
          <w:rFonts w:ascii="Century Gothic" w:hAnsi="Century Gothic"/>
          <w:b/>
          <w:bCs/>
        </w:rPr>
      </w:pPr>
    </w:p>
    <w:p w14:paraId="2E339FEE" w14:textId="77777777" w:rsidR="004D7113" w:rsidRPr="00985EF8" w:rsidRDefault="004D7113" w:rsidP="00920CE7">
      <w:pPr>
        <w:rPr>
          <w:rFonts w:ascii="Century Gothic" w:hAnsi="Century Gothic"/>
          <w:b/>
          <w:bCs/>
        </w:rPr>
      </w:pPr>
    </w:p>
    <w:p w14:paraId="3007EB81" w14:textId="77777777" w:rsidR="004D7113" w:rsidRPr="00985EF8" w:rsidRDefault="004D7113" w:rsidP="00920CE7">
      <w:pPr>
        <w:rPr>
          <w:rFonts w:ascii="Century Gothic" w:hAnsi="Century Gothic"/>
          <w:b/>
          <w:bCs/>
        </w:rPr>
      </w:pPr>
    </w:p>
    <w:p w14:paraId="1E1B7E51" w14:textId="77777777" w:rsidR="004D7113" w:rsidRPr="00985EF8" w:rsidRDefault="004D7113" w:rsidP="00920CE7">
      <w:pPr>
        <w:rPr>
          <w:rFonts w:ascii="Century Gothic" w:hAnsi="Century Gothic"/>
          <w:b/>
          <w:bCs/>
        </w:rPr>
      </w:pPr>
    </w:p>
    <w:p w14:paraId="192706F5" w14:textId="77777777" w:rsidR="004D7113" w:rsidRPr="00985EF8" w:rsidRDefault="004D7113" w:rsidP="00920CE7">
      <w:pPr>
        <w:rPr>
          <w:rFonts w:ascii="Century Gothic" w:hAnsi="Century Gothic"/>
          <w:b/>
          <w:bCs/>
        </w:rPr>
      </w:pPr>
    </w:p>
    <w:p w14:paraId="5C6A46A3" w14:textId="77777777" w:rsidR="004D7113" w:rsidRPr="00985EF8" w:rsidRDefault="004D7113" w:rsidP="00920CE7">
      <w:pPr>
        <w:rPr>
          <w:rFonts w:ascii="Century Gothic" w:hAnsi="Century Gothic"/>
          <w:b/>
          <w:bCs/>
        </w:rPr>
      </w:pPr>
    </w:p>
    <w:p w14:paraId="40D239C8" w14:textId="77777777" w:rsidR="004D7113" w:rsidRPr="00985EF8" w:rsidRDefault="004D7113" w:rsidP="00920CE7">
      <w:pPr>
        <w:rPr>
          <w:rFonts w:ascii="Century Gothic" w:hAnsi="Century Gothic"/>
          <w:b/>
          <w:bCs/>
        </w:rPr>
      </w:pPr>
    </w:p>
    <w:p w14:paraId="755420ED" w14:textId="77777777" w:rsidR="004D7113" w:rsidRPr="00985EF8" w:rsidRDefault="004D7113" w:rsidP="00920CE7">
      <w:pPr>
        <w:rPr>
          <w:rFonts w:ascii="Century Gothic" w:hAnsi="Century Gothic"/>
          <w:b/>
          <w:bCs/>
        </w:rPr>
      </w:pPr>
    </w:p>
    <w:p w14:paraId="48A47F3D" w14:textId="77777777" w:rsidR="004D7113" w:rsidRPr="00985EF8" w:rsidRDefault="004D7113" w:rsidP="00920CE7">
      <w:pPr>
        <w:rPr>
          <w:rFonts w:ascii="Century Gothic" w:hAnsi="Century Gothic"/>
          <w:b/>
          <w:bCs/>
        </w:rPr>
      </w:pPr>
    </w:p>
    <w:p w14:paraId="7201EAA9" w14:textId="77777777" w:rsidR="004D7113" w:rsidRPr="00985EF8" w:rsidRDefault="004D7113" w:rsidP="00920CE7">
      <w:pPr>
        <w:rPr>
          <w:rFonts w:ascii="Century Gothic" w:hAnsi="Century Gothic"/>
          <w:b/>
          <w:bCs/>
        </w:rPr>
      </w:pPr>
    </w:p>
    <w:p w14:paraId="29AD96E3" w14:textId="77777777" w:rsidR="004D7113" w:rsidRPr="00985EF8" w:rsidRDefault="004D7113" w:rsidP="00920CE7">
      <w:pPr>
        <w:rPr>
          <w:rFonts w:ascii="Century Gothic" w:hAnsi="Century Gothic"/>
          <w:b/>
          <w:bCs/>
        </w:rPr>
      </w:pPr>
    </w:p>
    <w:p w14:paraId="3EF47DA4" w14:textId="783D1047" w:rsidR="00920CE7" w:rsidRPr="00985EF8" w:rsidRDefault="003864B0" w:rsidP="006A2B0E">
      <w:pPr>
        <w:pStyle w:val="Heading1"/>
        <w:spacing w:line="360" w:lineRule="auto"/>
      </w:pPr>
      <w:r>
        <w:lastRenderedPageBreak/>
        <w:t>R</w:t>
      </w:r>
      <w:r w:rsidR="00920CE7" w:rsidRPr="00985EF8">
        <w:t>esearch Context</w:t>
      </w:r>
    </w:p>
    <w:p w14:paraId="04D86175" w14:textId="00740DB2" w:rsidR="00284980" w:rsidRDefault="00920CE7" w:rsidP="00F85C88">
      <w:pPr>
        <w:spacing w:line="360" w:lineRule="auto"/>
        <w:rPr>
          <w:rFonts w:ascii="Century Gothic" w:hAnsi="Century Gothic"/>
        </w:rPr>
      </w:pPr>
      <w:r w:rsidRPr="00985EF8">
        <w:rPr>
          <w:rFonts w:ascii="Century Gothic" w:hAnsi="Century Gothic"/>
        </w:rPr>
        <w:t>This</w:t>
      </w:r>
      <w:r w:rsidR="004D7113" w:rsidRPr="00985EF8">
        <w:rPr>
          <w:rFonts w:ascii="Century Gothic" w:hAnsi="Century Gothic"/>
        </w:rPr>
        <w:t xml:space="preserve"> proposed</w:t>
      </w:r>
      <w:r w:rsidRPr="00985EF8">
        <w:rPr>
          <w:rFonts w:ascii="Century Gothic" w:hAnsi="Century Gothic"/>
        </w:rPr>
        <w:t xml:space="preserve"> study explores how primary school teachers in Wales experience and reflect on their wellbeing</w:t>
      </w:r>
      <w:r w:rsidR="00185CF0" w:rsidRPr="00985EF8">
        <w:rPr>
          <w:rFonts w:ascii="Century Gothic" w:hAnsi="Century Gothic"/>
        </w:rPr>
        <w:t xml:space="preserve"> before,</w:t>
      </w:r>
      <w:r w:rsidRPr="00985EF8">
        <w:rPr>
          <w:rFonts w:ascii="Century Gothic" w:hAnsi="Century Gothic"/>
        </w:rPr>
        <w:t xml:space="preserve"> during and after residential educational visits. While teacher wellbeing is widely recognised as a national and global concern (OECD, 2021; </w:t>
      </w:r>
      <w:proofErr w:type="spellStart"/>
      <w:r w:rsidRPr="00985EF8">
        <w:rPr>
          <w:rFonts w:ascii="Century Gothic" w:hAnsi="Century Gothic"/>
        </w:rPr>
        <w:t>Viac</w:t>
      </w:r>
      <w:proofErr w:type="spellEnd"/>
      <w:r w:rsidRPr="00985EF8">
        <w:rPr>
          <w:rFonts w:ascii="Century Gothic" w:hAnsi="Century Gothic"/>
        </w:rPr>
        <w:t xml:space="preserve"> &amp; Fraser, 2020), much of the </w:t>
      </w:r>
      <w:r w:rsidR="00185CF0" w:rsidRPr="00985EF8">
        <w:rPr>
          <w:rFonts w:ascii="Century Gothic" w:hAnsi="Century Gothic"/>
        </w:rPr>
        <w:t xml:space="preserve">existing </w:t>
      </w:r>
      <w:r w:rsidRPr="00985EF8">
        <w:rPr>
          <w:rFonts w:ascii="Century Gothic" w:hAnsi="Century Gothic"/>
        </w:rPr>
        <w:t>literature</w:t>
      </w:r>
      <w:r w:rsidR="00985EF8" w:rsidRPr="00985EF8">
        <w:rPr>
          <w:rFonts w:ascii="Century Gothic" w:hAnsi="Century Gothic"/>
        </w:rPr>
        <w:t xml:space="preserve"> relating to teacher wellbeing</w:t>
      </w:r>
      <w:r w:rsidRPr="00985EF8">
        <w:rPr>
          <w:rFonts w:ascii="Century Gothic" w:hAnsi="Century Gothic"/>
        </w:rPr>
        <w:t xml:space="preserve"> focuses on reducing stress, rather than identifying the positive experiences that support emotional renewal and </w:t>
      </w:r>
      <w:r w:rsidR="00985EF8" w:rsidRPr="00985EF8">
        <w:rPr>
          <w:rFonts w:ascii="Century Gothic" w:hAnsi="Century Gothic"/>
        </w:rPr>
        <w:t xml:space="preserve">motivation and the literature surrounding residential visits is heavily based on the impact of the children not teachers. </w:t>
      </w:r>
      <w:r w:rsidRPr="00985EF8">
        <w:rPr>
          <w:rFonts w:ascii="Century Gothic" w:hAnsi="Century Gothic"/>
        </w:rPr>
        <w:t>This study addresses that gap by foregrounding teacher voice and reflection. The research question is:</w:t>
      </w:r>
      <w:r w:rsidR="00AD22F0">
        <w:rPr>
          <w:rFonts w:ascii="Century Gothic" w:hAnsi="Century Gothic"/>
        </w:rPr>
        <w:t xml:space="preserve"> ‘</w:t>
      </w:r>
      <w:r w:rsidRPr="00985EF8">
        <w:rPr>
          <w:rFonts w:ascii="Century Gothic" w:hAnsi="Century Gothic"/>
        </w:rPr>
        <w:t>How do primary school teachers perceive the impact of residential educational visits on their wellbeing?</w:t>
      </w:r>
      <w:r w:rsidR="00AD22F0">
        <w:rPr>
          <w:rFonts w:ascii="Century Gothic" w:hAnsi="Century Gothic"/>
        </w:rPr>
        <w:t>’.</w:t>
      </w:r>
      <w:r w:rsidR="00F85C88">
        <w:rPr>
          <w:rFonts w:ascii="Century Gothic" w:hAnsi="Century Gothic"/>
        </w:rPr>
        <w:t xml:space="preserve"> </w:t>
      </w:r>
    </w:p>
    <w:p w14:paraId="4484D212" w14:textId="7C1F7A7A" w:rsidR="00920CE7" w:rsidRPr="00985EF8" w:rsidRDefault="00F85C88" w:rsidP="00F85C88">
      <w:pPr>
        <w:spacing w:line="360" w:lineRule="auto"/>
        <w:rPr>
          <w:rFonts w:ascii="Century Gothic" w:hAnsi="Century Gothic"/>
        </w:rPr>
      </w:pPr>
      <w:r w:rsidRPr="00F85C88">
        <w:rPr>
          <w:rFonts w:ascii="Century Gothic" w:hAnsi="Century Gothic"/>
        </w:rPr>
        <w:t>In an educational context, residential visits are school-organised trips where pupils and staff stay away from home overnight, usually involving outdoor learning, team-building, cultural, or curriculum-linked activitie</w:t>
      </w:r>
      <w:r w:rsidRPr="00F85C88">
        <w:rPr>
          <w:rFonts w:ascii="Century Gothic" w:hAnsi="Century Gothic"/>
        </w:rPr>
        <w:t>s</w:t>
      </w:r>
      <w:r>
        <w:rPr>
          <w:rFonts w:ascii="Century Gothic" w:hAnsi="Century Gothic"/>
        </w:rPr>
        <w:t xml:space="preserve"> (L</w:t>
      </w:r>
      <w:r w:rsidR="002D2BA4">
        <w:rPr>
          <w:rFonts w:ascii="Century Gothic" w:hAnsi="Century Gothic"/>
        </w:rPr>
        <w:t>earning Away, 2013)</w:t>
      </w:r>
      <w:r w:rsidRPr="00F85C88">
        <w:rPr>
          <w:rFonts w:ascii="Century Gothic" w:hAnsi="Century Gothic"/>
        </w:rPr>
        <w:t xml:space="preserve"> -  although the term also lends itself to extended immersive visits whereby children may attend a location repeatedly over a long period of time.</w:t>
      </w:r>
      <w:r w:rsidRPr="00F85C88">
        <w:rPr>
          <w:rFonts w:ascii="Century Gothic" w:hAnsi="Century Gothic"/>
        </w:rPr>
        <w:t xml:space="preserve"> These visits typically take place at outdoor centres, camps, museums, or historical sites, and can last from one night to a week or more.</w:t>
      </w:r>
      <w:r w:rsidR="00985EF8">
        <w:rPr>
          <w:rFonts w:ascii="Century Gothic" w:hAnsi="Century Gothic"/>
        </w:rPr>
        <w:t xml:space="preserve"> The research would be conducted in Wales to align with teachers</w:t>
      </w:r>
      <w:r w:rsidR="0047391B">
        <w:rPr>
          <w:rFonts w:ascii="Century Gothic" w:hAnsi="Century Gothic"/>
        </w:rPr>
        <w:t xml:space="preserve"> within Wales teaching through the Curriculum for Wales (Welsh Government, 2022) and aims to gather their views</w:t>
      </w:r>
      <w:r w:rsidR="00AD22F0">
        <w:rPr>
          <w:rFonts w:ascii="Century Gothic" w:hAnsi="Century Gothic"/>
        </w:rPr>
        <w:t xml:space="preserve"> in an ethical manner adhering to BERA guidelines (2024).</w:t>
      </w:r>
    </w:p>
    <w:p w14:paraId="1C0DA13D" w14:textId="77777777" w:rsidR="00EC5487" w:rsidRPr="00985EF8" w:rsidRDefault="00EC5487" w:rsidP="006A2B0E">
      <w:pPr>
        <w:spacing w:line="360" w:lineRule="auto"/>
        <w:rPr>
          <w:rFonts w:ascii="Century Gothic" w:hAnsi="Century Gothic"/>
        </w:rPr>
      </w:pPr>
    </w:p>
    <w:p w14:paraId="67C96BF0" w14:textId="5A8C2254" w:rsidR="00684FDD" w:rsidRPr="00985EF8" w:rsidRDefault="00684FDD" w:rsidP="006A2B0E">
      <w:pPr>
        <w:pStyle w:val="Heading1"/>
        <w:spacing w:line="360" w:lineRule="auto"/>
      </w:pPr>
      <w:r w:rsidRPr="00985EF8">
        <w:t xml:space="preserve">Research Design </w:t>
      </w:r>
      <w:r w:rsidR="00AD22F0">
        <w:t>and</w:t>
      </w:r>
      <w:r w:rsidRPr="00985EF8">
        <w:t xml:space="preserve"> Methodology</w:t>
      </w:r>
    </w:p>
    <w:p w14:paraId="353ED797" w14:textId="1B188101" w:rsidR="00684FDD" w:rsidRPr="00AD22F0" w:rsidRDefault="00684FDD" w:rsidP="006A2B0E">
      <w:pPr>
        <w:spacing w:line="360" w:lineRule="auto"/>
        <w:rPr>
          <w:rFonts w:ascii="Century Gothic" w:hAnsi="Century Gothic"/>
        </w:rPr>
      </w:pPr>
      <w:r w:rsidRPr="00AD22F0">
        <w:rPr>
          <w:rFonts w:ascii="Century Gothic" w:hAnsi="Century Gothic"/>
        </w:rPr>
        <w:t>All research is shaped by a philosophical worldview</w:t>
      </w:r>
      <w:r w:rsidR="00AD22F0">
        <w:rPr>
          <w:rFonts w:ascii="Century Gothic" w:hAnsi="Century Gothic"/>
        </w:rPr>
        <w:t xml:space="preserve"> which is</w:t>
      </w:r>
      <w:r w:rsidRPr="00AD22F0">
        <w:rPr>
          <w:rFonts w:ascii="Century Gothic" w:hAnsi="Century Gothic"/>
        </w:rPr>
        <w:t xml:space="preserve"> a set of beliefs about reality, knowledge, and values that underpin methodological decisions (Cohen</w:t>
      </w:r>
      <w:r w:rsidR="00804ACA">
        <w:rPr>
          <w:rFonts w:ascii="Century Gothic" w:hAnsi="Century Gothic"/>
        </w:rPr>
        <w:t xml:space="preserve"> </w:t>
      </w:r>
      <w:r w:rsidR="00804ACA" w:rsidRPr="00804ACA">
        <w:rPr>
          <w:rFonts w:ascii="Century Gothic" w:hAnsi="Century Gothic"/>
          <w:i/>
          <w:iCs/>
        </w:rPr>
        <w:t>et al</w:t>
      </w:r>
      <w:r w:rsidR="00804ACA">
        <w:rPr>
          <w:rFonts w:ascii="Century Gothic" w:hAnsi="Century Gothic"/>
        </w:rPr>
        <w:t xml:space="preserve">., </w:t>
      </w:r>
      <w:r w:rsidRPr="00AD22F0">
        <w:rPr>
          <w:rFonts w:ascii="Century Gothic" w:hAnsi="Century Gothic"/>
        </w:rPr>
        <w:t xml:space="preserve">2018). This </w:t>
      </w:r>
      <w:r w:rsidR="00AD22F0">
        <w:rPr>
          <w:rFonts w:ascii="Century Gothic" w:hAnsi="Century Gothic"/>
        </w:rPr>
        <w:t xml:space="preserve">proposed research </w:t>
      </w:r>
      <w:r w:rsidRPr="00AD22F0">
        <w:rPr>
          <w:rFonts w:ascii="Century Gothic" w:hAnsi="Century Gothic"/>
        </w:rPr>
        <w:t xml:space="preserve">adopts a post-positivist worldview, which </w:t>
      </w:r>
      <w:r w:rsidR="00AD22F0">
        <w:rPr>
          <w:rFonts w:ascii="Century Gothic" w:hAnsi="Century Gothic"/>
        </w:rPr>
        <w:t>stipulate</w:t>
      </w:r>
      <w:r w:rsidRPr="00AD22F0">
        <w:rPr>
          <w:rFonts w:ascii="Century Gothic" w:hAnsi="Century Gothic"/>
        </w:rPr>
        <w:t xml:space="preserve">s that while there is an external reality, our understanding of it is always filtered through human perception, language, and context (Phillips &amp; </w:t>
      </w:r>
      <w:proofErr w:type="spellStart"/>
      <w:r w:rsidRPr="00AD22F0">
        <w:rPr>
          <w:rFonts w:ascii="Century Gothic" w:hAnsi="Century Gothic"/>
        </w:rPr>
        <w:t>Burbules</w:t>
      </w:r>
      <w:proofErr w:type="spellEnd"/>
      <w:r w:rsidRPr="00AD22F0">
        <w:rPr>
          <w:rFonts w:ascii="Century Gothic" w:hAnsi="Century Gothic"/>
        </w:rPr>
        <w:t xml:space="preserve">, 2000). Unlike strict positivism, which assumes objective truth can be measured directly, post-positivism accepts that all knowledge is provisional and shaped by bias, yet still values rigour, transparency, and the pursuit of </w:t>
      </w:r>
      <w:r w:rsidRPr="00AD22F0">
        <w:rPr>
          <w:rFonts w:ascii="Century Gothic" w:hAnsi="Century Gothic"/>
        </w:rPr>
        <w:lastRenderedPageBreak/>
        <w:t>trustworthy patterns across data (Guba &amp; Lincoln, 1994).</w:t>
      </w:r>
      <w:r w:rsidR="001C0F5E">
        <w:rPr>
          <w:rFonts w:ascii="Century Gothic" w:hAnsi="Century Gothic"/>
        </w:rPr>
        <w:t xml:space="preserve"> For example, in the context of the proposed study; </w:t>
      </w:r>
      <w:r w:rsidR="001C0F5E" w:rsidRPr="001C0F5E">
        <w:rPr>
          <w:rFonts w:ascii="Century Gothic" w:hAnsi="Century Gothic"/>
        </w:rPr>
        <w:t xml:space="preserve">surveys and interviews to understand how teachers </w:t>
      </w:r>
      <w:r w:rsidR="001C0F5E" w:rsidRPr="001C0F5E">
        <w:rPr>
          <w:rFonts w:ascii="Century Gothic" w:hAnsi="Century Gothic"/>
          <w:i/>
          <w:iCs/>
        </w:rPr>
        <w:t>feel</w:t>
      </w:r>
      <w:r w:rsidR="001C0F5E" w:rsidRPr="001C0F5E">
        <w:rPr>
          <w:rFonts w:ascii="Century Gothic" w:hAnsi="Century Gothic"/>
        </w:rPr>
        <w:t xml:space="preserve"> </w:t>
      </w:r>
      <w:r w:rsidR="001C0F5E">
        <w:rPr>
          <w:rFonts w:ascii="Century Gothic" w:hAnsi="Century Gothic"/>
        </w:rPr>
        <w:t>relating to a residential visit will be used</w:t>
      </w:r>
      <w:r w:rsidR="001C0F5E" w:rsidRPr="001C0F5E">
        <w:rPr>
          <w:rFonts w:ascii="Century Gothic" w:hAnsi="Century Gothic"/>
        </w:rPr>
        <w:t xml:space="preserve"> but </w:t>
      </w:r>
      <w:r w:rsidR="00727648">
        <w:rPr>
          <w:rFonts w:ascii="Century Gothic" w:hAnsi="Century Gothic"/>
        </w:rPr>
        <w:t>it is understood that</w:t>
      </w:r>
      <w:r w:rsidR="001C0F5E" w:rsidRPr="001C0F5E">
        <w:rPr>
          <w:rFonts w:ascii="Century Gothic" w:hAnsi="Century Gothic"/>
        </w:rPr>
        <w:t xml:space="preserve"> their answers will depend on their mood, personality, or situation</w:t>
      </w:r>
      <w:r w:rsidR="00727648">
        <w:rPr>
          <w:rFonts w:ascii="Century Gothic" w:hAnsi="Century Gothic"/>
        </w:rPr>
        <w:t xml:space="preserve"> and circumstances</w:t>
      </w:r>
      <w:r w:rsidR="001C0F5E" w:rsidRPr="001C0F5E">
        <w:rPr>
          <w:rFonts w:ascii="Century Gothic" w:hAnsi="Century Gothic"/>
        </w:rPr>
        <w:t>.</w:t>
      </w:r>
      <w:r w:rsidR="00727648">
        <w:rPr>
          <w:rFonts w:ascii="Century Gothic" w:hAnsi="Century Gothic"/>
        </w:rPr>
        <w:t xml:space="preserve"> The aim is to look for patterns within the responses during analysis</w:t>
      </w:r>
      <w:r w:rsidR="003202F6">
        <w:rPr>
          <w:rFonts w:ascii="Century Gothic" w:hAnsi="Century Gothic"/>
        </w:rPr>
        <w:t xml:space="preserve"> of the research</w:t>
      </w:r>
      <w:r w:rsidR="00CB1739">
        <w:rPr>
          <w:rFonts w:ascii="Century Gothic" w:hAnsi="Century Gothic"/>
        </w:rPr>
        <w:t>, although, critically, there may not be any as responses may differ and be too individual to synthesise.</w:t>
      </w:r>
    </w:p>
    <w:p w14:paraId="46E189EE" w14:textId="169B5036" w:rsidR="00684FDD" w:rsidRPr="00AD22F0" w:rsidRDefault="005A1465" w:rsidP="000D48C6">
      <w:pPr>
        <w:spacing w:line="360" w:lineRule="auto"/>
        <w:rPr>
          <w:rFonts w:ascii="Century Gothic" w:hAnsi="Century Gothic"/>
        </w:rPr>
      </w:pPr>
      <w:r>
        <w:rPr>
          <w:rFonts w:ascii="Century Gothic" w:hAnsi="Century Gothic"/>
        </w:rPr>
        <w:t>Post-positivism as a ‘</w:t>
      </w:r>
      <w:r w:rsidR="00684FDD" w:rsidRPr="00AD22F0">
        <w:rPr>
          <w:rFonts w:ascii="Century Gothic" w:hAnsi="Century Gothic"/>
        </w:rPr>
        <w:t>worldview</w:t>
      </w:r>
      <w:r>
        <w:rPr>
          <w:rFonts w:ascii="Century Gothic" w:hAnsi="Century Gothic"/>
        </w:rPr>
        <w:t>’</w:t>
      </w:r>
      <w:r w:rsidR="00684FDD" w:rsidRPr="00AD22F0">
        <w:rPr>
          <w:rFonts w:ascii="Century Gothic" w:hAnsi="Century Gothic"/>
        </w:rPr>
        <w:t xml:space="preserve"> is particularly well</w:t>
      </w:r>
      <w:r>
        <w:rPr>
          <w:rFonts w:ascii="Century Gothic" w:hAnsi="Century Gothic"/>
        </w:rPr>
        <w:t xml:space="preserve"> </w:t>
      </w:r>
      <w:r w:rsidR="00684FDD" w:rsidRPr="00AD22F0">
        <w:rPr>
          <w:rFonts w:ascii="Century Gothic" w:hAnsi="Century Gothic"/>
        </w:rPr>
        <w:t>suited to exploring teacher wellbeing, where emotional and relational experiences are complex, subjective, and often expressed through narrative</w:t>
      </w:r>
      <w:r>
        <w:rPr>
          <w:rFonts w:ascii="Century Gothic" w:hAnsi="Century Gothic"/>
        </w:rPr>
        <w:t xml:space="preserve"> feedback</w:t>
      </w:r>
      <w:r w:rsidR="00684FDD" w:rsidRPr="00AD22F0">
        <w:rPr>
          <w:rFonts w:ascii="Century Gothic" w:hAnsi="Century Gothic"/>
        </w:rPr>
        <w:t xml:space="preserve"> rather than</w:t>
      </w:r>
      <w:r>
        <w:rPr>
          <w:rFonts w:ascii="Century Gothic" w:hAnsi="Century Gothic"/>
        </w:rPr>
        <w:t xml:space="preserve"> numeric</w:t>
      </w:r>
      <w:r w:rsidR="00684FDD" w:rsidRPr="00AD22F0">
        <w:rPr>
          <w:rFonts w:ascii="Century Gothic" w:hAnsi="Century Gothic"/>
        </w:rPr>
        <w:t xml:space="preserve"> measurement</w:t>
      </w:r>
      <w:r>
        <w:rPr>
          <w:rFonts w:ascii="Century Gothic" w:hAnsi="Century Gothic"/>
        </w:rPr>
        <w:t>s</w:t>
      </w:r>
      <w:r w:rsidR="00684FDD" w:rsidRPr="00AD22F0">
        <w:rPr>
          <w:rFonts w:ascii="Century Gothic" w:hAnsi="Century Gothic"/>
        </w:rPr>
        <w:t xml:space="preserve">. A purely constructivist or interpretivist approach might avoid identifying patterns across cases, focusing solely on individual meaning-making. </w:t>
      </w:r>
      <w:r w:rsidR="00D42C9C" w:rsidRPr="00D42C9C">
        <w:rPr>
          <w:rFonts w:ascii="Century Gothic" w:hAnsi="Century Gothic"/>
        </w:rPr>
        <w:t>However, this study aims to explore commonalities in how primary school teachers in Wales perceive the impact of residential visits on their wellbeing. While the findings are not intended to be generalis</w:t>
      </w:r>
      <w:r w:rsidR="00D42C9C" w:rsidRPr="00D42C9C">
        <w:rPr>
          <w:rFonts w:ascii="Century Gothic" w:hAnsi="Century Gothic"/>
        </w:rPr>
        <w:t>ed as statistics</w:t>
      </w:r>
      <w:r w:rsidR="00D42C9C" w:rsidRPr="00D42C9C">
        <w:rPr>
          <w:rFonts w:ascii="Century Gothic" w:hAnsi="Century Gothic"/>
        </w:rPr>
        <w:t>, the goal is to surface rich, meaningful insights that may be transferable to similar contexts (Lincoln and Guba, 1985). This aligns with the principles of qualitative inquiry, which values depth over breadth and emphasises the importance of contextualised understanding and professional reflection (Patton, 2015).</w:t>
      </w:r>
      <w:r w:rsidR="000D48C6">
        <w:rPr>
          <w:rFonts w:ascii="Century Gothic" w:hAnsi="Century Gothic"/>
        </w:rPr>
        <w:t xml:space="preserve"> </w:t>
      </w:r>
      <w:r w:rsidR="00684FDD" w:rsidRPr="00D42C9C">
        <w:rPr>
          <w:rFonts w:ascii="Century Gothic" w:hAnsi="Century Gothic"/>
        </w:rPr>
        <w:t>Post-positivism offers a philosophically</w:t>
      </w:r>
      <w:r w:rsidR="00684FDD" w:rsidRPr="00AD22F0">
        <w:rPr>
          <w:rFonts w:ascii="Century Gothic" w:hAnsi="Century Gothic"/>
        </w:rPr>
        <w:t xml:space="preserve"> coherent middle ground: it values individual voice and while allowing for careful, evidence-based interpretation of shared themes (Creswell &amp; </w:t>
      </w:r>
      <w:proofErr w:type="spellStart"/>
      <w:r w:rsidR="00684FDD" w:rsidRPr="00AD22F0">
        <w:rPr>
          <w:rFonts w:ascii="Century Gothic" w:hAnsi="Century Gothic"/>
        </w:rPr>
        <w:t>Poth</w:t>
      </w:r>
      <w:proofErr w:type="spellEnd"/>
      <w:r w:rsidR="00684FDD" w:rsidRPr="00AD22F0">
        <w:rPr>
          <w:rFonts w:ascii="Century Gothic" w:hAnsi="Century Gothic"/>
        </w:rPr>
        <w:t>, 2018).</w:t>
      </w:r>
    </w:p>
    <w:p w14:paraId="2667609C" w14:textId="187DD07F" w:rsidR="00E65192" w:rsidRPr="00E65192" w:rsidRDefault="00D42C9C" w:rsidP="00E65192">
      <w:pPr>
        <w:spacing w:line="360" w:lineRule="auto"/>
        <w:rPr>
          <w:rFonts w:ascii="Century Gothic" w:hAnsi="Century Gothic"/>
        </w:rPr>
      </w:pPr>
      <w:r>
        <w:rPr>
          <w:rFonts w:ascii="Century Gothic" w:hAnsi="Century Gothic"/>
        </w:rPr>
        <w:t>Consequently</w:t>
      </w:r>
      <w:r w:rsidR="00684FDD" w:rsidRPr="00AD22F0">
        <w:rPr>
          <w:rFonts w:ascii="Century Gothic" w:hAnsi="Century Gothic"/>
        </w:rPr>
        <w:t xml:space="preserve">, the </w:t>
      </w:r>
      <w:r>
        <w:rPr>
          <w:rFonts w:ascii="Century Gothic" w:hAnsi="Century Gothic"/>
        </w:rPr>
        <w:t xml:space="preserve">proposed </w:t>
      </w:r>
      <w:r w:rsidR="00684FDD" w:rsidRPr="00AD22F0">
        <w:rPr>
          <w:rFonts w:ascii="Century Gothic" w:hAnsi="Century Gothic"/>
        </w:rPr>
        <w:t>study</w:t>
      </w:r>
      <w:r>
        <w:rPr>
          <w:rFonts w:ascii="Century Gothic" w:hAnsi="Century Gothic"/>
        </w:rPr>
        <w:t xml:space="preserve"> does</w:t>
      </w:r>
      <w:r w:rsidR="00684FDD" w:rsidRPr="00AD22F0">
        <w:rPr>
          <w:rFonts w:ascii="Century Gothic" w:hAnsi="Century Gothic"/>
        </w:rPr>
        <w:t xml:space="preserve"> employ a qualitative methodology, consistent with post-positivist goals of depth and pattern recognition in subjective experience. </w:t>
      </w:r>
      <w:r w:rsidR="00E65192">
        <w:rPr>
          <w:rFonts w:ascii="Century Gothic" w:hAnsi="Century Gothic"/>
        </w:rPr>
        <w:t xml:space="preserve">The use of an online data program will be used called Qualtrics; </w:t>
      </w:r>
      <w:r w:rsidR="00E65192">
        <w:rPr>
          <w:rFonts w:ascii="Century Gothic" w:hAnsi="Century Gothic"/>
        </w:rPr>
        <w:br/>
      </w:r>
      <w:r w:rsidR="00E65192" w:rsidRPr="00E65192">
        <w:rPr>
          <w:rFonts w:ascii="Century Gothic" w:hAnsi="Century Gothic"/>
        </w:rPr>
        <w:t>“Qualtrics provides a flexible platform for gathering empirical data efficiently and ethically, especially when anonymity, consent tracking, and large-scale distribution are required.”</w:t>
      </w:r>
      <w:r w:rsidR="00E65192" w:rsidRPr="00E65192">
        <w:rPr>
          <w:rFonts w:ascii="Century Gothic" w:hAnsi="Century Gothic"/>
        </w:rPr>
        <w:br/>
        <w:t>(Bryman, 2016; Qualtrics, 2024)</w:t>
      </w:r>
    </w:p>
    <w:p w14:paraId="557553A4" w14:textId="05E5817B" w:rsidR="00684FDD" w:rsidRPr="00AD22F0" w:rsidRDefault="00684FDD" w:rsidP="006A2B0E">
      <w:pPr>
        <w:spacing w:line="360" w:lineRule="auto"/>
        <w:rPr>
          <w:rFonts w:ascii="Century Gothic" w:hAnsi="Century Gothic"/>
        </w:rPr>
      </w:pPr>
      <w:r w:rsidRPr="00AD22F0">
        <w:rPr>
          <w:rFonts w:ascii="Century Gothic" w:hAnsi="Century Gothic"/>
        </w:rPr>
        <w:t xml:space="preserve">Data </w:t>
      </w:r>
      <w:r w:rsidR="00D42C9C">
        <w:rPr>
          <w:rFonts w:ascii="Century Gothic" w:hAnsi="Century Gothic"/>
        </w:rPr>
        <w:t>can</w:t>
      </w:r>
      <w:r w:rsidRPr="00AD22F0">
        <w:rPr>
          <w:rFonts w:ascii="Century Gothic" w:hAnsi="Century Gothic"/>
        </w:rPr>
        <w:t xml:space="preserve"> be gathered through open-ended written reflections delivered via Qualtrics, offering participants a safe, flexible space for reflective </w:t>
      </w:r>
      <w:proofErr w:type="spellStart"/>
      <w:r w:rsidRPr="00AD22F0">
        <w:rPr>
          <w:rFonts w:ascii="Century Gothic" w:hAnsi="Century Gothic"/>
        </w:rPr>
        <w:t>self</w:t>
      </w:r>
      <w:r w:rsidR="00364E52">
        <w:rPr>
          <w:rFonts w:ascii="Century Gothic" w:hAnsi="Century Gothic"/>
        </w:rPr>
        <w:t xml:space="preserve"> </w:t>
      </w:r>
      <w:r w:rsidRPr="00AD22F0">
        <w:rPr>
          <w:rFonts w:ascii="Century Gothic" w:hAnsi="Century Gothic"/>
        </w:rPr>
        <w:t>expression</w:t>
      </w:r>
      <w:proofErr w:type="spellEnd"/>
      <w:r w:rsidRPr="00AD22F0">
        <w:rPr>
          <w:rFonts w:ascii="Century Gothic" w:hAnsi="Century Gothic"/>
        </w:rPr>
        <w:t xml:space="preserve"> (Evans &amp; Mathur, 2005; Braun &amp; Clarke, 2022). This method allows the research to explore real</w:t>
      </w:r>
      <w:r w:rsidR="00364E52">
        <w:rPr>
          <w:rFonts w:ascii="Century Gothic" w:hAnsi="Century Gothic"/>
        </w:rPr>
        <w:t xml:space="preserve"> </w:t>
      </w:r>
      <w:r w:rsidRPr="00AD22F0">
        <w:rPr>
          <w:rFonts w:ascii="Century Gothic" w:hAnsi="Century Gothic"/>
        </w:rPr>
        <w:t>world emotional experiences while applying a transparent analytical process. The</w:t>
      </w:r>
      <w:r w:rsidR="00DB2EA6">
        <w:rPr>
          <w:rFonts w:ascii="Century Gothic" w:hAnsi="Century Gothic"/>
        </w:rPr>
        <w:t xml:space="preserve"> proposed research </w:t>
      </w:r>
      <w:r w:rsidRPr="00AD22F0">
        <w:rPr>
          <w:rFonts w:ascii="Century Gothic" w:hAnsi="Century Gothic"/>
        </w:rPr>
        <w:t>also includes the optional use of the Warwick-Edinburgh Mental Wellbeing Scale (WEMWBS)</w:t>
      </w:r>
      <w:r w:rsidR="00DB2EA6">
        <w:rPr>
          <w:rFonts w:ascii="Century Gothic" w:hAnsi="Century Gothic"/>
        </w:rPr>
        <w:t xml:space="preserve"> </w:t>
      </w:r>
      <w:r w:rsidR="00DB2EA6">
        <w:rPr>
          <w:rFonts w:ascii="Century Gothic" w:hAnsi="Century Gothic"/>
        </w:rPr>
        <w:lastRenderedPageBreak/>
        <w:t>[Appendix 1]</w:t>
      </w:r>
      <w:r w:rsidRPr="00AD22F0">
        <w:rPr>
          <w:rFonts w:ascii="Century Gothic" w:hAnsi="Century Gothic"/>
        </w:rPr>
        <w:t xml:space="preserve">, consistent with post-positivism’s acceptance of integrating structured data when it enhances trustworthiness (Tennant </w:t>
      </w:r>
      <w:r w:rsidRPr="00DB2EA6">
        <w:rPr>
          <w:rFonts w:ascii="Century Gothic" w:hAnsi="Century Gothic"/>
          <w:i/>
          <w:iCs/>
        </w:rPr>
        <w:t>et al</w:t>
      </w:r>
      <w:r w:rsidRPr="00AD22F0">
        <w:rPr>
          <w:rFonts w:ascii="Century Gothic" w:hAnsi="Century Gothic"/>
        </w:rPr>
        <w:t>., 2007)</w:t>
      </w:r>
      <w:r w:rsidR="00143D11">
        <w:rPr>
          <w:rFonts w:ascii="Century Gothic" w:hAnsi="Century Gothic"/>
        </w:rPr>
        <w:t xml:space="preserve"> this will be discussed in depth</w:t>
      </w:r>
      <w:r w:rsidR="003805FD">
        <w:rPr>
          <w:rFonts w:ascii="Century Gothic" w:hAnsi="Century Gothic"/>
        </w:rPr>
        <w:t xml:space="preserve"> in a following section</w:t>
      </w:r>
      <w:r w:rsidRPr="00AD22F0">
        <w:rPr>
          <w:rFonts w:ascii="Century Gothic" w:hAnsi="Century Gothic"/>
        </w:rPr>
        <w:t>.</w:t>
      </w:r>
    </w:p>
    <w:p w14:paraId="11168ECD" w14:textId="23E07AFA" w:rsidR="00684FDD" w:rsidRPr="00E63128" w:rsidRDefault="00684FDD" w:rsidP="00E63128">
      <w:pPr>
        <w:spacing w:line="360" w:lineRule="auto"/>
        <w:rPr>
          <w:rFonts w:ascii="Century Gothic" w:hAnsi="Century Gothic"/>
          <w:b/>
          <w:bCs/>
        </w:rPr>
      </w:pPr>
      <w:r w:rsidRPr="00AD22F0">
        <w:rPr>
          <w:rFonts w:ascii="Century Gothic" w:hAnsi="Century Gothic"/>
        </w:rPr>
        <w:t>The emphasis on real experiences, interpreted through rigorous reflection, rules out approaches grounded in detached measurement or rigid generalisation</w:t>
      </w:r>
      <w:r w:rsidR="003805FD">
        <w:rPr>
          <w:rFonts w:ascii="Century Gothic" w:hAnsi="Century Gothic"/>
        </w:rPr>
        <w:t xml:space="preserve"> and, i</w:t>
      </w:r>
      <w:r w:rsidRPr="00AD22F0">
        <w:rPr>
          <w:rFonts w:ascii="Century Gothic" w:hAnsi="Century Gothic"/>
        </w:rPr>
        <w:t>nstead, the research seeks analytical depth and practical insight, drawing on frameworks such as Seligman’s (2011) PERMA model and the Job Demands–Resources model (Bakker &amp; Demerouti, 2007) to inform interpretation. These are used as sensitising concepts rather than coding frames — consistent with post-positivist flexibility (Thomas, 2021).</w:t>
      </w:r>
      <w:r w:rsidR="003805FD">
        <w:rPr>
          <w:rFonts w:ascii="Century Gothic" w:hAnsi="Century Gothic"/>
        </w:rPr>
        <w:t xml:space="preserve"> </w:t>
      </w:r>
      <w:r w:rsidR="00E63128">
        <w:rPr>
          <w:rFonts w:ascii="Century Gothic" w:hAnsi="Century Gothic"/>
        </w:rPr>
        <w:t xml:space="preserve"> W</w:t>
      </w:r>
      <w:r w:rsidR="00E63128" w:rsidRPr="00E63128">
        <w:rPr>
          <w:rFonts w:ascii="Century Gothic" w:hAnsi="Century Gothic"/>
        </w:rPr>
        <w:t>hile the study is grounded in a qualitative methodology, the optional inclusion of the Warwick-Edinburgh Mental Wellbeing Scale (WEMWBS) introduces a small quantitative element. This reflects a qualitatively</w:t>
      </w:r>
      <w:r w:rsidR="00E63128">
        <w:rPr>
          <w:rFonts w:ascii="Century Gothic" w:hAnsi="Century Gothic"/>
        </w:rPr>
        <w:t xml:space="preserve"> </w:t>
      </w:r>
      <w:r w:rsidR="00E63128" w:rsidRPr="00E63128">
        <w:rPr>
          <w:rFonts w:ascii="Century Gothic" w:hAnsi="Century Gothic"/>
        </w:rPr>
        <w:t>driven mixed methods approach, consistent with post-positivist thinking</w:t>
      </w:r>
      <w:r w:rsidR="00E63128">
        <w:rPr>
          <w:rFonts w:ascii="Century Gothic" w:hAnsi="Century Gothic"/>
        </w:rPr>
        <w:t xml:space="preserve"> (and reflective of the researcher’s personal preferences)</w:t>
      </w:r>
      <w:r w:rsidR="00E63128" w:rsidRPr="00E63128">
        <w:rPr>
          <w:rFonts w:ascii="Century Gothic" w:hAnsi="Century Gothic"/>
        </w:rPr>
        <w:t>, which values the integration of diverse data types to enhance depth, trustworthiness, and contextual understanding (Creswell &amp; Clark, 2018).</w:t>
      </w:r>
    </w:p>
    <w:p w14:paraId="2971083E" w14:textId="5416EA6E" w:rsidR="00684FDD" w:rsidRPr="00AD22F0" w:rsidRDefault="00684FDD" w:rsidP="006A2B0E">
      <w:pPr>
        <w:spacing w:line="360" w:lineRule="auto"/>
        <w:rPr>
          <w:rFonts w:ascii="Century Gothic" w:hAnsi="Century Gothic"/>
        </w:rPr>
      </w:pPr>
      <w:r w:rsidRPr="00AD22F0">
        <w:rPr>
          <w:rFonts w:ascii="Century Gothic" w:hAnsi="Century Gothic"/>
        </w:rPr>
        <w:t xml:space="preserve">A core part of the research design is the use of thematic analysis, which allows the researcher to identify and interpret patterns in participants’ reflections without erasing their individuality (Braun &amp; Clarke, 2022). It </w:t>
      </w:r>
      <w:r w:rsidR="00E63128">
        <w:rPr>
          <w:rFonts w:ascii="Century Gothic" w:hAnsi="Century Gothic"/>
        </w:rPr>
        <w:t>intends to be</w:t>
      </w:r>
      <w:r w:rsidRPr="00AD22F0">
        <w:rPr>
          <w:rFonts w:ascii="Century Gothic" w:hAnsi="Century Gothic"/>
        </w:rPr>
        <w:t xml:space="preserve"> systematic but flexible, making it a strong fit for post-positivist research that prioritises both structure and depth. The analysis will follow Braun and Clarke’s six-phase model, beginning inductively but informed by relevant theory. Reflexivity, peer debriefing, and transparent documentation will be used to enhance trustworthiness</w:t>
      </w:r>
      <w:r w:rsidR="00E63128">
        <w:rPr>
          <w:rFonts w:ascii="Century Gothic" w:hAnsi="Century Gothic"/>
        </w:rPr>
        <w:t xml:space="preserve"> throughout the intended research process</w:t>
      </w:r>
      <w:r w:rsidRPr="00AD22F0">
        <w:rPr>
          <w:rFonts w:ascii="Century Gothic" w:hAnsi="Century Gothic"/>
        </w:rPr>
        <w:t xml:space="preserve"> (Nowell </w:t>
      </w:r>
      <w:r w:rsidRPr="00E63128">
        <w:rPr>
          <w:rFonts w:ascii="Century Gothic" w:hAnsi="Century Gothic"/>
          <w:i/>
          <w:iCs/>
        </w:rPr>
        <w:t>et al.,</w:t>
      </w:r>
      <w:r w:rsidRPr="00AD22F0">
        <w:rPr>
          <w:rFonts w:ascii="Century Gothic" w:hAnsi="Century Gothic"/>
        </w:rPr>
        <w:t xml:space="preserve"> 2017).</w:t>
      </w:r>
    </w:p>
    <w:p w14:paraId="70560E15" w14:textId="0BB5A15D" w:rsidR="00684FDD" w:rsidRPr="00AD22F0" w:rsidRDefault="006C1EF0" w:rsidP="006A2B0E">
      <w:pPr>
        <w:spacing w:line="360" w:lineRule="auto"/>
        <w:rPr>
          <w:rFonts w:ascii="Century Gothic" w:hAnsi="Century Gothic"/>
        </w:rPr>
      </w:pPr>
      <w:r>
        <w:rPr>
          <w:rFonts w:ascii="Century Gothic" w:hAnsi="Century Gothic"/>
        </w:rPr>
        <w:t xml:space="preserve">As </w:t>
      </w:r>
      <w:r w:rsidR="00684FDD" w:rsidRPr="00AD22F0">
        <w:rPr>
          <w:rFonts w:ascii="Century Gothic" w:hAnsi="Century Gothic"/>
        </w:rPr>
        <w:t>a practitioner-researcher with professional experience of residential visits and a commitment to teacher wellbeing, I acknowledge that my insights are shaped by prior understanding. Post-positivism does not claim objectivity but instead demands critical self-awareness</w:t>
      </w:r>
      <w:r w:rsidR="00E63128">
        <w:rPr>
          <w:rFonts w:ascii="Century Gothic" w:hAnsi="Century Gothic"/>
        </w:rPr>
        <w:t xml:space="preserve"> – something that has been a consideration since the </w:t>
      </w:r>
      <w:r w:rsidR="00144CD9">
        <w:rPr>
          <w:rFonts w:ascii="Century Gothic" w:hAnsi="Century Gothic"/>
        </w:rPr>
        <w:t>initial process of research design</w:t>
      </w:r>
      <w:r w:rsidR="00684FDD" w:rsidRPr="00AD22F0">
        <w:rPr>
          <w:rFonts w:ascii="Century Gothic" w:hAnsi="Century Gothic"/>
        </w:rPr>
        <w:t xml:space="preserve">. By keeping a reflexive journal, piloting questions with colleagues, and inviting feedback from peers, </w:t>
      </w:r>
      <w:r w:rsidR="00144CD9">
        <w:rPr>
          <w:rFonts w:ascii="Century Gothic" w:hAnsi="Century Gothic"/>
        </w:rPr>
        <w:t xml:space="preserve">the intention is to </w:t>
      </w:r>
      <w:r w:rsidR="00684FDD" w:rsidRPr="00AD22F0">
        <w:rPr>
          <w:rFonts w:ascii="Century Gothic" w:hAnsi="Century Gothic"/>
        </w:rPr>
        <w:t>actively manage this influence throughout the research process (Lincoln &amp; Guba, 1985; Thomas, 2021).</w:t>
      </w:r>
    </w:p>
    <w:p w14:paraId="30673A7C" w14:textId="134A2B72" w:rsidR="00684FDD" w:rsidRPr="00AD22F0" w:rsidRDefault="00684FDD" w:rsidP="00C241E4">
      <w:pPr>
        <w:spacing w:line="360" w:lineRule="auto"/>
        <w:rPr>
          <w:rFonts w:ascii="Century Gothic" w:hAnsi="Century Gothic"/>
        </w:rPr>
      </w:pPr>
      <w:r w:rsidRPr="00AD22F0">
        <w:rPr>
          <w:rFonts w:ascii="Century Gothic" w:hAnsi="Century Gothic"/>
        </w:rPr>
        <w:lastRenderedPageBreak/>
        <w:t xml:space="preserve">Ethically, the design reflects sensitivity to the emotional content of the </w:t>
      </w:r>
      <w:r w:rsidR="00144CD9">
        <w:rPr>
          <w:rFonts w:ascii="Century Gothic" w:hAnsi="Century Gothic"/>
        </w:rPr>
        <w:t>research, especially as it relates directly to ‘wellbeing’</w:t>
      </w:r>
      <w:r w:rsidRPr="00AD22F0">
        <w:rPr>
          <w:rFonts w:ascii="Century Gothic" w:hAnsi="Century Gothic"/>
        </w:rPr>
        <w:t>. Only adult participants are involved, with no data collected from children</w:t>
      </w:r>
      <w:r w:rsidR="00144CD9">
        <w:rPr>
          <w:rFonts w:ascii="Century Gothic" w:hAnsi="Century Gothic"/>
        </w:rPr>
        <w:t xml:space="preserve"> as t</w:t>
      </w:r>
      <w:r w:rsidRPr="00AD22F0">
        <w:rPr>
          <w:rFonts w:ascii="Century Gothic" w:hAnsi="Century Gothic"/>
        </w:rPr>
        <w:t xml:space="preserve">his decision avoids the ethical complexity of working with minors on emotionally charged topics, such as power, consent, and emotional interpretation (Alderson &amp; Morrow, 2020; BERA, 2024). </w:t>
      </w:r>
      <w:r w:rsidR="00C241E4" w:rsidRPr="00C241E4">
        <w:rPr>
          <w:rFonts w:ascii="Century Gothic" w:hAnsi="Century Gothic"/>
        </w:rPr>
        <w:t xml:space="preserve">Instead, the study creates a space where teachers can engage in voluntary, anonymous reflection, free from institutional judgement or hierarchical dynamics. Such environments are known to promote more authentic, emotionally honest responses, especially when exploring sensitive issues like wellbeing (Evans and Mathur, 2005). Anonymity can reduce perceived power imbalances and encourage open disclosure, particularly in research involving workplace experiences (Asselin, 2003; Braun </w:t>
      </w:r>
      <w:r w:rsidR="00D65263">
        <w:rPr>
          <w:rFonts w:ascii="Century Gothic" w:hAnsi="Century Gothic"/>
        </w:rPr>
        <w:t>&amp;</w:t>
      </w:r>
      <w:r w:rsidR="00C241E4" w:rsidRPr="00C241E4">
        <w:rPr>
          <w:rFonts w:ascii="Century Gothic" w:hAnsi="Century Gothic"/>
        </w:rPr>
        <w:t xml:space="preserve"> Clarke, 2022). This approach aligns with ethical research practice in education, where the goal is to empower participants while minimising pressure or bias (BERA, 2024).</w:t>
      </w:r>
    </w:p>
    <w:p w14:paraId="1A0935F4" w14:textId="65805591" w:rsidR="00684FDD" w:rsidRPr="00AD22F0" w:rsidRDefault="00E1651D" w:rsidP="007D1381">
      <w:pPr>
        <w:spacing w:line="360" w:lineRule="auto"/>
        <w:rPr>
          <w:rFonts w:ascii="Century Gothic" w:hAnsi="Century Gothic"/>
        </w:rPr>
      </w:pPr>
      <w:r>
        <w:rPr>
          <w:rFonts w:ascii="Century Gothic" w:hAnsi="Century Gothic"/>
        </w:rPr>
        <w:t>Contextually</w:t>
      </w:r>
      <w:r w:rsidR="00684FDD" w:rsidRPr="00AD22F0">
        <w:rPr>
          <w:rFonts w:ascii="Century Gothic" w:hAnsi="Century Gothic"/>
        </w:rPr>
        <w:t>, this</w:t>
      </w:r>
      <w:r w:rsidR="00CD4E8C">
        <w:rPr>
          <w:rFonts w:ascii="Century Gothic" w:hAnsi="Century Gothic"/>
        </w:rPr>
        <w:t xml:space="preserve"> research</w:t>
      </w:r>
      <w:r w:rsidR="00684FDD" w:rsidRPr="00AD22F0">
        <w:rPr>
          <w:rFonts w:ascii="Century Gothic" w:hAnsi="Century Gothic"/>
        </w:rPr>
        <w:t xml:space="preserve"> approach aligns with national education priorities in Wales. The Curriculum for Wales (2022) and the Well-being of Future Generations Act (2015) both highlight staff wellbeing and reflective practice as essential components of a healthy education system. By </w:t>
      </w:r>
      <w:r w:rsidR="007D1381">
        <w:rPr>
          <w:rFonts w:ascii="Century Gothic" w:hAnsi="Century Gothic"/>
        </w:rPr>
        <w:t>exploring</w:t>
      </w:r>
      <w:r w:rsidR="00684FDD" w:rsidRPr="00AD22F0">
        <w:rPr>
          <w:rFonts w:ascii="Century Gothic" w:hAnsi="Century Gothic"/>
        </w:rPr>
        <w:t xml:space="preserve"> teacher voice and using a respectful, ethically grounded method, the research contributes to ongoing national conversations around retention, morale, and professional fulfilment in Welsh schools (Estyn, 2023).</w:t>
      </w:r>
    </w:p>
    <w:p w14:paraId="1FF650E0" w14:textId="77777777" w:rsidR="00684FDD" w:rsidRPr="00AD22F0" w:rsidRDefault="00684FDD" w:rsidP="006A2B0E">
      <w:pPr>
        <w:spacing w:line="360" w:lineRule="auto"/>
        <w:rPr>
          <w:rFonts w:ascii="Century Gothic" w:hAnsi="Century Gothic"/>
        </w:rPr>
      </w:pPr>
    </w:p>
    <w:p w14:paraId="511C32B7" w14:textId="3A14E4B2" w:rsidR="00684FDD" w:rsidRPr="00AD22F0" w:rsidRDefault="00684FDD" w:rsidP="007D1381">
      <w:pPr>
        <w:pStyle w:val="Heading1"/>
      </w:pPr>
      <w:r w:rsidRPr="00AD22F0">
        <w:t xml:space="preserve">Research Methods </w:t>
      </w:r>
      <w:r w:rsidR="007D1381">
        <w:t>and</w:t>
      </w:r>
      <w:r w:rsidRPr="00AD22F0">
        <w:t xml:space="preserve"> Tools</w:t>
      </w:r>
    </w:p>
    <w:p w14:paraId="41D27796" w14:textId="2C942479" w:rsidR="00684FDD" w:rsidRPr="00AD22F0" w:rsidRDefault="00684FDD" w:rsidP="006A2B0E">
      <w:pPr>
        <w:spacing w:line="360" w:lineRule="auto"/>
        <w:rPr>
          <w:rFonts w:ascii="Century Gothic" w:hAnsi="Century Gothic"/>
        </w:rPr>
      </w:pPr>
      <w:r w:rsidRPr="00AD22F0">
        <w:rPr>
          <w:rFonts w:ascii="Century Gothic" w:hAnsi="Century Gothic"/>
        </w:rPr>
        <w:t xml:space="preserve">This section outlines and justifies the research methods chosen to address the study’s central question: </w:t>
      </w:r>
      <w:r w:rsidRPr="00AD22F0">
        <w:rPr>
          <w:rFonts w:ascii="Century Gothic" w:hAnsi="Century Gothic"/>
          <w:i/>
          <w:iCs/>
        </w:rPr>
        <w:t>How do primary school teachers perceive the impact of residential educational visits on their wellbeing?</w:t>
      </w:r>
      <w:r w:rsidRPr="00AD22F0">
        <w:rPr>
          <w:rFonts w:ascii="Century Gothic" w:hAnsi="Century Gothic"/>
        </w:rPr>
        <w:t xml:space="preserve"> The methodological decisions made are not incidental but grounded in the philosophical, ethical, and contextual considerations outlined in the previous section. To explain this design process clearly, the study draws on Saunders </w:t>
      </w:r>
      <w:r w:rsidRPr="007D1381">
        <w:rPr>
          <w:rFonts w:ascii="Century Gothic" w:hAnsi="Century Gothic"/>
          <w:i/>
          <w:iCs/>
        </w:rPr>
        <w:t>et al</w:t>
      </w:r>
      <w:r w:rsidRPr="00AD22F0">
        <w:rPr>
          <w:rFonts w:ascii="Century Gothic" w:hAnsi="Century Gothic"/>
        </w:rPr>
        <w:t>.’s (2019) Research Onion, which provides a structured framework for linking philosophical stance, research strategy, and practical methods.</w:t>
      </w:r>
      <w:r w:rsidR="007D1381">
        <w:rPr>
          <w:rFonts w:ascii="Century Gothic" w:hAnsi="Century Gothic"/>
        </w:rPr>
        <w:br/>
      </w:r>
      <w:r w:rsidR="007D1381">
        <w:rPr>
          <w:rFonts w:ascii="Century Gothic" w:hAnsi="Century Gothic"/>
        </w:rPr>
        <w:br/>
      </w:r>
    </w:p>
    <w:p w14:paraId="42429EEB" w14:textId="77777777" w:rsidR="00684FDD" w:rsidRPr="00AD22F0" w:rsidRDefault="00684FDD" w:rsidP="007D1381">
      <w:pPr>
        <w:pStyle w:val="Heading2"/>
      </w:pPr>
      <w:r w:rsidRPr="00AD22F0">
        <w:lastRenderedPageBreak/>
        <w:t>Applying the Research Onion</w:t>
      </w:r>
    </w:p>
    <w:p w14:paraId="10D766A7" w14:textId="4968933B" w:rsidR="00684FDD" w:rsidRPr="00AD22F0" w:rsidRDefault="00684FDD" w:rsidP="006A2B0E">
      <w:pPr>
        <w:spacing w:line="360" w:lineRule="auto"/>
        <w:rPr>
          <w:rFonts w:ascii="Century Gothic" w:hAnsi="Century Gothic"/>
        </w:rPr>
      </w:pPr>
      <w:r w:rsidRPr="00AD22F0">
        <w:rPr>
          <w:rFonts w:ascii="Century Gothic" w:hAnsi="Century Gothic"/>
        </w:rPr>
        <w:t xml:space="preserve">At the outer layer of the Research Onion lies philosophical positioning. As noted, this research adopts a post-positivist stance: it assumes a reality external to individuals (i.e., teachers’ lived experiences), but accepts that our knowledge of that reality is shaped by interpretation, reflection, and context (Phillips &amp; </w:t>
      </w:r>
      <w:proofErr w:type="spellStart"/>
      <w:r w:rsidRPr="00AD22F0">
        <w:rPr>
          <w:rFonts w:ascii="Century Gothic" w:hAnsi="Century Gothic"/>
        </w:rPr>
        <w:t>Burbules</w:t>
      </w:r>
      <w:proofErr w:type="spellEnd"/>
      <w:r w:rsidRPr="00AD22F0">
        <w:rPr>
          <w:rFonts w:ascii="Century Gothic" w:hAnsi="Century Gothic"/>
        </w:rPr>
        <w:t>, 2000). This worldview supports the use of qualitative methods aimed at understanding patterns in subjective accounts</w:t>
      </w:r>
      <w:r w:rsidR="00A32461">
        <w:rPr>
          <w:rFonts w:ascii="Century Gothic" w:hAnsi="Century Gothic"/>
        </w:rPr>
        <w:t>;</w:t>
      </w:r>
      <w:r w:rsidRPr="00AD22F0">
        <w:rPr>
          <w:rFonts w:ascii="Century Gothic" w:hAnsi="Century Gothic"/>
        </w:rPr>
        <w:t xml:space="preserve"> not to generalise, but to interpret meaningfully.</w:t>
      </w:r>
    </w:p>
    <w:p w14:paraId="6E849A6F" w14:textId="35C527FD" w:rsidR="00684FDD" w:rsidRDefault="00684FDD" w:rsidP="00595B11">
      <w:pPr>
        <w:spacing w:line="360" w:lineRule="auto"/>
        <w:rPr>
          <w:rFonts w:ascii="Century Gothic" w:hAnsi="Century Gothic"/>
        </w:rPr>
      </w:pPr>
      <w:r w:rsidRPr="00AD22F0">
        <w:rPr>
          <w:rFonts w:ascii="Century Gothic" w:hAnsi="Century Gothic"/>
        </w:rPr>
        <w:t>The next layer, research approach, is inductive. Rather than testing a hypothesis, the study seeks to develop insights from teacher reflections. This inductive logic aligns with the flexibility of qualitative research and supports a depth-oriented understanding of experience (Thomas, 2021).</w:t>
      </w:r>
      <w:r w:rsidR="00595B11">
        <w:rPr>
          <w:rFonts w:ascii="Century Gothic" w:hAnsi="Century Gothic"/>
        </w:rPr>
        <w:t xml:space="preserve"> </w:t>
      </w:r>
      <w:r w:rsidRPr="00AD22F0">
        <w:rPr>
          <w:rFonts w:ascii="Century Gothic" w:hAnsi="Century Gothic"/>
        </w:rPr>
        <w:t xml:space="preserve">The </w:t>
      </w:r>
      <w:r w:rsidR="00516646">
        <w:rPr>
          <w:rFonts w:ascii="Century Gothic" w:hAnsi="Century Gothic"/>
        </w:rPr>
        <w:t xml:space="preserve">research </w:t>
      </w:r>
      <w:r w:rsidRPr="00AD22F0">
        <w:rPr>
          <w:rFonts w:ascii="Century Gothic" w:hAnsi="Century Gothic"/>
        </w:rPr>
        <w:t>strategy</w:t>
      </w:r>
      <w:r w:rsidR="00595B11">
        <w:rPr>
          <w:rFonts w:ascii="Century Gothic" w:hAnsi="Century Gothic"/>
        </w:rPr>
        <w:t xml:space="preserve"> I intend to</w:t>
      </w:r>
      <w:r w:rsidRPr="00AD22F0">
        <w:rPr>
          <w:rFonts w:ascii="Century Gothic" w:hAnsi="Century Gothic"/>
        </w:rPr>
        <w:t xml:space="preserve"> use is a qualitative exploratory design, implemented through an online reflective questionnaire using Qualtrics. </w:t>
      </w:r>
      <w:r w:rsidR="008A5353">
        <w:rPr>
          <w:rFonts w:ascii="Century Gothic" w:hAnsi="Century Gothic"/>
        </w:rPr>
        <w:t>Using Qualtrics as a</w:t>
      </w:r>
      <w:r w:rsidRPr="00AD22F0">
        <w:rPr>
          <w:rFonts w:ascii="Century Gothic" w:hAnsi="Century Gothic"/>
        </w:rPr>
        <w:t xml:space="preserve"> digital platform offers an accessible, secure, and ethically appropriate space for teacher reflection. According to Evans and Mathur (2005), online tools are especially suitable for eliciting honest and thoughtful responses on sensitive topics, such as wellbeing, as they allow participants to control when and how they engage. The method also reflects Estyn’s (2023) guidance on flexible, practitioner-led approaches to professional reflection.</w:t>
      </w:r>
    </w:p>
    <w:p w14:paraId="1FF55E55" w14:textId="0BDDA111" w:rsidR="004D149B" w:rsidRPr="00060E30" w:rsidRDefault="00060E30" w:rsidP="00060E30">
      <w:pPr>
        <w:spacing w:line="360" w:lineRule="auto"/>
        <w:rPr>
          <w:rFonts w:ascii="Century Gothic" w:hAnsi="Century Gothic"/>
        </w:rPr>
      </w:pPr>
      <w:r>
        <w:rPr>
          <w:rFonts w:ascii="Century Gothic" w:hAnsi="Century Gothic"/>
        </w:rPr>
        <w:t>Continuing with the Research Onion layers, it is important to consider the time scale of the research. The intention is to</w:t>
      </w:r>
      <w:r w:rsidRPr="00060E30">
        <w:rPr>
          <w:rFonts w:ascii="Century Gothic" w:hAnsi="Century Gothic"/>
        </w:rPr>
        <w:t xml:space="preserve"> adopt</w:t>
      </w:r>
      <w:r>
        <w:rPr>
          <w:rFonts w:ascii="Century Gothic" w:hAnsi="Century Gothic"/>
        </w:rPr>
        <w:t xml:space="preserve"> </w:t>
      </w:r>
      <w:r w:rsidR="00F22D5A">
        <w:rPr>
          <w:rFonts w:ascii="Century Gothic" w:hAnsi="Century Gothic"/>
        </w:rPr>
        <w:t>a longitudinal time ho</w:t>
      </w:r>
      <w:r w:rsidR="008E7890">
        <w:rPr>
          <w:rFonts w:ascii="Century Gothic" w:hAnsi="Century Gothic"/>
        </w:rPr>
        <w:t>rizon approach</w:t>
      </w:r>
      <w:r w:rsidR="00CD4B4B" w:rsidRPr="00CD4B4B">
        <w:rPr>
          <w:rFonts w:ascii="Century Gothic" w:hAnsi="Century Gothic"/>
        </w:rPr>
        <w:t xml:space="preserve"> (Saunders </w:t>
      </w:r>
      <w:r w:rsidR="00CD4B4B" w:rsidRPr="006A608D">
        <w:rPr>
          <w:rFonts w:ascii="Century Gothic" w:hAnsi="Century Gothic"/>
          <w:i/>
          <w:iCs/>
        </w:rPr>
        <w:t>et al.,</w:t>
      </w:r>
      <w:r w:rsidR="00CD4B4B" w:rsidRPr="00CD4B4B">
        <w:rPr>
          <w:rFonts w:ascii="Century Gothic" w:hAnsi="Century Gothic"/>
        </w:rPr>
        <w:t xml:space="preserve"> 2019)</w:t>
      </w:r>
      <w:r w:rsidRPr="00060E30">
        <w:rPr>
          <w:rFonts w:ascii="Century Gothic" w:hAnsi="Century Gothic"/>
        </w:rPr>
        <w:t xml:space="preserve">, capturing responses </w:t>
      </w:r>
      <w:r w:rsidR="00F22D5A">
        <w:rPr>
          <w:rFonts w:ascii="Century Gothic" w:hAnsi="Century Gothic"/>
        </w:rPr>
        <w:t>at multiple stages surrounding the residential experience</w:t>
      </w:r>
      <w:r w:rsidRPr="00060E30">
        <w:rPr>
          <w:rFonts w:ascii="Century Gothic" w:hAnsi="Century Gothic"/>
        </w:rPr>
        <w:t xml:space="preserve">. Finally, the </w:t>
      </w:r>
      <w:r w:rsidRPr="00CD4B4B">
        <w:rPr>
          <w:rFonts w:ascii="Century Gothic" w:hAnsi="Century Gothic"/>
        </w:rPr>
        <w:t>techniques and procedures</w:t>
      </w:r>
      <w:r w:rsidRPr="00060E30">
        <w:rPr>
          <w:rFonts w:ascii="Century Gothic" w:hAnsi="Century Gothic"/>
        </w:rPr>
        <w:t xml:space="preserve"> include collecting open-ended written responses and analysing them through </w:t>
      </w:r>
      <w:r w:rsidRPr="00CD4B4B">
        <w:rPr>
          <w:rFonts w:ascii="Century Gothic" w:hAnsi="Century Gothic"/>
        </w:rPr>
        <w:t>thematic analysis</w:t>
      </w:r>
      <w:r w:rsidRPr="00060E30">
        <w:rPr>
          <w:rFonts w:ascii="Century Gothic" w:hAnsi="Century Gothic"/>
        </w:rPr>
        <w:t xml:space="preserve"> (Braun &amp; Clarke, 2022), enabling the researcher to identify recurring patterns while remaining sensitive to individual variation in teacher wellbeing experiences.</w:t>
      </w:r>
    </w:p>
    <w:p w14:paraId="3F400227" w14:textId="77777777" w:rsidR="00281842" w:rsidRPr="00060E30" w:rsidRDefault="00281842" w:rsidP="00595B11">
      <w:pPr>
        <w:spacing w:line="360" w:lineRule="auto"/>
        <w:rPr>
          <w:rFonts w:ascii="Century Gothic" w:hAnsi="Century Gothic"/>
        </w:rPr>
      </w:pPr>
    </w:p>
    <w:p w14:paraId="702582D7" w14:textId="32179B72" w:rsidR="00684FDD" w:rsidRPr="00AD22F0" w:rsidRDefault="00684FDD" w:rsidP="008E7890">
      <w:pPr>
        <w:pStyle w:val="Heading1"/>
      </w:pPr>
      <w:r w:rsidRPr="00AD22F0">
        <w:t>Description and Structure of the Research Tool</w:t>
      </w:r>
      <w:r w:rsidR="00345C85">
        <w:t>s</w:t>
      </w:r>
    </w:p>
    <w:p w14:paraId="4FA8D361" w14:textId="508B7AA1" w:rsidR="00684FDD" w:rsidRPr="00AD22F0" w:rsidRDefault="00684FDD" w:rsidP="00345C85">
      <w:pPr>
        <w:spacing w:line="360" w:lineRule="auto"/>
        <w:rPr>
          <w:rFonts w:ascii="Century Gothic" w:hAnsi="Century Gothic"/>
        </w:rPr>
      </w:pPr>
      <w:r w:rsidRPr="00AD22F0">
        <w:rPr>
          <w:rFonts w:ascii="Century Gothic" w:hAnsi="Century Gothic"/>
        </w:rPr>
        <w:t>The questionnaire</w:t>
      </w:r>
      <w:r w:rsidR="00345C85">
        <w:rPr>
          <w:rFonts w:ascii="Century Gothic" w:hAnsi="Century Gothic"/>
        </w:rPr>
        <w:t xml:space="preserve"> used will need to</w:t>
      </w:r>
      <w:r w:rsidRPr="00AD22F0">
        <w:rPr>
          <w:rFonts w:ascii="Century Gothic" w:hAnsi="Century Gothic"/>
        </w:rPr>
        <w:t xml:space="preserve"> include a series of open-ended reflective prompts, encouraging participants to describe their thoughts and emotions before, during, and after a residential educational visit.</w:t>
      </w:r>
      <w:r w:rsidR="00345C85">
        <w:rPr>
          <w:rFonts w:ascii="Century Gothic" w:hAnsi="Century Gothic"/>
        </w:rPr>
        <w:t xml:space="preserve"> </w:t>
      </w:r>
      <w:r w:rsidRPr="00AD22F0">
        <w:rPr>
          <w:rFonts w:ascii="Century Gothic" w:hAnsi="Century Gothic"/>
        </w:rPr>
        <w:t xml:space="preserve">These questions </w:t>
      </w:r>
      <w:r w:rsidR="00345C85">
        <w:rPr>
          <w:rFonts w:ascii="Century Gothic" w:hAnsi="Century Gothic"/>
        </w:rPr>
        <w:t>could be</w:t>
      </w:r>
      <w:r w:rsidRPr="00AD22F0">
        <w:rPr>
          <w:rFonts w:ascii="Century Gothic" w:hAnsi="Century Gothic"/>
        </w:rPr>
        <w:t xml:space="preserve"> developed in consultation with </w:t>
      </w:r>
      <w:r w:rsidRPr="00AD22F0">
        <w:rPr>
          <w:rFonts w:ascii="Century Gothic" w:hAnsi="Century Gothic"/>
        </w:rPr>
        <w:lastRenderedPageBreak/>
        <w:t>peers and piloted with colleagues to ensure clarity, accessibility, and emotional sensitivity. This method draws on best practice in reflective qualitative design, where prompts should be open, accessible, and emotionally neutral, allowing the participant to shape the direction of their narrative (Hollway &amp; Jefferson, 2013; Braun &amp; Clarke, 2022).</w:t>
      </w:r>
    </w:p>
    <w:p w14:paraId="1FFB3F19" w14:textId="768864CF" w:rsidR="00684FDD" w:rsidRPr="00AD22F0" w:rsidRDefault="00324C1E" w:rsidP="00EE3C2C">
      <w:pPr>
        <w:spacing w:line="360" w:lineRule="auto"/>
        <w:rPr>
          <w:rFonts w:ascii="Century Gothic" w:hAnsi="Century Gothic"/>
        </w:rPr>
      </w:pPr>
      <w:r>
        <w:rPr>
          <w:rFonts w:ascii="Century Gothic" w:hAnsi="Century Gothic"/>
        </w:rPr>
        <w:t>As mentioned, to</w:t>
      </w:r>
      <w:r w:rsidR="00684FDD" w:rsidRPr="00AD22F0">
        <w:rPr>
          <w:rFonts w:ascii="Century Gothic" w:hAnsi="Century Gothic"/>
        </w:rPr>
        <w:t xml:space="preserve"> complement the qualitative data, participants are also given the option to complete the Warwick-Edinburgh Mental Wellbeing Scale (WEMWBS)</w:t>
      </w:r>
      <w:r>
        <w:rPr>
          <w:rFonts w:ascii="Century Gothic" w:hAnsi="Century Gothic"/>
        </w:rPr>
        <w:t>;</w:t>
      </w:r>
      <w:r w:rsidR="00684FDD" w:rsidRPr="00AD22F0">
        <w:rPr>
          <w:rFonts w:ascii="Century Gothic" w:hAnsi="Century Gothic"/>
        </w:rPr>
        <w:t xml:space="preserve"> a validated</w:t>
      </w:r>
      <w:r>
        <w:rPr>
          <w:rFonts w:ascii="Century Gothic" w:hAnsi="Century Gothic"/>
        </w:rPr>
        <w:t xml:space="preserve"> fourteen </w:t>
      </w:r>
      <w:r w:rsidR="00684FDD" w:rsidRPr="00AD22F0">
        <w:rPr>
          <w:rFonts w:ascii="Century Gothic" w:hAnsi="Century Gothic"/>
        </w:rPr>
        <w:t xml:space="preserve">item scale that measures mental wellbeing through positively worded statements (Tennant </w:t>
      </w:r>
      <w:r w:rsidR="00684FDD" w:rsidRPr="0086141B">
        <w:rPr>
          <w:rFonts w:ascii="Century Gothic" w:hAnsi="Century Gothic"/>
          <w:i/>
          <w:iCs/>
        </w:rPr>
        <w:t>et al</w:t>
      </w:r>
      <w:r w:rsidR="00684FDD" w:rsidRPr="00AD22F0">
        <w:rPr>
          <w:rFonts w:ascii="Century Gothic" w:hAnsi="Century Gothic"/>
        </w:rPr>
        <w:t xml:space="preserve">., 2007). </w:t>
      </w:r>
      <w:r w:rsidR="00EE3C2C" w:rsidRPr="00EE3C2C">
        <w:rPr>
          <w:rFonts w:ascii="Century Gothic" w:hAnsi="Century Gothic"/>
        </w:rPr>
        <w:t xml:space="preserve">This approach allows for light triangulation, where structured data (e.g. WEMWBS scores) is combined with open-ended reflections to enrich understanding. While not a full mixed methods design, this integration enhances trustworthiness, depth, and interpretive insight, consistent with qualitative research traditions (Denzin, 1978; Patton, 2015; Creswell </w:t>
      </w:r>
      <w:r w:rsidR="00EE3C2C">
        <w:rPr>
          <w:rFonts w:ascii="Century Gothic" w:hAnsi="Century Gothic"/>
        </w:rPr>
        <w:t xml:space="preserve">&amp; </w:t>
      </w:r>
      <w:r w:rsidR="00EE3C2C" w:rsidRPr="00EE3C2C">
        <w:rPr>
          <w:rFonts w:ascii="Century Gothic" w:hAnsi="Century Gothic"/>
        </w:rPr>
        <w:t>Clark, 2018).</w:t>
      </w:r>
      <w:r w:rsidR="00684FDD" w:rsidRPr="00AD22F0">
        <w:rPr>
          <w:rFonts w:ascii="Century Gothic" w:hAnsi="Century Gothic"/>
        </w:rPr>
        <w:t xml:space="preserve"> The use of WEMWBS is optional, recognising that not all participants will wish to quantify their feelings, and acknowledging the risk of framing wellbeing in overly medicalised terms (Soutter </w:t>
      </w:r>
      <w:r w:rsidR="00684FDD" w:rsidRPr="00EE3C2C">
        <w:rPr>
          <w:rFonts w:ascii="Century Gothic" w:hAnsi="Century Gothic"/>
          <w:i/>
          <w:iCs/>
        </w:rPr>
        <w:t>et al</w:t>
      </w:r>
      <w:r w:rsidR="00684FDD" w:rsidRPr="00AD22F0">
        <w:rPr>
          <w:rFonts w:ascii="Century Gothic" w:hAnsi="Century Gothic"/>
        </w:rPr>
        <w:t>., 2014).</w:t>
      </w:r>
      <w:r w:rsidR="00993B9A">
        <w:rPr>
          <w:rFonts w:ascii="Century Gothic" w:hAnsi="Century Gothic"/>
        </w:rPr>
        <w:t xml:space="preserve"> It is also important to note that participants can leave the research at any time with no consequence and request to have their data destroyed in line with BERA (2024).</w:t>
      </w:r>
    </w:p>
    <w:p w14:paraId="04B058DC" w14:textId="77777777" w:rsidR="00684FDD" w:rsidRPr="00AD22F0" w:rsidRDefault="00684FDD" w:rsidP="008E7890">
      <w:pPr>
        <w:pStyle w:val="Heading1"/>
      </w:pPr>
      <w:r w:rsidRPr="00AD22F0">
        <w:t>Sampling Strategy and Context</w:t>
      </w:r>
    </w:p>
    <w:p w14:paraId="7C4D9AED" w14:textId="2ED5795C" w:rsidR="00684FDD" w:rsidRPr="00AD22F0" w:rsidRDefault="00684FDD" w:rsidP="006A2B0E">
      <w:pPr>
        <w:spacing w:line="360" w:lineRule="auto"/>
        <w:rPr>
          <w:rFonts w:ascii="Century Gothic" w:hAnsi="Century Gothic"/>
        </w:rPr>
      </w:pPr>
      <w:r w:rsidRPr="00AD22F0">
        <w:rPr>
          <w:rFonts w:ascii="Century Gothic" w:hAnsi="Century Gothic"/>
        </w:rPr>
        <w:t xml:space="preserve">The intended sample comprises primary school teachers in Wales who </w:t>
      </w:r>
      <w:r w:rsidR="003E6A9E">
        <w:rPr>
          <w:rFonts w:ascii="Century Gothic" w:hAnsi="Century Gothic"/>
        </w:rPr>
        <w:t>will</w:t>
      </w:r>
      <w:r w:rsidRPr="00AD22F0">
        <w:rPr>
          <w:rFonts w:ascii="Century Gothic" w:hAnsi="Century Gothic"/>
        </w:rPr>
        <w:t xml:space="preserve"> participate in a</w:t>
      </w:r>
      <w:r w:rsidR="003E6A9E">
        <w:rPr>
          <w:rFonts w:ascii="Century Gothic" w:hAnsi="Century Gothic"/>
        </w:rPr>
        <w:t>n upcoming</w:t>
      </w:r>
      <w:r w:rsidRPr="00AD22F0">
        <w:rPr>
          <w:rFonts w:ascii="Century Gothic" w:hAnsi="Century Gothic"/>
        </w:rPr>
        <w:t xml:space="preserve"> residential educational visit with their class. A purposive sampling strategy is used to ensure relevance to the research question. This choice reflects recommendations from qualitative research literature that sampling should prioritise information-rich cases (Patton, 2015) rather than aiming for statistical representativeness</w:t>
      </w:r>
      <w:r w:rsidR="004044CB">
        <w:rPr>
          <w:rFonts w:ascii="Century Gothic" w:hAnsi="Century Gothic"/>
        </w:rPr>
        <w:t xml:space="preserve"> – the sample will depend very much on which schools have planned visits and so choice of participants is dependent on this</w:t>
      </w:r>
      <w:r w:rsidRPr="00AD22F0">
        <w:rPr>
          <w:rFonts w:ascii="Century Gothic" w:hAnsi="Century Gothic"/>
        </w:rPr>
        <w:t>.</w:t>
      </w:r>
    </w:p>
    <w:p w14:paraId="7A716863" w14:textId="233681E9" w:rsidR="00684FDD" w:rsidRPr="00AD22F0" w:rsidRDefault="00684FDD" w:rsidP="00185C5E">
      <w:pPr>
        <w:spacing w:line="360" w:lineRule="auto"/>
        <w:rPr>
          <w:rFonts w:ascii="Century Gothic" w:hAnsi="Century Gothic"/>
        </w:rPr>
      </w:pPr>
      <w:r w:rsidRPr="00AD22F0">
        <w:rPr>
          <w:rFonts w:ascii="Century Gothic" w:hAnsi="Century Gothic"/>
        </w:rPr>
        <w:t>Participants will be recruited through professional networks, education contacts, and direct invitations to schools known to engage in residential programmes. No incentives will be offered</w:t>
      </w:r>
      <w:r w:rsidR="00FC55B2">
        <w:rPr>
          <w:rFonts w:ascii="Century Gothic" w:hAnsi="Century Gothic"/>
        </w:rPr>
        <w:t xml:space="preserve"> as</w:t>
      </w:r>
      <w:r w:rsidRPr="00AD22F0">
        <w:rPr>
          <w:rFonts w:ascii="Century Gothic" w:hAnsi="Century Gothic"/>
        </w:rPr>
        <w:t xml:space="preserve"> participation is entirely voluntary. The sample size is expected to be small (5–15 participants), which is appropriate for qualitative analysis aiming to understand depth over breadth (Robson &amp; McCartan, 2016).</w:t>
      </w:r>
      <w:r w:rsidR="00185C5E">
        <w:rPr>
          <w:rFonts w:ascii="Century Gothic" w:hAnsi="Century Gothic"/>
        </w:rPr>
        <w:t xml:space="preserve"> </w:t>
      </w:r>
      <w:r w:rsidRPr="00AD22F0">
        <w:rPr>
          <w:rFonts w:ascii="Century Gothic" w:hAnsi="Century Gothic"/>
        </w:rPr>
        <w:t xml:space="preserve">By focusing on teachers in Welsh primary schools, the </w:t>
      </w:r>
      <w:r w:rsidRPr="00AD22F0">
        <w:rPr>
          <w:rFonts w:ascii="Century Gothic" w:hAnsi="Century Gothic"/>
        </w:rPr>
        <w:lastRenderedPageBreak/>
        <w:t>study remains grounded in a specific educational context</w:t>
      </w:r>
      <w:r w:rsidR="00185C5E">
        <w:rPr>
          <w:rFonts w:ascii="Century Gothic" w:hAnsi="Century Gothic"/>
        </w:rPr>
        <w:t xml:space="preserve"> linking to </w:t>
      </w:r>
      <w:r w:rsidRPr="00AD22F0">
        <w:rPr>
          <w:rFonts w:ascii="Century Gothic" w:hAnsi="Century Gothic"/>
        </w:rPr>
        <w:t>Curriculum for Wales (2022) and the Well-being of Future Generations (Wales) Act (2015).</w:t>
      </w:r>
    </w:p>
    <w:p w14:paraId="6BBE958C" w14:textId="77777777" w:rsidR="00684FDD" w:rsidRPr="00AD22F0" w:rsidRDefault="00684FDD" w:rsidP="008E7890">
      <w:pPr>
        <w:pStyle w:val="Heading1"/>
      </w:pPr>
      <w:r w:rsidRPr="00AD22F0">
        <w:t>Ethical Considerations</w:t>
      </w:r>
    </w:p>
    <w:p w14:paraId="78B7EA48" w14:textId="282BAB81" w:rsidR="00684FDD" w:rsidRPr="00AD22F0" w:rsidRDefault="00684FDD" w:rsidP="00185C5E">
      <w:pPr>
        <w:spacing w:line="360" w:lineRule="auto"/>
        <w:rPr>
          <w:rFonts w:ascii="Century Gothic" w:hAnsi="Century Gothic"/>
        </w:rPr>
      </w:pPr>
      <w:r w:rsidRPr="00AD22F0">
        <w:rPr>
          <w:rFonts w:ascii="Century Gothic" w:hAnsi="Century Gothic"/>
        </w:rPr>
        <w:t xml:space="preserve">All research decisions have been made in line with BERA (2024) guidance and reflect a commitment to protecting participant dignity, autonomy, and emotional safety. Ethical </w:t>
      </w:r>
      <w:r w:rsidR="00185C5E">
        <w:rPr>
          <w:rFonts w:ascii="Century Gothic" w:hAnsi="Century Gothic"/>
        </w:rPr>
        <w:t xml:space="preserve">approval will be </w:t>
      </w:r>
      <w:r w:rsidRPr="00AD22F0">
        <w:rPr>
          <w:rFonts w:ascii="Century Gothic" w:hAnsi="Century Gothic"/>
        </w:rPr>
        <w:t>sought and granted through the university’s formal process, and participants will receive detailed information about the purpose of the study, how their data will be used, and their right to withdraw.</w:t>
      </w:r>
      <w:r w:rsidR="00185C5E">
        <w:rPr>
          <w:rFonts w:ascii="Century Gothic" w:hAnsi="Century Gothic"/>
        </w:rPr>
        <w:t xml:space="preserve"> </w:t>
      </w:r>
      <w:r w:rsidRPr="00AD22F0">
        <w:rPr>
          <w:rFonts w:ascii="Century Gothic" w:hAnsi="Century Gothic"/>
        </w:rPr>
        <w:t>One key ethical decision was the exclusion of children from the study. While residential visits inevitably involve rich pupil–teacher interactions, this research does not seek to evaluate pupil outcomes or gather data from children</w:t>
      </w:r>
      <w:r w:rsidR="00185C5E">
        <w:rPr>
          <w:rFonts w:ascii="Century Gothic" w:hAnsi="Century Gothic"/>
        </w:rPr>
        <w:t>, as the aim has developed to become more concise</w:t>
      </w:r>
      <w:r w:rsidRPr="00AD22F0">
        <w:rPr>
          <w:rFonts w:ascii="Century Gothic" w:hAnsi="Century Gothic"/>
        </w:rPr>
        <w:t xml:space="preserve">. Involving children in emotionally sensitive research presents complex ethical issues relating to consent, power, and emotional safeguarding (Alderson &amp; Morrow, 2020; </w:t>
      </w:r>
      <w:proofErr w:type="spellStart"/>
      <w:r w:rsidRPr="00AD22F0">
        <w:rPr>
          <w:rFonts w:ascii="Century Gothic" w:hAnsi="Century Gothic"/>
        </w:rPr>
        <w:t>Mannay</w:t>
      </w:r>
      <w:proofErr w:type="spellEnd"/>
      <w:r w:rsidRPr="00AD22F0">
        <w:rPr>
          <w:rFonts w:ascii="Century Gothic" w:hAnsi="Century Gothic"/>
        </w:rPr>
        <w:t xml:space="preserve"> </w:t>
      </w:r>
      <w:r w:rsidRPr="00185C5E">
        <w:rPr>
          <w:rFonts w:ascii="Century Gothic" w:hAnsi="Century Gothic"/>
          <w:i/>
          <w:iCs/>
        </w:rPr>
        <w:t>et al</w:t>
      </w:r>
      <w:r w:rsidRPr="00AD22F0">
        <w:rPr>
          <w:rFonts w:ascii="Century Gothic" w:hAnsi="Century Gothic"/>
        </w:rPr>
        <w:t>., 2020). The focus on adult participants is deliberate: it allows the study to explore wellbeing deeply, respectfully, and without additional gatekeeping.</w:t>
      </w:r>
    </w:p>
    <w:p w14:paraId="1F7C6769" w14:textId="310F24AD" w:rsidR="00684FDD" w:rsidRPr="00AD22F0" w:rsidRDefault="00684FDD" w:rsidP="00185C5E">
      <w:pPr>
        <w:spacing w:line="360" w:lineRule="auto"/>
        <w:rPr>
          <w:rFonts w:ascii="Century Gothic" w:hAnsi="Century Gothic"/>
        </w:rPr>
      </w:pPr>
      <w:r w:rsidRPr="00AD22F0">
        <w:rPr>
          <w:rFonts w:ascii="Century Gothic" w:hAnsi="Century Gothic"/>
        </w:rPr>
        <w:t xml:space="preserve">Participation will be anonymous. Teachers will be </w:t>
      </w:r>
      <w:r w:rsidR="00185C5E">
        <w:rPr>
          <w:rFonts w:ascii="Century Gothic" w:hAnsi="Century Gothic"/>
        </w:rPr>
        <w:t>allocated</w:t>
      </w:r>
      <w:r w:rsidRPr="00AD22F0">
        <w:rPr>
          <w:rFonts w:ascii="Century Gothic" w:hAnsi="Century Gothic"/>
        </w:rPr>
        <w:t xml:space="preserve"> a unique identifier to allow for follow-up or clarification without linking identities to specific schools or individuals. Data will be stored securely, in line with GDPR and institutional requirements. Emotional safety is also prioritised in the language used in the survey and in the voluntary nature of every element of participation — including the WEMWBS.</w:t>
      </w:r>
      <w:r w:rsidR="00185C5E">
        <w:rPr>
          <w:rFonts w:ascii="Century Gothic" w:hAnsi="Century Gothic"/>
        </w:rPr>
        <w:t xml:space="preserve"> </w:t>
      </w:r>
      <w:r w:rsidRPr="00AD22F0">
        <w:rPr>
          <w:rFonts w:ascii="Century Gothic" w:hAnsi="Century Gothic"/>
        </w:rPr>
        <w:t>As Gary Thomas (2021) argues, ethically sound research is not just about procedures and permissions, but about choosing methods that respect context, reduce harm, and honour the complexity of human experience</w:t>
      </w:r>
      <w:r w:rsidR="00185C5E">
        <w:rPr>
          <w:rFonts w:ascii="Century Gothic" w:hAnsi="Century Gothic"/>
        </w:rPr>
        <w:t xml:space="preserve"> - t</w:t>
      </w:r>
      <w:r w:rsidRPr="00AD22F0">
        <w:rPr>
          <w:rFonts w:ascii="Century Gothic" w:hAnsi="Century Gothic"/>
        </w:rPr>
        <w:t>his study seeks to do precisely that.</w:t>
      </w:r>
    </w:p>
    <w:p w14:paraId="0297F885" w14:textId="77777777" w:rsidR="00684FDD" w:rsidRPr="00AD22F0" w:rsidRDefault="00684FDD" w:rsidP="008E7890">
      <w:pPr>
        <w:pStyle w:val="Heading1"/>
      </w:pPr>
      <w:r w:rsidRPr="00AD22F0">
        <w:t>Strengths and Limitations of the Method</w:t>
      </w:r>
    </w:p>
    <w:p w14:paraId="12D6A118" w14:textId="43B9CE52" w:rsidR="00684FDD" w:rsidRPr="00AD22F0" w:rsidRDefault="00684FDD" w:rsidP="001D2888">
      <w:pPr>
        <w:spacing w:line="360" w:lineRule="auto"/>
        <w:rPr>
          <w:rFonts w:ascii="Century Gothic" w:hAnsi="Century Gothic"/>
        </w:rPr>
      </w:pPr>
      <w:r w:rsidRPr="00AD22F0">
        <w:rPr>
          <w:rFonts w:ascii="Century Gothic" w:hAnsi="Century Gothic"/>
        </w:rPr>
        <w:t xml:space="preserve">This research design </w:t>
      </w:r>
      <w:r w:rsidR="00185C5E">
        <w:rPr>
          <w:rFonts w:ascii="Century Gothic" w:hAnsi="Century Gothic"/>
        </w:rPr>
        <w:t xml:space="preserve">hopefully </w:t>
      </w:r>
      <w:r w:rsidRPr="00AD22F0">
        <w:rPr>
          <w:rFonts w:ascii="Century Gothic" w:hAnsi="Century Gothic"/>
        </w:rPr>
        <w:t>offers several strengths</w:t>
      </w:r>
      <w:r w:rsidR="00185C5E">
        <w:rPr>
          <w:rFonts w:ascii="Century Gothic" w:hAnsi="Century Gothic"/>
        </w:rPr>
        <w:t>; t</w:t>
      </w:r>
      <w:r w:rsidRPr="00AD22F0">
        <w:rPr>
          <w:rFonts w:ascii="Century Gothic" w:hAnsi="Century Gothic"/>
        </w:rPr>
        <w:t xml:space="preserve">he use of written, asynchronous reflection supports ethical care, reduces participant burden, and encourages thoughtful engagement especially relevant in research with teachers, who are often time-poor and emotionally overextended (Cooper-Gibson Research, 2019). Qualtrics provides an efficient and secure platform for data collection, enabling consistency, accessibility, and ease of </w:t>
      </w:r>
      <w:r w:rsidRPr="00AD22F0">
        <w:rPr>
          <w:rFonts w:ascii="Century Gothic" w:hAnsi="Century Gothic"/>
        </w:rPr>
        <w:lastRenderedPageBreak/>
        <w:t>analysis (Wright, 2005).</w:t>
      </w:r>
      <w:r w:rsidR="001D2888">
        <w:rPr>
          <w:rFonts w:ascii="Century Gothic" w:hAnsi="Century Gothic"/>
        </w:rPr>
        <w:t xml:space="preserve"> </w:t>
      </w:r>
      <w:r w:rsidRPr="00AD22F0">
        <w:rPr>
          <w:rFonts w:ascii="Century Gothic" w:hAnsi="Century Gothic"/>
        </w:rPr>
        <w:t xml:space="preserve">The combination of reflective prompts and an optional wellbeing scale allows for both depth and structure, aligning well with a post-positivist commitment to pattern recognition and credibility (Creswell &amp; </w:t>
      </w:r>
      <w:proofErr w:type="spellStart"/>
      <w:r w:rsidRPr="00AD22F0">
        <w:rPr>
          <w:rFonts w:ascii="Century Gothic" w:hAnsi="Century Gothic"/>
        </w:rPr>
        <w:t>Poth</w:t>
      </w:r>
      <w:proofErr w:type="spellEnd"/>
      <w:r w:rsidRPr="00AD22F0">
        <w:rPr>
          <w:rFonts w:ascii="Century Gothic" w:hAnsi="Century Gothic"/>
        </w:rPr>
        <w:t xml:space="preserve">, 2018; Lincoln &amp; Guba, 1985). This triangulation enhances the trustworthiness of findings (Nowell </w:t>
      </w:r>
      <w:r w:rsidRPr="001D2888">
        <w:rPr>
          <w:rFonts w:ascii="Century Gothic" w:hAnsi="Century Gothic"/>
          <w:i/>
          <w:iCs/>
        </w:rPr>
        <w:t>et al</w:t>
      </w:r>
      <w:r w:rsidRPr="00AD22F0">
        <w:rPr>
          <w:rFonts w:ascii="Century Gothic" w:hAnsi="Century Gothic"/>
        </w:rPr>
        <w:t>., 2017).</w:t>
      </w:r>
    </w:p>
    <w:p w14:paraId="4EEED09D" w14:textId="4F0E5672" w:rsidR="00684FDD" w:rsidRPr="00AD22F0" w:rsidRDefault="00684FDD" w:rsidP="00852E75">
      <w:pPr>
        <w:spacing w:line="360" w:lineRule="auto"/>
        <w:rPr>
          <w:rFonts w:ascii="Century Gothic" w:hAnsi="Century Gothic"/>
        </w:rPr>
      </w:pPr>
      <w:r w:rsidRPr="00AD22F0">
        <w:rPr>
          <w:rFonts w:ascii="Century Gothic" w:hAnsi="Century Gothic"/>
        </w:rPr>
        <w:t>However, limitations remain</w:t>
      </w:r>
      <w:r w:rsidR="004812F8">
        <w:rPr>
          <w:rFonts w:ascii="Century Gothic" w:hAnsi="Century Gothic"/>
        </w:rPr>
        <w:t xml:space="preserve"> and must be acknowledged with potential ways to overcome them</w:t>
      </w:r>
      <w:r w:rsidRPr="00AD22F0">
        <w:rPr>
          <w:rFonts w:ascii="Century Gothic" w:hAnsi="Century Gothic"/>
        </w:rPr>
        <w:t>. Written responses may lack the richness or spontaneity of spoken interviews, and some participants may struggle to express emotional nuance in writing (Robson &amp; McCartan, 2016)</w:t>
      </w:r>
      <w:r w:rsidR="004812F8">
        <w:rPr>
          <w:rFonts w:ascii="Century Gothic" w:hAnsi="Century Gothic"/>
        </w:rPr>
        <w:t xml:space="preserve"> – perhaps setting a planned time limit on the responses may remedy this</w:t>
      </w:r>
      <w:r w:rsidRPr="00AD22F0">
        <w:rPr>
          <w:rFonts w:ascii="Century Gothic" w:hAnsi="Century Gothic"/>
        </w:rPr>
        <w:t>. The small sample size and focus on a single country context also limit transferability. That said, the aim is not generalisability, but the development of insightful, contextually grounded knowledge relevant to policy and practice in Wales.</w:t>
      </w:r>
      <w:r w:rsidR="004812F8">
        <w:rPr>
          <w:rFonts w:ascii="Century Gothic" w:hAnsi="Century Gothic"/>
        </w:rPr>
        <w:t xml:space="preserve"> </w:t>
      </w:r>
      <w:r w:rsidR="00852E75">
        <w:rPr>
          <w:rFonts w:ascii="Century Gothic" w:hAnsi="Century Gothic"/>
        </w:rPr>
        <w:t>T</w:t>
      </w:r>
      <w:r w:rsidR="00852E75" w:rsidRPr="00852E75">
        <w:rPr>
          <w:rFonts w:ascii="Century Gothic" w:hAnsi="Century Gothic"/>
        </w:rPr>
        <w:t xml:space="preserve">o ensure coherence in the longitudinal design, participants are required to complete all three data collection points (before, during, and after the residential visit). </w:t>
      </w:r>
      <w:r w:rsidR="00852E75">
        <w:rPr>
          <w:rFonts w:ascii="Century Gothic" w:hAnsi="Century Gothic"/>
        </w:rPr>
        <w:t>Unfortunately, p</w:t>
      </w:r>
      <w:r w:rsidR="00852E75" w:rsidRPr="00852E75">
        <w:rPr>
          <w:rFonts w:ascii="Century Gothic" w:hAnsi="Century Gothic"/>
        </w:rPr>
        <w:t xml:space="preserve">artial data sets — for example, if the 'during' phase is missed — will be excluded from final analysis, as the absence of one phase compromises the ability to identify patterns or changes over time (Saldaña, 2003; Ritchie </w:t>
      </w:r>
      <w:r w:rsidR="00852E75" w:rsidRPr="00852E75">
        <w:rPr>
          <w:rFonts w:ascii="Century Gothic" w:hAnsi="Century Gothic"/>
          <w:i/>
          <w:iCs/>
        </w:rPr>
        <w:t>et al.</w:t>
      </w:r>
      <w:r w:rsidR="00852E75" w:rsidRPr="00852E75">
        <w:rPr>
          <w:rFonts w:ascii="Century Gothic" w:hAnsi="Century Gothic"/>
        </w:rPr>
        <w:t>, 2014)</w:t>
      </w:r>
      <w:r w:rsidR="00852E75">
        <w:rPr>
          <w:rFonts w:ascii="Century Gothic" w:hAnsi="Century Gothic"/>
        </w:rPr>
        <w:t xml:space="preserve"> having dates planned well in advance may help to ensure the completion takes place.</w:t>
      </w:r>
    </w:p>
    <w:p w14:paraId="0D7B9DA8" w14:textId="77777777" w:rsidR="00920CE7" w:rsidRPr="00AD22F0" w:rsidRDefault="00920CE7" w:rsidP="006A2B0E">
      <w:pPr>
        <w:spacing w:line="360" w:lineRule="auto"/>
        <w:rPr>
          <w:rFonts w:ascii="Century Gothic" w:hAnsi="Century Gothic"/>
        </w:rPr>
      </w:pPr>
    </w:p>
    <w:p w14:paraId="71683FA0" w14:textId="77777777" w:rsidR="00684FDD" w:rsidRPr="00AD22F0" w:rsidRDefault="00684FDD" w:rsidP="008E7890">
      <w:pPr>
        <w:pStyle w:val="Heading1"/>
      </w:pPr>
      <w:r w:rsidRPr="00AD22F0">
        <w:t>Data Presentation and Analysis Methods</w:t>
      </w:r>
    </w:p>
    <w:p w14:paraId="475DD17D" w14:textId="7D9CEE64" w:rsidR="00684FDD" w:rsidRPr="00AD22F0" w:rsidRDefault="00CA58F7" w:rsidP="00CA58F7">
      <w:pPr>
        <w:spacing w:line="360" w:lineRule="auto"/>
        <w:rPr>
          <w:rFonts w:ascii="Century Gothic" w:hAnsi="Century Gothic"/>
        </w:rPr>
      </w:pPr>
      <w:r w:rsidRPr="00CA58F7">
        <w:rPr>
          <w:rFonts w:ascii="Century Gothic" w:hAnsi="Century Gothic"/>
        </w:rPr>
        <w:t>“Thematic analysis is a method for systematically identifying, organising, and offering insight into patterns of meaning (themes) across a data set”</w:t>
      </w:r>
      <w:r>
        <w:rPr>
          <w:rFonts w:ascii="Century Gothic" w:hAnsi="Century Gothic"/>
        </w:rPr>
        <w:t xml:space="preserve"> (</w:t>
      </w:r>
      <w:r w:rsidRPr="00CA58F7">
        <w:rPr>
          <w:rFonts w:ascii="Century Gothic" w:hAnsi="Century Gothic"/>
        </w:rPr>
        <w:t>Braun and Clarke (2022, p.3)</w:t>
      </w:r>
      <w:r w:rsidR="002966F2">
        <w:rPr>
          <w:rFonts w:ascii="Century Gothic" w:hAnsi="Century Gothic"/>
        </w:rPr>
        <w:t>.</w:t>
      </w:r>
      <w:r>
        <w:rPr>
          <w:rFonts w:ascii="Century Gothic" w:hAnsi="Century Gothic"/>
        </w:rPr>
        <w:br/>
      </w:r>
      <w:r w:rsidR="00684FDD" w:rsidRPr="00AD22F0">
        <w:rPr>
          <w:rFonts w:ascii="Century Gothic" w:hAnsi="Century Gothic"/>
        </w:rPr>
        <w:t>Th</w:t>
      </w:r>
      <w:r w:rsidR="00852E75">
        <w:rPr>
          <w:rFonts w:ascii="Century Gothic" w:hAnsi="Century Gothic"/>
        </w:rPr>
        <w:t xml:space="preserve">e proposed research </w:t>
      </w:r>
      <w:r w:rsidR="00684FDD" w:rsidRPr="00AD22F0">
        <w:rPr>
          <w:rFonts w:ascii="Century Gothic" w:hAnsi="Century Gothic"/>
        </w:rPr>
        <w:t>study will employ thematic analysis to interpret teacher reflections collected through an online Qualtrics-based tool. Thematic analysis is a well-established method in qualitative research, offering a structured yet adaptable approach to identifying patterns of meaning across data sets. As Braun and Clarke (2006; 2022) explain, thematic analysis is particularly appropriate when exploring participants’ lived experiences, emotions, and meaning-making processes — all of which are central to this study’s focus on teacher wellbeing during residential educational visits.</w:t>
      </w:r>
    </w:p>
    <w:p w14:paraId="2E176FF3" w14:textId="50C1412E" w:rsidR="006F6EDC" w:rsidRPr="006F6EDC" w:rsidRDefault="006F6EDC" w:rsidP="006F6EDC">
      <w:pPr>
        <w:spacing w:line="360" w:lineRule="auto"/>
        <w:rPr>
          <w:rFonts w:ascii="Century Gothic" w:hAnsi="Century Gothic"/>
        </w:rPr>
      </w:pPr>
      <w:r w:rsidRPr="006F6EDC">
        <w:rPr>
          <w:rFonts w:ascii="Century Gothic" w:hAnsi="Century Gothic"/>
        </w:rPr>
        <w:t xml:space="preserve">A key strength of thematic analysis is that it is flexible and adaptable. It can be used with different research approaches, including post-positivism, which recognises that while a real </w:t>
      </w:r>
      <w:r w:rsidRPr="006F6EDC">
        <w:rPr>
          <w:rFonts w:ascii="Century Gothic" w:hAnsi="Century Gothic"/>
        </w:rPr>
        <w:lastRenderedPageBreak/>
        <w:t xml:space="preserve">world exists, our understanding of it is always shaped by personal views and context (Phillips </w:t>
      </w:r>
      <w:r>
        <w:rPr>
          <w:rFonts w:ascii="Century Gothic" w:hAnsi="Century Gothic"/>
        </w:rPr>
        <w:t>&amp;</w:t>
      </w:r>
      <w:r w:rsidRPr="006F6EDC">
        <w:rPr>
          <w:rFonts w:ascii="Century Gothic" w:hAnsi="Century Gothic"/>
        </w:rPr>
        <w:t xml:space="preserve"> </w:t>
      </w:r>
      <w:proofErr w:type="spellStart"/>
      <w:r w:rsidRPr="006F6EDC">
        <w:rPr>
          <w:rFonts w:ascii="Century Gothic" w:hAnsi="Century Gothic"/>
        </w:rPr>
        <w:t>Burbules</w:t>
      </w:r>
      <w:proofErr w:type="spellEnd"/>
      <w:r w:rsidRPr="006F6EDC">
        <w:rPr>
          <w:rFonts w:ascii="Century Gothic" w:hAnsi="Century Gothic"/>
        </w:rPr>
        <w:t>, 2000). This makes thematic analysis a good fit for this study, as it allows the researcher to explore patterns in teachers’ reflections without claiming a single truth. Instead, it helps identify common themes—such as how wellbeing is affected by residential visits—while still respecting each teacher’s individual experience.</w:t>
      </w:r>
    </w:p>
    <w:p w14:paraId="6127DCF9" w14:textId="048BF48A" w:rsidR="00684FDD" w:rsidRPr="00AD22F0" w:rsidRDefault="00684FDD" w:rsidP="006A2B0E">
      <w:pPr>
        <w:spacing w:line="360" w:lineRule="auto"/>
        <w:rPr>
          <w:rFonts w:ascii="Century Gothic" w:hAnsi="Century Gothic"/>
        </w:rPr>
      </w:pPr>
      <w:r w:rsidRPr="00AD22F0">
        <w:rPr>
          <w:rFonts w:ascii="Century Gothic" w:hAnsi="Century Gothic"/>
        </w:rPr>
        <w:t>The data will be analysed using the structured process proposed by Braun and Clarke</w:t>
      </w:r>
      <w:r w:rsidR="00E261AC">
        <w:rPr>
          <w:rFonts w:ascii="Century Gothic" w:hAnsi="Century Gothic"/>
        </w:rPr>
        <w:t xml:space="preserve"> (2006)</w:t>
      </w:r>
      <w:r w:rsidRPr="00AD22F0">
        <w:rPr>
          <w:rFonts w:ascii="Century Gothic" w:hAnsi="Century Gothic"/>
        </w:rPr>
        <w:t xml:space="preserve">, involving familiarisation with the data, initial coding, theme generation, review and refinement of themes, and a final interpretive narrative. Although the process will begin inductively, codes and themes will also be informed by theoretical frameworks relevant to wellbeing, such as Seligman’s (2011) PERMA model and the Job Demands–Resources model (Bakker &amp; Demerouti, 2007). These frameworks will act as sensitising concepts, providing a lens through which emerging themes can be understood, but without constraining the data or limiting interpretive openness (Blumer, 1969; Terry </w:t>
      </w:r>
      <w:r w:rsidRPr="00E261AC">
        <w:rPr>
          <w:rFonts w:ascii="Century Gothic" w:hAnsi="Century Gothic"/>
          <w:i/>
          <w:iCs/>
        </w:rPr>
        <w:t>et al.,</w:t>
      </w:r>
      <w:r w:rsidRPr="00AD22F0">
        <w:rPr>
          <w:rFonts w:ascii="Century Gothic" w:hAnsi="Century Gothic"/>
        </w:rPr>
        <w:t xml:space="preserve"> 2017).</w:t>
      </w:r>
    </w:p>
    <w:p w14:paraId="7B2B9426" w14:textId="57FF25E0" w:rsidR="00F35AB5" w:rsidRDefault="007A6CAF" w:rsidP="00A130B9">
      <w:pPr>
        <w:spacing w:line="360" w:lineRule="auto"/>
        <w:rPr>
          <w:rFonts w:ascii="Century Gothic" w:hAnsi="Century Gothic"/>
        </w:rPr>
      </w:pPr>
      <w:r>
        <w:rPr>
          <w:rFonts w:ascii="Century Gothic" w:hAnsi="Century Gothic"/>
        </w:rPr>
        <w:t xml:space="preserve"> </w:t>
      </w:r>
      <w:r w:rsidR="008C0F08" w:rsidRPr="008C0F08">
        <w:rPr>
          <w:rFonts w:ascii="Century Gothic" w:hAnsi="Century Gothic"/>
        </w:rPr>
        <w:t xml:space="preserve">Although widely used, thematic analysis (TA) is often misunderstood or misapplied in qualitative research. A common issue is the tendency to treat it as a simple coding process or to reduce it to a “data sorting” exercise, without engaging in deeper interpretive work (Braun and Clarke, 2022). </w:t>
      </w:r>
      <w:r w:rsidR="00971699">
        <w:rPr>
          <w:rFonts w:ascii="Century Gothic" w:hAnsi="Century Gothic"/>
        </w:rPr>
        <w:t>Critically, researchers may</w:t>
      </w:r>
      <w:r w:rsidR="008C0F08" w:rsidRPr="008C0F08">
        <w:rPr>
          <w:rFonts w:ascii="Century Gothic" w:hAnsi="Century Gothic"/>
        </w:rPr>
        <w:t xml:space="preserve"> use TA without explicitly stating their theoretical framework or outlining how themes were developed, which weakens transparency and rigour (Nowell </w:t>
      </w:r>
      <w:r w:rsidR="008C0F08" w:rsidRPr="00971699">
        <w:rPr>
          <w:rFonts w:ascii="Century Gothic" w:hAnsi="Century Gothic"/>
          <w:i/>
          <w:iCs/>
        </w:rPr>
        <w:t>et al</w:t>
      </w:r>
      <w:r w:rsidR="008C0F08" w:rsidRPr="008C0F08">
        <w:rPr>
          <w:rFonts w:ascii="Century Gothic" w:hAnsi="Century Gothic"/>
        </w:rPr>
        <w:t xml:space="preserve">., 2017). Others confuse TA with grounded theory or content analysis, overlooking TA’s focus on meaning-making and its flexibility to align with various philosophical positions. Braun and Clarke (2019) have been particularly critical of "codebook" approaches that claim to use TA but apply rigid pre-set codes without reflexive engagement, which can strip the method of its analytic depth. Therefore, in this </w:t>
      </w:r>
      <w:r w:rsidR="00F35AB5">
        <w:rPr>
          <w:rFonts w:ascii="Century Gothic" w:hAnsi="Century Gothic"/>
        </w:rPr>
        <w:t>proposed research design</w:t>
      </w:r>
      <w:r w:rsidR="008C0F08" w:rsidRPr="008C0F08">
        <w:rPr>
          <w:rFonts w:ascii="Century Gothic" w:hAnsi="Century Gothic"/>
        </w:rPr>
        <w:t>, TA is used with clear theoretical positioning, transparent theme development, and reflexive analysis, ensuring that findings are not only descriptive but interpretively meaningful.</w:t>
      </w:r>
      <w:r w:rsidR="00F35AB5">
        <w:rPr>
          <w:rFonts w:ascii="Century Gothic" w:hAnsi="Century Gothic"/>
        </w:rPr>
        <w:t xml:space="preserve"> </w:t>
      </w:r>
    </w:p>
    <w:p w14:paraId="260D8FF4" w14:textId="52DD37CD" w:rsidR="00684FDD" w:rsidRPr="00AD22F0" w:rsidRDefault="00F35AB5" w:rsidP="008C0F08">
      <w:pPr>
        <w:spacing w:line="360" w:lineRule="auto"/>
        <w:rPr>
          <w:rFonts w:ascii="Century Gothic" w:hAnsi="Century Gothic"/>
        </w:rPr>
      </w:pPr>
      <w:r>
        <w:rPr>
          <w:rFonts w:ascii="Century Gothic" w:hAnsi="Century Gothic"/>
        </w:rPr>
        <w:t>I</w:t>
      </w:r>
      <w:r w:rsidR="00684FDD" w:rsidRPr="008C0F08">
        <w:rPr>
          <w:rFonts w:ascii="Century Gothic" w:hAnsi="Century Gothic"/>
        </w:rPr>
        <w:t>n selecting thematic analysis over other approaches such as grounded theory or discourse analysis, the study intentionally avoids over-theorisation or abstraction. Grounded theory, for instance, aims to build new theory from data, which is</w:t>
      </w:r>
      <w:r>
        <w:rPr>
          <w:rFonts w:ascii="Century Gothic" w:hAnsi="Century Gothic"/>
        </w:rPr>
        <w:t xml:space="preserve"> currently</w:t>
      </w:r>
      <w:r w:rsidR="00684FDD" w:rsidRPr="008C0F08">
        <w:rPr>
          <w:rFonts w:ascii="Century Gothic" w:hAnsi="Century Gothic"/>
        </w:rPr>
        <w:t xml:space="preserve"> beyond the scope of this small-scale professional study (Charmaz, 2014). Meanwhile, discourse analysis focuses</w:t>
      </w:r>
      <w:r w:rsidR="00684FDD" w:rsidRPr="00AD22F0">
        <w:rPr>
          <w:rFonts w:ascii="Century Gothic" w:hAnsi="Century Gothic"/>
        </w:rPr>
        <w:t xml:space="preserve"> on </w:t>
      </w:r>
      <w:r w:rsidR="00684FDD" w:rsidRPr="00AD22F0">
        <w:rPr>
          <w:rFonts w:ascii="Century Gothic" w:hAnsi="Century Gothic"/>
        </w:rPr>
        <w:lastRenderedPageBreak/>
        <w:t xml:space="preserve">language use and power relations, which, while relevant, are not the central concern </w:t>
      </w:r>
      <w:r>
        <w:rPr>
          <w:rFonts w:ascii="Century Gothic" w:hAnsi="Century Gothic"/>
        </w:rPr>
        <w:t>of this research.</w:t>
      </w:r>
      <w:r w:rsidR="00684FDD" w:rsidRPr="00AD22F0">
        <w:rPr>
          <w:rFonts w:ascii="Century Gothic" w:hAnsi="Century Gothic"/>
        </w:rPr>
        <w:t xml:space="preserve"> T</w:t>
      </w:r>
      <w:r>
        <w:rPr>
          <w:rFonts w:ascii="Century Gothic" w:hAnsi="Century Gothic"/>
        </w:rPr>
        <w:t>A</w:t>
      </w:r>
      <w:r w:rsidR="00684FDD" w:rsidRPr="00AD22F0">
        <w:rPr>
          <w:rFonts w:ascii="Century Gothic" w:hAnsi="Century Gothic"/>
        </w:rPr>
        <w:t xml:space="preserve"> provides a practical, philosophically appropriate method for identifying and presenting patterns that are both situated and useful for informing practice.</w:t>
      </w:r>
    </w:p>
    <w:p w14:paraId="62BFAF1E" w14:textId="34604EB0" w:rsidR="00684FDD" w:rsidRPr="00AD22F0" w:rsidRDefault="00684FDD" w:rsidP="00C54D81">
      <w:pPr>
        <w:spacing w:line="360" w:lineRule="auto"/>
        <w:rPr>
          <w:rFonts w:ascii="Century Gothic" w:hAnsi="Century Gothic"/>
        </w:rPr>
      </w:pPr>
      <w:r w:rsidRPr="00AD22F0">
        <w:rPr>
          <w:rFonts w:ascii="Century Gothic" w:hAnsi="Century Gothic"/>
        </w:rPr>
        <w:t>The use of written reflections, rather than interviews, also influences the nature of the data and the analytical approach. Written responses tend to be more reflective and carefully constructed, but may lack the spontaneity and non-verbal cues found in spoken data (Cohen</w:t>
      </w:r>
      <w:r w:rsidR="00C54D81">
        <w:rPr>
          <w:rFonts w:ascii="Century Gothic" w:hAnsi="Century Gothic"/>
        </w:rPr>
        <w:t xml:space="preserve"> </w:t>
      </w:r>
      <w:r w:rsidR="00C54D81" w:rsidRPr="00C54D81">
        <w:rPr>
          <w:rFonts w:ascii="Century Gothic" w:hAnsi="Century Gothic"/>
          <w:i/>
          <w:iCs/>
        </w:rPr>
        <w:t>et al</w:t>
      </w:r>
      <w:r w:rsidRPr="00C54D81">
        <w:rPr>
          <w:rFonts w:ascii="Century Gothic" w:hAnsi="Century Gothic"/>
          <w:i/>
          <w:iCs/>
        </w:rPr>
        <w:t>,</w:t>
      </w:r>
      <w:r w:rsidRPr="00AD22F0">
        <w:rPr>
          <w:rFonts w:ascii="Century Gothic" w:hAnsi="Century Gothic"/>
        </w:rPr>
        <w:t xml:space="preserve"> 2018; Robson &amp; McCartan, 2016). However, research by Evans and Mathur (2005) and Wright (2005) suggests that online, asynchronous tools can increase participant honesty and reduce social desirability bias — especially in research involving sensitive topics such as mental health or wellbeing. The written format also reduces researcher influence during data collection, increasing the consistency and comparability of responses..</w:t>
      </w:r>
    </w:p>
    <w:p w14:paraId="6EADF986" w14:textId="26ED4FF7" w:rsidR="00684FDD" w:rsidRPr="00AD22F0" w:rsidRDefault="00684FDD" w:rsidP="006A2B0E">
      <w:pPr>
        <w:spacing w:line="360" w:lineRule="auto"/>
        <w:rPr>
          <w:rFonts w:ascii="Century Gothic" w:hAnsi="Century Gothic"/>
        </w:rPr>
      </w:pPr>
      <w:r w:rsidRPr="00AD22F0">
        <w:rPr>
          <w:rFonts w:ascii="Century Gothic" w:hAnsi="Century Gothic"/>
        </w:rPr>
        <w:t>Nonetheless, limitations remain. Thematic analysis, like all qualitative methods, relies heavily on researcher interpretation. Despite efforts to remain transparent and reflective, findings are unavoidably shaped by the researcher’s perspective, values, and context. Moreover, the method does not account for power dynamics or discursive structures unless explicitly adapted to do so</w:t>
      </w:r>
      <w:r w:rsidR="00C54D81">
        <w:rPr>
          <w:rFonts w:ascii="Century Gothic" w:hAnsi="Century Gothic"/>
        </w:rPr>
        <w:t xml:space="preserve">; </w:t>
      </w:r>
      <w:r w:rsidRPr="00AD22F0">
        <w:rPr>
          <w:rFonts w:ascii="Century Gothic" w:hAnsi="Century Gothic"/>
        </w:rPr>
        <w:t>an important caveat in educational research (Foucault, 1972; Clarke &amp; Braun, 2018). These limitations are acknowledged not to undermine the method, but to reinforce the importance of reflexive, critically aware analysis.</w:t>
      </w:r>
    </w:p>
    <w:p w14:paraId="234A6B8A" w14:textId="77777777" w:rsidR="00684FDD" w:rsidRPr="00AD22F0" w:rsidRDefault="00684FDD" w:rsidP="006A2B0E">
      <w:pPr>
        <w:spacing w:line="360" w:lineRule="auto"/>
        <w:rPr>
          <w:rFonts w:ascii="Century Gothic" w:hAnsi="Century Gothic"/>
        </w:rPr>
      </w:pPr>
      <w:r w:rsidRPr="00AD22F0">
        <w:rPr>
          <w:rFonts w:ascii="Century Gothic" w:hAnsi="Century Gothic"/>
        </w:rPr>
        <w:t>In conclusion, thematic analysis provides a coherent and philosophically aligned approach for analysing and presenting the reflective accounts of Welsh primary teachers. It enables the study to identify meaningful patterns in the data while remaining sensitive to emotional nuance, ethical care, and policy relevance. By grounding interpretation in both empirical evidence and theoretical insight, the analysis method strengthens the study’s potential to contribute to both scholarly understanding and educational practice.</w:t>
      </w:r>
    </w:p>
    <w:p w14:paraId="617D29E9" w14:textId="3C9DD2F8" w:rsidR="00700AA6" w:rsidRPr="00AD22F0" w:rsidRDefault="00700AA6" w:rsidP="008E7890">
      <w:pPr>
        <w:pStyle w:val="Heading1"/>
      </w:pPr>
      <w:r w:rsidRPr="00AD22F0">
        <w:t>Impact on Knowledge and Future Practice</w:t>
      </w:r>
    </w:p>
    <w:p w14:paraId="20577AF7" w14:textId="674A1DD0" w:rsidR="00700AA6" w:rsidRPr="00AD22F0" w:rsidRDefault="00700AA6" w:rsidP="006A2B0E">
      <w:pPr>
        <w:spacing w:line="360" w:lineRule="auto"/>
        <w:rPr>
          <w:rFonts w:ascii="Century Gothic" w:hAnsi="Century Gothic"/>
        </w:rPr>
      </w:pPr>
      <w:r w:rsidRPr="00AD22F0">
        <w:rPr>
          <w:rFonts w:ascii="Century Gothic" w:hAnsi="Century Gothic"/>
        </w:rPr>
        <w:t>Engaging with this assignment has significantly deepened my understanding of the philosophical and methodological underpinnings of educational research. Previously, I had not fully appreciated how decisions about ontology and epistemology shape every element of a research design (Cohen</w:t>
      </w:r>
      <w:r w:rsidR="00532926">
        <w:rPr>
          <w:rFonts w:ascii="Century Gothic" w:hAnsi="Century Gothic"/>
        </w:rPr>
        <w:t xml:space="preserve"> </w:t>
      </w:r>
      <w:r w:rsidR="00532926" w:rsidRPr="00532926">
        <w:rPr>
          <w:rFonts w:ascii="Century Gothic" w:hAnsi="Century Gothic"/>
          <w:i/>
          <w:iCs/>
        </w:rPr>
        <w:t>et al</w:t>
      </w:r>
      <w:r w:rsidR="00532926">
        <w:rPr>
          <w:rFonts w:ascii="Century Gothic" w:hAnsi="Century Gothic"/>
        </w:rPr>
        <w:t>.,</w:t>
      </w:r>
      <w:r w:rsidRPr="00AD22F0">
        <w:rPr>
          <w:rFonts w:ascii="Century Gothic" w:hAnsi="Century Gothic"/>
        </w:rPr>
        <w:t xml:space="preserve"> 2018)</w:t>
      </w:r>
      <w:r w:rsidR="00414C1E">
        <w:rPr>
          <w:rFonts w:ascii="Century Gothic" w:hAnsi="Century Gothic"/>
        </w:rPr>
        <w:t xml:space="preserve"> and was struggling to be concise with choices </w:t>
      </w:r>
      <w:r w:rsidR="007949D5">
        <w:rPr>
          <w:rFonts w:ascii="Century Gothic" w:hAnsi="Century Gothic"/>
        </w:rPr>
        <w:lastRenderedPageBreak/>
        <w:t>relating to the research question and design</w:t>
      </w:r>
      <w:r w:rsidRPr="00AD22F0">
        <w:rPr>
          <w:rFonts w:ascii="Century Gothic" w:hAnsi="Century Gothic"/>
        </w:rPr>
        <w:t xml:space="preserve">. Through critically evaluating my own position as a post-positivist researcher, I have come to understand the importance of designing tools that are not only fit for purpose but ethically and philosophically coherent (Phillips &amp; </w:t>
      </w:r>
      <w:proofErr w:type="spellStart"/>
      <w:r w:rsidRPr="00AD22F0">
        <w:rPr>
          <w:rFonts w:ascii="Century Gothic" w:hAnsi="Century Gothic"/>
        </w:rPr>
        <w:t>Burbules</w:t>
      </w:r>
      <w:proofErr w:type="spellEnd"/>
      <w:r w:rsidRPr="00AD22F0">
        <w:rPr>
          <w:rFonts w:ascii="Century Gothic" w:hAnsi="Century Gothic"/>
        </w:rPr>
        <w:t>, 2000; Thomas, 2021).</w:t>
      </w:r>
    </w:p>
    <w:p w14:paraId="57151C03" w14:textId="336911A8" w:rsidR="00700AA6" w:rsidRPr="00AD22F0" w:rsidRDefault="00700AA6" w:rsidP="006A2B0E">
      <w:pPr>
        <w:spacing w:line="360" w:lineRule="auto"/>
        <w:rPr>
          <w:rFonts w:ascii="Century Gothic" w:hAnsi="Century Gothic"/>
        </w:rPr>
      </w:pPr>
      <w:r w:rsidRPr="00AD22F0">
        <w:rPr>
          <w:rFonts w:ascii="Century Gothic" w:hAnsi="Century Gothic"/>
        </w:rPr>
        <w:t>Working with frameworks such as the Research Onion (Saunders</w:t>
      </w:r>
      <w:r w:rsidR="006A608D">
        <w:rPr>
          <w:rFonts w:ascii="Century Gothic" w:hAnsi="Century Gothic"/>
        </w:rPr>
        <w:t xml:space="preserve"> </w:t>
      </w:r>
      <w:r w:rsidR="006A608D" w:rsidRPr="006A608D">
        <w:rPr>
          <w:rFonts w:ascii="Century Gothic" w:hAnsi="Century Gothic"/>
          <w:i/>
          <w:iCs/>
        </w:rPr>
        <w:t>et al.,</w:t>
      </w:r>
      <w:r w:rsidR="006A608D">
        <w:rPr>
          <w:rFonts w:ascii="Century Gothic" w:hAnsi="Century Gothic"/>
        </w:rPr>
        <w:t xml:space="preserve"> </w:t>
      </w:r>
      <w:r w:rsidRPr="00AD22F0">
        <w:rPr>
          <w:rFonts w:ascii="Century Gothic" w:hAnsi="Century Gothic"/>
        </w:rPr>
        <w:t xml:space="preserve">2019) has provided a clear structure for aligning my worldview with my methods, while engaging with </w:t>
      </w:r>
      <w:r w:rsidR="0061346D">
        <w:rPr>
          <w:rFonts w:ascii="Century Gothic" w:hAnsi="Century Gothic"/>
        </w:rPr>
        <w:t>academic literature from</w:t>
      </w:r>
      <w:r w:rsidRPr="00AD22F0">
        <w:rPr>
          <w:rFonts w:ascii="Century Gothic" w:hAnsi="Century Gothic"/>
        </w:rPr>
        <w:t xml:space="preserve"> Lincoln </w:t>
      </w:r>
      <w:r w:rsidR="0061346D">
        <w:rPr>
          <w:rFonts w:ascii="Century Gothic" w:hAnsi="Century Gothic"/>
        </w:rPr>
        <w:t>and</w:t>
      </w:r>
      <w:r w:rsidRPr="00AD22F0">
        <w:rPr>
          <w:rFonts w:ascii="Century Gothic" w:hAnsi="Century Gothic"/>
        </w:rPr>
        <w:t xml:space="preserve"> Guba (1985) and Braun and Clarke (20</w:t>
      </w:r>
      <w:r w:rsidR="0061346D">
        <w:rPr>
          <w:rFonts w:ascii="Century Gothic" w:hAnsi="Century Gothic"/>
        </w:rPr>
        <w:t>06; 2022</w:t>
      </w:r>
      <w:r w:rsidRPr="00AD22F0">
        <w:rPr>
          <w:rFonts w:ascii="Century Gothic" w:hAnsi="Century Gothic"/>
        </w:rPr>
        <w:t>) has reinforced the value of reflexivity, trustworthiness, and transparent analysis in qualitative work.</w:t>
      </w:r>
    </w:p>
    <w:p w14:paraId="5FE08777" w14:textId="2F7C3D50" w:rsidR="00700AA6" w:rsidRPr="00985EF8" w:rsidRDefault="00700AA6" w:rsidP="006A2B0E">
      <w:pPr>
        <w:spacing w:line="360" w:lineRule="auto"/>
        <w:rPr>
          <w:rFonts w:ascii="Century Gothic" w:hAnsi="Century Gothic"/>
        </w:rPr>
      </w:pPr>
      <w:r w:rsidRPr="00AD22F0">
        <w:rPr>
          <w:rFonts w:ascii="Century Gothic" w:hAnsi="Century Gothic"/>
        </w:rPr>
        <w:t>Importantly, this assignment has strengthened my commitment to elevating teacher voice in research and to adopting approaches that are emotionally intelligent, ethically grounded, and contextually aware (Hollway &amp; Jefferson, 2013; BERA, 2024). These insights will inform my future practice as a more reflective and research-informed educator, able to engage critically with evidence while remaining sensitive to the emotional realities of school life</w:t>
      </w:r>
      <w:r w:rsidR="0098115C">
        <w:rPr>
          <w:rFonts w:ascii="Century Gothic" w:hAnsi="Century Gothic"/>
        </w:rPr>
        <w:t xml:space="preserve"> for the sake of the student teachers in my care</w:t>
      </w:r>
      <w:r w:rsidRPr="00985EF8">
        <w:rPr>
          <w:rFonts w:ascii="Century Gothic" w:hAnsi="Century Gothic"/>
        </w:rPr>
        <w:t>.</w:t>
      </w:r>
    </w:p>
    <w:p w14:paraId="25224A04" w14:textId="5418C897" w:rsidR="00684FDD" w:rsidRPr="00985EF8" w:rsidRDefault="00684FDD" w:rsidP="006A2B0E">
      <w:pPr>
        <w:spacing w:line="360" w:lineRule="auto"/>
        <w:rPr>
          <w:rFonts w:ascii="Century Gothic" w:hAnsi="Century Gothic"/>
        </w:rPr>
      </w:pPr>
    </w:p>
    <w:p w14:paraId="335D7419" w14:textId="77777777" w:rsidR="00700AA6" w:rsidRPr="00985EF8" w:rsidRDefault="00700AA6" w:rsidP="006A2B0E">
      <w:pPr>
        <w:spacing w:line="360" w:lineRule="auto"/>
        <w:rPr>
          <w:rFonts w:ascii="Century Gothic" w:hAnsi="Century Gothic"/>
        </w:rPr>
      </w:pPr>
    </w:p>
    <w:p w14:paraId="41AF6ABD" w14:textId="77777777" w:rsidR="00700AA6" w:rsidRDefault="00700AA6" w:rsidP="006A2B0E">
      <w:pPr>
        <w:spacing w:line="360" w:lineRule="auto"/>
        <w:rPr>
          <w:rFonts w:ascii="Century Gothic" w:hAnsi="Century Gothic"/>
        </w:rPr>
      </w:pPr>
    </w:p>
    <w:p w14:paraId="46C44CC1" w14:textId="77777777" w:rsidR="00231227" w:rsidRDefault="00231227" w:rsidP="006A2B0E">
      <w:pPr>
        <w:spacing w:line="360" w:lineRule="auto"/>
        <w:rPr>
          <w:rFonts w:ascii="Century Gothic" w:hAnsi="Century Gothic"/>
        </w:rPr>
      </w:pPr>
    </w:p>
    <w:p w14:paraId="5DEE72C4" w14:textId="77777777" w:rsidR="00231227" w:rsidRDefault="00231227" w:rsidP="006A2B0E">
      <w:pPr>
        <w:spacing w:line="360" w:lineRule="auto"/>
        <w:rPr>
          <w:rFonts w:ascii="Century Gothic" w:hAnsi="Century Gothic"/>
        </w:rPr>
      </w:pPr>
    </w:p>
    <w:p w14:paraId="198408E8" w14:textId="77777777" w:rsidR="00231227" w:rsidRDefault="00231227" w:rsidP="006A2B0E">
      <w:pPr>
        <w:spacing w:line="360" w:lineRule="auto"/>
        <w:rPr>
          <w:rFonts w:ascii="Century Gothic" w:hAnsi="Century Gothic"/>
        </w:rPr>
      </w:pPr>
    </w:p>
    <w:p w14:paraId="05367E07" w14:textId="77777777" w:rsidR="00231227" w:rsidRDefault="00231227" w:rsidP="006A2B0E">
      <w:pPr>
        <w:spacing w:line="360" w:lineRule="auto"/>
        <w:rPr>
          <w:rFonts w:ascii="Century Gothic" w:hAnsi="Century Gothic"/>
        </w:rPr>
      </w:pPr>
    </w:p>
    <w:p w14:paraId="4D5E4ADE" w14:textId="77777777" w:rsidR="00231227" w:rsidRDefault="00231227" w:rsidP="006A2B0E">
      <w:pPr>
        <w:spacing w:line="360" w:lineRule="auto"/>
        <w:rPr>
          <w:rFonts w:ascii="Century Gothic" w:hAnsi="Century Gothic"/>
        </w:rPr>
      </w:pPr>
    </w:p>
    <w:p w14:paraId="67882FDA" w14:textId="77777777" w:rsidR="00231227" w:rsidRDefault="00231227" w:rsidP="006A2B0E">
      <w:pPr>
        <w:spacing w:line="360" w:lineRule="auto"/>
        <w:rPr>
          <w:rFonts w:ascii="Century Gothic" w:hAnsi="Century Gothic"/>
        </w:rPr>
      </w:pPr>
    </w:p>
    <w:p w14:paraId="260BB3DE" w14:textId="77777777" w:rsidR="00231227" w:rsidRDefault="00231227" w:rsidP="006A2B0E">
      <w:pPr>
        <w:spacing w:line="360" w:lineRule="auto"/>
        <w:rPr>
          <w:rFonts w:ascii="Century Gothic" w:hAnsi="Century Gothic"/>
        </w:rPr>
      </w:pPr>
    </w:p>
    <w:p w14:paraId="620A0553" w14:textId="77777777" w:rsidR="00231227" w:rsidRPr="00985EF8" w:rsidRDefault="00231227" w:rsidP="006A2B0E">
      <w:pPr>
        <w:spacing w:line="360" w:lineRule="auto"/>
        <w:rPr>
          <w:rFonts w:ascii="Century Gothic" w:hAnsi="Century Gothic"/>
        </w:rPr>
      </w:pPr>
    </w:p>
    <w:p w14:paraId="4159A1FF" w14:textId="4B528D7F" w:rsidR="00700AA6" w:rsidRPr="00985EF8" w:rsidRDefault="00231227" w:rsidP="00231227">
      <w:pPr>
        <w:pStyle w:val="Heading1"/>
        <w:rPr>
          <w:rFonts w:ascii="Century Gothic" w:hAnsi="Century Gothic"/>
        </w:rPr>
      </w:pPr>
      <w:r>
        <w:lastRenderedPageBreak/>
        <w:t>Reference List</w:t>
      </w:r>
    </w:p>
    <w:p w14:paraId="78885024" w14:textId="52B08A72" w:rsidR="00700AA6" w:rsidRDefault="00700AA6" w:rsidP="006A2B0E">
      <w:pPr>
        <w:spacing w:line="360" w:lineRule="auto"/>
        <w:rPr>
          <w:rFonts w:ascii="Century Gothic" w:hAnsi="Century Gothic"/>
        </w:rPr>
      </w:pPr>
      <w:r w:rsidRPr="00985EF8">
        <w:rPr>
          <w:rFonts w:ascii="Century Gothic" w:hAnsi="Century Gothic"/>
        </w:rPr>
        <w:t xml:space="preserve">Alderson, P. and Morrow, V., </w:t>
      </w:r>
      <w:r w:rsidR="00BD772D">
        <w:rPr>
          <w:rFonts w:ascii="Century Gothic" w:hAnsi="Century Gothic"/>
        </w:rPr>
        <w:t>(</w:t>
      </w:r>
      <w:r w:rsidRPr="00985EF8">
        <w:rPr>
          <w:rFonts w:ascii="Century Gothic" w:hAnsi="Century Gothic"/>
        </w:rPr>
        <w:t>2020</w:t>
      </w:r>
      <w:r w:rsidR="00BD772D">
        <w:rPr>
          <w:rFonts w:ascii="Century Gothic" w:hAnsi="Century Gothic"/>
        </w:rPr>
        <w:t>)</w:t>
      </w:r>
      <w:r w:rsidRPr="00985EF8">
        <w:rPr>
          <w:rFonts w:ascii="Century Gothic" w:hAnsi="Century Gothic"/>
        </w:rPr>
        <w:t xml:space="preserve">. </w:t>
      </w:r>
      <w:r w:rsidRPr="00985EF8">
        <w:rPr>
          <w:rFonts w:ascii="Century Gothic" w:hAnsi="Century Gothic"/>
          <w:i/>
          <w:iCs/>
        </w:rPr>
        <w:t>The ethics of research with children and young people</w:t>
      </w:r>
      <w:r w:rsidRPr="00985EF8">
        <w:rPr>
          <w:rFonts w:ascii="Century Gothic" w:hAnsi="Century Gothic"/>
        </w:rPr>
        <w:t>. 2nd ed. London: SAGE Publications.</w:t>
      </w:r>
    </w:p>
    <w:p w14:paraId="296579CA" w14:textId="1D109E00" w:rsidR="00BD772D" w:rsidRPr="00BD772D" w:rsidRDefault="00BD772D" w:rsidP="00BD772D">
      <w:pPr>
        <w:spacing w:before="100" w:beforeAutospacing="1" w:after="100" w:afterAutospacing="1" w:line="360" w:lineRule="auto"/>
        <w:rPr>
          <w:rFonts w:ascii="Century Gothic" w:eastAsia="Times New Roman" w:hAnsi="Century Gothic" w:cs="Times New Roman"/>
          <w:kern w:val="0"/>
          <w14:ligatures w14:val="none"/>
        </w:rPr>
      </w:pPr>
      <w:r w:rsidRPr="00BD772D">
        <w:rPr>
          <w:rFonts w:ascii="Century Gothic" w:eastAsia="Times New Roman" w:hAnsi="Century Gothic" w:cs="Times New Roman"/>
          <w:kern w:val="0"/>
          <w14:ligatures w14:val="none"/>
        </w:rPr>
        <w:t xml:space="preserve">Asselin, M., </w:t>
      </w:r>
      <w:r>
        <w:rPr>
          <w:rFonts w:ascii="Century Gothic" w:eastAsia="Times New Roman" w:hAnsi="Century Gothic" w:cs="Times New Roman"/>
          <w:kern w:val="0"/>
          <w14:ligatures w14:val="none"/>
        </w:rPr>
        <w:t>(</w:t>
      </w:r>
      <w:r w:rsidRPr="00BD772D">
        <w:rPr>
          <w:rFonts w:ascii="Century Gothic" w:eastAsia="Times New Roman" w:hAnsi="Century Gothic" w:cs="Times New Roman"/>
          <w:kern w:val="0"/>
          <w14:ligatures w14:val="none"/>
        </w:rPr>
        <w:t>2003</w:t>
      </w:r>
      <w:r>
        <w:rPr>
          <w:rFonts w:ascii="Century Gothic" w:eastAsia="Times New Roman" w:hAnsi="Century Gothic" w:cs="Times New Roman"/>
          <w:kern w:val="0"/>
          <w14:ligatures w14:val="none"/>
        </w:rPr>
        <w:t>)</w:t>
      </w:r>
      <w:r w:rsidRPr="00BD772D">
        <w:rPr>
          <w:rFonts w:ascii="Century Gothic" w:eastAsia="Times New Roman" w:hAnsi="Century Gothic" w:cs="Times New Roman"/>
          <w:kern w:val="0"/>
          <w14:ligatures w14:val="none"/>
        </w:rPr>
        <w:t xml:space="preserve">. Insider research: Issues to consider when doing qualitative research in your own setting. </w:t>
      </w:r>
      <w:r w:rsidRPr="00BD772D">
        <w:rPr>
          <w:rFonts w:ascii="Century Gothic" w:eastAsia="Times New Roman" w:hAnsi="Century Gothic" w:cs="Times New Roman"/>
          <w:i/>
          <w:iCs/>
          <w:kern w:val="0"/>
          <w14:ligatures w14:val="none"/>
        </w:rPr>
        <w:t>Journal for Nurses in Staff Development</w:t>
      </w:r>
      <w:r w:rsidRPr="00BD772D">
        <w:rPr>
          <w:rFonts w:ascii="Century Gothic" w:eastAsia="Times New Roman" w:hAnsi="Century Gothic" w:cs="Times New Roman"/>
          <w:kern w:val="0"/>
          <w14:ligatures w14:val="none"/>
        </w:rPr>
        <w:t>, 19(2), pp.99–103.</w:t>
      </w:r>
    </w:p>
    <w:p w14:paraId="207764A6" w14:textId="73DDCF58" w:rsidR="00700AA6" w:rsidRPr="00985EF8" w:rsidRDefault="00700AA6" w:rsidP="006A2B0E">
      <w:pPr>
        <w:spacing w:line="360" w:lineRule="auto"/>
        <w:rPr>
          <w:rFonts w:ascii="Century Gothic" w:hAnsi="Century Gothic"/>
        </w:rPr>
      </w:pPr>
      <w:r w:rsidRPr="00985EF8">
        <w:rPr>
          <w:rFonts w:ascii="Century Gothic" w:hAnsi="Century Gothic"/>
        </w:rPr>
        <w:t>Bakker, A</w:t>
      </w:r>
      <w:r w:rsidR="00BD772D">
        <w:rPr>
          <w:rFonts w:ascii="Century Gothic" w:hAnsi="Century Gothic"/>
        </w:rPr>
        <w:t>.</w:t>
      </w:r>
      <w:r w:rsidRPr="00985EF8">
        <w:rPr>
          <w:rFonts w:ascii="Century Gothic" w:hAnsi="Century Gothic"/>
        </w:rPr>
        <w:t xml:space="preserve"> and Demerouti, E., </w:t>
      </w:r>
      <w:r w:rsidR="00BD772D">
        <w:rPr>
          <w:rFonts w:ascii="Century Gothic" w:hAnsi="Century Gothic"/>
        </w:rPr>
        <w:t>(</w:t>
      </w:r>
      <w:r w:rsidRPr="00985EF8">
        <w:rPr>
          <w:rFonts w:ascii="Century Gothic" w:hAnsi="Century Gothic"/>
        </w:rPr>
        <w:t>2007</w:t>
      </w:r>
      <w:r w:rsidR="00BD772D">
        <w:rPr>
          <w:rFonts w:ascii="Century Gothic" w:hAnsi="Century Gothic"/>
        </w:rPr>
        <w:t>)</w:t>
      </w:r>
      <w:r w:rsidRPr="00985EF8">
        <w:rPr>
          <w:rFonts w:ascii="Century Gothic" w:hAnsi="Century Gothic"/>
        </w:rPr>
        <w:t xml:space="preserve">. The Job Demands–Resources model: State of the art. </w:t>
      </w:r>
      <w:r w:rsidRPr="00985EF8">
        <w:rPr>
          <w:rFonts w:ascii="Century Gothic" w:hAnsi="Century Gothic"/>
          <w:i/>
          <w:iCs/>
        </w:rPr>
        <w:t>Journal of Managerial Psychology</w:t>
      </w:r>
      <w:r w:rsidRPr="00985EF8">
        <w:rPr>
          <w:rFonts w:ascii="Century Gothic" w:hAnsi="Century Gothic"/>
        </w:rPr>
        <w:t>, 22(3), pp.309–328.</w:t>
      </w:r>
    </w:p>
    <w:p w14:paraId="1F5CF99E" w14:textId="558BE286" w:rsidR="00700AA6" w:rsidRPr="00985EF8" w:rsidRDefault="00700AA6" w:rsidP="006A2B0E">
      <w:pPr>
        <w:spacing w:line="360" w:lineRule="auto"/>
        <w:rPr>
          <w:rFonts w:ascii="Century Gothic" w:hAnsi="Century Gothic"/>
        </w:rPr>
      </w:pPr>
      <w:r w:rsidRPr="00985EF8">
        <w:rPr>
          <w:rFonts w:ascii="Century Gothic" w:hAnsi="Century Gothic"/>
        </w:rPr>
        <w:t xml:space="preserve">BERA, </w:t>
      </w:r>
      <w:r w:rsidR="00BD772D">
        <w:rPr>
          <w:rFonts w:ascii="Century Gothic" w:hAnsi="Century Gothic"/>
        </w:rPr>
        <w:t>(</w:t>
      </w:r>
      <w:r w:rsidRPr="00985EF8">
        <w:rPr>
          <w:rFonts w:ascii="Century Gothic" w:hAnsi="Century Gothic"/>
        </w:rPr>
        <w:t>2024</w:t>
      </w:r>
      <w:r w:rsidR="00BD772D">
        <w:rPr>
          <w:rFonts w:ascii="Century Gothic" w:hAnsi="Century Gothic"/>
        </w:rPr>
        <w:t>)</w:t>
      </w:r>
      <w:r w:rsidRPr="00985EF8">
        <w:rPr>
          <w:rFonts w:ascii="Century Gothic" w:hAnsi="Century Gothic"/>
        </w:rPr>
        <w:t xml:space="preserve">. </w:t>
      </w:r>
      <w:r w:rsidRPr="00985EF8">
        <w:rPr>
          <w:rFonts w:ascii="Century Gothic" w:hAnsi="Century Gothic"/>
          <w:i/>
          <w:iCs/>
        </w:rPr>
        <w:t>Ethical Guidelines for Educational Research</w:t>
      </w:r>
      <w:r w:rsidRPr="00985EF8">
        <w:rPr>
          <w:rFonts w:ascii="Century Gothic" w:hAnsi="Century Gothic"/>
        </w:rPr>
        <w:t xml:space="preserve">. 5th ed. Available at: </w:t>
      </w:r>
      <w:r w:rsidRPr="00BD772D">
        <w:rPr>
          <w:rFonts w:ascii="Century Gothic" w:hAnsi="Century Gothic"/>
        </w:rPr>
        <w:t>https://www.bera.ac.uk/publication/ethical-guidelines-for-educational-research-fifth-edition-2024</w:t>
      </w:r>
      <w:r w:rsidRPr="00985EF8">
        <w:rPr>
          <w:rFonts w:ascii="Century Gothic" w:hAnsi="Century Gothic"/>
        </w:rPr>
        <w:t xml:space="preserve"> [Accessed </w:t>
      </w:r>
      <w:r w:rsidR="00BD772D">
        <w:rPr>
          <w:rFonts w:ascii="Century Gothic" w:hAnsi="Century Gothic"/>
        </w:rPr>
        <w:t>12</w:t>
      </w:r>
      <w:r w:rsidRPr="00985EF8">
        <w:rPr>
          <w:rFonts w:ascii="Century Gothic" w:hAnsi="Century Gothic"/>
        </w:rPr>
        <w:t xml:space="preserve"> Apr. 2025].</w:t>
      </w:r>
    </w:p>
    <w:p w14:paraId="4CE0D68C" w14:textId="6BF67B7F" w:rsidR="00700AA6" w:rsidRPr="00985EF8" w:rsidRDefault="00700AA6" w:rsidP="006A2B0E">
      <w:pPr>
        <w:spacing w:line="360" w:lineRule="auto"/>
        <w:rPr>
          <w:rFonts w:ascii="Century Gothic" w:hAnsi="Century Gothic"/>
        </w:rPr>
      </w:pPr>
      <w:r w:rsidRPr="00985EF8">
        <w:rPr>
          <w:rFonts w:ascii="Century Gothic" w:hAnsi="Century Gothic"/>
        </w:rPr>
        <w:t xml:space="preserve">Berger, R., </w:t>
      </w:r>
      <w:r w:rsidR="00BD772D">
        <w:rPr>
          <w:rFonts w:ascii="Century Gothic" w:hAnsi="Century Gothic"/>
        </w:rPr>
        <w:t>(</w:t>
      </w:r>
      <w:r w:rsidRPr="00985EF8">
        <w:rPr>
          <w:rFonts w:ascii="Century Gothic" w:hAnsi="Century Gothic"/>
        </w:rPr>
        <w:t>2015</w:t>
      </w:r>
      <w:r w:rsidR="00BD772D">
        <w:rPr>
          <w:rFonts w:ascii="Century Gothic" w:hAnsi="Century Gothic"/>
        </w:rPr>
        <w:t>)</w:t>
      </w:r>
      <w:r w:rsidRPr="00985EF8">
        <w:rPr>
          <w:rFonts w:ascii="Century Gothic" w:hAnsi="Century Gothic"/>
        </w:rPr>
        <w:t xml:space="preserve">. Now I see it, now I don’t: Researcher’s position and reflexivity in qualitative research. </w:t>
      </w:r>
      <w:r w:rsidRPr="00985EF8">
        <w:rPr>
          <w:rFonts w:ascii="Century Gothic" w:hAnsi="Century Gothic"/>
          <w:i/>
          <w:iCs/>
        </w:rPr>
        <w:t>Qualitative Research</w:t>
      </w:r>
      <w:r w:rsidRPr="00985EF8">
        <w:rPr>
          <w:rFonts w:ascii="Century Gothic" w:hAnsi="Century Gothic"/>
        </w:rPr>
        <w:t>, 15(2), pp.219–234.</w:t>
      </w:r>
    </w:p>
    <w:p w14:paraId="6893A2E1" w14:textId="397BD3C4" w:rsidR="00700AA6" w:rsidRPr="00985EF8" w:rsidRDefault="00700AA6" w:rsidP="006A2B0E">
      <w:pPr>
        <w:spacing w:line="360" w:lineRule="auto"/>
        <w:rPr>
          <w:rFonts w:ascii="Century Gothic" w:hAnsi="Century Gothic"/>
        </w:rPr>
      </w:pPr>
      <w:r w:rsidRPr="00985EF8">
        <w:rPr>
          <w:rFonts w:ascii="Century Gothic" w:hAnsi="Century Gothic"/>
        </w:rPr>
        <w:t xml:space="preserve">Birt, L., Scott, S., Cavers, D., Campbell, C. and Walter, F., </w:t>
      </w:r>
      <w:r w:rsidR="00BD772D">
        <w:rPr>
          <w:rFonts w:ascii="Century Gothic" w:hAnsi="Century Gothic"/>
        </w:rPr>
        <w:t>(</w:t>
      </w:r>
      <w:r w:rsidRPr="00985EF8">
        <w:rPr>
          <w:rFonts w:ascii="Century Gothic" w:hAnsi="Century Gothic"/>
        </w:rPr>
        <w:t>2016</w:t>
      </w:r>
      <w:r w:rsidR="00BD772D">
        <w:rPr>
          <w:rFonts w:ascii="Century Gothic" w:hAnsi="Century Gothic"/>
        </w:rPr>
        <w:t>)</w:t>
      </w:r>
      <w:r w:rsidRPr="00985EF8">
        <w:rPr>
          <w:rFonts w:ascii="Century Gothic" w:hAnsi="Century Gothic"/>
        </w:rPr>
        <w:t xml:space="preserve">. Member checking: A tool to enhance trustworthiness or merely a nod to validation? </w:t>
      </w:r>
      <w:r w:rsidRPr="00985EF8">
        <w:rPr>
          <w:rFonts w:ascii="Century Gothic" w:hAnsi="Century Gothic"/>
          <w:i/>
          <w:iCs/>
        </w:rPr>
        <w:t>Qualitative Health Research</w:t>
      </w:r>
      <w:r w:rsidRPr="00985EF8">
        <w:rPr>
          <w:rFonts w:ascii="Century Gothic" w:hAnsi="Century Gothic"/>
        </w:rPr>
        <w:t>, 26(13), pp.1802–1811.</w:t>
      </w:r>
    </w:p>
    <w:p w14:paraId="02DC92C5" w14:textId="73F75E67" w:rsidR="00700AA6" w:rsidRPr="00985EF8" w:rsidRDefault="00700AA6" w:rsidP="006A2B0E">
      <w:pPr>
        <w:spacing w:line="360" w:lineRule="auto"/>
        <w:rPr>
          <w:rFonts w:ascii="Century Gothic" w:hAnsi="Century Gothic"/>
        </w:rPr>
      </w:pPr>
      <w:r w:rsidRPr="00985EF8">
        <w:rPr>
          <w:rFonts w:ascii="Century Gothic" w:hAnsi="Century Gothic"/>
        </w:rPr>
        <w:t xml:space="preserve">Blumer, H., </w:t>
      </w:r>
      <w:r w:rsidR="009A1ADF">
        <w:rPr>
          <w:rFonts w:ascii="Century Gothic" w:hAnsi="Century Gothic"/>
        </w:rPr>
        <w:t>(</w:t>
      </w:r>
      <w:r w:rsidRPr="00985EF8">
        <w:rPr>
          <w:rFonts w:ascii="Century Gothic" w:hAnsi="Century Gothic"/>
        </w:rPr>
        <w:t>1969</w:t>
      </w:r>
      <w:r w:rsidR="009A1ADF">
        <w:rPr>
          <w:rFonts w:ascii="Century Gothic" w:hAnsi="Century Gothic"/>
        </w:rPr>
        <w:t>)</w:t>
      </w:r>
      <w:r w:rsidRPr="00985EF8">
        <w:rPr>
          <w:rFonts w:ascii="Century Gothic" w:hAnsi="Century Gothic"/>
        </w:rPr>
        <w:t xml:space="preserve">. </w:t>
      </w:r>
      <w:r w:rsidRPr="00985EF8">
        <w:rPr>
          <w:rFonts w:ascii="Century Gothic" w:hAnsi="Century Gothic"/>
          <w:i/>
          <w:iCs/>
        </w:rPr>
        <w:t>Symbolic interactionism: Perspective and method</w:t>
      </w:r>
      <w:r w:rsidRPr="00985EF8">
        <w:rPr>
          <w:rFonts w:ascii="Century Gothic" w:hAnsi="Century Gothic"/>
        </w:rPr>
        <w:t>. Englewood Cliffs, NJ: Prentice-Hall.</w:t>
      </w:r>
    </w:p>
    <w:p w14:paraId="62F73ACC" w14:textId="7B63F429" w:rsidR="00700AA6" w:rsidRPr="00985EF8" w:rsidRDefault="00700AA6" w:rsidP="006A2B0E">
      <w:pPr>
        <w:spacing w:line="360" w:lineRule="auto"/>
        <w:rPr>
          <w:rFonts w:ascii="Century Gothic" w:hAnsi="Century Gothic"/>
        </w:rPr>
      </w:pPr>
      <w:r w:rsidRPr="00985EF8">
        <w:rPr>
          <w:rFonts w:ascii="Century Gothic" w:hAnsi="Century Gothic"/>
        </w:rPr>
        <w:t xml:space="preserve">Braun, V. and Clarke, V., </w:t>
      </w:r>
      <w:r w:rsidR="009A1ADF">
        <w:rPr>
          <w:rFonts w:ascii="Century Gothic" w:hAnsi="Century Gothic"/>
        </w:rPr>
        <w:t>(</w:t>
      </w:r>
      <w:r w:rsidRPr="00985EF8">
        <w:rPr>
          <w:rFonts w:ascii="Century Gothic" w:hAnsi="Century Gothic"/>
        </w:rPr>
        <w:t>2006</w:t>
      </w:r>
      <w:r w:rsidR="009A1ADF">
        <w:rPr>
          <w:rFonts w:ascii="Century Gothic" w:hAnsi="Century Gothic"/>
        </w:rPr>
        <w:t>)</w:t>
      </w:r>
      <w:r w:rsidRPr="00985EF8">
        <w:rPr>
          <w:rFonts w:ascii="Century Gothic" w:hAnsi="Century Gothic"/>
        </w:rPr>
        <w:t xml:space="preserve">. Using thematic analysis in psychology. </w:t>
      </w:r>
      <w:r w:rsidRPr="00985EF8">
        <w:rPr>
          <w:rFonts w:ascii="Century Gothic" w:hAnsi="Century Gothic"/>
          <w:i/>
          <w:iCs/>
        </w:rPr>
        <w:t>Qualitative Research in Psychology</w:t>
      </w:r>
      <w:r w:rsidRPr="00985EF8">
        <w:rPr>
          <w:rFonts w:ascii="Century Gothic" w:hAnsi="Century Gothic"/>
        </w:rPr>
        <w:t>, 3(2), pp.77–101.</w:t>
      </w:r>
    </w:p>
    <w:p w14:paraId="41979CE5" w14:textId="7F052E23" w:rsidR="00700AA6" w:rsidRDefault="00700AA6" w:rsidP="006A2B0E">
      <w:pPr>
        <w:spacing w:line="360" w:lineRule="auto"/>
        <w:rPr>
          <w:rFonts w:ascii="Century Gothic" w:hAnsi="Century Gothic"/>
        </w:rPr>
      </w:pPr>
      <w:r w:rsidRPr="00985EF8">
        <w:rPr>
          <w:rFonts w:ascii="Century Gothic" w:hAnsi="Century Gothic"/>
        </w:rPr>
        <w:t xml:space="preserve">Braun, V. and Clarke, V., </w:t>
      </w:r>
      <w:r w:rsidR="009A1ADF">
        <w:rPr>
          <w:rFonts w:ascii="Century Gothic" w:hAnsi="Century Gothic"/>
        </w:rPr>
        <w:t>(</w:t>
      </w:r>
      <w:r w:rsidRPr="00985EF8">
        <w:rPr>
          <w:rFonts w:ascii="Century Gothic" w:hAnsi="Century Gothic"/>
        </w:rPr>
        <w:t>2022</w:t>
      </w:r>
      <w:r w:rsidR="009A1ADF">
        <w:rPr>
          <w:rFonts w:ascii="Century Gothic" w:hAnsi="Century Gothic"/>
        </w:rPr>
        <w:t>)</w:t>
      </w:r>
      <w:r w:rsidRPr="00985EF8">
        <w:rPr>
          <w:rFonts w:ascii="Century Gothic" w:hAnsi="Century Gothic"/>
        </w:rPr>
        <w:t xml:space="preserve">. </w:t>
      </w:r>
      <w:r w:rsidRPr="00985EF8">
        <w:rPr>
          <w:rFonts w:ascii="Century Gothic" w:hAnsi="Century Gothic"/>
          <w:i/>
          <w:iCs/>
        </w:rPr>
        <w:t>Thematic analysis: A practical guide</w:t>
      </w:r>
      <w:r w:rsidRPr="00985EF8">
        <w:rPr>
          <w:rFonts w:ascii="Century Gothic" w:hAnsi="Century Gothic"/>
        </w:rPr>
        <w:t>. London: SAGE Publications.</w:t>
      </w:r>
    </w:p>
    <w:p w14:paraId="0BA0672C" w14:textId="08253503" w:rsidR="00BD772D" w:rsidRPr="00404835" w:rsidRDefault="00BD772D" w:rsidP="00BD772D">
      <w:pPr>
        <w:spacing w:line="360" w:lineRule="auto"/>
        <w:rPr>
          <w:rFonts w:ascii="Century Gothic" w:hAnsi="Century Gothic"/>
        </w:rPr>
      </w:pPr>
      <w:r w:rsidRPr="00404835">
        <w:rPr>
          <w:rFonts w:ascii="Century Gothic" w:hAnsi="Century Gothic"/>
        </w:rPr>
        <w:t xml:space="preserve">Bryman, A., </w:t>
      </w:r>
      <w:r w:rsidR="009A1ADF">
        <w:rPr>
          <w:rFonts w:ascii="Century Gothic" w:hAnsi="Century Gothic"/>
        </w:rPr>
        <w:t>(</w:t>
      </w:r>
      <w:r w:rsidRPr="00404835">
        <w:rPr>
          <w:rFonts w:ascii="Century Gothic" w:hAnsi="Century Gothic"/>
        </w:rPr>
        <w:t>2016</w:t>
      </w:r>
      <w:r w:rsidR="009A1ADF">
        <w:rPr>
          <w:rFonts w:ascii="Century Gothic" w:hAnsi="Century Gothic"/>
        </w:rPr>
        <w:t>)</w:t>
      </w:r>
      <w:r w:rsidRPr="00404835">
        <w:rPr>
          <w:rFonts w:ascii="Century Gothic" w:hAnsi="Century Gothic"/>
        </w:rPr>
        <w:t xml:space="preserve">. </w:t>
      </w:r>
      <w:r w:rsidRPr="00404835">
        <w:rPr>
          <w:rFonts w:ascii="Century Gothic" w:hAnsi="Century Gothic"/>
          <w:i/>
          <w:iCs/>
        </w:rPr>
        <w:t>Social research methods</w:t>
      </w:r>
      <w:r w:rsidRPr="00404835">
        <w:rPr>
          <w:rFonts w:ascii="Century Gothic" w:hAnsi="Century Gothic"/>
        </w:rPr>
        <w:t>. 5th ed. Oxford: Oxford University Press.</w:t>
      </w:r>
    </w:p>
    <w:p w14:paraId="706AE68A" w14:textId="4C6905E3" w:rsidR="00700AA6" w:rsidRPr="00985EF8" w:rsidRDefault="00700AA6" w:rsidP="006A2B0E">
      <w:pPr>
        <w:spacing w:line="360" w:lineRule="auto"/>
        <w:rPr>
          <w:rFonts w:ascii="Century Gothic" w:hAnsi="Century Gothic"/>
        </w:rPr>
      </w:pPr>
      <w:r w:rsidRPr="00985EF8">
        <w:rPr>
          <w:rFonts w:ascii="Century Gothic" w:hAnsi="Century Gothic"/>
        </w:rPr>
        <w:t xml:space="preserve">Charmaz, K., </w:t>
      </w:r>
      <w:r w:rsidR="009A1ADF">
        <w:rPr>
          <w:rFonts w:ascii="Century Gothic" w:hAnsi="Century Gothic"/>
        </w:rPr>
        <w:t>(</w:t>
      </w:r>
      <w:r w:rsidRPr="00985EF8">
        <w:rPr>
          <w:rFonts w:ascii="Century Gothic" w:hAnsi="Century Gothic"/>
        </w:rPr>
        <w:t>2014</w:t>
      </w:r>
      <w:r w:rsidR="009A1ADF">
        <w:rPr>
          <w:rFonts w:ascii="Century Gothic" w:hAnsi="Century Gothic"/>
        </w:rPr>
        <w:t>)</w:t>
      </w:r>
      <w:r w:rsidRPr="00985EF8">
        <w:rPr>
          <w:rFonts w:ascii="Century Gothic" w:hAnsi="Century Gothic"/>
        </w:rPr>
        <w:t xml:space="preserve">. </w:t>
      </w:r>
      <w:r w:rsidRPr="00985EF8">
        <w:rPr>
          <w:rFonts w:ascii="Century Gothic" w:hAnsi="Century Gothic"/>
          <w:i/>
          <w:iCs/>
        </w:rPr>
        <w:t>Constructing grounded theory</w:t>
      </w:r>
      <w:r w:rsidRPr="00985EF8">
        <w:rPr>
          <w:rFonts w:ascii="Century Gothic" w:hAnsi="Century Gothic"/>
        </w:rPr>
        <w:t>. 2nd ed. London: SAGE Publications.</w:t>
      </w:r>
    </w:p>
    <w:p w14:paraId="501B24CF" w14:textId="3504D4CE" w:rsidR="00700AA6" w:rsidRPr="00985EF8" w:rsidRDefault="00700AA6" w:rsidP="006A2B0E">
      <w:pPr>
        <w:spacing w:line="360" w:lineRule="auto"/>
        <w:rPr>
          <w:rFonts w:ascii="Century Gothic" w:hAnsi="Century Gothic"/>
        </w:rPr>
      </w:pPr>
      <w:r w:rsidRPr="00985EF8">
        <w:rPr>
          <w:rFonts w:ascii="Century Gothic" w:hAnsi="Century Gothic"/>
        </w:rPr>
        <w:t xml:space="preserve">Clarke, V. and Braun, V., </w:t>
      </w:r>
      <w:r w:rsidR="009A1ADF">
        <w:rPr>
          <w:rFonts w:ascii="Century Gothic" w:hAnsi="Century Gothic"/>
        </w:rPr>
        <w:t>(</w:t>
      </w:r>
      <w:r w:rsidRPr="00985EF8">
        <w:rPr>
          <w:rFonts w:ascii="Century Gothic" w:hAnsi="Century Gothic"/>
        </w:rPr>
        <w:t>2018</w:t>
      </w:r>
      <w:r w:rsidR="009A1ADF">
        <w:rPr>
          <w:rFonts w:ascii="Century Gothic" w:hAnsi="Century Gothic"/>
        </w:rPr>
        <w:t>)</w:t>
      </w:r>
      <w:r w:rsidRPr="00985EF8">
        <w:rPr>
          <w:rFonts w:ascii="Century Gothic" w:hAnsi="Century Gothic"/>
        </w:rPr>
        <w:t xml:space="preserve">. Using thematic analysis in counselling and psychotherapy research: A critical reflection. </w:t>
      </w:r>
      <w:r w:rsidRPr="00985EF8">
        <w:rPr>
          <w:rFonts w:ascii="Century Gothic" w:hAnsi="Century Gothic"/>
          <w:i/>
          <w:iCs/>
        </w:rPr>
        <w:t>Counselling and Psychotherapy Research</w:t>
      </w:r>
      <w:r w:rsidRPr="00985EF8">
        <w:rPr>
          <w:rFonts w:ascii="Century Gothic" w:hAnsi="Century Gothic"/>
        </w:rPr>
        <w:t>, 18(2), pp.107–110.</w:t>
      </w:r>
    </w:p>
    <w:p w14:paraId="6F02DB2F" w14:textId="560B7A7B" w:rsidR="00BD772D" w:rsidRDefault="00700AA6" w:rsidP="006A2B0E">
      <w:pPr>
        <w:spacing w:line="360" w:lineRule="auto"/>
        <w:rPr>
          <w:rFonts w:ascii="Century Gothic" w:hAnsi="Century Gothic"/>
        </w:rPr>
      </w:pPr>
      <w:r w:rsidRPr="00985EF8">
        <w:rPr>
          <w:rFonts w:ascii="Century Gothic" w:hAnsi="Century Gothic"/>
        </w:rPr>
        <w:lastRenderedPageBreak/>
        <w:t xml:space="preserve">Cohen, L., Manion, L. and Morrison, K., </w:t>
      </w:r>
      <w:r w:rsidR="009A1ADF">
        <w:rPr>
          <w:rFonts w:ascii="Century Gothic" w:hAnsi="Century Gothic"/>
        </w:rPr>
        <w:t>(</w:t>
      </w:r>
      <w:r w:rsidRPr="00985EF8">
        <w:rPr>
          <w:rFonts w:ascii="Century Gothic" w:hAnsi="Century Gothic"/>
        </w:rPr>
        <w:t>2018</w:t>
      </w:r>
      <w:r w:rsidR="009A1ADF">
        <w:rPr>
          <w:rFonts w:ascii="Century Gothic" w:hAnsi="Century Gothic"/>
        </w:rPr>
        <w:t>)</w:t>
      </w:r>
      <w:r w:rsidRPr="00985EF8">
        <w:rPr>
          <w:rFonts w:ascii="Century Gothic" w:hAnsi="Century Gothic"/>
        </w:rPr>
        <w:t xml:space="preserve">. </w:t>
      </w:r>
      <w:r w:rsidRPr="00985EF8">
        <w:rPr>
          <w:rFonts w:ascii="Century Gothic" w:hAnsi="Century Gothic"/>
          <w:i/>
          <w:iCs/>
        </w:rPr>
        <w:t>Research methods in education</w:t>
      </w:r>
      <w:r w:rsidRPr="00985EF8">
        <w:rPr>
          <w:rFonts w:ascii="Century Gothic" w:hAnsi="Century Gothic"/>
        </w:rPr>
        <w:t>. 8th ed. London: Routledge.</w:t>
      </w:r>
    </w:p>
    <w:p w14:paraId="5B9F970E" w14:textId="20B380E9" w:rsidR="00BD772D" w:rsidRPr="008D180D" w:rsidRDefault="00BD772D" w:rsidP="00BD772D">
      <w:pPr>
        <w:spacing w:line="360" w:lineRule="auto"/>
        <w:rPr>
          <w:rFonts w:ascii="Century Gothic" w:hAnsi="Century Gothic"/>
        </w:rPr>
      </w:pPr>
      <w:r w:rsidRPr="008D180D">
        <w:rPr>
          <w:rFonts w:ascii="Century Gothic" w:hAnsi="Century Gothic"/>
        </w:rPr>
        <w:t>Creswell, J</w:t>
      </w:r>
      <w:r w:rsidR="009A1ADF">
        <w:rPr>
          <w:rFonts w:ascii="Century Gothic" w:hAnsi="Century Gothic"/>
        </w:rPr>
        <w:t>.</w:t>
      </w:r>
      <w:r w:rsidRPr="008D180D">
        <w:rPr>
          <w:rFonts w:ascii="Century Gothic" w:hAnsi="Century Gothic"/>
        </w:rPr>
        <w:t xml:space="preserve"> and Plano Clark, V., </w:t>
      </w:r>
      <w:r w:rsidR="009A1ADF">
        <w:rPr>
          <w:rFonts w:ascii="Century Gothic" w:hAnsi="Century Gothic"/>
        </w:rPr>
        <w:t>(2</w:t>
      </w:r>
      <w:r w:rsidRPr="008D180D">
        <w:rPr>
          <w:rFonts w:ascii="Century Gothic" w:hAnsi="Century Gothic"/>
        </w:rPr>
        <w:t>018</w:t>
      </w:r>
      <w:r w:rsidR="009A1ADF">
        <w:rPr>
          <w:rFonts w:ascii="Century Gothic" w:hAnsi="Century Gothic"/>
        </w:rPr>
        <w:t>)</w:t>
      </w:r>
      <w:r w:rsidRPr="008D180D">
        <w:rPr>
          <w:rFonts w:ascii="Century Gothic" w:hAnsi="Century Gothic"/>
        </w:rPr>
        <w:t xml:space="preserve">. </w:t>
      </w:r>
      <w:r w:rsidRPr="008D180D">
        <w:rPr>
          <w:rFonts w:ascii="Century Gothic" w:hAnsi="Century Gothic"/>
          <w:i/>
          <w:iCs/>
        </w:rPr>
        <w:t>Designing and conducting mixed methods research</w:t>
      </w:r>
      <w:r w:rsidRPr="008D180D">
        <w:rPr>
          <w:rFonts w:ascii="Century Gothic" w:hAnsi="Century Gothic"/>
        </w:rPr>
        <w:t>. 3rd ed. Thousand Oaks: SAGE.</w:t>
      </w:r>
    </w:p>
    <w:p w14:paraId="4691689A" w14:textId="59490B75" w:rsidR="00700AA6" w:rsidRPr="00985EF8" w:rsidRDefault="00700AA6" w:rsidP="006A2B0E">
      <w:pPr>
        <w:spacing w:line="360" w:lineRule="auto"/>
        <w:rPr>
          <w:rFonts w:ascii="Century Gothic" w:hAnsi="Century Gothic"/>
        </w:rPr>
      </w:pPr>
      <w:r w:rsidRPr="00985EF8">
        <w:rPr>
          <w:rFonts w:ascii="Century Gothic" w:hAnsi="Century Gothic"/>
        </w:rPr>
        <w:t xml:space="preserve">Creswell, J. and </w:t>
      </w:r>
      <w:proofErr w:type="spellStart"/>
      <w:r w:rsidRPr="00985EF8">
        <w:rPr>
          <w:rFonts w:ascii="Century Gothic" w:hAnsi="Century Gothic"/>
        </w:rPr>
        <w:t>Poth</w:t>
      </w:r>
      <w:proofErr w:type="spellEnd"/>
      <w:r w:rsidRPr="00985EF8">
        <w:rPr>
          <w:rFonts w:ascii="Century Gothic" w:hAnsi="Century Gothic"/>
        </w:rPr>
        <w:t>, C.</w:t>
      </w:r>
      <w:r w:rsidR="009A1ADF">
        <w:rPr>
          <w:rFonts w:ascii="Century Gothic" w:hAnsi="Century Gothic"/>
        </w:rPr>
        <w:t>,</w:t>
      </w:r>
      <w:r w:rsidRPr="00985EF8">
        <w:rPr>
          <w:rFonts w:ascii="Century Gothic" w:hAnsi="Century Gothic"/>
        </w:rPr>
        <w:t xml:space="preserve"> </w:t>
      </w:r>
      <w:r w:rsidR="009A1ADF">
        <w:rPr>
          <w:rFonts w:ascii="Century Gothic" w:hAnsi="Century Gothic"/>
        </w:rPr>
        <w:t>(</w:t>
      </w:r>
      <w:r w:rsidRPr="00985EF8">
        <w:rPr>
          <w:rFonts w:ascii="Century Gothic" w:hAnsi="Century Gothic"/>
        </w:rPr>
        <w:t>2018</w:t>
      </w:r>
      <w:r w:rsidR="009A1ADF">
        <w:rPr>
          <w:rFonts w:ascii="Century Gothic" w:hAnsi="Century Gothic"/>
        </w:rPr>
        <w:t>)</w:t>
      </w:r>
      <w:r w:rsidRPr="00985EF8">
        <w:rPr>
          <w:rFonts w:ascii="Century Gothic" w:hAnsi="Century Gothic"/>
        </w:rPr>
        <w:t xml:space="preserve">. </w:t>
      </w:r>
      <w:r w:rsidRPr="00985EF8">
        <w:rPr>
          <w:rFonts w:ascii="Century Gothic" w:hAnsi="Century Gothic"/>
          <w:i/>
          <w:iCs/>
        </w:rPr>
        <w:t>Qualitative inquiry and research design: Choosing among five approaches</w:t>
      </w:r>
      <w:r w:rsidRPr="00985EF8">
        <w:rPr>
          <w:rFonts w:ascii="Century Gothic" w:hAnsi="Century Gothic"/>
        </w:rPr>
        <w:t>. 4th ed. London: SAGE Publications.</w:t>
      </w:r>
    </w:p>
    <w:p w14:paraId="5366A380" w14:textId="72903689" w:rsidR="00700AA6" w:rsidRDefault="00700AA6" w:rsidP="006A2B0E">
      <w:pPr>
        <w:spacing w:line="360" w:lineRule="auto"/>
        <w:rPr>
          <w:rFonts w:ascii="Century Gothic" w:hAnsi="Century Gothic"/>
        </w:rPr>
      </w:pPr>
      <w:r w:rsidRPr="00985EF8">
        <w:rPr>
          <w:rFonts w:ascii="Century Gothic" w:hAnsi="Century Gothic"/>
        </w:rPr>
        <w:t xml:space="preserve">Curriculum for Wales, </w:t>
      </w:r>
      <w:r w:rsidR="009A1ADF">
        <w:rPr>
          <w:rFonts w:ascii="Century Gothic" w:hAnsi="Century Gothic"/>
        </w:rPr>
        <w:t>(</w:t>
      </w:r>
      <w:r w:rsidRPr="00985EF8">
        <w:rPr>
          <w:rFonts w:ascii="Century Gothic" w:hAnsi="Century Gothic"/>
        </w:rPr>
        <w:t>2022</w:t>
      </w:r>
      <w:r w:rsidR="009A1ADF">
        <w:rPr>
          <w:rFonts w:ascii="Century Gothic" w:hAnsi="Century Gothic"/>
        </w:rPr>
        <w:t>)</w:t>
      </w:r>
      <w:r w:rsidRPr="00985EF8">
        <w:rPr>
          <w:rFonts w:ascii="Century Gothic" w:hAnsi="Century Gothic"/>
        </w:rPr>
        <w:t xml:space="preserve">. </w:t>
      </w:r>
      <w:r w:rsidRPr="00985EF8">
        <w:rPr>
          <w:rFonts w:ascii="Century Gothic" w:hAnsi="Century Gothic"/>
          <w:i/>
          <w:iCs/>
        </w:rPr>
        <w:t>Curriculum for Wales guidance</w:t>
      </w:r>
      <w:r w:rsidRPr="00985EF8">
        <w:rPr>
          <w:rFonts w:ascii="Century Gothic" w:hAnsi="Century Gothic"/>
        </w:rPr>
        <w:t xml:space="preserve">. Cardiff: Welsh Government. Available at: https://www.gov.wales/curriculum-wales [Accessed </w:t>
      </w:r>
      <w:r w:rsidR="009A1ADF">
        <w:rPr>
          <w:rFonts w:ascii="Century Gothic" w:hAnsi="Century Gothic"/>
        </w:rPr>
        <w:t>12 March</w:t>
      </w:r>
      <w:r w:rsidRPr="00985EF8">
        <w:rPr>
          <w:rFonts w:ascii="Century Gothic" w:hAnsi="Century Gothic"/>
        </w:rPr>
        <w:t>. 2025].</w:t>
      </w:r>
    </w:p>
    <w:p w14:paraId="560E0B42" w14:textId="4C53A0BC" w:rsidR="00BD772D" w:rsidRPr="00BD772D" w:rsidRDefault="00BD772D" w:rsidP="00BD772D">
      <w:pPr>
        <w:spacing w:before="100" w:beforeAutospacing="1" w:after="100" w:afterAutospacing="1" w:line="360" w:lineRule="auto"/>
        <w:rPr>
          <w:rFonts w:ascii="Century Gothic" w:eastAsia="Times New Roman" w:hAnsi="Century Gothic" w:cs="Times New Roman"/>
          <w:kern w:val="0"/>
          <w14:ligatures w14:val="none"/>
        </w:rPr>
      </w:pPr>
      <w:r w:rsidRPr="00BD772D">
        <w:rPr>
          <w:rFonts w:ascii="Century Gothic" w:eastAsia="Times New Roman" w:hAnsi="Century Gothic" w:cs="Times New Roman"/>
          <w:kern w:val="0"/>
          <w14:ligatures w14:val="none"/>
        </w:rPr>
        <w:t xml:space="preserve">Denzin, N., </w:t>
      </w:r>
      <w:r w:rsidR="009A1ADF">
        <w:rPr>
          <w:rFonts w:ascii="Century Gothic" w:eastAsia="Times New Roman" w:hAnsi="Century Gothic" w:cs="Times New Roman"/>
          <w:kern w:val="0"/>
          <w14:ligatures w14:val="none"/>
        </w:rPr>
        <w:t>(</w:t>
      </w:r>
      <w:r w:rsidRPr="00BD772D">
        <w:rPr>
          <w:rFonts w:ascii="Century Gothic" w:eastAsia="Times New Roman" w:hAnsi="Century Gothic" w:cs="Times New Roman"/>
          <w:kern w:val="0"/>
          <w14:ligatures w14:val="none"/>
        </w:rPr>
        <w:t>1978</w:t>
      </w:r>
      <w:r w:rsidR="009A1ADF">
        <w:rPr>
          <w:rFonts w:ascii="Century Gothic" w:eastAsia="Times New Roman" w:hAnsi="Century Gothic" w:cs="Times New Roman"/>
          <w:kern w:val="0"/>
          <w14:ligatures w14:val="none"/>
        </w:rPr>
        <w:t>)</w:t>
      </w:r>
      <w:r w:rsidRPr="00BD772D">
        <w:rPr>
          <w:rFonts w:ascii="Century Gothic" w:eastAsia="Times New Roman" w:hAnsi="Century Gothic" w:cs="Times New Roman"/>
          <w:kern w:val="0"/>
          <w14:ligatures w14:val="none"/>
        </w:rPr>
        <w:t xml:space="preserve">. </w:t>
      </w:r>
      <w:r w:rsidRPr="00BD772D">
        <w:rPr>
          <w:rFonts w:ascii="Century Gothic" w:eastAsia="Times New Roman" w:hAnsi="Century Gothic" w:cs="Times New Roman"/>
          <w:i/>
          <w:iCs/>
          <w:kern w:val="0"/>
          <w14:ligatures w14:val="none"/>
        </w:rPr>
        <w:t>The research act: A theoretical introduction to sociological methods</w:t>
      </w:r>
      <w:r w:rsidRPr="00BD772D">
        <w:rPr>
          <w:rFonts w:ascii="Century Gothic" w:eastAsia="Times New Roman" w:hAnsi="Century Gothic" w:cs="Times New Roman"/>
          <w:kern w:val="0"/>
          <w14:ligatures w14:val="none"/>
        </w:rPr>
        <w:t>. 2nd ed. New York: McGraw-Hill.</w:t>
      </w:r>
    </w:p>
    <w:p w14:paraId="239B5140" w14:textId="5EF44E48" w:rsidR="00700AA6" w:rsidRPr="00985EF8" w:rsidRDefault="00700AA6" w:rsidP="006A2B0E">
      <w:pPr>
        <w:spacing w:line="360" w:lineRule="auto"/>
        <w:rPr>
          <w:rFonts w:ascii="Century Gothic" w:hAnsi="Century Gothic"/>
        </w:rPr>
      </w:pPr>
      <w:r w:rsidRPr="00985EF8">
        <w:rPr>
          <w:rFonts w:ascii="Century Gothic" w:hAnsi="Century Gothic"/>
        </w:rPr>
        <w:t xml:space="preserve">Evans, J. and Mathur, A., </w:t>
      </w:r>
      <w:r w:rsidR="009A1ADF">
        <w:rPr>
          <w:rFonts w:ascii="Century Gothic" w:hAnsi="Century Gothic"/>
        </w:rPr>
        <w:t>(</w:t>
      </w:r>
      <w:r w:rsidRPr="00985EF8">
        <w:rPr>
          <w:rFonts w:ascii="Century Gothic" w:hAnsi="Century Gothic"/>
        </w:rPr>
        <w:t>2005</w:t>
      </w:r>
      <w:r w:rsidR="009A1ADF">
        <w:rPr>
          <w:rFonts w:ascii="Century Gothic" w:hAnsi="Century Gothic"/>
        </w:rPr>
        <w:t>)</w:t>
      </w:r>
      <w:r w:rsidRPr="00985EF8">
        <w:rPr>
          <w:rFonts w:ascii="Century Gothic" w:hAnsi="Century Gothic"/>
        </w:rPr>
        <w:t xml:space="preserve">. The value of online surveys. </w:t>
      </w:r>
      <w:r w:rsidRPr="00985EF8">
        <w:rPr>
          <w:rFonts w:ascii="Century Gothic" w:hAnsi="Century Gothic"/>
          <w:i/>
          <w:iCs/>
        </w:rPr>
        <w:t>Internet Research</w:t>
      </w:r>
      <w:r w:rsidRPr="00985EF8">
        <w:rPr>
          <w:rFonts w:ascii="Century Gothic" w:hAnsi="Century Gothic"/>
        </w:rPr>
        <w:t>, 15(2), pp.195–219.</w:t>
      </w:r>
    </w:p>
    <w:p w14:paraId="1888BF5F" w14:textId="781B2E66" w:rsidR="00700AA6" w:rsidRPr="00985EF8" w:rsidRDefault="00700AA6" w:rsidP="006A2B0E">
      <w:pPr>
        <w:spacing w:line="360" w:lineRule="auto"/>
        <w:rPr>
          <w:rFonts w:ascii="Century Gothic" w:hAnsi="Century Gothic"/>
        </w:rPr>
      </w:pPr>
      <w:r w:rsidRPr="00985EF8">
        <w:rPr>
          <w:rFonts w:ascii="Century Gothic" w:hAnsi="Century Gothic"/>
        </w:rPr>
        <w:t xml:space="preserve">Estyn, </w:t>
      </w:r>
      <w:r w:rsidR="009A1ADF">
        <w:rPr>
          <w:rFonts w:ascii="Century Gothic" w:hAnsi="Century Gothic"/>
        </w:rPr>
        <w:t>(</w:t>
      </w:r>
      <w:r w:rsidRPr="00985EF8">
        <w:rPr>
          <w:rFonts w:ascii="Century Gothic" w:hAnsi="Century Gothic"/>
        </w:rPr>
        <w:t>2023</w:t>
      </w:r>
      <w:r w:rsidR="009A1ADF">
        <w:rPr>
          <w:rFonts w:ascii="Century Gothic" w:hAnsi="Century Gothic"/>
        </w:rPr>
        <w:t>)</w:t>
      </w:r>
      <w:r w:rsidRPr="00985EF8">
        <w:rPr>
          <w:rFonts w:ascii="Century Gothic" w:hAnsi="Century Gothic"/>
        </w:rPr>
        <w:t xml:space="preserve">. </w:t>
      </w:r>
      <w:r w:rsidRPr="00985EF8">
        <w:rPr>
          <w:rFonts w:ascii="Century Gothic" w:hAnsi="Century Gothic"/>
          <w:i/>
          <w:iCs/>
        </w:rPr>
        <w:t>Annual Report 2022–2023</w:t>
      </w:r>
      <w:r w:rsidRPr="00985EF8">
        <w:rPr>
          <w:rFonts w:ascii="Century Gothic" w:hAnsi="Century Gothic"/>
        </w:rPr>
        <w:t xml:space="preserve">. Cardiff: </w:t>
      </w:r>
      <w:r w:rsidR="009A1ADF">
        <w:rPr>
          <w:rFonts w:ascii="Century Gothic" w:hAnsi="Century Gothic"/>
        </w:rPr>
        <w:t>Crown Copyright.</w:t>
      </w:r>
    </w:p>
    <w:p w14:paraId="51225F0D" w14:textId="567504D3" w:rsidR="00700AA6" w:rsidRPr="00985EF8" w:rsidRDefault="00700AA6" w:rsidP="006A2B0E">
      <w:pPr>
        <w:spacing w:line="360" w:lineRule="auto"/>
        <w:rPr>
          <w:rFonts w:ascii="Century Gothic" w:hAnsi="Century Gothic"/>
        </w:rPr>
      </w:pPr>
      <w:r w:rsidRPr="00985EF8">
        <w:rPr>
          <w:rFonts w:ascii="Century Gothic" w:hAnsi="Century Gothic"/>
        </w:rPr>
        <w:t xml:space="preserve">Foucault, M., </w:t>
      </w:r>
      <w:r w:rsidR="009A1ADF">
        <w:rPr>
          <w:rFonts w:ascii="Century Gothic" w:hAnsi="Century Gothic"/>
        </w:rPr>
        <w:t>(</w:t>
      </w:r>
      <w:r w:rsidRPr="00985EF8">
        <w:rPr>
          <w:rFonts w:ascii="Century Gothic" w:hAnsi="Century Gothic"/>
        </w:rPr>
        <w:t>1972</w:t>
      </w:r>
      <w:r w:rsidR="009A1ADF">
        <w:rPr>
          <w:rFonts w:ascii="Century Gothic" w:hAnsi="Century Gothic"/>
        </w:rPr>
        <w:t>)</w:t>
      </w:r>
      <w:r w:rsidRPr="00985EF8">
        <w:rPr>
          <w:rFonts w:ascii="Century Gothic" w:hAnsi="Century Gothic"/>
        </w:rPr>
        <w:t xml:space="preserve">. </w:t>
      </w:r>
      <w:r w:rsidRPr="00985EF8">
        <w:rPr>
          <w:rFonts w:ascii="Century Gothic" w:hAnsi="Century Gothic"/>
          <w:i/>
          <w:iCs/>
        </w:rPr>
        <w:t>The archaeology of knowledge</w:t>
      </w:r>
      <w:r w:rsidRPr="00985EF8">
        <w:rPr>
          <w:rFonts w:ascii="Century Gothic" w:hAnsi="Century Gothic"/>
        </w:rPr>
        <w:t>. London: Tavistock.</w:t>
      </w:r>
    </w:p>
    <w:p w14:paraId="2EA550C3" w14:textId="667BFCCE" w:rsidR="00700AA6" w:rsidRPr="00985EF8" w:rsidRDefault="00700AA6" w:rsidP="006A2B0E">
      <w:pPr>
        <w:spacing w:line="360" w:lineRule="auto"/>
        <w:rPr>
          <w:rFonts w:ascii="Century Gothic" w:hAnsi="Century Gothic"/>
        </w:rPr>
      </w:pPr>
      <w:r w:rsidRPr="00985EF8">
        <w:rPr>
          <w:rFonts w:ascii="Century Gothic" w:hAnsi="Century Gothic"/>
        </w:rPr>
        <w:t xml:space="preserve">Guba, </w:t>
      </w:r>
      <w:r w:rsidR="00994209">
        <w:rPr>
          <w:rFonts w:ascii="Century Gothic" w:hAnsi="Century Gothic"/>
        </w:rPr>
        <w:t>E</w:t>
      </w:r>
      <w:r w:rsidRPr="00985EF8">
        <w:rPr>
          <w:rFonts w:ascii="Century Gothic" w:hAnsi="Century Gothic"/>
        </w:rPr>
        <w:t xml:space="preserve">. and Lincoln, Y., </w:t>
      </w:r>
      <w:r w:rsidR="00994209">
        <w:rPr>
          <w:rFonts w:ascii="Century Gothic" w:hAnsi="Century Gothic"/>
        </w:rPr>
        <w:t>(</w:t>
      </w:r>
      <w:r w:rsidRPr="00985EF8">
        <w:rPr>
          <w:rFonts w:ascii="Century Gothic" w:hAnsi="Century Gothic"/>
        </w:rPr>
        <w:t>1994</w:t>
      </w:r>
      <w:r w:rsidR="00994209">
        <w:rPr>
          <w:rFonts w:ascii="Century Gothic" w:hAnsi="Century Gothic"/>
        </w:rPr>
        <w:t>)</w:t>
      </w:r>
      <w:r w:rsidRPr="00985EF8">
        <w:rPr>
          <w:rFonts w:ascii="Century Gothic" w:hAnsi="Century Gothic"/>
        </w:rPr>
        <w:t xml:space="preserve">. Competing paradigms in qualitative research. In: N.K. Denzin and Y.S. Lincoln, eds. </w:t>
      </w:r>
      <w:r w:rsidRPr="00985EF8">
        <w:rPr>
          <w:rFonts w:ascii="Century Gothic" w:hAnsi="Century Gothic"/>
          <w:i/>
          <w:iCs/>
        </w:rPr>
        <w:t>Handbook of qualitative research</w:t>
      </w:r>
      <w:r w:rsidRPr="00985EF8">
        <w:rPr>
          <w:rFonts w:ascii="Century Gothic" w:hAnsi="Century Gothic"/>
        </w:rPr>
        <w:t>. Thousand Oaks: SAGE, pp.105–117.</w:t>
      </w:r>
    </w:p>
    <w:p w14:paraId="171816EB" w14:textId="7F07ACA0" w:rsidR="00700AA6" w:rsidRPr="00985EF8" w:rsidRDefault="00700AA6" w:rsidP="006A2B0E">
      <w:pPr>
        <w:spacing w:line="360" w:lineRule="auto"/>
        <w:rPr>
          <w:rFonts w:ascii="Century Gothic" w:hAnsi="Century Gothic"/>
        </w:rPr>
      </w:pPr>
      <w:r w:rsidRPr="00985EF8">
        <w:rPr>
          <w:rFonts w:ascii="Century Gothic" w:hAnsi="Century Gothic"/>
        </w:rPr>
        <w:t xml:space="preserve">Hargreaves, A. and Fullan, M., </w:t>
      </w:r>
      <w:r w:rsidR="00994209">
        <w:rPr>
          <w:rFonts w:ascii="Century Gothic" w:hAnsi="Century Gothic"/>
        </w:rPr>
        <w:t>(</w:t>
      </w:r>
      <w:r w:rsidRPr="00985EF8">
        <w:rPr>
          <w:rFonts w:ascii="Century Gothic" w:hAnsi="Century Gothic"/>
        </w:rPr>
        <w:t>2012</w:t>
      </w:r>
      <w:r w:rsidR="00994209">
        <w:rPr>
          <w:rFonts w:ascii="Century Gothic" w:hAnsi="Century Gothic"/>
        </w:rPr>
        <w:t>)</w:t>
      </w:r>
      <w:r w:rsidRPr="00985EF8">
        <w:rPr>
          <w:rFonts w:ascii="Century Gothic" w:hAnsi="Century Gothic"/>
        </w:rPr>
        <w:t xml:space="preserve">. </w:t>
      </w:r>
      <w:r w:rsidRPr="00985EF8">
        <w:rPr>
          <w:rFonts w:ascii="Century Gothic" w:hAnsi="Century Gothic"/>
          <w:i/>
          <w:iCs/>
        </w:rPr>
        <w:t>Professional capital: Transforming teaching in every school</w:t>
      </w:r>
      <w:r w:rsidRPr="00985EF8">
        <w:rPr>
          <w:rFonts w:ascii="Century Gothic" w:hAnsi="Century Gothic"/>
        </w:rPr>
        <w:t>. London: Routledge.</w:t>
      </w:r>
    </w:p>
    <w:p w14:paraId="1233F331" w14:textId="2CDA868A" w:rsidR="00700AA6" w:rsidRPr="00985EF8" w:rsidRDefault="00700AA6" w:rsidP="006A2B0E">
      <w:pPr>
        <w:spacing w:line="360" w:lineRule="auto"/>
        <w:rPr>
          <w:rFonts w:ascii="Century Gothic" w:hAnsi="Century Gothic"/>
        </w:rPr>
      </w:pPr>
      <w:r w:rsidRPr="00985EF8">
        <w:rPr>
          <w:rFonts w:ascii="Century Gothic" w:hAnsi="Century Gothic"/>
        </w:rPr>
        <w:t xml:space="preserve">Hollway, W. and Jefferson, T., </w:t>
      </w:r>
      <w:r w:rsidR="00994209">
        <w:rPr>
          <w:rFonts w:ascii="Century Gothic" w:hAnsi="Century Gothic"/>
        </w:rPr>
        <w:t>(</w:t>
      </w:r>
      <w:r w:rsidRPr="00985EF8">
        <w:rPr>
          <w:rFonts w:ascii="Century Gothic" w:hAnsi="Century Gothic"/>
        </w:rPr>
        <w:t>2013</w:t>
      </w:r>
      <w:r w:rsidR="00994209">
        <w:rPr>
          <w:rFonts w:ascii="Century Gothic" w:hAnsi="Century Gothic"/>
        </w:rPr>
        <w:t>)</w:t>
      </w:r>
      <w:r w:rsidRPr="00985EF8">
        <w:rPr>
          <w:rFonts w:ascii="Century Gothic" w:hAnsi="Century Gothic"/>
        </w:rPr>
        <w:t xml:space="preserve">. </w:t>
      </w:r>
      <w:r w:rsidRPr="00985EF8">
        <w:rPr>
          <w:rFonts w:ascii="Century Gothic" w:hAnsi="Century Gothic"/>
          <w:i/>
          <w:iCs/>
        </w:rPr>
        <w:t>Doing qualitative research differently: A psychosocial approach</w:t>
      </w:r>
      <w:r w:rsidRPr="00985EF8">
        <w:rPr>
          <w:rFonts w:ascii="Century Gothic" w:hAnsi="Century Gothic"/>
        </w:rPr>
        <w:t>. 2nd ed. London: SAGE Publications.</w:t>
      </w:r>
    </w:p>
    <w:p w14:paraId="6E054CA8" w14:textId="042402EA" w:rsidR="00700AA6" w:rsidRPr="00985EF8" w:rsidRDefault="00700AA6" w:rsidP="006A2B0E">
      <w:pPr>
        <w:spacing w:line="360" w:lineRule="auto"/>
        <w:rPr>
          <w:rFonts w:ascii="Century Gothic" w:hAnsi="Century Gothic"/>
        </w:rPr>
      </w:pPr>
      <w:r w:rsidRPr="00985EF8">
        <w:rPr>
          <w:rFonts w:ascii="Century Gothic" w:hAnsi="Century Gothic"/>
        </w:rPr>
        <w:t xml:space="preserve">Lincoln, Y. and Guba, E. </w:t>
      </w:r>
      <w:r w:rsidR="00994209">
        <w:rPr>
          <w:rFonts w:ascii="Century Gothic" w:hAnsi="Century Gothic"/>
        </w:rPr>
        <w:t>(</w:t>
      </w:r>
      <w:r w:rsidRPr="00985EF8">
        <w:rPr>
          <w:rFonts w:ascii="Century Gothic" w:hAnsi="Century Gothic"/>
        </w:rPr>
        <w:t>1985</w:t>
      </w:r>
      <w:r w:rsidR="00994209">
        <w:rPr>
          <w:rFonts w:ascii="Century Gothic" w:hAnsi="Century Gothic"/>
        </w:rPr>
        <w:t>)</w:t>
      </w:r>
      <w:r w:rsidRPr="00985EF8">
        <w:rPr>
          <w:rFonts w:ascii="Century Gothic" w:hAnsi="Century Gothic"/>
        </w:rPr>
        <w:t xml:space="preserve">. </w:t>
      </w:r>
      <w:r w:rsidRPr="00985EF8">
        <w:rPr>
          <w:rFonts w:ascii="Century Gothic" w:hAnsi="Century Gothic"/>
          <w:i/>
          <w:iCs/>
        </w:rPr>
        <w:t>Naturalistic inquiry</w:t>
      </w:r>
      <w:r w:rsidRPr="00985EF8">
        <w:rPr>
          <w:rFonts w:ascii="Century Gothic" w:hAnsi="Century Gothic"/>
        </w:rPr>
        <w:t>. Beverly Hills, CA: SAGE Publications.</w:t>
      </w:r>
    </w:p>
    <w:p w14:paraId="5C5AA92A" w14:textId="6798DDF9" w:rsidR="00700AA6" w:rsidRPr="00985EF8" w:rsidRDefault="00700AA6" w:rsidP="006A2B0E">
      <w:pPr>
        <w:spacing w:line="360" w:lineRule="auto"/>
        <w:rPr>
          <w:rFonts w:ascii="Century Gothic" w:hAnsi="Century Gothic"/>
        </w:rPr>
      </w:pPr>
      <w:proofErr w:type="spellStart"/>
      <w:r w:rsidRPr="00985EF8">
        <w:rPr>
          <w:rFonts w:ascii="Century Gothic" w:hAnsi="Century Gothic"/>
        </w:rPr>
        <w:t>Mannay</w:t>
      </w:r>
      <w:proofErr w:type="spellEnd"/>
      <w:r w:rsidRPr="00985EF8">
        <w:rPr>
          <w:rFonts w:ascii="Century Gothic" w:hAnsi="Century Gothic"/>
        </w:rPr>
        <w:t xml:space="preserve">, D., Rees, A. and Roberts, L., </w:t>
      </w:r>
      <w:r w:rsidR="002B01DA">
        <w:rPr>
          <w:rFonts w:ascii="Century Gothic" w:hAnsi="Century Gothic"/>
        </w:rPr>
        <w:t>(</w:t>
      </w:r>
      <w:r w:rsidRPr="00985EF8">
        <w:rPr>
          <w:rFonts w:ascii="Century Gothic" w:hAnsi="Century Gothic"/>
        </w:rPr>
        <w:t>2020</w:t>
      </w:r>
      <w:r w:rsidR="002B01DA">
        <w:rPr>
          <w:rFonts w:ascii="Century Gothic" w:hAnsi="Century Gothic"/>
        </w:rPr>
        <w:t>)</w:t>
      </w:r>
      <w:r w:rsidRPr="00985EF8">
        <w:rPr>
          <w:rFonts w:ascii="Century Gothic" w:hAnsi="Century Gothic"/>
        </w:rPr>
        <w:t xml:space="preserve">. </w:t>
      </w:r>
      <w:r w:rsidRPr="00985EF8">
        <w:rPr>
          <w:rFonts w:ascii="Century Gothic" w:hAnsi="Century Gothic"/>
          <w:i/>
          <w:iCs/>
        </w:rPr>
        <w:t>Creative and visual methods in research with children: Innovative strategies, processes and practices</w:t>
      </w:r>
      <w:r w:rsidRPr="00985EF8">
        <w:rPr>
          <w:rFonts w:ascii="Century Gothic" w:hAnsi="Century Gothic"/>
        </w:rPr>
        <w:t>. London: Palgrave Macmillan.</w:t>
      </w:r>
    </w:p>
    <w:p w14:paraId="1D188BE6" w14:textId="08004B24" w:rsidR="00700AA6" w:rsidRPr="00985EF8" w:rsidRDefault="00700AA6" w:rsidP="006A2B0E">
      <w:pPr>
        <w:spacing w:line="360" w:lineRule="auto"/>
        <w:rPr>
          <w:rFonts w:ascii="Century Gothic" w:hAnsi="Century Gothic"/>
        </w:rPr>
      </w:pPr>
      <w:r w:rsidRPr="00985EF8">
        <w:rPr>
          <w:rFonts w:ascii="Century Gothic" w:hAnsi="Century Gothic"/>
        </w:rPr>
        <w:t xml:space="preserve">McCallum, F., Price, D., Graham, A. and Morrison, A., </w:t>
      </w:r>
      <w:r w:rsidR="002B01DA">
        <w:rPr>
          <w:rFonts w:ascii="Century Gothic" w:hAnsi="Century Gothic"/>
        </w:rPr>
        <w:t>(</w:t>
      </w:r>
      <w:r w:rsidRPr="00985EF8">
        <w:rPr>
          <w:rFonts w:ascii="Century Gothic" w:hAnsi="Century Gothic"/>
        </w:rPr>
        <w:t>2017</w:t>
      </w:r>
      <w:r w:rsidR="002B01DA">
        <w:rPr>
          <w:rFonts w:ascii="Century Gothic" w:hAnsi="Century Gothic"/>
        </w:rPr>
        <w:t>)</w:t>
      </w:r>
      <w:r w:rsidRPr="00985EF8">
        <w:rPr>
          <w:rFonts w:ascii="Century Gothic" w:hAnsi="Century Gothic"/>
        </w:rPr>
        <w:t xml:space="preserve">. Teacher wellbeing: A review of the literature. </w:t>
      </w:r>
      <w:r w:rsidRPr="00985EF8">
        <w:rPr>
          <w:rFonts w:ascii="Century Gothic" w:hAnsi="Century Gothic"/>
          <w:i/>
          <w:iCs/>
        </w:rPr>
        <w:t>The Association of Independent Schools of NSW</w:t>
      </w:r>
      <w:r w:rsidRPr="00985EF8">
        <w:rPr>
          <w:rFonts w:ascii="Century Gothic" w:hAnsi="Century Gothic"/>
        </w:rPr>
        <w:t>.</w:t>
      </w:r>
    </w:p>
    <w:p w14:paraId="51BBAFA6" w14:textId="2600AEDA" w:rsidR="00700AA6" w:rsidRPr="00985EF8" w:rsidRDefault="00700AA6" w:rsidP="006A2B0E">
      <w:pPr>
        <w:spacing w:line="360" w:lineRule="auto"/>
        <w:rPr>
          <w:rFonts w:ascii="Century Gothic" w:hAnsi="Century Gothic"/>
        </w:rPr>
      </w:pPr>
      <w:r w:rsidRPr="00985EF8">
        <w:rPr>
          <w:rFonts w:ascii="Century Gothic" w:hAnsi="Century Gothic"/>
        </w:rPr>
        <w:lastRenderedPageBreak/>
        <w:t xml:space="preserve">Nowell, L., Norris, J., White, D. and Moules, N., </w:t>
      </w:r>
      <w:r w:rsidR="002B01DA">
        <w:rPr>
          <w:rFonts w:ascii="Century Gothic" w:hAnsi="Century Gothic"/>
        </w:rPr>
        <w:t>(</w:t>
      </w:r>
      <w:r w:rsidRPr="00985EF8">
        <w:rPr>
          <w:rFonts w:ascii="Century Gothic" w:hAnsi="Century Gothic"/>
        </w:rPr>
        <w:t>2017</w:t>
      </w:r>
      <w:r w:rsidR="002B01DA">
        <w:rPr>
          <w:rFonts w:ascii="Century Gothic" w:hAnsi="Century Gothic"/>
        </w:rPr>
        <w:t>)</w:t>
      </w:r>
      <w:r w:rsidRPr="00985EF8">
        <w:rPr>
          <w:rFonts w:ascii="Century Gothic" w:hAnsi="Century Gothic"/>
        </w:rPr>
        <w:t xml:space="preserve">. Thematic analysis: Striving to meet the trustworthiness criteria. </w:t>
      </w:r>
      <w:r w:rsidRPr="00985EF8">
        <w:rPr>
          <w:rFonts w:ascii="Century Gothic" w:hAnsi="Century Gothic"/>
          <w:i/>
          <w:iCs/>
        </w:rPr>
        <w:t>International Journal of Qualitative Methods</w:t>
      </w:r>
      <w:r w:rsidRPr="00985EF8">
        <w:rPr>
          <w:rFonts w:ascii="Century Gothic" w:hAnsi="Century Gothic"/>
        </w:rPr>
        <w:t>, 16(1), pp.1–13.</w:t>
      </w:r>
    </w:p>
    <w:p w14:paraId="284E5CE1" w14:textId="5FDF18CB" w:rsidR="00700AA6" w:rsidRPr="00985EF8" w:rsidRDefault="00700AA6" w:rsidP="006A2B0E">
      <w:pPr>
        <w:spacing w:line="360" w:lineRule="auto"/>
        <w:rPr>
          <w:rFonts w:ascii="Century Gothic" w:hAnsi="Century Gothic"/>
        </w:rPr>
      </w:pPr>
      <w:r w:rsidRPr="00985EF8">
        <w:rPr>
          <w:rFonts w:ascii="Century Gothic" w:hAnsi="Century Gothic"/>
        </w:rPr>
        <w:t xml:space="preserve">OECD, </w:t>
      </w:r>
      <w:r w:rsidR="002B01DA">
        <w:rPr>
          <w:rFonts w:ascii="Century Gothic" w:hAnsi="Century Gothic"/>
        </w:rPr>
        <w:t>(</w:t>
      </w:r>
      <w:r w:rsidRPr="00985EF8">
        <w:rPr>
          <w:rFonts w:ascii="Century Gothic" w:hAnsi="Century Gothic"/>
        </w:rPr>
        <w:t>2021</w:t>
      </w:r>
      <w:r w:rsidR="002B01DA">
        <w:rPr>
          <w:rFonts w:ascii="Century Gothic" w:hAnsi="Century Gothic"/>
        </w:rPr>
        <w:t>)</w:t>
      </w:r>
      <w:r w:rsidRPr="00985EF8">
        <w:rPr>
          <w:rFonts w:ascii="Century Gothic" w:hAnsi="Century Gothic"/>
        </w:rPr>
        <w:t xml:space="preserve">. </w:t>
      </w:r>
      <w:r w:rsidRPr="00985EF8">
        <w:rPr>
          <w:rFonts w:ascii="Century Gothic" w:hAnsi="Century Gothic"/>
          <w:i/>
          <w:iCs/>
        </w:rPr>
        <w:t>Teachers and leaders in schools: TALIS 2018 results, volume II</w:t>
      </w:r>
      <w:r w:rsidRPr="00985EF8">
        <w:rPr>
          <w:rFonts w:ascii="Century Gothic" w:hAnsi="Century Gothic"/>
        </w:rPr>
        <w:t>. Paris: OECD Publishing. https://doi.org/10.1787/19cf08df-en</w:t>
      </w:r>
    </w:p>
    <w:p w14:paraId="614DFAF4" w14:textId="1F0FB03E" w:rsidR="00700AA6" w:rsidRPr="00985EF8" w:rsidRDefault="00700AA6" w:rsidP="006A2B0E">
      <w:pPr>
        <w:spacing w:line="360" w:lineRule="auto"/>
        <w:rPr>
          <w:rFonts w:ascii="Century Gothic" w:hAnsi="Century Gothic"/>
        </w:rPr>
      </w:pPr>
      <w:r w:rsidRPr="00985EF8">
        <w:rPr>
          <w:rFonts w:ascii="Century Gothic" w:hAnsi="Century Gothic"/>
        </w:rPr>
        <w:t xml:space="preserve">Patton, M., </w:t>
      </w:r>
      <w:r w:rsidR="002B01DA">
        <w:rPr>
          <w:rFonts w:ascii="Century Gothic" w:hAnsi="Century Gothic"/>
        </w:rPr>
        <w:t>(</w:t>
      </w:r>
      <w:r w:rsidRPr="00985EF8">
        <w:rPr>
          <w:rFonts w:ascii="Century Gothic" w:hAnsi="Century Gothic"/>
        </w:rPr>
        <w:t>2015</w:t>
      </w:r>
      <w:r w:rsidR="002B01DA">
        <w:rPr>
          <w:rFonts w:ascii="Century Gothic" w:hAnsi="Century Gothic"/>
        </w:rPr>
        <w:t>)</w:t>
      </w:r>
      <w:r w:rsidRPr="00985EF8">
        <w:rPr>
          <w:rFonts w:ascii="Century Gothic" w:hAnsi="Century Gothic"/>
        </w:rPr>
        <w:t xml:space="preserve">. </w:t>
      </w:r>
      <w:r w:rsidRPr="00985EF8">
        <w:rPr>
          <w:rFonts w:ascii="Century Gothic" w:hAnsi="Century Gothic"/>
          <w:i/>
          <w:iCs/>
        </w:rPr>
        <w:t>Qualitative research and evaluation methods</w:t>
      </w:r>
      <w:r w:rsidRPr="00985EF8">
        <w:rPr>
          <w:rFonts w:ascii="Century Gothic" w:hAnsi="Century Gothic"/>
        </w:rPr>
        <w:t>. 4th ed. Thousand Oaks, CA: SAGE Publications.</w:t>
      </w:r>
    </w:p>
    <w:p w14:paraId="07A14CF8" w14:textId="112E2973" w:rsidR="00700AA6" w:rsidRDefault="00700AA6" w:rsidP="006A2B0E">
      <w:pPr>
        <w:spacing w:line="360" w:lineRule="auto"/>
        <w:rPr>
          <w:rFonts w:ascii="Century Gothic" w:hAnsi="Century Gothic"/>
        </w:rPr>
      </w:pPr>
      <w:r w:rsidRPr="00985EF8">
        <w:rPr>
          <w:rFonts w:ascii="Century Gothic" w:hAnsi="Century Gothic"/>
        </w:rPr>
        <w:t xml:space="preserve">Phillips, D. and </w:t>
      </w:r>
      <w:proofErr w:type="spellStart"/>
      <w:r w:rsidRPr="00985EF8">
        <w:rPr>
          <w:rFonts w:ascii="Century Gothic" w:hAnsi="Century Gothic"/>
        </w:rPr>
        <w:t>Burbules</w:t>
      </w:r>
      <w:proofErr w:type="spellEnd"/>
      <w:r w:rsidRPr="00985EF8">
        <w:rPr>
          <w:rFonts w:ascii="Century Gothic" w:hAnsi="Century Gothic"/>
        </w:rPr>
        <w:t xml:space="preserve">, N., </w:t>
      </w:r>
      <w:r w:rsidR="002B01DA">
        <w:rPr>
          <w:rFonts w:ascii="Century Gothic" w:hAnsi="Century Gothic"/>
        </w:rPr>
        <w:t>(</w:t>
      </w:r>
      <w:r w:rsidRPr="00985EF8">
        <w:rPr>
          <w:rFonts w:ascii="Century Gothic" w:hAnsi="Century Gothic"/>
        </w:rPr>
        <w:t>2000</w:t>
      </w:r>
      <w:r w:rsidR="002B01DA">
        <w:rPr>
          <w:rFonts w:ascii="Century Gothic" w:hAnsi="Century Gothic"/>
        </w:rPr>
        <w:t>)</w:t>
      </w:r>
      <w:r w:rsidRPr="00985EF8">
        <w:rPr>
          <w:rFonts w:ascii="Century Gothic" w:hAnsi="Century Gothic"/>
        </w:rPr>
        <w:t xml:space="preserve">. </w:t>
      </w:r>
      <w:proofErr w:type="spellStart"/>
      <w:r w:rsidRPr="00985EF8">
        <w:rPr>
          <w:rFonts w:ascii="Century Gothic" w:hAnsi="Century Gothic"/>
          <w:i/>
          <w:iCs/>
        </w:rPr>
        <w:t>Postpositivism</w:t>
      </w:r>
      <w:proofErr w:type="spellEnd"/>
      <w:r w:rsidRPr="00985EF8">
        <w:rPr>
          <w:rFonts w:ascii="Century Gothic" w:hAnsi="Century Gothic"/>
          <w:i/>
          <w:iCs/>
        </w:rPr>
        <w:t xml:space="preserve"> and educational research</w:t>
      </w:r>
      <w:r w:rsidRPr="00985EF8">
        <w:rPr>
          <w:rFonts w:ascii="Century Gothic" w:hAnsi="Century Gothic"/>
        </w:rPr>
        <w:t>. Lanham, MD: Rowman &amp; Littlefield.</w:t>
      </w:r>
    </w:p>
    <w:p w14:paraId="0A9E6123" w14:textId="7F511F44" w:rsidR="00BD772D" w:rsidRDefault="00BD772D" w:rsidP="00BD772D">
      <w:pPr>
        <w:spacing w:line="360" w:lineRule="auto"/>
        <w:rPr>
          <w:rFonts w:ascii="Century Gothic" w:hAnsi="Century Gothic"/>
        </w:rPr>
      </w:pPr>
      <w:r w:rsidRPr="00404835">
        <w:rPr>
          <w:rFonts w:ascii="Century Gothic" w:hAnsi="Century Gothic"/>
        </w:rPr>
        <w:t xml:space="preserve">Qualtrics, </w:t>
      </w:r>
      <w:r w:rsidR="002B01DA">
        <w:rPr>
          <w:rFonts w:ascii="Century Gothic" w:hAnsi="Century Gothic"/>
        </w:rPr>
        <w:t>(</w:t>
      </w:r>
      <w:r w:rsidRPr="00404835">
        <w:rPr>
          <w:rFonts w:ascii="Century Gothic" w:hAnsi="Century Gothic"/>
        </w:rPr>
        <w:t>2024</w:t>
      </w:r>
      <w:r w:rsidR="002B01DA">
        <w:rPr>
          <w:rFonts w:ascii="Century Gothic" w:hAnsi="Century Gothic"/>
        </w:rPr>
        <w:t>)</w:t>
      </w:r>
      <w:r w:rsidRPr="00404835">
        <w:rPr>
          <w:rFonts w:ascii="Century Gothic" w:hAnsi="Century Gothic"/>
        </w:rPr>
        <w:t xml:space="preserve">. </w:t>
      </w:r>
      <w:r w:rsidRPr="00404835">
        <w:rPr>
          <w:rFonts w:ascii="Century Gothic" w:hAnsi="Century Gothic"/>
          <w:i/>
          <w:iCs/>
        </w:rPr>
        <w:t>Qualtrics Survey Platform</w:t>
      </w:r>
      <w:r w:rsidRPr="00404835">
        <w:rPr>
          <w:rFonts w:ascii="Century Gothic" w:hAnsi="Century Gothic"/>
        </w:rPr>
        <w:t>.  Available at: https://www.qualtrics.com [Accessed 1</w:t>
      </w:r>
      <w:r w:rsidR="002B01DA">
        <w:rPr>
          <w:rFonts w:ascii="Century Gothic" w:hAnsi="Century Gothic"/>
        </w:rPr>
        <w:t>0</w:t>
      </w:r>
      <w:r w:rsidRPr="00404835">
        <w:rPr>
          <w:rFonts w:ascii="Century Gothic" w:hAnsi="Century Gothic"/>
        </w:rPr>
        <w:t xml:space="preserve"> Ma</w:t>
      </w:r>
      <w:r w:rsidR="002B01DA">
        <w:rPr>
          <w:rFonts w:ascii="Century Gothic" w:hAnsi="Century Gothic"/>
        </w:rPr>
        <w:t>rch</w:t>
      </w:r>
      <w:r w:rsidRPr="00404835">
        <w:rPr>
          <w:rFonts w:ascii="Century Gothic" w:hAnsi="Century Gothic"/>
        </w:rPr>
        <w:t xml:space="preserve"> 2025].</w:t>
      </w:r>
    </w:p>
    <w:p w14:paraId="1C402047" w14:textId="5E7BA699" w:rsidR="00BD772D" w:rsidRPr="00404835" w:rsidRDefault="00BD772D" w:rsidP="00BD772D">
      <w:pPr>
        <w:spacing w:before="100" w:beforeAutospacing="1" w:after="100" w:afterAutospacing="1" w:line="360" w:lineRule="auto"/>
        <w:rPr>
          <w:rFonts w:ascii="Century Gothic" w:eastAsia="Times New Roman" w:hAnsi="Century Gothic" w:cs="Times New Roman"/>
          <w:kern w:val="0"/>
          <w14:ligatures w14:val="none"/>
        </w:rPr>
      </w:pPr>
      <w:r w:rsidRPr="00BD772D">
        <w:rPr>
          <w:rFonts w:ascii="Century Gothic" w:eastAsia="Times New Roman" w:hAnsi="Century Gothic" w:cs="Times New Roman"/>
          <w:kern w:val="0"/>
          <w14:ligatures w14:val="none"/>
        </w:rPr>
        <w:t xml:space="preserve">Ritchie, J., Lewis, J., McNaughton Nicholls, C. and Ormston, R., </w:t>
      </w:r>
      <w:r w:rsidR="002B01DA">
        <w:rPr>
          <w:rFonts w:ascii="Century Gothic" w:eastAsia="Times New Roman" w:hAnsi="Century Gothic" w:cs="Times New Roman"/>
          <w:kern w:val="0"/>
          <w14:ligatures w14:val="none"/>
        </w:rPr>
        <w:t>(</w:t>
      </w:r>
      <w:r w:rsidRPr="00BD772D">
        <w:rPr>
          <w:rFonts w:ascii="Century Gothic" w:eastAsia="Times New Roman" w:hAnsi="Century Gothic" w:cs="Times New Roman"/>
          <w:kern w:val="0"/>
          <w14:ligatures w14:val="none"/>
        </w:rPr>
        <w:t>2014</w:t>
      </w:r>
      <w:r w:rsidR="002B01DA">
        <w:rPr>
          <w:rFonts w:ascii="Century Gothic" w:eastAsia="Times New Roman" w:hAnsi="Century Gothic" w:cs="Times New Roman"/>
          <w:kern w:val="0"/>
          <w14:ligatures w14:val="none"/>
        </w:rPr>
        <w:t>)</w:t>
      </w:r>
      <w:r w:rsidRPr="00BD772D">
        <w:rPr>
          <w:rFonts w:ascii="Century Gothic" w:eastAsia="Times New Roman" w:hAnsi="Century Gothic" w:cs="Times New Roman"/>
          <w:kern w:val="0"/>
          <w14:ligatures w14:val="none"/>
        </w:rPr>
        <w:t xml:space="preserve">. </w:t>
      </w:r>
      <w:r w:rsidRPr="00BD772D">
        <w:rPr>
          <w:rFonts w:ascii="Century Gothic" w:eastAsia="Times New Roman" w:hAnsi="Century Gothic" w:cs="Times New Roman"/>
          <w:i/>
          <w:iCs/>
          <w:kern w:val="0"/>
          <w14:ligatures w14:val="none"/>
        </w:rPr>
        <w:t>Qualitative research practice: A guide for social science students and researchers</w:t>
      </w:r>
      <w:r w:rsidRPr="00BD772D">
        <w:rPr>
          <w:rFonts w:ascii="Century Gothic" w:eastAsia="Times New Roman" w:hAnsi="Century Gothic" w:cs="Times New Roman"/>
          <w:kern w:val="0"/>
          <w14:ligatures w14:val="none"/>
        </w:rPr>
        <w:t>. 2nd ed. London: SAGE.</w:t>
      </w:r>
    </w:p>
    <w:p w14:paraId="52126FE7" w14:textId="19F8FA05" w:rsidR="00700AA6" w:rsidRDefault="00700AA6" w:rsidP="006A2B0E">
      <w:pPr>
        <w:spacing w:line="360" w:lineRule="auto"/>
        <w:rPr>
          <w:rFonts w:ascii="Century Gothic" w:hAnsi="Century Gothic"/>
        </w:rPr>
      </w:pPr>
      <w:r w:rsidRPr="00985EF8">
        <w:rPr>
          <w:rFonts w:ascii="Century Gothic" w:hAnsi="Century Gothic"/>
        </w:rPr>
        <w:t xml:space="preserve">Robson, C. and McCartan, K., </w:t>
      </w:r>
      <w:r w:rsidR="002B01DA">
        <w:rPr>
          <w:rFonts w:ascii="Century Gothic" w:hAnsi="Century Gothic"/>
        </w:rPr>
        <w:t>(</w:t>
      </w:r>
      <w:r w:rsidRPr="00985EF8">
        <w:rPr>
          <w:rFonts w:ascii="Century Gothic" w:hAnsi="Century Gothic"/>
        </w:rPr>
        <w:t>2016</w:t>
      </w:r>
      <w:r w:rsidR="002B01DA">
        <w:rPr>
          <w:rFonts w:ascii="Century Gothic" w:hAnsi="Century Gothic"/>
        </w:rPr>
        <w:t>)</w:t>
      </w:r>
      <w:r w:rsidRPr="00985EF8">
        <w:rPr>
          <w:rFonts w:ascii="Century Gothic" w:hAnsi="Century Gothic"/>
        </w:rPr>
        <w:t xml:space="preserve">. </w:t>
      </w:r>
      <w:r w:rsidRPr="00985EF8">
        <w:rPr>
          <w:rFonts w:ascii="Century Gothic" w:hAnsi="Century Gothic"/>
          <w:i/>
          <w:iCs/>
        </w:rPr>
        <w:t>Real world research</w:t>
      </w:r>
      <w:r w:rsidRPr="00985EF8">
        <w:rPr>
          <w:rFonts w:ascii="Century Gothic" w:hAnsi="Century Gothic"/>
        </w:rPr>
        <w:t>. 4th ed. London: Wiley.</w:t>
      </w:r>
    </w:p>
    <w:p w14:paraId="55EC1256" w14:textId="5EB1E664" w:rsidR="00BD772D" w:rsidRPr="00985EF8" w:rsidRDefault="00BD772D" w:rsidP="006A2B0E">
      <w:pPr>
        <w:spacing w:line="360" w:lineRule="auto"/>
        <w:rPr>
          <w:rFonts w:ascii="Century Gothic" w:hAnsi="Century Gothic"/>
        </w:rPr>
      </w:pPr>
      <w:r w:rsidRPr="00BD772D">
        <w:rPr>
          <w:rFonts w:ascii="Century Gothic" w:eastAsia="Times New Roman" w:hAnsi="Century Gothic" w:cs="Times New Roman"/>
          <w:kern w:val="0"/>
          <w14:ligatures w14:val="none"/>
        </w:rPr>
        <w:t xml:space="preserve">Saldaña, J., </w:t>
      </w:r>
      <w:r w:rsidR="002B01DA">
        <w:rPr>
          <w:rFonts w:ascii="Century Gothic" w:eastAsia="Times New Roman" w:hAnsi="Century Gothic" w:cs="Times New Roman"/>
          <w:kern w:val="0"/>
          <w14:ligatures w14:val="none"/>
        </w:rPr>
        <w:t>(</w:t>
      </w:r>
      <w:r w:rsidRPr="00BD772D">
        <w:rPr>
          <w:rFonts w:ascii="Century Gothic" w:eastAsia="Times New Roman" w:hAnsi="Century Gothic" w:cs="Times New Roman"/>
          <w:kern w:val="0"/>
          <w14:ligatures w14:val="none"/>
        </w:rPr>
        <w:t>2003</w:t>
      </w:r>
      <w:r w:rsidR="002B01DA">
        <w:rPr>
          <w:rFonts w:ascii="Century Gothic" w:eastAsia="Times New Roman" w:hAnsi="Century Gothic" w:cs="Times New Roman"/>
          <w:kern w:val="0"/>
          <w14:ligatures w14:val="none"/>
        </w:rPr>
        <w:t>)</w:t>
      </w:r>
      <w:r w:rsidRPr="00BD772D">
        <w:rPr>
          <w:rFonts w:ascii="Century Gothic" w:eastAsia="Times New Roman" w:hAnsi="Century Gothic" w:cs="Times New Roman"/>
          <w:kern w:val="0"/>
          <w14:ligatures w14:val="none"/>
        </w:rPr>
        <w:t xml:space="preserve">. </w:t>
      </w:r>
      <w:r w:rsidRPr="00BD772D">
        <w:rPr>
          <w:rFonts w:ascii="Century Gothic" w:eastAsia="Times New Roman" w:hAnsi="Century Gothic" w:cs="Times New Roman"/>
          <w:i/>
          <w:iCs/>
          <w:kern w:val="0"/>
          <w14:ligatures w14:val="none"/>
        </w:rPr>
        <w:t>Longitudinal qualitative research: Anal</w:t>
      </w:r>
      <w:r w:rsidR="002B01DA">
        <w:rPr>
          <w:rFonts w:ascii="Century Gothic" w:eastAsia="Times New Roman" w:hAnsi="Century Gothic" w:cs="Times New Roman"/>
          <w:i/>
          <w:iCs/>
          <w:kern w:val="0"/>
          <w14:ligatures w14:val="none"/>
        </w:rPr>
        <w:t>ys</w:t>
      </w:r>
      <w:r w:rsidRPr="00BD772D">
        <w:rPr>
          <w:rFonts w:ascii="Century Gothic" w:eastAsia="Times New Roman" w:hAnsi="Century Gothic" w:cs="Times New Roman"/>
          <w:i/>
          <w:iCs/>
          <w:kern w:val="0"/>
          <w14:ligatures w14:val="none"/>
        </w:rPr>
        <w:t>ing change through time</w:t>
      </w:r>
      <w:r w:rsidRPr="00BD772D">
        <w:rPr>
          <w:rFonts w:ascii="Century Gothic" w:eastAsia="Times New Roman" w:hAnsi="Century Gothic" w:cs="Times New Roman"/>
          <w:kern w:val="0"/>
          <w14:ligatures w14:val="none"/>
        </w:rPr>
        <w:t xml:space="preserve">. Walnut Creek: </w:t>
      </w:r>
      <w:proofErr w:type="spellStart"/>
      <w:r w:rsidRPr="00BD772D">
        <w:rPr>
          <w:rFonts w:ascii="Century Gothic" w:eastAsia="Times New Roman" w:hAnsi="Century Gothic" w:cs="Times New Roman"/>
          <w:kern w:val="0"/>
          <w14:ligatures w14:val="none"/>
        </w:rPr>
        <w:t>AltaMira</w:t>
      </w:r>
      <w:proofErr w:type="spellEnd"/>
      <w:r w:rsidRPr="00BD772D">
        <w:rPr>
          <w:rFonts w:ascii="Century Gothic" w:eastAsia="Times New Roman" w:hAnsi="Century Gothic" w:cs="Times New Roman"/>
          <w:kern w:val="0"/>
          <w14:ligatures w14:val="none"/>
        </w:rPr>
        <w:t xml:space="preserve"> Press.</w:t>
      </w:r>
    </w:p>
    <w:p w14:paraId="285BD865" w14:textId="61D6E720" w:rsidR="00700AA6" w:rsidRPr="00985EF8" w:rsidRDefault="00700AA6" w:rsidP="006A2B0E">
      <w:pPr>
        <w:spacing w:line="360" w:lineRule="auto"/>
        <w:rPr>
          <w:rFonts w:ascii="Century Gothic" w:hAnsi="Century Gothic"/>
        </w:rPr>
      </w:pPr>
      <w:r w:rsidRPr="00985EF8">
        <w:rPr>
          <w:rFonts w:ascii="Century Gothic" w:hAnsi="Century Gothic"/>
        </w:rPr>
        <w:t xml:space="preserve">Saunders, M., Lewis, P. and Thornhill, A., </w:t>
      </w:r>
      <w:r w:rsidR="002B01DA">
        <w:rPr>
          <w:rFonts w:ascii="Century Gothic" w:hAnsi="Century Gothic"/>
        </w:rPr>
        <w:t>(</w:t>
      </w:r>
      <w:r w:rsidRPr="00985EF8">
        <w:rPr>
          <w:rFonts w:ascii="Century Gothic" w:hAnsi="Century Gothic"/>
        </w:rPr>
        <w:t>2019</w:t>
      </w:r>
      <w:r w:rsidR="002B01DA">
        <w:rPr>
          <w:rFonts w:ascii="Century Gothic" w:hAnsi="Century Gothic"/>
        </w:rPr>
        <w:t>)</w:t>
      </w:r>
      <w:r w:rsidRPr="00985EF8">
        <w:rPr>
          <w:rFonts w:ascii="Century Gothic" w:hAnsi="Century Gothic"/>
        </w:rPr>
        <w:t xml:space="preserve">. </w:t>
      </w:r>
      <w:r w:rsidRPr="00985EF8">
        <w:rPr>
          <w:rFonts w:ascii="Century Gothic" w:hAnsi="Century Gothic"/>
          <w:i/>
          <w:iCs/>
        </w:rPr>
        <w:t>Research methods for business students</w:t>
      </w:r>
      <w:r w:rsidRPr="00985EF8">
        <w:rPr>
          <w:rFonts w:ascii="Century Gothic" w:hAnsi="Century Gothic"/>
        </w:rPr>
        <w:t>. 8th ed. Harlow: Pearson Education.</w:t>
      </w:r>
    </w:p>
    <w:p w14:paraId="66896E9C" w14:textId="1F949D1A" w:rsidR="00700AA6" w:rsidRPr="00985EF8" w:rsidRDefault="00700AA6" w:rsidP="006A2B0E">
      <w:pPr>
        <w:spacing w:line="360" w:lineRule="auto"/>
        <w:rPr>
          <w:rFonts w:ascii="Century Gothic" w:hAnsi="Century Gothic"/>
        </w:rPr>
      </w:pPr>
      <w:r w:rsidRPr="00985EF8">
        <w:rPr>
          <w:rFonts w:ascii="Century Gothic" w:hAnsi="Century Gothic"/>
        </w:rPr>
        <w:t>Seligman, M.</w:t>
      </w:r>
      <w:r w:rsidR="002B01DA">
        <w:rPr>
          <w:rFonts w:ascii="Century Gothic" w:hAnsi="Century Gothic"/>
        </w:rPr>
        <w:t>,</w:t>
      </w:r>
      <w:r w:rsidRPr="00985EF8">
        <w:rPr>
          <w:rFonts w:ascii="Century Gothic" w:hAnsi="Century Gothic"/>
        </w:rPr>
        <w:t xml:space="preserve"> </w:t>
      </w:r>
      <w:r w:rsidR="002B01DA">
        <w:rPr>
          <w:rFonts w:ascii="Century Gothic" w:hAnsi="Century Gothic"/>
        </w:rPr>
        <w:t>(</w:t>
      </w:r>
      <w:r w:rsidRPr="00985EF8">
        <w:rPr>
          <w:rFonts w:ascii="Century Gothic" w:hAnsi="Century Gothic"/>
        </w:rPr>
        <w:t>2011</w:t>
      </w:r>
      <w:r w:rsidR="002B01DA">
        <w:rPr>
          <w:rFonts w:ascii="Century Gothic" w:hAnsi="Century Gothic"/>
        </w:rPr>
        <w:t>)</w:t>
      </w:r>
      <w:r w:rsidRPr="00985EF8">
        <w:rPr>
          <w:rFonts w:ascii="Century Gothic" w:hAnsi="Century Gothic"/>
        </w:rPr>
        <w:t xml:space="preserve">. </w:t>
      </w:r>
      <w:r w:rsidRPr="00985EF8">
        <w:rPr>
          <w:rFonts w:ascii="Century Gothic" w:hAnsi="Century Gothic"/>
          <w:i/>
          <w:iCs/>
        </w:rPr>
        <w:t>Flourish: A visionary new understanding of happiness and well-being</w:t>
      </w:r>
      <w:r w:rsidRPr="00985EF8">
        <w:rPr>
          <w:rFonts w:ascii="Century Gothic" w:hAnsi="Century Gothic"/>
        </w:rPr>
        <w:t>. New York: Free Press.</w:t>
      </w:r>
    </w:p>
    <w:p w14:paraId="4165414C" w14:textId="2AA56BC6" w:rsidR="00700AA6" w:rsidRPr="00985EF8" w:rsidRDefault="00700AA6" w:rsidP="006A2B0E">
      <w:pPr>
        <w:spacing w:line="360" w:lineRule="auto"/>
        <w:rPr>
          <w:rFonts w:ascii="Century Gothic" w:hAnsi="Century Gothic"/>
        </w:rPr>
      </w:pPr>
      <w:r w:rsidRPr="00985EF8">
        <w:rPr>
          <w:rFonts w:ascii="Century Gothic" w:hAnsi="Century Gothic"/>
        </w:rPr>
        <w:t xml:space="preserve">Soutter, A., O’Steen, B. and Gilmore, A., </w:t>
      </w:r>
      <w:r w:rsidR="001679EF">
        <w:rPr>
          <w:rFonts w:ascii="Century Gothic" w:hAnsi="Century Gothic"/>
        </w:rPr>
        <w:t>(</w:t>
      </w:r>
      <w:r w:rsidRPr="00985EF8">
        <w:rPr>
          <w:rFonts w:ascii="Century Gothic" w:hAnsi="Century Gothic"/>
        </w:rPr>
        <w:t>2014</w:t>
      </w:r>
      <w:r w:rsidR="001679EF">
        <w:rPr>
          <w:rFonts w:ascii="Century Gothic" w:hAnsi="Century Gothic"/>
        </w:rPr>
        <w:t>)</w:t>
      </w:r>
      <w:r w:rsidRPr="00985EF8">
        <w:rPr>
          <w:rFonts w:ascii="Century Gothic" w:hAnsi="Century Gothic"/>
        </w:rPr>
        <w:t xml:space="preserve">. Wellbeing in the curriculum: Framing the evidence. </w:t>
      </w:r>
      <w:r w:rsidRPr="00985EF8">
        <w:rPr>
          <w:rFonts w:ascii="Century Gothic" w:hAnsi="Century Gothic"/>
          <w:i/>
          <w:iCs/>
        </w:rPr>
        <w:t>New Zealand Journal of Teachers’ Work</w:t>
      </w:r>
      <w:r w:rsidRPr="00985EF8">
        <w:rPr>
          <w:rFonts w:ascii="Century Gothic" w:hAnsi="Century Gothic"/>
        </w:rPr>
        <w:t>, 11(2), pp.251–268.</w:t>
      </w:r>
    </w:p>
    <w:p w14:paraId="6486C64A" w14:textId="721695C0" w:rsidR="00700AA6" w:rsidRPr="00985EF8" w:rsidRDefault="00700AA6" w:rsidP="006A2B0E">
      <w:pPr>
        <w:spacing w:line="360" w:lineRule="auto"/>
        <w:rPr>
          <w:rFonts w:ascii="Century Gothic" w:hAnsi="Century Gothic"/>
        </w:rPr>
      </w:pPr>
      <w:r w:rsidRPr="00985EF8">
        <w:rPr>
          <w:rFonts w:ascii="Century Gothic" w:hAnsi="Century Gothic"/>
        </w:rPr>
        <w:t xml:space="preserve">Tennant, R., Hiller, L., Fishwick, R., Platt, S., Joseph, S., Weich, S., Parkinson, J., Secker, J. and Stewart-Brown, S., </w:t>
      </w:r>
      <w:r w:rsidR="001679EF">
        <w:rPr>
          <w:rFonts w:ascii="Century Gothic" w:hAnsi="Century Gothic"/>
        </w:rPr>
        <w:t>(</w:t>
      </w:r>
      <w:r w:rsidRPr="00985EF8">
        <w:rPr>
          <w:rFonts w:ascii="Century Gothic" w:hAnsi="Century Gothic"/>
        </w:rPr>
        <w:t>2007</w:t>
      </w:r>
      <w:r w:rsidR="001679EF">
        <w:rPr>
          <w:rFonts w:ascii="Century Gothic" w:hAnsi="Century Gothic"/>
        </w:rPr>
        <w:t>)</w:t>
      </w:r>
      <w:r w:rsidRPr="00985EF8">
        <w:rPr>
          <w:rFonts w:ascii="Century Gothic" w:hAnsi="Century Gothic"/>
        </w:rPr>
        <w:t xml:space="preserve">. The Warwick–Edinburgh Mental Well-being Scale (WEMWBS): development and UK validation. </w:t>
      </w:r>
      <w:r w:rsidRPr="00985EF8">
        <w:rPr>
          <w:rFonts w:ascii="Century Gothic" w:hAnsi="Century Gothic"/>
          <w:i/>
          <w:iCs/>
        </w:rPr>
        <w:t>Health and Quality of Life Outcomes</w:t>
      </w:r>
      <w:r w:rsidRPr="00985EF8">
        <w:rPr>
          <w:rFonts w:ascii="Century Gothic" w:hAnsi="Century Gothic"/>
        </w:rPr>
        <w:t>, 5(1), p.63.</w:t>
      </w:r>
    </w:p>
    <w:p w14:paraId="2172023D" w14:textId="1435F466" w:rsidR="00700AA6" w:rsidRPr="00985EF8" w:rsidRDefault="00700AA6" w:rsidP="006A2B0E">
      <w:pPr>
        <w:spacing w:line="360" w:lineRule="auto"/>
        <w:rPr>
          <w:rFonts w:ascii="Century Gothic" w:hAnsi="Century Gothic"/>
        </w:rPr>
      </w:pPr>
      <w:r w:rsidRPr="00985EF8">
        <w:rPr>
          <w:rFonts w:ascii="Century Gothic" w:hAnsi="Century Gothic"/>
        </w:rPr>
        <w:t xml:space="preserve">Terry, G., Hayfield, N., Clarke, V. and Braun, V., </w:t>
      </w:r>
      <w:r w:rsidR="001679EF">
        <w:rPr>
          <w:rFonts w:ascii="Century Gothic" w:hAnsi="Century Gothic"/>
        </w:rPr>
        <w:t>(</w:t>
      </w:r>
      <w:r w:rsidRPr="00985EF8">
        <w:rPr>
          <w:rFonts w:ascii="Century Gothic" w:hAnsi="Century Gothic"/>
        </w:rPr>
        <w:t>2017</w:t>
      </w:r>
      <w:r w:rsidR="001679EF">
        <w:rPr>
          <w:rFonts w:ascii="Century Gothic" w:hAnsi="Century Gothic"/>
        </w:rPr>
        <w:t>)</w:t>
      </w:r>
      <w:r w:rsidRPr="00985EF8">
        <w:rPr>
          <w:rFonts w:ascii="Century Gothic" w:hAnsi="Century Gothic"/>
        </w:rPr>
        <w:t xml:space="preserve">. Thematic analysis. In: C. Willig and W. Stainton-Rogers, eds. </w:t>
      </w:r>
      <w:r w:rsidRPr="00985EF8">
        <w:rPr>
          <w:rFonts w:ascii="Century Gothic" w:hAnsi="Century Gothic"/>
          <w:i/>
          <w:iCs/>
        </w:rPr>
        <w:t>The SAGE Handbook of Qualitative Research in Psychology</w:t>
      </w:r>
      <w:r w:rsidRPr="00985EF8">
        <w:rPr>
          <w:rFonts w:ascii="Century Gothic" w:hAnsi="Century Gothic"/>
        </w:rPr>
        <w:t>. 2nd ed. London: SAGE, pp.17–37.</w:t>
      </w:r>
    </w:p>
    <w:p w14:paraId="2DCCB394" w14:textId="6AE83FB2" w:rsidR="00700AA6" w:rsidRPr="00985EF8" w:rsidRDefault="00700AA6" w:rsidP="006A2B0E">
      <w:pPr>
        <w:spacing w:line="360" w:lineRule="auto"/>
        <w:rPr>
          <w:rFonts w:ascii="Century Gothic" w:hAnsi="Century Gothic"/>
        </w:rPr>
      </w:pPr>
      <w:r w:rsidRPr="00985EF8">
        <w:rPr>
          <w:rFonts w:ascii="Century Gothic" w:hAnsi="Century Gothic"/>
        </w:rPr>
        <w:lastRenderedPageBreak/>
        <w:t xml:space="preserve">Thomas, G., </w:t>
      </w:r>
      <w:r w:rsidR="002E2CD1">
        <w:rPr>
          <w:rFonts w:ascii="Century Gothic" w:hAnsi="Century Gothic"/>
        </w:rPr>
        <w:t>(</w:t>
      </w:r>
      <w:r w:rsidRPr="00985EF8">
        <w:rPr>
          <w:rFonts w:ascii="Century Gothic" w:hAnsi="Century Gothic"/>
        </w:rPr>
        <w:t>2021</w:t>
      </w:r>
      <w:r w:rsidR="002E2CD1">
        <w:rPr>
          <w:rFonts w:ascii="Century Gothic" w:hAnsi="Century Gothic"/>
        </w:rPr>
        <w:t>)</w:t>
      </w:r>
      <w:r w:rsidRPr="00985EF8">
        <w:rPr>
          <w:rFonts w:ascii="Century Gothic" w:hAnsi="Century Gothic"/>
        </w:rPr>
        <w:t xml:space="preserve">. </w:t>
      </w:r>
      <w:r w:rsidRPr="00985EF8">
        <w:rPr>
          <w:rFonts w:ascii="Century Gothic" w:hAnsi="Century Gothic"/>
          <w:i/>
          <w:iCs/>
        </w:rPr>
        <w:t>How to do your research project: A guide for students</w:t>
      </w:r>
      <w:r w:rsidRPr="00985EF8">
        <w:rPr>
          <w:rFonts w:ascii="Century Gothic" w:hAnsi="Century Gothic"/>
        </w:rPr>
        <w:t>. 5th ed. London: SAGE Publications.</w:t>
      </w:r>
    </w:p>
    <w:p w14:paraId="2112114E" w14:textId="7D5710CF" w:rsidR="00700AA6" w:rsidRPr="00985EF8" w:rsidRDefault="00700AA6" w:rsidP="006A2B0E">
      <w:pPr>
        <w:spacing w:line="360" w:lineRule="auto"/>
        <w:rPr>
          <w:rFonts w:ascii="Century Gothic" w:hAnsi="Century Gothic"/>
        </w:rPr>
      </w:pPr>
      <w:r w:rsidRPr="00985EF8">
        <w:rPr>
          <w:rFonts w:ascii="Century Gothic" w:hAnsi="Century Gothic"/>
        </w:rPr>
        <w:t xml:space="preserve">Welsh Government, </w:t>
      </w:r>
      <w:r w:rsidR="002E2CD1">
        <w:rPr>
          <w:rFonts w:ascii="Century Gothic" w:hAnsi="Century Gothic"/>
        </w:rPr>
        <w:t>(</w:t>
      </w:r>
      <w:r w:rsidRPr="00985EF8">
        <w:rPr>
          <w:rFonts w:ascii="Century Gothic" w:hAnsi="Century Gothic"/>
        </w:rPr>
        <w:t>2015</w:t>
      </w:r>
      <w:r w:rsidR="002E2CD1">
        <w:rPr>
          <w:rFonts w:ascii="Century Gothic" w:hAnsi="Century Gothic"/>
        </w:rPr>
        <w:t>)</w:t>
      </w:r>
      <w:r w:rsidRPr="00985EF8">
        <w:rPr>
          <w:rFonts w:ascii="Century Gothic" w:hAnsi="Century Gothic"/>
        </w:rPr>
        <w:t xml:space="preserve">. </w:t>
      </w:r>
      <w:r w:rsidRPr="00985EF8">
        <w:rPr>
          <w:rFonts w:ascii="Century Gothic" w:hAnsi="Century Gothic"/>
          <w:i/>
          <w:iCs/>
        </w:rPr>
        <w:t>Well-being of Future Generations (Wales) Act 2015</w:t>
      </w:r>
      <w:r w:rsidRPr="00985EF8">
        <w:rPr>
          <w:rFonts w:ascii="Century Gothic" w:hAnsi="Century Gothic"/>
        </w:rPr>
        <w:t xml:space="preserve">. Cardiff: Welsh Government. Available at: https://www.futuregenerations.wales/about-us/future-generations-act/ [Accessed </w:t>
      </w:r>
      <w:r w:rsidR="002E2CD1">
        <w:rPr>
          <w:rFonts w:ascii="Century Gothic" w:hAnsi="Century Gothic"/>
        </w:rPr>
        <w:t>12</w:t>
      </w:r>
      <w:r w:rsidRPr="00985EF8">
        <w:rPr>
          <w:rFonts w:ascii="Century Gothic" w:hAnsi="Century Gothic"/>
        </w:rPr>
        <w:t xml:space="preserve"> Apr</w:t>
      </w:r>
      <w:r w:rsidR="002E2CD1">
        <w:rPr>
          <w:rFonts w:ascii="Century Gothic" w:hAnsi="Century Gothic"/>
        </w:rPr>
        <w:t>il</w:t>
      </w:r>
      <w:r w:rsidRPr="00985EF8">
        <w:rPr>
          <w:rFonts w:ascii="Century Gothic" w:hAnsi="Century Gothic"/>
        </w:rPr>
        <w:t xml:space="preserve"> 2025].</w:t>
      </w:r>
    </w:p>
    <w:p w14:paraId="4D2E9D53" w14:textId="7A56714A" w:rsidR="00700AA6" w:rsidRPr="00985EF8" w:rsidRDefault="00700AA6" w:rsidP="006A2B0E">
      <w:pPr>
        <w:spacing w:line="360" w:lineRule="auto"/>
        <w:rPr>
          <w:rFonts w:ascii="Century Gothic" w:hAnsi="Century Gothic"/>
        </w:rPr>
      </w:pPr>
      <w:r w:rsidRPr="00985EF8">
        <w:rPr>
          <w:rFonts w:ascii="Century Gothic" w:hAnsi="Century Gothic"/>
        </w:rPr>
        <w:t>Wright, K.</w:t>
      </w:r>
      <w:r w:rsidR="002E2CD1">
        <w:rPr>
          <w:rFonts w:ascii="Century Gothic" w:hAnsi="Century Gothic"/>
        </w:rPr>
        <w:t>, (</w:t>
      </w:r>
      <w:r w:rsidRPr="00985EF8">
        <w:rPr>
          <w:rFonts w:ascii="Century Gothic" w:hAnsi="Century Gothic"/>
        </w:rPr>
        <w:t>2005</w:t>
      </w:r>
      <w:r w:rsidR="002E2CD1">
        <w:rPr>
          <w:rFonts w:ascii="Century Gothic" w:hAnsi="Century Gothic"/>
        </w:rPr>
        <w:t>)</w:t>
      </w:r>
      <w:r w:rsidRPr="00985EF8">
        <w:rPr>
          <w:rFonts w:ascii="Century Gothic" w:hAnsi="Century Gothic"/>
        </w:rPr>
        <w:t xml:space="preserve">. Researching internet-based populations: Advantages and disadvantages of online survey research, online questionnaire authoring software packages, and web survey services. </w:t>
      </w:r>
      <w:r w:rsidRPr="00985EF8">
        <w:rPr>
          <w:rFonts w:ascii="Century Gothic" w:hAnsi="Century Gothic"/>
          <w:i/>
          <w:iCs/>
        </w:rPr>
        <w:t>Journal of Computer-Mediated Communication</w:t>
      </w:r>
      <w:r w:rsidRPr="00985EF8">
        <w:rPr>
          <w:rFonts w:ascii="Century Gothic" w:hAnsi="Century Gothic"/>
        </w:rPr>
        <w:t>, 10(3). https://doi.org/10.1111/j.1083-6101.2005.tb00259.x</w:t>
      </w:r>
    </w:p>
    <w:p w14:paraId="2C9B8F32" w14:textId="77777777" w:rsidR="00700AA6" w:rsidRPr="00985EF8" w:rsidRDefault="00700AA6" w:rsidP="006A2B0E">
      <w:pPr>
        <w:spacing w:line="360" w:lineRule="auto"/>
        <w:rPr>
          <w:rFonts w:ascii="Century Gothic" w:hAnsi="Century Gothic"/>
        </w:rPr>
      </w:pPr>
    </w:p>
    <w:p w14:paraId="00060A54" w14:textId="77777777" w:rsidR="009E1A1B" w:rsidRPr="00985EF8" w:rsidRDefault="009E1A1B" w:rsidP="006A2B0E">
      <w:pPr>
        <w:spacing w:line="360" w:lineRule="auto"/>
        <w:rPr>
          <w:rFonts w:ascii="Century Gothic" w:hAnsi="Century Gothic"/>
        </w:rPr>
      </w:pPr>
    </w:p>
    <w:p w14:paraId="112BC86E" w14:textId="77777777" w:rsidR="00231227" w:rsidRDefault="00231227" w:rsidP="00231227">
      <w:pPr>
        <w:spacing w:before="100" w:beforeAutospacing="1" w:after="100" w:afterAutospacing="1" w:line="240" w:lineRule="auto"/>
        <w:rPr>
          <w:rFonts w:ascii="Century Gothic" w:eastAsia="Times New Roman" w:hAnsi="Century Gothic" w:cs="Times New Roman"/>
          <w:kern w:val="0"/>
          <w14:ligatures w14:val="none"/>
        </w:rPr>
      </w:pPr>
    </w:p>
    <w:p w14:paraId="5144B9BD" w14:textId="77777777" w:rsidR="00BD772D" w:rsidRDefault="00BD772D" w:rsidP="00231227">
      <w:pPr>
        <w:spacing w:before="100" w:beforeAutospacing="1" w:after="100" w:afterAutospacing="1" w:line="240" w:lineRule="auto"/>
        <w:rPr>
          <w:rFonts w:ascii="Century Gothic" w:eastAsia="Times New Roman" w:hAnsi="Century Gothic" w:cs="Times New Roman"/>
          <w:kern w:val="0"/>
          <w14:ligatures w14:val="none"/>
        </w:rPr>
      </w:pPr>
    </w:p>
    <w:p w14:paraId="29AE2B96" w14:textId="77777777" w:rsidR="00BD772D" w:rsidRDefault="00BD772D" w:rsidP="00231227">
      <w:pPr>
        <w:spacing w:before="100" w:beforeAutospacing="1" w:after="100" w:afterAutospacing="1" w:line="240" w:lineRule="auto"/>
        <w:rPr>
          <w:rFonts w:ascii="Century Gothic" w:eastAsia="Times New Roman" w:hAnsi="Century Gothic" w:cs="Times New Roman"/>
          <w:kern w:val="0"/>
          <w14:ligatures w14:val="none"/>
        </w:rPr>
      </w:pPr>
    </w:p>
    <w:p w14:paraId="1653BEAE" w14:textId="77777777" w:rsidR="00BD772D" w:rsidRDefault="00BD772D" w:rsidP="00231227">
      <w:pPr>
        <w:spacing w:before="100" w:beforeAutospacing="1" w:after="100" w:afterAutospacing="1" w:line="240" w:lineRule="auto"/>
        <w:rPr>
          <w:rFonts w:ascii="Century Gothic" w:eastAsia="Times New Roman" w:hAnsi="Century Gothic" w:cs="Times New Roman"/>
          <w:kern w:val="0"/>
          <w14:ligatures w14:val="none"/>
        </w:rPr>
      </w:pPr>
    </w:p>
    <w:p w14:paraId="5781C3C8" w14:textId="77777777" w:rsidR="00BD772D" w:rsidRDefault="00BD772D" w:rsidP="00231227">
      <w:pPr>
        <w:spacing w:before="100" w:beforeAutospacing="1" w:after="100" w:afterAutospacing="1" w:line="240" w:lineRule="auto"/>
        <w:rPr>
          <w:rFonts w:ascii="Times New Roman" w:eastAsia="Times New Roman" w:hAnsi="Times New Roman" w:cs="Times New Roman"/>
          <w:kern w:val="0"/>
          <w14:ligatures w14:val="none"/>
        </w:rPr>
      </w:pPr>
    </w:p>
    <w:p w14:paraId="50776CD3" w14:textId="77777777" w:rsidR="00231227" w:rsidRDefault="00231227" w:rsidP="00231227">
      <w:pPr>
        <w:spacing w:before="100" w:beforeAutospacing="1" w:after="100" w:afterAutospacing="1" w:line="240" w:lineRule="auto"/>
        <w:rPr>
          <w:rFonts w:ascii="Times New Roman" w:eastAsia="Times New Roman" w:hAnsi="Times New Roman" w:cs="Times New Roman"/>
          <w:kern w:val="0"/>
          <w14:ligatures w14:val="none"/>
        </w:rPr>
      </w:pPr>
    </w:p>
    <w:p w14:paraId="00019E2D" w14:textId="77777777" w:rsidR="00231227" w:rsidRDefault="00231227" w:rsidP="00231227">
      <w:pPr>
        <w:spacing w:before="100" w:beforeAutospacing="1" w:after="100" w:afterAutospacing="1" w:line="240" w:lineRule="auto"/>
        <w:rPr>
          <w:rFonts w:ascii="Times New Roman" w:eastAsia="Times New Roman" w:hAnsi="Times New Roman" w:cs="Times New Roman"/>
          <w:kern w:val="0"/>
          <w14:ligatures w14:val="none"/>
        </w:rPr>
      </w:pPr>
    </w:p>
    <w:p w14:paraId="667AE784" w14:textId="77777777" w:rsidR="00231227" w:rsidRDefault="00231227" w:rsidP="00231227">
      <w:pPr>
        <w:spacing w:before="100" w:beforeAutospacing="1" w:after="100" w:afterAutospacing="1" w:line="240" w:lineRule="auto"/>
        <w:rPr>
          <w:rFonts w:ascii="Times New Roman" w:eastAsia="Times New Roman" w:hAnsi="Times New Roman" w:cs="Times New Roman"/>
          <w:kern w:val="0"/>
          <w14:ligatures w14:val="none"/>
        </w:rPr>
      </w:pPr>
    </w:p>
    <w:p w14:paraId="5E5FC697" w14:textId="77777777" w:rsidR="00231227" w:rsidRDefault="00231227" w:rsidP="00231227">
      <w:pPr>
        <w:spacing w:before="100" w:beforeAutospacing="1" w:after="100" w:afterAutospacing="1" w:line="240" w:lineRule="auto"/>
        <w:rPr>
          <w:rFonts w:ascii="Times New Roman" w:eastAsia="Times New Roman" w:hAnsi="Times New Roman" w:cs="Times New Roman"/>
          <w:kern w:val="0"/>
          <w14:ligatures w14:val="none"/>
        </w:rPr>
      </w:pPr>
    </w:p>
    <w:p w14:paraId="7A0A172B" w14:textId="77777777" w:rsidR="00231227" w:rsidRDefault="00231227" w:rsidP="00231227">
      <w:pPr>
        <w:spacing w:before="100" w:beforeAutospacing="1" w:after="100" w:afterAutospacing="1" w:line="240" w:lineRule="auto"/>
        <w:rPr>
          <w:rFonts w:ascii="Times New Roman" w:eastAsia="Times New Roman" w:hAnsi="Times New Roman" w:cs="Times New Roman"/>
          <w:kern w:val="0"/>
          <w14:ligatures w14:val="none"/>
        </w:rPr>
      </w:pPr>
    </w:p>
    <w:p w14:paraId="35F06172" w14:textId="77777777" w:rsidR="002E2CD1" w:rsidRDefault="002E2CD1" w:rsidP="00231227">
      <w:pPr>
        <w:spacing w:before="100" w:beforeAutospacing="1" w:after="100" w:afterAutospacing="1" w:line="240" w:lineRule="auto"/>
        <w:rPr>
          <w:rFonts w:ascii="Times New Roman" w:eastAsia="Times New Roman" w:hAnsi="Times New Roman" w:cs="Times New Roman"/>
          <w:kern w:val="0"/>
          <w14:ligatures w14:val="none"/>
        </w:rPr>
      </w:pPr>
    </w:p>
    <w:p w14:paraId="14B00379" w14:textId="77777777" w:rsidR="002E2CD1" w:rsidRDefault="002E2CD1" w:rsidP="00231227">
      <w:pPr>
        <w:spacing w:before="100" w:beforeAutospacing="1" w:after="100" w:afterAutospacing="1" w:line="240" w:lineRule="auto"/>
        <w:rPr>
          <w:rFonts w:ascii="Times New Roman" w:eastAsia="Times New Roman" w:hAnsi="Times New Roman" w:cs="Times New Roman"/>
          <w:kern w:val="0"/>
          <w14:ligatures w14:val="none"/>
        </w:rPr>
      </w:pPr>
    </w:p>
    <w:p w14:paraId="0EC1364A" w14:textId="77777777" w:rsidR="00231227" w:rsidRPr="00231227" w:rsidRDefault="00231227" w:rsidP="00231227">
      <w:pPr>
        <w:spacing w:before="100" w:beforeAutospacing="1" w:after="100" w:afterAutospacing="1" w:line="240" w:lineRule="auto"/>
        <w:rPr>
          <w:rFonts w:ascii="Times New Roman" w:eastAsia="Times New Roman" w:hAnsi="Times New Roman" w:cs="Times New Roman"/>
          <w:kern w:val="0"/>
          <w14:ligatures w14:val="none"/>
        </w:rPr>
      </w:pPr>
    </w:p>
    <w:p w14:paraId="004DD549" w14:textId="735F03D2" w:rsidR="009E1A1B" w:rsidRDefault="00231227" w:rsidP="00231227">
      <w:pPr>
        <w:pStyle w:val="Heading1"/>
      </w:pPr>
      <w:r>
        <w:lastRenderedPageBreak/>
        <w:t>APPENDIX 1</w:t>
      </w:r>
    </w:p>
    <w:p w14:paraId="377427D3" w14:textId="475E3E01" w:rsidR="00231227" w:rsidRDefault="00231227" w:rsidP="006A2B0E">
      <w:pPr>
        <w:spacing w:line="360" w:lineRule="auto"/>
        <w:rPr>
          <w:rFonts w:ascii="Century Gothic" w:hAnsi="Century Gothic"/>
        </w:rPr>
      </w:pPr>
    </w:p>
    <w:p w14:paraId="7956DBF5" w14:textId="1F2279EA" w:rsidR="00231227" w:rsidRPr="00985EF8" w:rsidRDefault="00231227" w:rsidP="006A2B0E">
      <w:pPr>
        <w:spacing w:line="360" w:lineRule="auto"/>
        <w:rPr>
          <w:rFonts w:ascii="Century Gothic" w:hAnsi="Century Gothic"/>
        </w:rPr>
      </w:pPr>
      <w:r w:rsidRPr="00985EF8">
        <w:rPr>
          <w:rFonts w:ascii="Century Gothic" w:hAnsi="Century Gothic"/>
          <w:noProof/>
        </w:rPr>
        <w:drawing>
          <wp:anchor distT="0" distB="0" distL="114300" distR="114300" simplePos="0" relativeHeight="251658240" behindDoc="0" locked="0" layoutInCell="1" allowOverlap="1" wp14:anchorId="717C87FB" wp14:editId="64630484">
            <wp:simplePos x="0" y="0"/>
            <wp:positionH relativeFrom="column">
              <wp:posOffset>633005</wp:posOffset>
            </wp:positionH>
            <wp:positionV relativeFrom="paragraph">
              <wp:posOffset>65405</wp:posOffset>
            </wp:positionV>
            <wp:extent cx="5731510" cy="7200900"/>
            <wp:effectExtent l="0" t="0" r="2540" b="0"/>
            <wp:wrapNone/>
            <wp:docPr id="1252503080"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03080" name="Picture 1" descr="A chart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7200900"/>
                    </a:xfrm>
                    <a:prstGeom prst="rect">
                      <a:avLst/>
                    </a:prstGeom>
                  </pic:spPr>
                </pic:pic>
              </a:graphicData>
            </a:graphic>
          </wp:anchor>
        </w:drawing>
      </w:r>
    </w:p>
    <w:p w14:paraId="131C1F07" w14:textId="2A0B3F05" w:rsidR="009E1A1B" w:rsidRPr="00985EF8" w:rsidRDefault="009E1A1B" w:rsidP="00684FDD">
      <w:pPr>
        <w:rPr>
          <w:rFonts w:ascii="Century Gothic" w:hAnsi="Century Gothic"/>
        </w:rPr>
      </w:pPr>
    </w:p>
    <w:sectPr w:rsidR="009E1A1B" w:rsidRPr="00985EF8" w:rsidSect="00102F4B">
      <w:footerReference w:type="default" r:id="rId9"/>
      <w:pgSz w:w="11906" w:h="16838"/>
      <w:pgMar w:top="1440" w:right="424" w:bottom="1440" w:left="709"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00D578" w14:textId="77777777" w:rsidR="0088780E" w:rsidRDefault="0088780E" w:rsidP="009E1A1B">
      <w:pPr>
        <w:spacing w:after="0" w:line="240" w:lineRule="auto"/>
      </w:pPr>
      <w:r>
        <w:separator/>
      </w:r>
    </w:p>
  </w:endnote>
  <w:endnote w:type="continuationSeparator" w:id="0">
    <w:p w14:paraId="7585E793" w14:textId="77777777" w:rsidR="0088780E" w:rsidRDefault="0088780E" w:rsidP="009E1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6227905"/>
      <w:docPartObj>
        <w:docPartGallery w:val="Page Numbers (Bottom of Page)"/>
        <w:docPartUnique/>
      </w:docPartObj>
    </w:sdtPr>
    <w:sdtContent>
      <w:p w14:paraId="12DB5F18" w14:textId="68CE5B15" w:rsidR="00102F4B" w:rsidRDefault="00102F4B">
        <w:pPr>
          <w:pStyle w:val="Footer"/>
          <w:jc w:val="right"/>
        </w:pPr>
        <w:r>
          <w:fldChar w:fldCharType="begin"/>
        </w:r>
        <w:r>
          <w:instrText>PAGE   \* MERGEFORMAT</w:instrText>
        </w:r>
        <w:r>
          <w:fldChar w:fldCharType="separate"/>
        </w:r>
        <w:r>
          <w:t>2</w:t>
        </w:r>
        <w:r>
          <w:fldChar w:fldCharType="end"/>
        </w:r>
      </w:p>
    </w:sdtContent>
  </w:sdt>
  <w:p w14:paraId="07CC86D5" w14:textId="77777777" w:rsidR="00102F4B" w:rsidRDefault="00102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CF38F" w14:textId="77777777" w:rsidR="0088780E" w:rsidRDefault="0088780E" w:rsidP="009E1A1B">
      <w:pPr>
        <w:spacing w:after="0" w:line="240" w:lineRule="auto"/>
      </w:pPr>
      <w:r>
        <w:separator/>
      </w:r>
    </w:p>
  </w:footnote>
  <w:footnote w:type="continuationSeparator" w:id="0">
    <w:p w14:paraId="2D1E55EC" w14:textId="77777777" w:rsidR="0088780E" w:rsidRDefault="0088780E" w:rsidP="009E1A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B619B"/>
    <w:multiLevelType w:val="multilevel"/>
    <w:tmpl w:val="694C1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662022"/>
    <w:multiLevelType w:val="multilevel"/>
    <w:tmpl w:val="FEEC6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298119">
    <w:abstractNumId w:val="1"/>
  </w:num>
  <w:num w:numId="2" w16cid:durableId="1111627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CE7"/>
    <w:rsid w:val="00005B5A"/>
    <w:rsid w:val="00060E30"/>
    <w:rsid w:val="00070101"/>
    <w:rsid w:val="000C75C6"/>
    <w:rsid w:val="000D48C6"/>
    <w:rsid w:val="00102F4B"/>
    <w:rsid w:val="00143D11"/>
    <w:rsid w:val="00144CD9"/>
    <w:rsid w:val="00152746"/>
    <w:rsid w:val="001679EF"/>
    <w:rsid w:val="00167AA3"/>
    <w:rsid w:val="00185C5E"/>
    <w:rsid w:val="00185CF0"/>
    <w:rsid w:val="001C0F5E"/>
    <w:rsid w:val="001D2888"/>
    <w:rsid w:val="00231227"/>
    <w:rsid w:val="0024325F"/>
    <w:rsid w:val="002571B8"/>
    <w:rsid w:val="00281842"/>
    <w:rsid w:val="00284980"/>
    <w:rsid w:val="002966F2"/>
    <w:rsid w:val="002B01DA"/>
    <w:rsid w:val="002D2BA4"/>
    <w:rsid w:val="002E2CD1"/>
    <w:rsid w:val="003202F6"/>
    <w:rsid w:val="00324C1E"/>
    <w:rsid w:val="00345C85"/>
    <w:rsid w:val="00364E52"/>
    <w:rsid w:val="003805FD"/>
    <w:rsid w:val="003864B0"/>
    <w:rsid w:val="00391EC5"/>
    <w:rsid w:val="003B4755"/>
    <w:rsid w:val="003E6A9E"/>
    <w:rsid w:val="004044CB"/>
    <w:rsid w:val="00404835"/>
    <w:rsid w:val="00414C1E"/>
    <w:rsid w:val="00421564"/>
    <w:rsid w:val="004407BC"/>
    <w:rsid w:val="0047391B"/>
    <w:rsid w:val="004812F8"/>
    <w:rsid w:val="004C0D7B"/>
    <w:rsid w:val="004D149B"/>
    <w:rsid w:val="004D7113"/>
    <w:rsid w:val="00516646"/>
    <w:rsid w:val="00521E84"/>
    <w:rsid w:val="00532926"/>
    <w:rsid w:val="00595B11"/>
    <w:rsid w:val="005A1465"/>
    <w:rsid w:val="006074CE"/>
    <w:rsid w:val="0061346D"/>
    <w:rsid w:val="00660ED8"/>
    <w:rsid w:val="00684FDD"/>
    <w:rsid w:val="006A2B0E"/>
    <w:rsid w:val="006A608D"/>
    <w:rsid w:val="006C1EF0"/>
    <w:rsid w:val="006F3249"/>
    <w:rsid w:val="006F6EDC"/>
    <w:rsid w:val="00700AA6"/>
    <w:rsid w:val="00701300"/>
    <w:rsid w:val="00727648"/>
    <w:rsid w:val="007949D5"/>
    <w:rsid w:val="007A6CAF"/>
    <w:rsid w:val="007D1381"/>
    <w:rsid w:val="00804ACA"/>
    <w:rsid w:val="00830032"/>
    <w:rsid w:val="00852E75"/>
    <w:rsid w:val="0086141B"/>
    <w:rsid w:val="0088780E"/>
    <w:rsid w:val="008A5353"/>
    <w:rsid w:val="008C0F08"/>
    <w:rsid w:val="008D180D"/>
    <w:rsid w:val="008E7890"/>
    <w:rsid w:val="008F37F0"/>
    <w:rsid w:val="00920CE7"/>
    <w:rsid w:val="00971699"/>
    <w:rsid w:val="00980EED"/>
    <w:rsid w:val="0098115C"/>
    <w:rsid w:val="00985EF8"/>
    <w:rsid w:val="00993B9A"/>
    <w:rsid w:val="00994209"/>
    <w:rsid w:val="009A1ADF"/>
    <w:rsid w:val="009E0ADD"/>
    <w:rsid w:val="009E1A1B"/>
    <w:rsid w:val="00A130B9"/>
    <w:rsid w:val="00A32461"/>
    <w:rsid w:val="00A33E51"/>
    <w:rsid w:val="00AD22F0"/>
    <w:rsid w:val="00B45998"/>
    <w:rsid w:val="00BB6ADE"/>
    <w:rsid w:val="00BD772D"/>
    <w:rsid w:val="00C241E4"/>
    <w:rsid w:val="00C54D81"/>
    <w:rsid w:val="00CA1B69"/>
    <w:rsid w:val="00CA58F7"/>
    <w:rsid w:val="00CB1739"/>
    <w:rsid w:val="00CD4B4B"/>
    <w:rsid w:val="00CD4E8C"/>
    <w:rsid w:val="00D33C20"/>
    <w:rsid w:val="00D42C9C"/>
    <w:rsid w:val="00D65263"/>
    <w:rsid w:val="00DB2EA6"/>
    <w:rsid w:val="00E1651D"/>
    <w:rsid w:val="00E261AC"/>
    <w:rsid w:val="00E55A6E"/>
    <w:rsid w:val="00E63128"/>
    <w:rsid w:val="00E65192"/>
    <w:rsid w:val="00E765AC"/>
    <w:rsid w:val="00EC5487"/>
    <w:rsid w:val="00EE01B6"/>
    <w:rsid w:val="00EE3C2C"/>
    <w:rsid w:val="00EF07A6"/>
    <w:rsid w:val="00F22D5A"/>
    <w:rsid w:val="00F35AB5"/>
    <w:rsid w:val="00F85C88"/>
    <w:rsid w:val="00FC55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8AECCB"/>
  <w15:chartTrackingRefBased/>
  <w15:docId w15:val="{BF555C26-2B61-4A67-A612-4971164C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C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0C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C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0C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C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C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C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C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C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C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0C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C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C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C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C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C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C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CE7"/>
    <w:rPr>
      <w:rFonts w:eastAsiaTheme="majorEastAsia" w:cstheme="majorBidi"/>
      <w:color w:val="272727" w:themeColor="text1" w:themeTint="D8"/>
    </w:rPr>
  </w:style>
  <w:style w:type="paragraph" w:styleId="Title">
    <w:name w:val="Title"/>
    <w:basedOn w:val="Normal"/>
    <w:next w:val="Normal"/>
    <w:link w:val="TitleChar"/>
    <w:uiPriority w:val="10"/>
    <w:qFormat/>
    <w:rsid w:val="00920C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C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C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C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CE7"/>
    <w:pPr>
      <w:spacing w:before="160"/>
      <w:jc w:val="center"/>
    </w:pPr>
    <w:rPr>
      <w:i/>
      <w:iCs/>
      <w:color w:val="404040" w:themeColor="text1" w:themeTint="BF"/>
    </w:rPr>
  </w:style>
  <w:style w:type="character" w:customStyle="1" w:styleId="QuoteChar">
    <w:name w:val="Quote Char"/>
    <w:basedOn w:val="DefaultParagraphFont"/>
    <w:link w:val="Quote"/>
    <w:uiPriority w:val="29"/>
    <w:rsid w:val="00920CE7"/>
    <w:rPr>
      <w:i/>
      <w:iCs/>
      <w:color w:val="404040" w:themeColor="text1" w:themeTint="BF"/>
    </w:rPr>
  </w:style>
  <w:style w:type="paragraph" w:styleId="ListParagraph">
    <w:name w:val="List Paragraph"/>
    <w:basedOn w:val="Normal"/>
    <w:uiPriority w:val="34"/>
    <w:qFormat/>
    <w:rsid w:val="00920CE7"/>
    <w:pPr>
      <w:ind w:left="720"/>
      <w:contextualSpacing/>
    </w:pPr>
  </w:style>
  <w:style w:type="character" w:styleId="IntenseEmphasis">
    <w:name w:val="Intense Emphasis"/>
    <w:basedOn w:val="DefaultParagraphFont"/>
    <w:uiPriority w:val="21"/>
    <w:qFormat/>
    <w:rsid w:val="00920CE7"/>
    <w:rPr>
      <w:i/>
      <w:iCs/>
      <w:color w:val="0F4761" w:themeColor="accent1" w:themeShade="BF"/>
    </w:rPr>
  </w:style>
  <w:style w:type="paragraph" w:styleId="IntenseQuote">
    <w:name w:val="Intense Quote"/>
    <w:basedOn w:val="Normal"/>
    <w:next w:val="Normal"/>
    <w:link w:val="IntenseQuoteChar"/>
    <w:uiPriority w:val="30"/>
    <w:qFormat/>
    <w:rsid w:val="00920C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CE7"/>
    <w:rPr>
      <w:i/>
      <w:iCs/>
      <w:color w:val="0F4761" w:themeColor="accent1" w:themeShade="BF"/>
    </w:rPr>
  </w:style>
  <w:style w:type="character" w:styleId="IntenseReference">
    <w:name w:val="Intense Reference"/>
    <w:basedOn w:val="DefaultParagraphFont"/>
    <w:uiPriority w:val="32"/>
    <w:qFormat/>
    <w:rsid w:val="00920CE7"/>
    <w:rPr>
      <w:b/>
      <w:bCs/>
      <w:smallCaps/>
      <w:color w:val="0F4761" w:themeColor="accent1" w:themeShade="BF"/>
      <w:spacing w:val="5"/>
    </w:rPr>
  </w:style>
  <w:style w:type="character" w:styleId="Hyperlink">
    <w:name w:val="Hyperlink"/>
    <w:basedOn w:val="DefaultParagraphFont"/>
    <w:uiPriority w:val="99"/>
    <w:unhideWhenUsed/>
    <w:rsid w:val="00700AA6"/>
    <w:rPr>
      <w:color w:val="467886" w:themeColor="hyperlink"/>
      <w:u w:val="single"/>
    </w:rPr>
  </w:style>
  <w:style w:type="character" w:styleId="UnresolvedMention">
    <w:name w:val="Unresolved Mention"/>
    <w:basedOn w:val="DefaultParagraphFont"/>
    <w:uiPriority w:val="99"/>
    <w:semiHidden/>
    <w:unhideWhenUsed/>
    <w:rsid w:val="00700AA6"/>
    <w:rPr>
      <w:color w:val="605E5C"/>
      <w:shd w:val="clear" w:color="auto" w:fill="E1DFDD"/>
    </w:rPr>
  </w:style>
  <w:style w:type="paragraph" w:styleId="Header">
    <w:name w:val="header"/>
    <w:basedOn w:val="Normal"/>
    <w:link w:val="HeaderChar"/>
    <w:uiPriority w:val="99"/>
    <w:unhideWhenUsed/>
    <w:rsid w:val="009E1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A1B"/>
  </w:style>
  <w:style w:type="paragraph" w:styleId="Footer">
    <w:name w:val="footer"/>
    <w:basedOn w:val="Normal"/>
    <w:link w:val="FooterChar"/>
    <w:uiPriority w:val="99"/>
    <w:unhideWhenUsed/>
    <w:rsid w:val="009E1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A1B"/>
  </w:style>
  <w:style w:type="character" w:styleId="Emphasis">
    <w:name w:val="Emphasis"/>
    <w:basedOn w:val="DefaultParagraphFont"/>
    <w:uiPriority w:val="20"/>
    <w:qFormat/>
    <w:rsid w:val="00E55A6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190026">
      <w:bodyDiv w:val="1"/>
      <w:marLeft w:val="0"/>
      <w:marRight w:val="0"/>
      <w:marTop w:val="0"/>
      <w:marBottom w:val="0"/>
      <w:divBdr>
        <w:top w:val="none" w:sz="0" w:space="0" w:color="auto"/>
        <w:left w:val="none" w:sz="0" w:space="0" w:color="auto"/>
        <w:bottom w:val="none" w:sz="0" w:space="0" w:color="auto"/>
        <w:right w:val="none" w:sz="0" w:space="0" w:color="auto"/>
      </w:divBdr>
    </w:div>
    <w:div w:id="250048552">
      <w:bodyDiv w:val="1"/>
      <w:marLeft w:val="0"/>
      <w:marRight w:val="0"/>
      <w:marTop w:val="0"/>
      <w:marBottom w:val="0"/>
      <w:divBdr>
        <w:top w:val="none" w:sz="0" w:space="0" w:color="auto"/>
        <w:left w:val="none" w:sz="0" w:space="0" w:color="auto"/>
        <w:bottom w:val="none" w:sz="0" w:space="0" w:color="auto"/>
        <w:right w:val="none" w:sz="0" w:space="0" w:color="auto"/>
      </w:divBdr>
    </w:div>
    <w:div w:id="312876843">
      <w:bodyDiv w:val="1"/>
      <w:marLeft w:val="0"/>
      <w:marRight w:val="0"/>
      <w:marTop w:val="0"/>
      <w:marBottom w:val="0"/>
      <w:divBdr>
        <w:top w:val="none" w:sz="0" w:space="0" w:color="auto"/>
        <w:left w:val="none" w:sz="0" w:space="0" w:color="auto"/>
        <w:bottom w:val="none" w:sz="0" w:space="0" w:color="auto"/>
        <w:right w:val="none" w:sz="0" w:space="0" w:color="auto"/>
      </w:divBdr>
    </w:div>
    <w:div w:id="367412441">
      <w:bodyDiv w:val="1"/>
      <w:marLeft w:val="0"/>
      <w:marRight w:val="0"/>
      <w:marTop w:val="0"/>
      <w:marBottom w:val="0"/>
      <w:divBdr>
        <w:top w:val="none" w:sz="0" w:space="0" w:color="auto"/>
        <w:left w:val="none" w:sz="0" w:space="0" w:color="auto"/>
        <w:bottom w:val="none" w:sz="0" w:space="0" w:color="auto"/>
        <w:right w:val="none" w:sz="0" w:space="0" w:color="auto"/>
      </w:divBdr>
    </w:div>
    <w:div w:id="394745421">
      <w:bodyDiv w:val="1"/>
      <w:marLeft w:val="0"/>
      <w:marRight w:val="0"/>
      <w:marTop w:val="0"/>
      <w:marBottom w:val="0"/>
      <w:divBdr>
        <w:top w:val="none" w:sz="0" w:space="0" w:color="auto"/>
        <w:left w:val="none" w:sz="0" w:space="0" w:color="auto"/>
        <w:bottom w:val="none" w:sz="0" w:space="0" w:color="auto"/>
        <w:right w:val="none" w:sz="0" w:space="0" w:color="auto"/>
      </w:divBdr>
      <w:divsChild>
        <w:div w:id="16374440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63813659">
      <w:bodyDiv w:val="1"/>
      <w:marLeft w:val="0"/>
      <w:marRight w:val="0"/>
      <w:marTop w:val="0"/>
      <w:marBottom w:val="0"/>
      <w:divBdr>
        <w:top w:val="none" w:sz="0" w:space="0" w:color="auto"/>
        <w:left w:val="none" w:sz="0" w:space="0" w:color="auto"/>
        <w:bottom w:val="none" w:sz="0" w:space="0" w:color="auto"/>
        <w:right w:val="none" w:sz="0" w:space="0" w:color="auto"/>
      </w:divBdr>
      <w:divsChild>
        <w:div w:id="16718290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3407426">
      <w:bodyDiv w:val="1"/>
      <w:marLeft w:val="0"/>
      <w:marRight w:val="0"/>
      <w:marTop w:val="0"/>
      <w:marBottom w:val="0"/>
      <w:divBdr>
        <w:top w:val="none" w:sz="0" w:space="0" w:color="auto"/>
        <w:left w:val="none" w:sz="0" w:space="0" w:color="auto"/>
        <w:bottom w:val="none" w:sz="0" w:space="0" w:color="auto"/>
        <w:right w:val="none" w:sz="0" w:space="0" w:color="auto"/>
      </w:divBdr>
    </w:div>
    <w:div w:id="801967005">
      <w:bodyDiv w:val="1"/>
      <w:marLeft w:val="0"/>
      <w:marRight w:val="0"/>
      <w:marTop w:val="0"/>
      <w:marBottom w:val="0"/>
      <w:divBdr>
        <w:top w:val="none" w:sz="0" w:space="0" w:color="auto"/>
        <w:left w:val="none" w:sz="0" w:space="0" w:color="auto"/>
        <w:bottom w:val="none" w:sz="0" w:space="0" w:color="auto"/>
        <w:right w:val="none" w:sz="0" w:space="0" w:color="auto"/>
      </w:divBdr>
    </w:div>
    <w:div w:id="831797571">
      <w:bodyDiv w:val="1"/>
      <w:marLeft w:val="0"/>
      <w:marRight w:val="0"/>
      <w:marTop w:val="0"/>
      <w:marBottom w:val="0"/>
      <w:divBdr>
        <w:top w:val="none" w:sz="0" w:space="0" w:color="auto"/>
        <w:left w:val="none" w:sz="0" w:space="0" w:color="auto"/>
        <w:bottom w:val="none" w:sz="0" w:space="0" w:color="auto"/>
        <w:right w:val="none" w:sz="0" w:space="0" w:color="auto"/>
      </w:divBdr>
    </w:div>
    <w:div w:id="855971113">
      <w:bodyDiv w:val="1"/>
      <w:marLeft w:val="0"/>
      <w:marRight w:val="0"/>
      <w:marTop w:val="0"/>
      <w:marBottom w:val="0"/>
      <w:divBdr>
        <w:top w:val="none" w:sz="0" w:space="0" w:color="auto"/>
        <w:left w:val="none" w:sz="0" w:space="0" w:color="auto"/>
        <w:bottom w:val="none" w:sz="0" w:space="0" w:color="auto"/>
        <w:right w:val="none" w:sz="0" w:space="0" w:color="auto"/>
      </w:divBdr>
    </w:div>
    <w:div w:id="938681776">
      <w:bodyDiv w:val="1"/>
      <w:marLeft w:val="0"/>
      <w:marRight w:val="0"/>
      <w:marTop w:val="0"/>
      <w:marBottom w:val="0"/>
      <w:divBdr>
        <w:top w:val="none" w:sz="0" w:space="0" w:color="auto"/>
        <w:left w:val="none" w:sz="0" w:space="0" w:color="auto"/>
        <w:bottom w:val="none" w:sz="0" w:space="0" w:color="auto"/>
        <w:right w:val="none" w:sz="0" w:space="0" w:color="auto"/>
      </w:divBdr>
    </w:div>
    <w:div w:id="940458278">
      <w:bodyDiv w:val="1"/>
      <w:marLeft w:val="0"/>
      <w:marRight w:val="0"/>
      <w:marTop w:val="0"/>
      <w:marBottom w:val="0"/>
      <w:divBdr>
        <w:top w:val="none" w:sz="0" w:space="0" w:color="auto"/>
        <w:left w:val="none" w:sz="0" w:space="0" w:color="auto"/>
        <w:bottom w:val="none" w:sz="0" w:space="0" w:color="auto"/>
        <w:right w:val="none" w:sz="0" w:space="0" w:color="auto"/>
      </w:divBdr>
    </w:div>
    <w:div w:id="1026949926">
      <w:bodyDiv w:val="1"/>
      <w:marLeft w:val="0"/>
      <w:marRight w:val="0"/>
      <w:marTop w:val="0"/>
      <w:marBottom w:val="0"/>
      <w:divBdr>
        <w:top w:val="none" w:sz="0" w:space="0" w:color="auto"/>
        <w:left w:val="none" w:sz="0" w:space="0" w:color="auto"/>
        <w:bottom w:val="none" w:sz="0" w:space="0" w:color="auto"/>
        <w:right w:val="none" w:sz="0" w:space="0" w:color="auto"/>
      </w:divBdr>
    </w:div>
    <w:div w:id="1190995614">
      <w:bodyDiv w:val="1"/>
      <w:marLeft w:val="0"/>
      <w:marRight w:val="0"/>
      <w:marTop w:val="0"/>
      <w:marBottom w:val="0"/>
      <w:divBdr>
        <w:top w:val="none" w:sz="0" w:space="0" w:color="auto"/>
        <w:left w:val="none" w:sz="0" w:space="0" w:color="auto"/>
        <w:bottom w:val="none" w:sz="0" w:space="0" w:color="auto"/>
        <w:right w:val="none" w:sz="0" w:space="0" w:color="auto"/>
      </w:divBdr>
    </w:div>
    <w:div w:id="1274167369">
      <w:bodyDiv w:val="1"/>
      <w:marLeft w:val="0"/>
      <w:marRight w:val="0"/>
      <w:marTop w:val="0"/>
      <w:marBottom w:val="0"/>
      <w:divBdr>
        <w:top w:val="none" w:sz="0" w:space="0" w:color="auto"/>
        <w:left w:val="none" w:sz="0" w:space="0" w:color="auto"/>
        <w:bottom w:val="none" w:sz="0" w:space="0" w:color="auto"/>
        <w:right w:val="none" w:sz="0" w:space="0" w:color="auto"/>
      </w:divBdr>
    </w:div>
    <w:div w:id="1326281706">
      <w:bodyDiv w:val="1"/>
      <w:marLeft w:val="0"/>
      <w:marRight w:val="0"/>
      <w:marTop w:val="0"/>
      <w:marBottom w:val="0"/>
      <w:divBdr>
        <w:top w:val="none" w:sz="0" w:space="0" w:color="auto"/>
        <w:left w:val="none" w:sz="0" w:space="0" w:color="auto"/>
        <w:bottom w:val="none" w:sz="0" w:space="0" w:color="auto"/>
        <w:right w:val="none" w:sz="0" w:space="0" w:color="auto"/>
      </w:divBdr>
    </w:div>
    <w:div w:id="1364095257">
      <w:bodyDiv w:val="1"/>
      <w:marLeft w:val="0"/>
      <w:marRight w:val="0"/>
      <w:marTop w:val="0"/>
      <w:marBottom w:val="0"/>
      <w:divBdr>
        <w:top w:val="none" w:sz="0" w:space="0" w:color="auto"/>
        <w:left w:val="none" w:sz="0" w:space="0" w:color="auto"/>
        <w:bottom w:val="none" w:sz="0" w:space="0" w:color="auto"/>
        <w:right w:val="none" w:sz="0" w:space="0" w:color="auto"/>
      </w:divBdr>
    </w:div>
    <w:div w:id="1375615745">
      <w:bodyDiv w:val="1"/>
      <w:marLeft w:val="0"/>
      <w:marRight w:val="0"/>
      <w:marTop w:val="0"/>
      <w:marBottom w:val="0"/>
      <w:divBdr>
        <w:top w:val="none" w:sz="0" w:space="0" w:color="auto"/>
        <w:left w:val="none" w:sz="0" w:space="0" w:color="auto"/>
        <w:bottom w:val="none" w:sz="0" w:space="0" w:color="auto"/>
        <w:right w:val="none" w:sz="0" w:space="0" w:color="auto"/>
      </w:divBdr>
    </w:div>
    <w:div w:id="1376543310">
      <w:bodyDiv w:val="1"/>
      <w:marLeft w:val="0"/>
      <w:marRight w:val="0"/>
      <w:marTop w:val="0"/>
      <w:marBottom w:val="0"/>
      <w:divBdr>
        <w:top w:val="none" w:sz="0" w:space="0" w:color="auto"/>
        <w:left w:val="none" w:sz="0" w:space="0" w:color="auto"/>
        <w:bottom w:val="none" w:sz="0" w:space="0" w:color="auto"/>
        <w:right w:val="none" w:sz="0" w:space="0" w:color="auto"/>
      </w:divBdr>
    </w:div>
    <w:div w:id="1383214077">
      <w:bodyDiv w:val="1"/>
      <w:marLeft w:val="0"/>
      <w:marRight w:val="0"/>
      <w:marTop w:val="0"/>
      <w:marBottom w:val="0"/>
      <w:divBdr>
        <w:top w:val="none" w:sz="0" w:space="0" w:color="auto"/>
        <w:left w:val="none" w:sz="0" w:space="0" w:color="auto"/>
        <w:bottom w:val="none" w:sz="0" w:space="0" w:color="auto"/>
        <w:right w:val="none" w:sz="0" w:space="0" w:color="auto"/>
      </w:divBdr>
    </w:div>
    <w:div w:id="1416052920">
      <w:bodyDiv w:val="1"/>
      <w:marLeft w:val="0"/>
      <w:marRight w:val="0"/>
      <w:marTop w:val="0"/>
      <w:marBottom w:val="0"/>
      <w:divBdr>
        <w:top w:val="none" w:sz="0" w:space="0" w:color="auto"/>
        <w:left w:val="none" w:sz="0" w:space="0" w:color="auto"/>
        <w:bottom w:val="none" w:sz="0" w:space="0" w:color="auto"/>
        <w:right w:val="none" w:sz="0" w:space="0" w:color="auto"/>
      </w:divBdr>
    </w:div>
    <w:div w:id="1444494844">
      <w:bodyDiv w:val="1"/>
      <w:marLeft w:val="0"/>
      <w:marRight w:val="0"/>
      <w:marTop w:val="0"/>
      <w:marBottom w:val="0"/>
      <w:divBdr>
        <w:top w:val="none" w:sz="0" w:space="0" w:color="auto"/>
        <w:left w:val="none" w:sz="0" w:space="0" w:color="auto"/>
        <w:bottom w:val="none" w:sz="0" w:space="0" w:color="auto"/>
        <w:right w:val="none" w:sz="0" w:space="0" w:color="auto"/>
      </w:divBdr>
    </w:div>
    <w:div w:id="1573463513">
      <w:bodyDiv w:val="1"/>
      <w:marLeft w:val="0"/>
      <w:marRight w:val="0"/>
      <w:marTop w:val="0"/>
      <w:marBottom w:val="0"/>
      <w:divBdr>
        <w:top w:val="none" w:sz="0" w:space="0" w:color="auto"/>
        <w:left w:val="none" w:sz="0" w:space="0" w:color="auto"/>
        <w:bottom w:val="none" w:sz="0" w:space="0" w:color="auto"/>
        <w:right w:val="none" w:sz="0" w:space="0" w:color="auto"/>
      </w:divBdr>
    </w:div>
    <w:div w:id="1652438883">
      <w:bodyDiv w:val="1"/>
      <w:marLeft w:val="0"/>
      <w:marRight w:val="0"/>
      <w:marTop w:val="0"/>
      <w:marBottom w:val="0"/>
      <w:divBdr>
        <w:top w:val="none" w:sz="0" w:space="0" w:color="auto"/>
        <w:left w:val="none" w:sz="0" w:space="0" w:color="auto"/>
        <w:bottom w:val="none" w:sz="0" w:space="0" w:color="auto"/>
        <w:right w:val="none" w:sz="0" w:space="0" w:color="auto"/>
      </w:divBdr>
    </w:div>
    <w:div w:id="1675257724">
      <w:bodyDiv w:val="1"/>
      <w:marLeft w:val="0"/>
      <w:marRight w:val="0"/>
      <w:marTop w:val="0"/>
      <w:marBottom w:val="0"/>
      <w:divBdr>
        <w:top w:val="none" w:sz="0" w:space="0" w:color="auto"/>
        <w:left w:val="none" w:sz="0" w:space="0" w:color="auto"/>
        <w:bottom w:val="none" w:sz="0" w:space="0" w:color="auto"/>
        <w:right w:val="none" w:sz="0" w:space="0" w:color="auto"/>
      </w:divBdr>
    </w:div>
    <w:div w:id="1735006744">
      <w:bodyDiv w:val="1"/>
      <w:marLeft w:val="0"/>
      <w:marRight w:val="0"/>
      <w:marTop w:val="0"/>
      <w:marBottom w:val="0"/>
      <w:divBdr>
        <w:top w:val="none" w:sz="0" w:space="0" w:color="auto"/>
        <w:left w:val="none" w:sz="0" w:space="0" w:color="auto"/>
        <w:bottom w:val="none" w:sz="0" w:space="0" w:color="auto"/>
        <w:right w:val="none" w:sz="0" w:space="0" w:color="auto"/>
      </w:divBdr>
    </w:div>
    <w:div w:id="1763918662">
      <w:bodyDiv w:val="1"/>
      <w:marLeft w:val="0"/>
      <w:marRight w:val="0"/>
      <w:marTop w:val="0"/>
      <w:marBottom w:val="0"/>
      <w:divBdr>
        <w:top w:val="none" w:sz="0" w:space="0" w:color="auto"/>
        <w:left w:val="none" w:sz="0" w:space="0" w:color="auto"/>
        <w:bottom w:val="none" w:sz="0" w:space="0" w:color="auto"/>
        <w:right w:val="none" w:sz="0" w:space="0" w:color="auto"/>
      </w:divBdr>
    </w:div>
    <w:div w:id="1823109507">
      <w:bodyDiv w:val="1"/>
      <w:marLeft w:val="0"/>
      <w:marRight w:val="0"/>
      <w:marTop w:val="0"/>
      <w:marBottom w:val="0"/>
      <w:divBdr>
        <w:top w:val="none" w:sz="0" w:space="0" w:color="auto"/>
        <w:left w:val="none" w:sz="0" w:space="0" w:color="auto"/>
        <w:bottom w:val="none" w:sz="0" w:space="0" w:color="auto"/>
        <w:right w:val="none" w:sz="0" w:space="0" w:color="auto"/>
      </w:divBdr>
    </w:div>
    <w:div w:id="1847549341">
      <w:bodyDiv w:val="1"/>
      <w:marLeft w:val="0"/>
      <w:marRight w:val="0"/>
      <w:marTop w:val="0"/>
      <w:marBottom w:val="0"/>
      <w:divBdr>
        <w:top w:val="none" w:sz="0" w:space="0" w:color="auto"/>
        <w:left w:val="none" w:sz="0" w:space="0" w:color="auto"/>
        <w:bottom w:val="none" w:sz="0" w:space="0" w:color="auto"/>
        <w:right w:val="none" w:sz="0" w:space="0" w:color="auto"/>
      </w:divBdr>
    </w:div>
    <w:div w:id="1872063842">
      <w:bodyDiv w:val="1"/>
      <w:marLeft w:val="0"/>
      <w:marRight w:val="0"/>
      <w:marTop w:val="0"/>
      <w:marBottom w:val="0"/>
      <w:divBdr>
        <w:top w:val="none" w:sz="0" w:space="0" w:color="auto"/>
        <w:left w:val="none" w:sz="0" w:space="0" w:color="auto"/>
        <w:bottom w:val="none" w:sz="0" w:space="0" w:color="auto"/>
        <w:right w:val="none" w:sz="0" w:space="0" w:color="auto"/>
      </w:divBdr>
    </w:div>
    <w:div w:id="2110422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4798</Words>
  <Characters>27349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Emanuel</dc:creator>
  <cp:keywords/>
  <dc:description/>
  <cp:lastModifiedBy>Laura Emanuel</cp:lastModifiedBy>
  <cp:revision>103</cp:revision>
  <dcterms:created xsi:type="dcterms:W3CDTF">2025-04-30T18:36:00Z</dcterms:created>
  <dcterms:modified xsi:type="dcterms:W3CDTF">2025-05-01T21:28:00Z</dcterms:modified>
</cp:coreProperties>
</file>