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Override PartName="/word/footer3.xml" ContentType="application/vnd.openxmlformats-officedocument.wordprocessingml.footer+xml"/>
  <Override PartName="/word/webextensions/taskpanes.xml" ContentType="application/vnd.ms-office.webextensiontaskpanes+xml"/>
  <Override PartName="/word/webextensions/webextension.xml" ContentType="application/vnd.ms-office.webextension+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d95d995af42f488f"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Ind w:w="-1440" w:type="dxa"/>
        <w:tblLayout w:type="fixed"/>
        <w:tblLook w:val="06A0" w:firstRow="1" w:lastRow="0" w:firstColumn="1" w:lastColumn="0" w:noHBand="1" w:noVBand="1"/>
        <w:tblCaption w:val="Cover page"/>
      </w:tblPr>
      <w:tblGrid>
        <w:gridCol w:w="11895"/>
      </w:tblGrid>
      <w:tr w:rsidR="589E39C2" w:rsidTr="3EA717CF" w14:paraId="417B11E5" w14:textId="77777777">
        <w:trPr>
          <w:trHeight w:val="9882"/>
        </w:trPr>
        <w:tc>
          <w:tcPr>
            <w:tcW w:w="11895" w:type="dxa"/>
            <w:tcBorders>
              <w:top w:val="nil"/>
              <w:left w:val="nil"/>
              <w:bottom w:val="nil"/>
              <w:right w:val="nil"/>
            </w:tcBorders>
            <w:tcMar>
              <w:top w:w="0" w:type="dxa"/>
              <w:left w:w="0" w:type="dxa"/>
              <w:bottom w:w="0" w:type="dxa"/>
              <w:right w:w="0" w:type="dxa"/>
            </w:tcMar>
            <w:vAlign w:val="center"/>
          </w:tcPr>
          <w:p w:rsidR="589E39C2" w:rsidP="589E39C2" w:rsidRDefault="589E39C2" w14:paraId="6442BCEB" w14:textId="04381732">
            <w:pPr>
              <w:pStyle w:val="NoSpacing"/>
              <w:jc w:val="center"/>
            </w:pPr>
          </w:p>
          <w:p w:rsidR="1827DC8E" w:rsidP="589E39C2" w:rsidRDefault="1827DC8E" w14:paraId="532A1DC0" w14:textId="39993384">
            <w:pPr>
              <w:pStyle w:val="NoSpacing"/>
              <w:jc w:val="center"/>
            </w:pPr>
            <w:r>
              <w:rPr>
                <w:noProof/>
              </w:rPr>
              <w:drawing>
                <wp:inline distT="0" distB="0" distL="0" distR="0" wp14:anchorId="6822AEFC" wp14:editId="0DCADD58">
                  <wp:extent cx="7584298" cy="5796373"/>
                  <wp:effectExtent l="0" t="0" r="0" b="0"/>
                  <wp:docPr id="273776475" name="Picture 273776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r="8207"/>
                          <a:stretch>
                            <a:fillRect/>
                          </a:stretch>
                        </pic:blipFill>
                        <pic:spPr>
                          <a:xfrm>
                            <a:off x="0" y="0"/>
                            <a:ext cx="7584298" cy="5796373"/>
                          </a:xfrm>
                          <a:prstGeom prst="rect">
                            <a:avLst/>
                          </a:prstGeom>
                        </pic:spPr>
                      </pic:pic>
                    </a:graphicData>
                  </a:graphic>
                </wp:inline>
              </w:drawing>
            </w:r>
          </w:p>
        </w:tc>
      </w:tr>
      <w:tr w:rsidR="589E39C2" w:rsidTr="3EA717CF" w14:paraId="5516C8A7" w14:textId="77777777">
        <w:trPr>
          <w:trHeight w:val="3708"/>
        </w:trPr>
        <w:tc>
          <w:tcPr>
            <w:tcW w:w="11895" w:type="dxa"/>
            <w:tcBorders>
              <w:top w:val="nil"/>
              <w:left w:val="nil"/>
              <w:bottom w:val="nil"/>
              <w:right w:val="nil"/>
            </w:tcBorders>
            <w:tcMar>
              <w:top w:w="75" w:type="dxa"/>
              <w:left w:w="720" w:type="dxa"/>
              <w:bottom w:w="75" w:type="dxa"/>
              <w:right w:w="720" w:type="dxa"/>
            </w:tcMar>
            <w:vAlign w:val="center"/>
          </w:tcPr>
          <w:p w:rsidR="589E39C2" w:rsidP="3EA717CF" w:rsidRDefault="589E39C2" w14:paraId="607B355F" w14:textId="28D0B029">
            <w:pPr>
              <w:pStyle w:val="Title"/>
              <w:jc w:val="left"/>
              <w:rPr>
                <w:rFonts w:ascii="Avenir Next LT Pro" w:hAnsi="Avenir Next LT Pro" w:eastAsia="Avenir Next LT Pro" w:cs="Avenir Next LT Pro"/>
                <w:b w:val="1"/>
                <w:bCs w:val="1"/>
                <w:color w:val="1C9394"/>
                <w:sz w:val="56"/>
                <w:szCs w:val="56"/>
              </w:rPr>
            </w:pPr>
            <w:bookmarkStart w:name="_Int_xusOkk2O" w:id="0"/>
            <w:r w:rsidRPr="3EA717CF" w:rsidR="16D10BBC">
              <w:rPr>
                <w:rFonts w:ascii="Avenir Next LT Pro" w:hAnsi="Avenir Next LT Pro" w:eastAsia="Avenir Next LT Pro" w:cs="Avenir Next LT Pro"/>
                <w:b w:val="1"/>
                <w:bCs w:val="1"/>
                <w:color w:val="1C9394"/>
                <w:sz w:val="56"/>
                <w:szCs w:val="56"/>
              </w:rPr>
              <w:t>Crymlyn Burrows Management Plan</w:t>
            </w:r>
            <w:bookmarkEnd w:id="0"/>
          </w:p>
          <w:p w:rsidR="3EA717CF" w:rsidP="3EA717CF" w:rsidRDefault="3EA717CF" w14:paraId="18FCA73C" w14:textId="39FF566F">
            <w:pPr>
              <w:pStyle w:val="Normal"/>
              <w:rPr/>
            </w:pPr>
          </w:p>
          <w:p w:rsidR="589E39C2" w:rsidP="589E39C2" w:rsidRDefault="589E39C2" w14:paraId="7AD113A9" w14:textId="6FA26890">
            <w:pPr>
              <w:rPr>
                <w:b/>
                <w:bCs/>
              </w:rPr>
            </w:pPr>
            <w:bookmarkStart w:name="_Int_7tB2TuwJ" w:id="1"/>
            <w:r w:rsidRPr="589E39C2">
              <w:rPr>
                <w:b/>
                <w:bCs/>
              </w:rPr>
              <w:t>Lia Silva (2015055)</w:t>
            </w:r>
            <w:bookmarkEnd w:id="1"/>
          </w:p>
          <w:p w:rsidR="005F68D9" w:rsidP="005F68D9" w:rsidRDefault="2E8231FA" w14:paraId="3E005249" w14:textId="4D885E8E">
            <w:pPr>
              <w:rPr>
                <w:b w:val="1"/>
                <w:bCs w:val="1"/>
              </w:rPr>
            </w:pPr>
            <w:r w:rsidRPr="6C283F48" w:rsidR="571141BE">
              <w:rPr>
                <w:b w:val="1"/>
                <w:bCs w:val="1"/>
              </w:rPr>
              <w:t>Environmental, Sustainability and Climate Change, BSc</w:t>
            </w:r>
            <w:bookmarkStart w:name="_Int_EPOCYF5v" w:id="2"/>
          </w:p>
          <w:p w:rsidRPr="005F68D9" w:rsidR="589E39C2" w:rsidP="005F68D9" w:rsidRDefault="589E39C2" w14:paraId="67121B49" w14:textId="4AA9E3DF">
            <w:pPr>
              <w:rPr>
                <w:b/>
                <w:bCs/>
              </w:rPr>
            </w:pPr>
            <w:r w:rsidRPr="589E39C2">
              <w:t>1</w:t>
            </w:r>
            <w:r w:rsidRPr="589E39C2" w:rsidR="53AB8712">
              <w:t>9</w:t>
            </w:r>
            <w:r w:rsidRPr="589E39C2">
              <w:t>/03/2024</w:t>
            </w:r>
            <w:bookmarkEnd w:id="2"/>
          </w:p>
        </w:tc>
      </w:tr>
    </w:tbl>
    <w:sdt>
      <w:sdtPr>
        <w:id w:val="1836857284"/>
        <w:docPartObj>
          <w:docPartGallery w:val="Table of Contents"/>
          <w:docPartUnique/>
        </w:docPartObj>
      </w:sdtPr>
      <w:sdtContent>
        <w:p w:rsidR="003C4F6D" w:rsidRDefault="003C4F6D" w14:paraId="6A959D75" w14:textId="7B851BC1">
          <w:pPr>
            <w:pStyle w:val="TOCHeading"/>
            <w:rPr/>
          </w:pPr>
          <w:r w:rsidR="003C4F6D">
            <w:rPr/>
            <w:t>Table of Contents</w:t>
          </w:r>
        </w:p>
        <w:p w:rsidR="003C4F6D" w:rsidP="3EA717CF" w:rsidRDefault="003C4F6D" w14:paraId="08C68951" w14:textId="25DFA748">
          <w:pPr>
            <w:pStyle w:val="TOC1"/>
            <w:tabs>
              <w:tab w:val="right" w:leader="dot" w:pos="9015"/>
            </w:tabs>
            <w:rPr>
              <w:rStyle w:val="Hyperlink"/>
            </w:rPr>
          </w:pPr>
          <w:r>
            <w:fldChar w:fldCharType="begin"/>
          </w:r>
          <w:r>
            <w:instrText xml:space="preserve">TOC \o "1-3" \h \z \u</w:instrText>
          </w:r>
          <w:r>
            <w:fldChar w:fldCharType="separate"/>
          </w:r>
          <w:hyperlink w:anchor="_Toc1042143509">
            <w:r w:rsidRPr="3EA717CF" w:rsidR="3EA717CF">
              <w:rPr>
                <w:rStyle w:val="Hyperlink"/>
              </w:rPr>
              <w:t>Introduction</w:t>
            </w:r>
            <w:r>
              <w:tab/>
            </w:r>
            <w:r>
              <w:fldChar w:fldCharType="begin"/>
            </w:r>
            <w:r>
              <w:instrText xml:space="preserve">PAGEREF _Toc1042143509 \h</w:instrText>
            </w:r>
            <w:r>
              <w:fldChar w:fldCharType="separate"/>
            </w:r>
            <w:r w:rsidRPr="3EA717CF" w:rsidR="3EA717CF">
              <w:rPr>
                <w:rStyle w:val="Hyperlink"/>
              </w:rPr>
              <w:t>2</w:t>
            </w:r>
            <w:r>
              <w:fldChar w:fldCharType="end"/>
            </w:r>
          </w:hyperlink>
        </w:p>
        <w:p w:rsidR="3EA717CF" w:rsidP="3EA717CF" w:rsidRDefault="3EA717CF" w14:paraId="7DBFB915" w14:textId="28FA4FC8">
          <w:pPr>
            <w:pStyle w:val="TOC2"/>
            <w:tabs>
              <w:tab w:val="right" w:leader="dot" w:pos="9015"/>
            </w:tabs>
            <w:rPr>
              <w:rStyle w:val="Hyperlink"/>
            </w:rPr>
          </w:pPr>
          <w:hyperlink w:anchor="_Toc544523853">
            <w:r w:rsidRPr="3EA717CF" w:rsidR="3EA717CF">
              <w:rPr>
                <w:rStyle w:val="Hyperlink"/>
              </w:rPr>
              <w:t>Site Description</w:t>
            </w:r>
            <w:r>
              <w:tab/>
            </w:r>
            <w:r>
              <w:fldChar w:fldCharType="begin"/>
            </w:r>
            <w:r>
              <w:instrText xml:space="preserve">PAGEREF _Toc544523853 \h</w:instrText>
            </w:r>
            <w:r>
              <w:fldChar w:fldCharType="separate"/>
            </w:r>
            <w:r w:rsidRPr="3EA717CF" w:rsidR="3EA717CF">
              <w:rPr>
                <w:rStyle w:val="Hyperlink"/>
              </w:rPr>
              <w:t>3</w:t>
            </w:r>
            <w:r>
              <w:fldChar w:fldCharType="end"/>
            </w:r>
          </w:hyperlink>
        </w:p>
        <w:p w:rsidR="3EA717CF" w:rsidP="3EA717CF" w:rsidRDefault="3EA717CF" w14:paraId="4E69126C" w14:textId="7D09EDF4">
          <w:pPr>
            <w:pStyle w:val="TOC3"/>
            <w:tabs>
              <w:tab w:val="right" w:leader="dot" w:pos="9015"/>
            </w:tabs>
            <w:rPr>
              <w:rStyle w:val="Hyperlink"/>
            </w:rPr>
          </w:pPr>
          <w:hyperlink w:anchor="_Toc1030247085">
            <w:r w:rsidRPr="3EA717CF" w:rsidR="3EA717CF">
              <w:rPr>
                <w:rStyle w:val="Hyperlink"/>
              </w:rPr>
              <w:t>Ecological evaluation</w:t>
            </w:r>
            <w:r>
              <w:tab/>
            </w:r>
            <w:r>
              <w:fldChar w:fldCharType="begin"/>
            </w:r>
            <w:r>
              <w:instrText xml:space="preserve">PAGEREF _Toc1030247085 \h</w:instrText>
            </w:r>
            <w:r>
              <w:fldChar w:fldCharType="separate"/>
            </w:r>
            <w:r w:rsidRPr="3EA717CF" w:rsidR="3EA717CF">
              <w:rPr>
                <w:rStyle w:val="Hyperlink"/>
              </w:rPr>
              <w:t>5</w:t>
            </w:r>
            <w:r>
              <w:fldChar w:fldCharType="end"/>
            </w:r>
          </w:hyperlink>
        </w:p>
        <w:p w:rsidR="3EA717CF" w:rsidP="3EA717CF" w:rsidRDefault="3EA717CF" w14:paraId="178D36A9" w14:textId="1C29C5B8">
          <w:pPr>
            <w:pStyle w:val="TOC1"/>
            <w:tabs>
              <w:tab w:val="right" w:leader="dot" w:pos="9015"/>
            </w:tabs>
            <w:rPr>
              <w:rStyle w:val="Hyperlink"/>
            </w:rPr>
          </w:pPr>
          <w:hyperlink w:anchor="_Toc552586879">
            <w:r w:rsidRPr="3EA717CF" w:rsidR="3EA717CF">
              <w:rPr>
                <w:rStyle w:val="Hyperlink"/>
              </w:rPr>
              <w:t>Site Management</w:t>
            </w:r>
            <w:r>
              <w:tab/>
            </w:r>
            <w:r>
              <w:fldChar w:fldCharType="begin"/>
            </w:r>
            <w:r>
              <w:instrText xml:space="preserve">PAGEREF _Toc552586879 \h</w:instrText>
            </w:r>
            <w:r>
              <w:fldChar w:fldCharType="separate"/>
            </w:r>
            <w:r w:rsidRPr="3EA717CF" w:rsidR="3EA717CF">
              <w:rPr>
                <w:rStyle w:val="Hyperlink"/>
              </w:rPr>
              <w:t>6</w:t>
            </w:r>
            <w:r>
              <w:fldChar w:fldCharType="end"/>
            </w:r>
          </w:hyperlink>
        </w:p>
        <w:p w:rsidR="3EA717CF" w:rsidP="3EA717CF" w:rsidRDefault="3EA717CF" w14:paraId="5DD26C70" w14:textId="0A3B8BE5">
          <w:pPr>
            <w:pStyle w:val="TOC2"/>
            <w:tabs>
              <w:tab w:val="right" w:leader="dot" w:pos="9015"/>
            </w:tabs>
            <w:rPr>
              <w:rStyle w:val="Hyperlink"/>
            </w:rPr>
          </w:pPr>
          <w:hyperlink w:anchor="_Toc449896926">
            <w:r w:rsidRPr="3EA717CF" w:rsidR="3EA717CF">
              <w:rPr>
                <w:rStyle w:val="Hyperlink"/>
              </w:rPr>
              <w:t>Habitat management</w:t>
            </w:r>
            <w:r>
              <w:tab/>
            </w:r>
            <w:r>
              <w:fldChar w:fldCharType="begin"/>
            </w:r>
            <w:r>
              <w:instrText xml:space="preserve">PAGEREF _Toc449896926 \h</w:instrText>
            </w:r>
            <w:r>
              <w:fldChar w:fldCharType="separate"/>
            </w:r>
            <w:r w:rsidRPr="3EA717CF" w:rsidR="3EA717CF">
              <w:rPr>
                <w:rStyle w:val="Hyperlink"/>
              </w:rPr>
              <w:t>6</w:t>
            </w:r>
            <w:r>
              <w:fldChar w:fldCharType="end"/>
            </w:r>
          </w:hyperlink>
        </w:p>
        <w:p w:rsidR="3EA717CF" w:rsidP="3EA717CF" w:rsidRDefault="3EA717CF" w14:paraId="412BB919" w14:textId="25F815BB">
          <w:pPr>
            <w:pStyle w:val="TOC3"/>
            <w:tabs>
              <w:tab w:val="right" w:leader="dot" w:pos="9015"/>
            </w:tabs>
            <w:rPr>
              <w:rStyle w:val="Hyperlink"/>
            </w:rPr>
          </w:pPr>
          <w:hyperlink w:anchor="_Toc1692670221">
            <w:r w:rsidRPr="3EA717CF" w:rsidR="3EA717CF">
              <w:rPr>
                <w:rStyle w:val="Hyperlink"/>
              </w:rPr>
              <w:t>Removal of non-native invasive trees species</w:t>
            </w:r>
            <w:r>
              <w:tab/>
            </w:r>
            <w:r>
              <w:fldChar w:fldCharType="begin"/>
            </w:r>
            <w:r>
              <w:instrText xml:space="preserve">PAGEREF _Toc1692670221 \h</w:instrText>
            </w:r>
            <w:r>
              <w:fldChar w:fldCharType="separate"/>
            </w:r>
            <w:r w:rsidRPr="3EA717CF" w:rsidR="3EA717CF">
              <w:rPr>
                <w:rStyle w:val="Hyperlink"/>
              </w:rPr>
              <w:t>8</w:t>
            </w:r>
            <w:r>
              <w:fldChar w:fldCharType="end"/>
            </w:r>
          </w:hyperlink>
        </w:p>
        <w:p w:rsidR="3EA717CF" w:rsidP="3EA717CF" w:rsidRDefault="3EA717CF" w14:paraId="7A3F4734" w14:textId="5974FDFA">
          <w:pPr>
            <w:pStyle w:val="TOC3"/>
            <w:tabs>
              <w:tab w:val="right" w:leader="dot" w:pos="9015"/>
            </w:tabs>
            <w:rPr>
              <w:rStyle w:val="Hyperlink"/>
            </w:rPr>
          </w:pPr>
          <w:hyperlink w:anchor="_Toc338462539">
            <w:r w:rsidRPr="3EA717CF" w:rsidR="3EA717CF">
              <w:rPr>
                <w:rStyle w:val="Hyperlink"/>
              </w:rPr>
              <w:t>Qualified employees use knapsack sprayers to apply Roundup ProActive to control various invasive species</w:t>
            </w:r>
            <w:r>
              <w:tab/>
            </w:r>
            <w:r>
              <w:fldChar w:fldCharType="begin"/>
            </w:r>
            <w:r>
              <w:instrText xml:space="preserve">PAGEREF _Toc338462539 \h</w:instrText>
            </w:r>
            <w:r>
              <w:fldChar w:fldCharType="separate"/>
            </w:r>
            <w:r w:rsidRPr="3EA717CF" w:rsidR="3EA717CF">
              <w:rPr>
                <w:rStyle w:val="Hyperlink"/>
              </w:rPr>
              <w:t>8</w:t>
            </w:r>
            <w:r>
              <w:fldChar w:fldCharType="end"/>
            </w:r>
          </w:hyperlink>
        </w:p>
        <w:p w:rsidR="3EA717CF" w:rsidP="3EA717CF" w:rsidRDefault="3EA717CF" w14:paraId="78073589" w14:textId="77872F35">
          <w:pPr>
            <w:pStyle w:val="TOC2"/>
            <w:tabs>
              <w:tab w:val="right" w:leader="dot" w:pos="9015"/>
            </w:tabs>
            <w:rPr>
              <w:rStyle w:val="Hyperlink"/>
            </w:rPr>
          </w:pPr>
          <w:hyperlink w:anchor="_Toc397277030">
            <w:r w:rsidRPr="3EA717CF" w:rsidR="3EA717CF">
              <w:rPr>
                <w:rStyle w:val="Hyperlink"/>
              </w:rPr>
              <w:t>Human Intervention</w:t>
            </w:r>
            <w:r>
              <w:tab/>
            </w:r>
            <w:r>
              <w:fldChar w:fldCharType="begin"/>
            </w:r>
            <w:r>
              <w:instrText xml:space="preserve">PAGEREF _Toc397277030 \h</w:instrText>
            </w:r>
            <w:r>
              <w:fldChar w:fldCharType="separate"/>
            </w:r>
            <w:r w:rsidRPr="3EA717CF" w:rsidR="3EA717CF">
              <w:rPr>
                <w:rStyle w:val="Hyperlink"/>
              </w:rPr>
              <w:t>9</w:t>
            </w:r>
            <w:r>
              <w:fldChar w:fldCharType="end"/>
            </w:r>
          </w:hyperlink>
        </w:p>
        <w:p w:rsidR="3EA717CF" w:rsidP="3EA717CF" w:rsidRDefault="3EA717CF" w14:paraId="44259853" w14:textId="55863735">
          <w:pPr>
            <w:pStyle w:val="TOC1"/>
            <w:tabs>
              <w:tab w:val="right" w:leader="dot" w:pos="9015"/>
            </w:tabs>
            <w:rPr>
              <w:rStyle w:val="Hyperlink"/>
            </w:rPr>
          </w:pPr>
          <w:hyperlink w:anchor="_Toc1094144574">
            <w:r w:rsidRPr="3EA717CF" w:rsidR="3EA717CF">
              <w:rPr>
                <w:rStyle w:val="Hyperlink"/>
              </w:rPr>
              <w:t>Conclusions and Recommendations</w:t>
            </w:r>
            <w:r>
              <w:tab/>
            </w:r>
            <w:r>
              <w:fldChar w:fldCharType="begin"/>
            </w:r>
            <w:r>
              <w:instrText xml:space="preserve">PAGEREF _Toc1094144574 \h</w:instrText>
            </w:r>
            <w:r>
              <w:fldChar w:fldCharType="separate"/>
            </w:r>
            <w:r w:rsidRPr="3EA717CF" w:rsidR="3EA717CF">
              <w:rPr>
                <w:rStyle w:val="Hyperlink"/>
              </w:rPr>
              <w:t>10</w:t>
            </w:r>
            <w:r>
              <w:fldChar w:fldCharType="end"/>
            </w:r>
          </w:hyperlink>
        </w:p>
        <w:p w:rsidR="3EA717CF" w:rsidP="3EA717CF" w:rsidRDefault="3EA717CF" w14:paraId="2EBFBECA" w14:textId="5400E368">
          <w:pPr>
            <w:pStyle w:val="TOC1"/>
            <w:tabs>
              <w:tab w:val="right" w:leader="dot" w:pos="9015"/>
            </w:tabs>
            <w:rPr>
              <w:rStyle w:val="Hyperlink"/>
            </w:rPr>
          </w:pPr>
          <w:hyperlink w:anchor="_Toc1391056022">
            <w:r w:rsidRPr="3EA717CF" w:rsidR="3EA717CF">
              <w:rPr>
                <w:rStyle w:val="Hyperlink"/>
              </w:rPr>
              <w:t>References</w:t>
            </w:r>
            <w:r>
              <w:tab/>
            </w:r>
            <w:r>
              <w:fldChar w:fldCharType="begin"/>
            </w:r>
            <w:r>
              <w:instrText xml:space="preserve">PAGEREF _Toc1391056022 \h</w:instrText>
            </w:r>
            <w:r>
              <w:fldChar w:fldCharType="separate"/>
            </w:r>
            <w:r w:rsidRPr="3EA717CF" w:rsidR="3EA717CF">
              <w:rPr>
                <w:rStyle w:val="Hyperlink"/>
              </w:rPr>
              <w:t>11</w:t>
            </w:r>
            <w:r>
              <w:fldChar w:fldCharType="end"/>
            </w:r>
          </w:hyperlink>
          <w:r>
            <w:fldChar w:fldCharType="end"/>
          </w:r>
        </w:p>
      </w:sdtContent>
    </w:sdt>
    <w:p w:rsidR="589E39C2" w:rsidP="589E39C2" w:rsidRDefault="589E39C2" w14:paraId="1F5D0853" w14:textId="3BDB55E2"/>
    <w:p w:rsidR="005F68D9" w:rsidP="589E39C2" w:rsidRDefault="005F68D9" w14:paraId="4088AC06" w14:textId="1B32B65F"/>
    <w:p w:rsidR="005F68D9" w:rsidRDefault="005F68D9" w14:paraId="6A4B7950" w14:textId="77777777">
      <w:pPr>
        <w:spacing w:after="160"/>
      </w:pPr>
      <w:r>
        <w:br w:type="page"/>
      </w:r>
    </w:p>
    <w:p w:rsidR="005F68D9" w:rsidP="3EA717CF" w:rsidRDefault="005F68D9" w14:paraId="35B95D70" w14:textId="46EDB5AA">
      <w:pPr>
        <w:pStyle w:val="Heading1"/>
        <w:rPr/>
      </w:pPr>
      <w:bookmarkStart w:name="_Toc1042143509" w:id="941629413"/>
      <w:r w:rsidR="005F68D9">
        <w:rPr/>
        <w:t>Introduction</w:t>
      </w:r>
      <w:bookmarkEnd w:id="941629413"/>
    </w:p>
    <w:p w:rsidR="3EA717CF" w:rsidP="3EA717CF" w:rsidRDefault="3EA717CF" w14:paraId="106FB5CA" w14:textId="4E3ADBE3">
      <w:pPr>
        <w:pStyle w:val="Heading2"/>
        <w:ind w:left="0"/>
        <w:rPr/>
      </w:pPr>
    </w:p>
    <w:p w:rsidR="02FB83AA" w:rsidP="3EA717CF" w:rsidRDefault="02FB83AA" w14:paraId="5EA7DDD4" w14:textId="0A6469FD">
      <w:pPr>
        <w:pStyle w:val="Heading2"/>
        <w:ind w:left="720"/>
        <w:rPr/>
      </w:pPr>
      <w:bookmarkStart w:name="_Toc544523853" w:id="1270580648"/>
      <w:r w:rsidR="00D65AE7">
        <w:rPr/>
        <w:t>Site Description</w:t>
      </w:r>
      <w:bookmarkEnd w:id="1270580648"/>
    </w:p>
    <w:p w:rsidR="19E8101E" w:rsidP="3EA717CF" w:rsidRDefault="19E8101E" w14:paraId="5A167BEA" w14:textId="0298DE1F">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EA717CF" w:rsidR="19E8101E">
        <w:rPr>
          <w:rFonts w:ascii="Calibri" w:hAnsi="Calibri" w:eastAsia="Calibri" w:cs="Calibri" w:asciiTheme="minorAscii" w:hAnsiTheme="minorAscii" w:eastAsiaTheme="minorAscii" w:cstheme="minorAscii"/>
          <w:color w:val="auto"/>
        </w:rPr>
        <w:t>Crymlyn Burrows is considered</w:t>
      </w:r>
      <w:r w:rsidRPr="3EA717CF" w:rsidR="2ADC1B41">
        <w:rPr>
          <w:rFonts w:ascii="Calibri" w:hAnsi="Calibri" w:eastAsia="Calibri" w:cs="Calibri" w:asciiTheme="minorAscii" w:hAnsiTheme="minorAscii" w:eastAsiaTheme="minorAscii" w:cstheme="minorAscii"/>
          <w:color w:val="auto"/>
        </w:rPr>
        <w:t xml:space="preserve"> </w:t>
      </w:r>
      <w:r w:rsidRPr="3EA717CF" w:rsidR="19E8101E">
        <w:rPr>
          <w:rFonts w:ascii="Calibri" w:hAnsi="Calibri" w:eastAsia="Calibri" w:cs="Calibri" w:asciiTheme="minorAscii" w:hAnsiTheme="minorAscii" w:eastAsiaTheme="minorAscii" w:cstheme="minorAscii"/>
          <w:color w:val="auto"/>
        </w:rPr>
        <w:t>a Site of Special Scientific Interest (known as SSSIs)</w:t>
      </w:r>
      <w:r w:rsidRPr="3EA717CF" w:rsidR="31910604">
        <w:rPr>
          <w:rFonts w:ascii="Calibri" w:hAnsi="Calibri" w:eastAsia="Calibri" w:cs="Calibri" w:asciiTheme="minorAscii" w:hAnsiTheme="minorAscii" w:eastAsiaTheme="minorAscii" w:cstheme="minorAscii"/>
          <w:color w:val="auto"/>
        </w:rPr>
        <w:t xml:space="preserve"> </w:t>
      </w:r>
      <w:r w:rsidRPr="3EA717CF" w:rsidR="06E5FE60">
        <w:rPr>
          <w:rFonts w:ascii="Calibri" w:hAnsi="Calibri" w:eastAsia="Calibri" w:cs="Calibri" w:asciiTheme="minorAscii" w:hAnsiTheme="minorAscii" w:eastAsiaTheme="minorAscii" w:cstheme="minorAscii"/>
          <w:color w:val="auto"/>
        </w:rPr>
        <w:t xml:space="preserve">in accordance with the Wildlife and Countryside Act of 1987, except for the northeastern section owned separately by Swansea Bay Golf Club. </w:t>
      </w:r>
      <w:r w:rsidRPr="3EA717CF" w:rsidR="51D3DE37">
        <w:rPr>
          <w:rFonts w:ascii="Calibri" w:hAnsi="Calibri" w:eastAsia="Calibri" w:cs="Calibri" w:asciiTheme="minorAscii" w:hAnsiTheme="minorAscii" w:eastAsiaTheme="minorAscii" w:cstheme="minorAscii"/>
          <w:color w:val="auto"/>
        </w:rPr>
        <w:t>The site</w:t>
      </w:r>
      <w:r w:rsidRPr="3EA717CF" w:rsidR="51911165">
        <w:rPr>
          <w:rFonts w:ascii="Calibri" w:hAnsi="Calibri" w:eastAsia="Calibri" w:cs="Calibri" w:asciiTheme="minorAscii" w:hAnsiTheme="minorAscii" w:eastAsiaTheme="minorAscii" w:cstheme="minorAscii"/>
          <w:color w:val="auto"/>
        </w:rPr>
        <w:t xml:space="preserve"> </w:t>
      </w:r>
      <w:r w:rsidRPr="3EA717CF" w:rsidR="31910604">
        <w:rPr>
          <w:rFonts w:ascii="Calibri" w:hAnsi="Calibri" w:eastAsia="Calibri" w:cs="Calibri" w:asciiTheme="minorAscii" w:hAnsiTheme="minorAscii" w:eastAsiaTheme="minorAscii" w:cstheme="minorAscii"/>
          <w:color w:val="auto"/>
        </w:rPr>
        <w:t>lies between Neath Port Talbot and Swansea</w:t>
      </w:r>
      <w:r w:rsidRPr="3EA717CF" w:rsidR="583A749B">
        <w:rPr>
          <w:rFonts w:ascii="Calibri" w:hAnsi="Calibri" w:eastAsia="Calibri" w:cs="Calibri" w:asciiTheme="minorAscii" w:hAnsiTheme="minorAscii" w:eastAsiaTheme="minorAscii" w:cstheme="minorAscii"/>
          <w:color w:val="auto"/>
        </w:rPr>
        <w:t>,</w:t>
      </w:r>
      <w:r w:rsidRPr="3EA717CF" w:rsidR="082DE2AC">
        <w:rPr>
          <w:rFonts w:ascii="Calibri" w:hAnsi="Calibri" w:eastAsia="Calibri" w:cs="Calibri" w:asciiTheme="minorAscii" w:hAnsiTheme="minorAscii" w:eastAsiaTheme="minorAscii" w:cstheme="minorAscii"/>
          <w:color w:val="auto"/>
        </w:rPr>
        <w:t xml:space="preserve"> spanning 244 hectares, </w:t>
      </w:r>
      <w:r w:rsidRPr="3EA717CF" w:rsidR="1C02CA9D">
        <w:rPr>
          <w:rFonts w:ascii="Calibri" w:hAnsi="Calibri" w:eastAsia="Calibri" w:cs="Calibri" w:asciiTheme="minorAscii" w:hAnsiTheme="minorAscii" w:eastAsiaTheme="minorAscii" w:cstheme="minorAscii"/>
          <w:color w:val="auto"/>
        </w:rPr>
        <w:t xml:space="preserve">and </w:t>
      </w:r>
      <w:r w:rsidRPr="3EA717CF" w:rsidR="082DE2AC">
        <w:rPr>
          <w:rFonts w:ascii="Calibri" w:hAnsi="Calibri" w:eastAsia="Calibri" w:cs="Calibri" w:asciiTheme="minorAscii" w:hAnsiTheme="minorAscii" w:eastAsiaTheme="minorAscii" w:cstheme="minorAscii"/>
          <w:color w:val="auto"/>
        </w:rPr>
        <w:t>encompasses sand dunes, salt marshes, and a beach along Swansea Bay</w:t>
      </w:r>
      <w:r w:rsidRPr="3EA717CF" w:rsidR="0B371724">
        <w:rPr>
          <w:rFonts w:ascii="Calibri" w:hAnsi="Calibri" w:eastAsia="Calibri" w:cs="Calibri" w:asciiTheme="minorAscii" w:hAnsiTheme="minorAscii" w:eastAsiaTheme="minorAscii" w:cstheme="minorAscii"/>
          <w:color w:val="auto"/>
        </w:rPr>
        <w:t xml:space="preserve"> (Sampson, 2018)</w:t>
      </w:r>
      <w:r w:rsidRPr="3EA717CF" w:rsidR="082DE2AC">
        <w:rPr>
          <w:rFonts w:ascii="Calibri" w:hAnsi="Calibri" w:eastAsia="Calibri" w:cs="Calibri" w:asciiTheme="minorAscii" w:hAnsiTheme="minorAscii" w:eastAsiaTheme="minorAscii" w:cstheme="minorAscii"/>
          <w:color w:val="auto"/>
        </w:rPr>
        <w:t xml:space="preserve">, situated between Swansea University Bay Campus and the River Neath. The entirety of this region falls within the </w:t>
      </w:r>
      <w:bookmarkStart w:name="_Int_cq10HH98" w:id="237357584"/>
      <w:r w:rsidRPr="3EA717CF" w:rsidR="082DE2A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jurisdiction</w:t>
      </w:r>
      <w:bookmarkEnd w:id="237357584"/>
      <w:r w:rsidRPr="3EA717CF" w:rsidR="082DE2A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Neath Port Talbot County Borough.</w:t>
      </w:r>
    </w:p>
    <w:p w:rsidR="3EA717CF" w:rsidP="3EA717CF" w:rsidRDefault="3EA717CF" w14:paraId="5E9DC979" w14:textId="080152AE">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105B12D5" w:rsidP="3EA717CF" w:rsidRDefault="105B12D5" w14:paraId="2A00A64C" w14:textId="18D56E5D">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EA717CF" w:rsidR="105B12D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As documented by Price &amp; Brooks in 1980, </w:t>
      </w:r>
      <w:r w:rsidRPr="3EA717CF" w:rsidR="6D793B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Swansea Bay lies in a shallow rock basin that was partially filled by glacial, </w:t>
      </w:r>
      <w:bookmarkStart w:name="_Int_NvjplnzF" w:id="121459916"/>
      <w:r w:rsidRPr="3EA717CF" w:rsidR="6D793B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fluvioglacial</w:t>
      </w:r>
      <w:bookmarkEnd w:id="121459916"/>
      <w:r w:rsidRPr="3EA717CF" w:rsidR="6D793B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lacustrine sediments during the Pleistocene</w:t>
      </w:r>
      <w:r w:rsidRPr="3EA717CF" w:rsidR="553AD0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(Price &amp; Brooks, 1980)</w:t>
      </w:r>
      <w:r w:rsidRPr="3EA717CF" w:rsidR="6D793B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EA717CF" w:rsidR="4D1C48E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As </w:t>
      </w:r>
      <w:r w:rsidRPr="3EA717CF" w:rsidR="4D1C48E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observed</w:t>
      </w:r>
      <w:r w:rsidRPr="3EA717CF" w:rsidR="4D1C48E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by Culver in 1977, t</w:t>
      </w:r>
      <w:r w:rsidRPr="3EA717CF" w:rsidR="6D793B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hroughout the last ice age, a significant glacier occupied the Vale of Neath discharging meltwater and sediments into the bay. Subsequently, during the early to mid-post-glacial period (</w:t>
      </w:r>
      <w:r w:rsidRPr="3EA717CF" w:rsidR="6D793B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Flandrian</w:t>
      </w:r>
      <w:r w:rsidRPr="3EA717CF" w:rsidR="6D793B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rising sea levels led to a partial reworking and covering of these sediments by marine sediments</w:t>
      </w:r>
      <w:r w:rsidRPr="3EA717CF" w:rsidR="31A174E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(Culver, 1977)</w:t>
      </w:r>
      <w:r w:rsidRPr="3EA717CF" w:rsidR="6D793B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6D793B76" w:rsidP="3EA717CF" w:rsidRDefault="6D793B76" w14:paraId="6DD944DC" w14:textId="1CBD0CF4">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EA717CF" w:rsidR="6D793B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movement of sand inland by waves and currents led to the formation of a series of barrier islands and spits along the edges of the bay. Behind these barriers, a network of salt and brackish marshes developed, forming a coastal plain about 2 to 3 kilometres wide. Peat accumulation occurred in the lower lying and poorly drained areas, including Crymlyn Bog.</w:t>
      </w:r>
    </w:p>
    <w:p w:rsidR="3EA717CF" w:rsidP="3EA717CF" w:rsidRDefault="3EA717CF" w14:paraId="7BE6FF95" w14:textId="2A418082">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765C9E05" w:rsidP="3EA717CF" w:rsidRDefault="765C9E05" w14:paraId="4C3D4D02" w14:textId="0EB02DEC">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EA717CF" w:rsidR="765C9E0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 the mid-1820s, during the </w:t>
      </w:r>
      <w:r w:rsidRPr="3EA717CF" w:rsidR="765C9E0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initial</w:t>
      </w:r>
      <w:r w:rsidRPr="3EA717CF" w:rsidR="765C9E0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surveys for the first edition of the One-Inch Ordnance Survey maps, </w:t>
      </w:r>
      <w:r w:rsidRPr="3EA717CF" w:rsidR="765C9E0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numerous</w:t>
      </w:r>
      <w:r w:rsidRPr="3EA717CF" w:rsidR="765C9E0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coastal barriers were still visible, particularly along the eastern shore of Swansea Bay</w:t>
      </w:r>
      <w:r w:rsidRPr="3EA717CF" w:rsidR="297D1F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(Pye &amp; Blott, 2014)</w:t>
      </w:r>
      <w:r w:rsidRPr="3EA717CF" w:rsidR="765C9E0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Today, the coastline stretching from Mumbles Head to the western edge of Crymlyn Burrows is fortified with robust coastal defences (Collins, Banner, Tyler, Wa</w:t>
      </w:r>
      <w:r w:rsidRPr="3EA717CF" w:rsidR="3D1D1B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kefield &amp; James, 1980)</w:t>
      </w:r>
      <w:r w:rsidRPr="3EA717CF" w:rsidR="765C9E0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3EA717CF" w:rsidP="3EA717CF" w:rsidRDefault="3EA717CF" w14:paraId="064792CD" w14:textId="2F5413CB">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F11EE75" w:rsidP="3EA717CF" w:rsidRDefault="2F11EE75" w14:paraId="07F6253D" w14:textId="584E8DD5">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EA717CF" w:rsidR="2F11EE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 certain areas, notably between Black Pill and Swansea Docks and in a small inlet north of Port Talbot Harbour, sand dunes have formed in front of the concrete wall and promenade. Elsewhere, the defences are bordered by a sandy or muddy beach, which varies in width depending on the location. Between Port Talbot harbour and the </w:t>
      </w:r>
      <w:bookmarkStart w:name="_Int_eZBwgEED" w:id="2016909805"/>
      <w:r w:rsidRPr="3EA717CF" w:rsidR="2F11EE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River</w:t>
      </w:r>
      <w:bookmarkEnd w:id="2016909805"/>
      <w:r w:rsidRPr="3EA717CF" w:rsidR="2F11EE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EA717CF" w:rsidR="2F11EE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Kenfig</w:t>
      </w:r>
      <w:r w:rsidRPr="3EA717CF" w:rsidR="2F11EE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much of the coastal area is screened by rubble revetments, rock armour and mounded blast furnace slag. The SSSI section of </w:t>
      </w:r>
      <w:r w:rsidRPr="3EA717CF" w:rsidR="2F11EE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Kenfig</w:t>
      </w:r>
      <w:r w:rsidRPr="3EA717CF" w:rsidR="2F11EE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Dunes is not artificially protected, although a significant part of the dune base is shielded by a naturally occurring gravel berm (Pye &amp; Blott, 2014).</w:t>
      </w:r>
    </w:p>
    <w:p w:rsidR="3EA717CF" w:rsidP="3EA717CF" w:rsidRDefault="3EA717CF" w14:paraId="62D1930C" w14:textId="5A3D09F3">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463D5906" w:rsidP="3EA717CF" w:rsidRDefault="463D5906" w14:paraId="2B49AA5A" w14:textId="5CF1929C">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EA717CF" w:rsidR="463D59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area on which the Bay Campus stands was formerly used by British Petroleum (BP) as an oil storage facility. Although BP owned Crymlyn Burrows, it remained undeveloped, </w:t>
      </w:r>
      <w:bookmarkStart w:name="_Int_sfcRRao7" w:id="436073579"/>
      <w:r w:rsidRPr="3EA717CF" w:rsidR="463D59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with the exception of</w:t>
      </w:r>
      <w:bookmarkEnd w:id="436073579"/>
      <w:r w:rsidRPr="3EA717CF" w:rsidR="463D59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 small section in the far north where there are disused underground oil and chemical pipelines alongside active underground utilities such as gas and water pipes running east-west</w:t>
      </w:r>
      <w:r w:rsidRPr="3EA717CF" w:rsidR="53EA536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(Sampson, 2018)</w:t>
      </w:r>
      <w:r w:rsidRPr="3EA717CF" w:rsidR="463D59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3EA717CF" w:rsidP="3EA717CF" w:rsidRDefault="3EA717CF" w14:paraId="01ECA6A9" w14:textId="28526275">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437C6EAD" w:rsidP="3EA717CF" w:rsidRDefault="437C6EAD" w14:paraId="5B1BF96E" w14:textId="5E5085D1">
      <w:pPr>
        <w:jc w:val="both"/>
        <w:rPr>
          <w:rFonts w:ascii="Calibri" w:hAnsi="Calibri" w:eastAsia="Calibri" w:cs="Calibri" w:asciiTheme="minorAscii" w:hAnsiTheme="minorAscii" w:eastAsiaTheme="minorAscii" w:cstheme="minorAscii"/>
        </w:rPr>
      </w:pPr>
      <w:r w:rsidRPr="3EA717CF" w:rsidR="437C6EAD">
        <w:rPr>
          <w:rFonts w:ascii="Calibri" w:hAnsi="Calibri" w:eastAsia="Calibri" w:cs="Calibri" w:asciiTheme="minorAscii" w:hAnsiTheme="minorAscii" w:eastAsiaTheme="minorAscii" w:cstheme="minorAscii"/>
        </w:rPr>
        <w:t xml:space="preserve">During the Second World War, the oil storage facilities, pipelines, </w:t>
      </w:r>
      <w:r w:rsidRPr="3EA717CF" w:rsidR="22696101">
        <w:rPr>
          <w:rFonts w:ascii="Calibri" w:hAnsi="Calibri" w:eastAsia="Calibri" w:cs="Calibri" w:asciiTheme="minorAscii" w:hAnsiTheme="minorAscii" w:eastAsiaTheme="minorAscii" w:cstheme="minorAscii"/>
        </w:rPr>
        <w:t>docks,</w:t>
      </w:r>
      <w:r w:rsidRPr="3EA717CF" w:rsidR="437C6EAD">
        <w:rPr>
          <w:rFonts w:ascii="Calibri" w:hAnsi="Calibri" w:eastAsia="Calibri" w:cs="Calibri" w:asciiTheme="minorAscii" w:hAnsiTheme="minorAscii" w:eastAsiaTheme="minorAscii" w:cstheme="minorAscii"/>
        </w:rPr>
        <w:t xml:space="preserve"> and nearby factories were attacked by German bombers, leading to concerns about possible unexploded ordnance beneath the surface of the site. A desk study conducted in 2017 (MACC, 2017) </w:t>
      </w:r>
      <w:r w:rsidRPr="3EA717CF" w:rsidR="437C6EAD">
        <w:rPr>
          <w:rFonts w:ascii="Calibri" w:hAnsi="Calibri" w:eastAsia="Calibri" w:cs="Calibri" w:asciiTheme="minorAscii" w:hAnsiTheme="minorAscii" w:eastAsiaTheme="minorAscii" w:cstheme="minorAscii"/>
        </w:rPr>
        <w:t>indicated</w:t>
      </w:r>
      <w:r w:rsidRPr="3EA717CF" w:rsidR="437C6EAD">
        <w:rPr>
          <w:rFonts w:ascii="Calibri" w:hAnsi="Calibri" w:eastAsia="Calibri" w:cs="Calibri" w:asciiTheme="minorAscii" w:hAnsiTheme="minorAscii" w:eastAsiaTheme="minorAscii" w:cstheme="minorAscii"/>
        </w:rPr>
        <w:t xml:space="preserve"> a significant risk, particularly during drilling or mechanical excavation works. It is advisable to consult the report to undertake a comprehensive risk assessment for any ground-engaging works</w:t>
      </w:r>
      <w:r w:rsidRPr="3EA717CF" w:rsidR="259CA7DB">
        <w:rPr>
          <w:rFonts w:ascii="Calibri" w:hAnsi="Calibri" w:eastAsia="Calibri" w:cs="Calibri" w:asciiTheme="minorAscii" w:hAnsiTheme="minorAscii" w:eastAsiaTheme="minorAscii" w:cstheme="minorAscii"/>
        </w:rPr>
        <w:t>.</w:t>
      </w:r>
    </w:p>
    <w:p w:rsidR="3EA717CF" w:rsidP="3EA717CF" w:rsidRDefault="3EA717CF" w14:paraId="0744114A" w14:textId="6D0BF509">
      <w:pPr>
        <w:pStyle w:val="Normal"/>
        <w:jc w:val="both"/>
        <w:rPr>
          <w:rFonts w:ascii="Calibri" w:hAnsi="Calibri" w:eastAsia="Calibri" w:cs="Calibri" w:asciiTheme="minorAscii" w:hAnsiTheme="minorAscii" w:eastAsiaTheme="minorAscii" w:cstheme="minorAscii"/>
        </w:rPr>
      </w:pPr>
    </w:p>
    <w:p w:rsidR="174F99C4" w:rsidP="3EA717CF" w:rsidRDefault="174F99C4" w14:paraId="311E6231" w14:textId="328EE7EB">
      <w:pPr>
        <w:pStyle w:val="Normal"/>
        <w:jc w:val="both"/>
        <w:rPr>
          <w:rFonts w:ascii="Calibri" w:hAnsi="Calibri" w:eastAsia="Calibri" w:cs="Calibri" w:asciiTheme="minorAscii" w:hAnsiTheme="minorAscii" w:eastAsiaTheme="minorAscii" w:cstheme="minorAscii"/>
        </w:rPr>
      </w:pPr>
      <w:r w:rsidRPr="3EA717CF" w:rsidR="174F99C4">
        <w:rPr>
          <w:rFonts w:ascii="Calibri" w:hAnsi="Calibri" w:eastAsia="Calibri" w:cs="Calibri" w:asciiTheme="minorAscii" w:hAnsiTheme="minorAscii" w:eastAsiaTheme="minorAscii" w:cstheme="minorAscii"/>
        </w:rPr>
        <w:t xml:space="preserve">Crymlyn Burrows consists primarily of a series of sandy, dune-covered spits with outcrops, interspersed with areas of salt and brackish marshes that have developed from former sandy areas. Gravel is only present to a limited extent in this system, mostly in the form of gravelly berms at the base of the dune crests at their drifting ends. These can be </w:t>
      </w:r>
      <w:r w:rsidRPr="3EA717CF" w:rsidR="174F99C4">
        <w:rPr>
          <w:rFonts w:ascii="Calibri" w:hAnsi="Calibri" w:eastAsia="Calibri" w:cs="Calibri" w:asciiTheme="minorAscii" w:hAnsiTheme="minorAscii" w:eastAsiaTheme="minorAscii" w:cstheme="minorAscii"/>
        </w:rPr>
        <w:t>observed</w:t>
      </w:r>
      <w:r w:rsidRPr="3EA717CF" w:rsidR="174F99C4">
        <w:rPr>
          <w:rFonts w:ascii="Calibri" w:hAnsi="Calibri" w:eastAsia="Calibri" w:cs="Calibri" w:asciiTheme="minorAscii" w:hAnsiTheme="minorAscii" w:eastAsiaTheme="minorAscii" w:cstheme="minorAscii"/>
        </w:rPr>
        <w:t xml:space="preserve"> near the Swansea Bay Innovation Campus and the Naval Social Club at the northern end of Aberavon Sands</w:t>
      </w:r>
      <w:r w:rsidRPr="3EA717CF" w:rsidR="6B8FE7C2">
        <w:rPr>
          <w:rFonts w:ascii="Calibri" w:hAnsi="Calibri" w:eastAsia="Calibri" w:cs="Calibri" w:asciiTheme="minorAscii" w:hAnsiTheme="minorAscii" w:eastAsiaTheme="minorAscii" w:cstheme="minorAscii"/>
        </w:rPr>
        <w:t xml:space="preserve"> (Pye &amp; Blott, 2014)</w:t>
      </w:r>
      <w:r w:rsidRPr="3EA717CF" w:rsidR="174F99C4">
        <w:rPr>
          <w:rFonts w:ascii="Calibri" w:hAnsi="Calibri" w:eastAsia="Calibri" w:cs="Calibri" w:asciiTheme="minorAscii" w:hAnsiTheme="minorAscii" w:eastAsiaTheme="minorAscii" w:cstheme="minorAscii"/>
        </w:rPr>
        <w:t>.</w:t>
      </w:r>
    </w:p>
    <w:p w:rsidR="174F99C4" w:rsidP="3EA717CF" w:rsidRDefault="174F99C4" w14:paraId="575FADBC" w14:textId="447F8DC7">
      <w:pPr>
        <w:pStyle w:val="Normal"/>
        <w:jc w:val="both"/>
        <w:rPr>
          <w:rFonts w:ascii="Calibri" w:hAnsi="Calibri" w:eastAsia="Calibri" w:cs="Calibri" w:asciiTheme="minorAscii" w:hAnsiTheme="minorAscii" w:eastAsiaTheme="minorAscii" w:cstheme="minorAscii"/>
        </w:rPr>
      </w:pPr>
      <w:r w:rsidRPr="3EA717CF" w:rsidR="174F99C4">
        <w:rPr>
          <w:rFonts w:ascii="Calibri" w:hAnsi="Calibri" w:eastAsia="Calibri" w:cs="Calibri" w:asciiTheme="minorAscii" w:hAnsiTheme="minorAscii" w:eastAsiaTheme="minorAscii" w:cstheme="minorAscii"/>
        </w:rPr>
        <w:t xml:space="preserve">The active saltmarshes typically have an upward succession, with sands or silty sands at the base changing to sandy silts or silts at the surface. Older, higher marshes tend to be finer grained and </w:t>
      </w:r>
      <w:r w:rsidRPr="3EA717CF" w:rsidR="174F99C4">
        <w:rPr>
          <w:rFonts w:ascii="Calibri" w:hAnsi="Calibri" w:eastAsia="Calibri" w:cs="Calibri" w:asciiTheme="minorAscii" w:hAnsiTheme="minorAscii" w:eastAsiaTheme="minorAscii" w:cstheme="minorAscii"/>
        </w:rPr>
        <w:t>contain</w:t>
      </w:r>
      <w:r w:rsidRPr="3EA717CF" w:rsidR="174F99C4">
        <w:rPr>
          <w:rFonts w:ascii="Calibri" w:hAnsi="Calibri" w:eastAsia="Calibri" w:cs="Calibri" w:asciiTheme="minorAscii" w:hAnsiTheme="minorAscii" w:eastAsiaTheme="minorAscii" w:cstheme="minorAscii"/>
        </w:rPr>
        <w:t xml:space="preserve"> less sand, unless they are </w:t>
      </w:r>
      <w:r w:rsidRPr="3EA717CF" w:rsidR="174F99C4">
        <w:rPr>
          <w:rFonts w:ascii="Calibri" w:hAnsi="Calibri" w:eastAsia="Calibri" w:cs="Calibri" w:asciiTheme="minorAscii" w:hAnsiTheme="minorAscii" w:eastAsiaTheme="minorAscii" w:cstheme="minorAscii"/>
        </w:rPr>
        <w:t>in close proximity to</w:t>
      </w:r>
      <w:r w:rsidRPr="3EA717CF" w:rsidR="174F99C4">
        <w:rPr>
          <w:rFonts w:ascii="Calibri" w:hAnsi="Calibri" w:eastAsia="Calibri" w:cs="Calibri" w:asciiTheme="minorAscii" w:hAnsiTheme="minorAscii" w:eastAsiaTheme="minorAscii" w:cstheme="minorAscii"/>
        </w:rPr>
        <w:t xml:space="preserve"> active dunes</w:t>
      </w:r>
      <w:r w:rsidRPr="3EA717CF" w:rsidR="270738CB">
        <w:rPr>
          <w:rFonts w:ascii="Calibri" w:hAnsi="Calibri" w:eastAsia="Calibri" w:cs="Calibri" w:asciiTheme="minorAscii" w:hAnsiTheme="minorAscii" w:eastAsiaTheme="minorAscii" w:cstheme="minorAscii"/>
        </w:rPr>
        <w:t xml:space="preserve"> (Pye &amp; Blott, 2014).</w:t>
      </w:r>
    </w:p>
    <w:p w:rsidR="3EA717CF" w:rsidP="3EA717CF" w:rsidRDefault="3EA717CF" w14:paraId="4196C002" w14:textId="0E3E6166">
      <w:pPr>
        <w:pStyle w:val="Normal"/>
        <w:jc w:val="both"/>
        <w:rPr>
          <w:rFonts w:ascii="Calibri" w:hAnsi="Calibri" w:eastAsia="Calibri" w:cs="Calibri" w:asciiTheme="minorAscii" w:hAnsiTheme="minorAscii" w:eastAsiaTheme="minorAscii" w:cstheme="minorAscii"/>
        </w:rPr>
      </w:pPr>
    </w:p>
    <w:p w:rsidR="5316CBD3" w:rsidP="3EA717CF" w:rsidRDefault="5316CBD3" w14:paraId="76C0F156" w14:textId="010C7972">
      <w:pPr>
        <w:pStyle w:val="Normal"/>
        <w:jc w:val="both"/>
        <w:rPr>
          <w:rFonts w:ascii="Calibri" w:hAnsi="Calibri" w:eastAsia="Calibri" w:cs="Calibri" w:asciiTheme="minorAscii" w:hAnsiTheme="minorAscii" w:eastAsiaTheme="minorAscii" w:cstheme="minorAscii"/>
        </w:rPr>
      </w:pPr>
      <w:r w:rsidRPr="3EA717CF" w:rsidR="5316CBD3">
        <w:rPr>
          <w:rFonts w:ascii="Calibri" w:hAnsi="Calibri" w:eastAsia="Calibri" w:cs="Calibri" w:asciiTheme="minorAscii" w:hAnsiTheme="minorAscii" w:eastAsiaTheme="minorAscii" w:cstheme="minorAscii"/>
        </w:rPr>
        <w:t xml:space="preserve">In addition to habitat management, there are also habitat enhancement and restoration strategies. Habitat restoration aims to return a habitat to its original state, especially in the case of degradation or damage. An example of this is the conversion of formerly species-rich </w:t>
      </w:r>
      <w:r w:rsidRPr="3EA717CF" w:rsidR="5316CBD3">
        <w:rPr>
          <w:rFonts w:ascii="Calibri" w:hAnsi="Calibri" w:eastAsia="Calibri" w:cs="Calibri" w:asciiTheme="minorAscii" w:hAnsiTheme="minorAscii" w:eastAsiaTheme="minorAscii" w:cstheme="minorAscii"/>
        </w:rPr>
        <w:t>wide open</w:t>
      </w:r>
      <w:r w:rsidRPr="3EA717CF" w:rsidR="5316CBD3">
        <w:rPr>
          <w:rFonts w:ascii="Calibri" w:hAnsi="Calibri" w:eastAsia="Calibri" w:cs="Calibri" w:asciiTheme="minorAscii" w:hAnsiTheme="minorAscii" w:eastAsiaTheme="minorAscii" w:cstheme="minorAscii"/>
        </w:rPr>
        <w:t xml:space="preserve"> plains into large agricultural monocultures that do not meet the needs of wildlife accustomed to smaller, diverse habitats (Bijl &amp; </w:t>
      </w:r>
      <w:r w:rsidRPr="3EA717CF" w:rsidR="199207DE">
        <w:rPr>
          <w:rFonts w:ascii="Calibri" w:hAnsi="Calibri" w:eastAsia="Calibri" w:cs="Calibri" w:asciiTheme="minorAscii" w:hAnsiTheme="minorAscii" w:eastAsiaTheme="minorAscii" w:cstheme="minorAscii"/>
        </w:rPr>
        <w:t>Salisbury</w:t>
      </w:r>
      <w:r w:rsidRPr="3EA717CF" w:rsidR="5316CBD3">
        <w:rPr>
          <w:rFonts w:ascii="Calibri" w:hAnsi="Calibri" w:eastAsia="Calibri" w:cs="Calibri" w:asciiTheme="minorAscii" w:hAnsiTheme="minorAscii" w:eastAsiaTheme="minorAscii" w:cstheme="minorAscii"/>
        </w:rPr>
        <w:t xml:space="preserve"> 2019).</w:t>
      </w:r>
    </w:p>
    <w:p w:rsidR="3EA717CF" w:rsidP="3EA717CF" w:rsidRDefault="3EA717CF" w14:paraId="4673B905" w14:textId="33006E0F">
      <w:pPr>
        <w:pStyle w:val="Heading3"/>
        <w:ind w:left="1440"/>
        <w:rPr/>
      </w:pPr>
    </w:p>
    <w:p w:rsidR="19C375D3" w:rsidP="3EA717CF" w:rsidRDefault="19C375D3" w14:paraId="55E9E30D" w14:textId="66D261F9">
      <w:pPr>
        <w:pStyle w:val="Heading3"/>
        <w:ind w:left="1440"/>
        <w:rPr/>
      </w:pPr>
      <w:bookmarkStart w:name="_Toc1030247085" w:id="570730922"/>
      <w:r w:rsidR="19C375D3">
        <w:rPr/>
        <w:t>Ecological evaluation</w:t>
      </w:r>
      <w:bookmarkEnd w:id="570730922"/>
    </w:p>
    <w:p w:rsidR="30675D5E" w:rsidP="3EA717CF" w:rsidRDefault="30675D5E" w14:paraId="7B5B9D50" w14:textId="29EA8BC6">
      <w:pPr>
        <w:pStyle w:val="Normal"/>
        <w:spacing w:before="240" w:beforeAutospacing="off" w:after="240" w:afterAutospacing="off"/>
        <w:jc w:val="both"/>
        <w:rPr>
          <w:rFonts w:ascii="Calibri" w:hAnsi="Calibri" w:eastAsia="Calibri" w:cs="Calibri" w:asciiTheme="minorAscii" w:hAnsiTheme="minorAscii" w:eastAsiaTheme="minorAscii" w:cstheme="minorAscii"/>
          <w:color w:val="auto"/>
        </w:rPr>
      </w:pPr>
      <w:r w:rsidRPr="3EA717CF" w:rsidR="30675D5E">
        <w:rPr>
          <w:rFonts w:ascii="Calibri" w:hAnsi="Calibri" w:eastAsia="Calibri" w:cs="Calibri" w:asciiTheme="minorAscii" w:hAnsiTheme="minorAscii" w:eastAsiaTheme="minorAscii" w:cstheme="minorAscii"/>
          <w:color w:val="auto"/>
        </w:rPr>
        <w:t>Since its designation, the site has changed several times. The lack of cultivation and grazing has led to a stabilisation of the dunes and a gradual transition to scrub and forest. Various invasive species have become established, including the Japanese rose (Rosa rugosa), Japanese knotweed (</w:t>
      </w:r>
      <w:r w:rsidRPr="3EA717CF" w:rsidR="30675D5E">
        <w:rPr>
          <w:rFonts w:ascii="Calibri" w:hAnsi="Calibri" w:eastAsia="Calibri" w:cs="Calibri" w:asciiTheme="minorAscii" w:hAnsiTheme="minorAscii" w:eastAsiaTheme="minorAscii" w:cstheme="minorAscii"/>
          <w:color w:val="auto"/>
        </w:rPr>
        <w:t>Fallopia</w:t>
      </w:r>
      <w:r w:rsidRPr="3EA717CF" w:rsidR="30675D5E">
        <w:rPr>
          <w:rFonts w:ascii="Calibri" w:hAnsi="Calibri" w:eastAsia="Calibri" w:cs="Calibri" w:asciiTheme="minorAscii" w:hAnsiTheme="minorAscii" w:eastAsiaTheme="minorAscii" w:cstheme="minorAscii"/>
          <w:color w:val="auto"/>
        </w:rPr>
        <w:t xml:space="preserve"> japonica), sea buckthorn (</w:t>
      </w:r>
      <w:r w:rsidRPr="3EA717CF" w:rsidR="30675D5E">
        <w:rPr>
          <w:rFonts w:ascii="Calibri" w:hAnsi="Calibri" w:eastAsia="Calibri" w:cs="Calibri" w:asciiTheme="minorAscii" w:hAnsiTheme="minorAscii" w:eastAsiaTheme="minorAscii" w:cstheme="minorAscii"/>
          <w:color w:val="auto"/>
        </w:rPr>
        <w:t>Hippophae</w:t>
      </w:r>
      <w:r w:rsidRPr="3EA717CF" w:rsidR="30675D5E">
        <w:rPr>
          <w:rFonts w:ascii="Calibri" w:hAnsi="Calibri" w:eastAsia="Calibri" w:cs="Calibri" w:asciiTheme="minorAscii" w:hAnsiTheme="minorAscii" w:eastAsiaTheme="minorAscii" w:cstheme="minorAscii"/>
          <w:color w:val="auto"/>
        </w:rPr>
        <w:t xml:space="preserve"> </w:t>
      </w:r>
      <w:r w:rsidRPr="3EA717CF" w:rsidR="30675D5E">
        <w:rPr>
          <w:rFonts w:ascii="Calibri" w:hAnsi="Calibri" w:eastAsia="Calibri" w:cs="Calibri" w:asciiTheme="minorAscii" w:hAnsiTheme="minorAscii" w:eastAsiaTheme="minorAscii" w:cstheme="minorAscii"/>
          <w:color w:val="auto"/>
        </w:rPr>
        <w:t>rhamnoides</w:t>
      </w:r>
      <w:r w:rsidRPr="3EA717CF" w:rsidR="30675D5E">
        <w:rPr>
          <w:rFonts w:ascii="Calibri" w:hAnsi="Calibri" w:eastAsia="Calibri" w:cs="Calibri" w:asciiTheme="minorAscii" w:hAnsiTheme="minorAscii" w:eastAsiaTheme="minorAscii" w:cstheme="minorAscii"/>
          <w:color w:val="auto"/>
        </w:rPr>
        <w:t xml:space="preserve">), various species of cotoneaster, holm oak (Quercus ilex), daisy (Aster </w:t>
      </w:r>
      <w:r w:rsidRPr="3EA717CF" w:rsidR="30675D5E">
        <w:rPr>
          <w:rFonts w:ascii="Calibri" w:hAnsi="Calibri" w:eastAsia="Calibri" w:cs="Calibri" w:asciiTheme="minorAscii" w:hAnsiTheme="minorAscii" w:eastAsiaTheme="minorAscii" w:cstheme="minorAscii"/>
          <w:color w:val="auto"/>
        </w:rPr>
        <w:t>amellus</w:t>
      </w:r>
      <w:r w:rsidRPr="3EA717CF" w:rsidR="30675D5E">
        <w:rPr>
          <w:rFonts w:ascii="Calibri" w:hAnsi="Calibri" w:eastAsia="Calibri" w:cs="Calibri" w:asciiTheme="minorAscii" w:hAnsiTheme="minorAscii" w:eastAsiaTheme="minorAscii" w:cstheme="minorAscii"/>
          <w:color w:val="auto"/>
        </w:rPr>
        <w:t xml:space="preserve">) and early goldenrod (Solidago </w:t>
      </w:r>
      <w:r w:rsidRPr="3EA717CF" w:rsidR="30675D5E">
        <w:rPr>
          <w:rFonts w:ascii="Calibri" w:hAnsi="Calibri" w:eastAsia="Calibri" w:cs="Calibri" w:asciiTheme="minorAscii" w:hAnsiTheme="minorAscii" w:eastAsiaTheme="minorAscii" w:cstheme="minorAscii"/>
          <w:color w:val="auto"/>
        </w:rPr>
        <w:t>juncea</w:t>
      </w:r>
      <w:r w:rsidRPr="3EA717CF" w:rsidR="30675D5E">
        <w:rPr>
          <w:rFonts w:ascii="Calibri" w:hAnsi="Calibri" w:eastAsia="Calibri" w:cs="Calibri" w:asciiTheme="minorAscii" w:hAnsiTheme="minorAscii" w:eastAsiaTheme="minorAscii" w:cstheme="minorAscii"/>
          <w:color w:val="auto"/>
        </w:rPr>
        <w:t>).</w:t>
      </w:r>
    </w:p>
    <w:p w:rsidR="3EA717CF" w:rsidP="3EA717CF" w:rsidRDefault="3EA717CF" w14:paraId="2ED27441" w14:textId="060203A7">
      <w:pPr>
        <w:pStyle w:val="Normal"/>
        <w:spacing w:before="240" w:beforeAutospacing="off" w:after="240" w:afterAutospacing="off"/>
        <w:jc w:val="both"/>
        <w:rPr>
          <w:rFonts w:ascii="Calibri" w:hAnsi="Calibri" w:eastAsia="Calibri" w:cs="Calibri" w:asciiTheme="minorAscii" w:hAnsiTheme="minorAscii" w:eastAsiaTheme="minorAscii" w:cstheme="minorAscii"/>
          <w:color w:val="auto"/>
        </w:rPr>
      </w:pPr>
    </w:p>
    <w:p w:rsidR="757CA5E4" w:rsidP="3EA717CF" w:rsidRDefault="757CA5E4" w14:paraId="717C88CD" w14:textId="425B936A">
      <w:pPr>
        <w:pStyle w:val="Normal"/>
        <w:spacing w:before="240" w:beforeAutospacing="off" w:after="240" w:afterAutospacing="off"/>
        <w:jc w:val="both"/>
        <w:rPr>
          <w:rFonts w:ascii="Calibri" w:hAnsi="Calibri" w:eastAsia="Calibri" w:cs="Calibri" w:asciiTheme="minorAscii" w:hAnsiTheme="minorAscii" w:eastAsiaTheme="minorAscii" w:cstheme="minorAscii"/>
          <w:color w:val="auto"/>
        </w:rPr>
      </w:pPr>
      <w:r w:rsidRPr="3EA717CF" w:rsidR="757CA5E4">
        <w:rPr>
          <w:rFonts w:ascii="Calibri" w:hAnsi="Calibri" w:eastAsia="Calibri" w:cs="Calibri" w:asciiTheme="minorAscii" w:hAnsiTheme="minorAscii" w:eastAsiaTheme="minorAscii" w:cstheme="minorAscii"/>
          <w:color w:val="auto"/>
        </w:rPr>
        <w:t xml:space="preserve">The orchid has not been documented since 1995, and the last sighting of the beach beetle </w:t>
      </w:r>
      <w:r w:rsidRPr="3EA717CF" w:rsidR="757CA5E4">
        <w:rPr>
          <w:rFonts w:ascii="Calibri" w:hAnsi="Calibri" w:eastAsia="Calibri" w:cs="Calibri" w:asciiTheme="minorAscii" w:hAnsiTheme="minorAscii" w:eastAsiaTheme="minorAscii" w:cstheme="minorAscii"/>
          <w:color w:val="auto"/>
        </w:rPr>
        <w:t>dates back to</w:t>
      </w:r>
      <w:r w:rsidRPr="3EA717CF" w:rsidR="757CA5E4">
        <w:rPr>
          <w:rFonts w:ascii="Calibri" w:hAnsi="Calibri" w:eastAsia="Calibri" w:cs="Calibri" w:asciiTheme="minorAscii" w:hAnsiTheme="minorAscii" w:eastAsiaTheme="minorAscii" w:cstheme="minorAscii"/>
          <w:color w:val="auto"/>
        </w:rPr>
        <w:t xml:space="preserve"> 1997. The sea hogweed has once again almost disappeared, with only one known specimen left at this location. The extremely rare field wormwood (Artemisia campestris), which originally occurred in the northern dunes and was successfully propagated in the national collection, has also declined. Despite a failed attempt at reintroduction, there is the possibility of repeating this attempt in the future if the </w:t>
      </w:r>
      <w:r w:rsidRPr="3EA717CF" w:rsidR="757CA5E4">
        <w:rPr>
          <w:rFonts w:ascii="Calibri" w:hAnsi="Calibri" w:eastAsia="Calibri" w:cs="Calibri" w:asciiTheme="minorAscii" w:hAnsiTheme="minorAscii" w:eastAsiaTheme="minorAscii" w:cstheme="minorAscii"/>
          <w:color w:val="auto"/>
        </w:rPr>
        <w:t>appropriate resources</w:t>
      </w:r>
      <w:r w:rsidRPr="3EA717CF" w:rsidR="757CA5E4">
        <w:rPr>
          <w:rFonts w:ascii="Calibri" w:hAnsi="Calibri" w:eastAsia="Calibri" w:cs="Calibri" w:asciiTheme="minorAscii" w:hAnsiTheme="minorAscii" w:eastAsiaTheme="minorAscii" w:cstheme="minorAscii"/>
          <w:color w:val="auto"/>
        </w:rPr>
        <w:t xml:space="preserve"> are available.</w:t>
      </w:r>
    </w:p>
    <w:p w:rsidR="70B9E4F5" w:rsidP="3EA717CF" w:rsidRDefault="70B9E4F5" w14:paraId="12AC117B" w14:textId="6C4A9207">
      <w:pPr>
        <w:pStyle w:val="Normal"/>
        <w:spacing w:before="240" w:beforeAutospacing="off" w:after="240" w:afterAutospacing="off"/>
        <w:jc w:val="both"/>
        <w:rPr>
          <w:rFonts w:ascii="Calibri" w:hAnsi="Calibri" w:eastAsia="Calibri" w:cs="Calibri" w:asciiTheme="minorAscii" w:hAnsiTheme="minorAscii" w:eastAsiaTheme="minorAscii" w:cstheme="minorAscii"/>
          <w:color w:val="auto"/>
        </w:rPr>
      </w:pPr>
      <w:r w:rsidRPr="3EA717CF" w:rsidR="70B9E4F5">
        <w:rPr>
          <w:rFonts w:ascii="Calibri" w:hAnsi="Calibri" w:eastAsia="Calibri" w:cs="Calibri" w:asciiTheme="minorAscii" w:hAnsiTheme="minorAscii" w:eastAsiaTheme="minorAscii" w:cstheme="minorAscii"/>
          <w:color w:val="auto"/>
        </w:rPr>
        <w:t xml:space="preserve">Rabbits are the only grazers on the site, but their distribution is uneven, and their population fluctuates </w:t>
      </w:r>
      <w:bookmarkStart w:name="_Int_KJ3SSBDv" w:id="1010780082"/>
      <w:r w:rsidRPr="3EA717CF" w:rsidR="70B9E4F5">
        <w:rPr>
          <w:rFonts w:ascii="Calibri" w:hAnsi="Calibri" w:eastAsia="Calibri" w:cs="Calibri" w:asciiTheme="minorAscii" w:hAnsiTheme="minorAscii" w:eastAsiaTheme="minorAscii" w:cstheme="minorAscii"/>
          <w:color w:val="auto"/>
        </w:rPr>
        <w:t>greatly due</w:t>
      </w:r>
      <w:bookmarkEnd w:id="1010780082"/>
      <w:r w:rsidRPr="3EA717CF" w:rsidR="70B9E4F5">
        <w:rPr>
          <w:rFonts w:ascii="Calibri" w:hAnsi="Calibri" w:eastAsia="Calibri" w:cs="Calibri" w:asciiTheme="minorAscii" w:hAnsiTheme="minorAscii" w:eastAsiaTheme="minorAscii" w:cstheme="minorAscii"/>
          <w:color w:val="auto"/>
        </w:rPr>
        <w:t xml:space="preserve"> to disease and weather conditions. Scrubland provides them with important shelter, especially during sporadic outbreaks of myxomatosis.</w:t>
      </w:r>
    </w:p>
    <w:p w:rsidR="3EA717CF" w:rsidP="3EA717CF" w:rsidRDefault="3EA717CF" w14:paraId="7DB9ACD4" w14:textId="30C5F38E">
      <w:pPr>
        <w:pStyle w:val="Normal"/>
        <w:spacing w:before="240" w:beforeAutospacing="off" w:after="240" w:afterAutospacing="off"/>
        <w:jc w:val="both"/>
        <w:rPr>
          <w:rFonts w:ascii="Calibri" w:hAnsi="Calibri" w:eastAsia="Calibri" w:cs="Calibri" w:asciiTheme="minorAscii" w:hAnsiTheme="minorAscii" w:eastAsiaTheme="minorAscii" w:cstheme="minorAscii"/>
          <w:color w:val="auto"/>
        </w:rPr>
      </w:pPr>
    </w:p>
    <w:p w:rsidR="31C50A44" w:rsidP="3EA717CF" w:rsidRDefault="31C50A44" w14:paraId="5D369778" w14:textId="2B33F998">
      <w:pPr>
        <w:pStyle w:val="Normal"/>
        <w:spacing w:before="240" w:beforeAutospacing="off" w:after="240" w:afterAutospacing="off"/>
        <w:jc w:val="both"/>
        <w:rPr>
          <w:rFonts w:ascii="Calibri" w:hAnsi="Calibri" w:eastAsia="Calibri" w:cs="Calibri" w:asciiTheme="minorAscii" w:hAnsiTheme="minorAscii" w:eastAsiaTheme="minorAscii" w:cstheme="minorAscii"/>
          <w:color w:val="auto"/>
        </w:rPr>
      </w:pPr>
      <w:r w:rsidRPr="3EA717CF" w:rsidR="31C50A44">
        <w:rPr>
          <w:rFonts w:ascii="Calibri" w:hAnsi="Calibri" w:eastAsia="Calibri" w:cs="Calibri" w:asciiTheme="minorAscii" w:hAnsiTheme="minorAscii" w:eastAsiaTheme="minorAscii" w:cstheme="minorAscii"/>
          <w:color w:val="auto"/>
        </w:rPr>
        <w:t xml:space="preserve">The strip of promontory dunes that lines the crest of the beach </w:t>
      </w:r>
      <w:r w:rsidRPr="3EA717CF" w:rsidR="31C50A44">
        <w:rPr>
          <w:rFonts w:ascii="Calibri" w:hAnsi="Calibri" w:eastAsia="Calibri" w:cs="Calibri" w:asciiTheme="minorAscii" w:hAnsiTheme="minorAscii" w:eastAsiaTheme="minorAscii" w:cstheme="minorAscii"/>
          <w:color w:val="auto"/>
        </w:rPr>
        <w:t>represents</w:t>
      </w:r>
      <w:r w:rsidRPr="3EA717CF" w:rsidR="31C50A44">
        <w:rPr>
          <w:rFonts w:ascii="Calibri" w:hAnsi="Calibri" w:eastAsia="Calibri" w:cs="Calibri" w:asciiTheme="minorAscii" w:hAnsiTheme="minorAscii" w:eastAsiaTheme="minorAscii" w:cstheme="minorAscii"/>
          <w:color w:val="auto"/>
        </w:rPr>
        <w:t xml:space="preserve"> a highly dynamic environment in which a rapid alternation between accretion and erosion takes place. </w:t>
      </w:r>
      <w:r w:rsidRPr="3EA717CF" w:rsidR="31C50A44">
        <w:rPr>
          <w:rFonts w:ascii="Calibri" w:hAnsi="Calibri" w:eastAsia="Calibri" w:cs="Calibri" w:asciiTheme="minorAscii" w:hAnsiTheme="minorAscii" w:eastAsiaTheme="minorAscii" w:cstheme="minorAscii"/>
          <w:color w:val="auto"/>
        </w:rPr>
        <w:t>Recent trends</w:t>
      </w:r>
      <w:r w:rsidRPr="3EA717CF" w:rsidR="31C50A44">
        <w:rPr>
          <w:rFonts w:ascii="Calibri" w:hAnsi="Calibri" w:eastAsia="Calibri" w:cs="Calibri" w:asciiTheme="minorAscii" w:hAnsiTheme="minorAscii" w:eastAsiaTheme="minorAscii" w:cstheme="minorAscii"/>
          <w:color w:val="auto"/>
        </w:rPr>
        <w:t xml:space="preserve"> </w:t>
      </w:r>
      <w:r w:rsidRPr="3EA717CF" w:rsidR="31C50A44">
        <w:rPr>
          <w:rFonts w:ascii="Calibri" w:hAnsi="Calibri" w:eastAsia="Calibri" w:cs="Calibri" w:asciiTheme="minorAscii" w:hAnsiTheme="minorAscii" w:eastAsiaTheme="minorAscii" w:cstheme="minorAscii"/>
          <w:color w:val="auto"/>
        </w:rPr>
        <w:t>indicate</w:t>
      </w:r>
      <w:r w:rsidRPr="3EA717CF" w:rsidR="31C50A44">
        <w:rPr>
          <w:rFonts w:ascii="Calibri" w:hAnsi="Calibri" w:eastAsia="Calibri" w:cs="Calibri" w:asciiTheme="minorAscii" w:hAnsiTheme="minorAscii" w:eastAsiaTheme="minorAscii" w:cstheme="minorAscii"/>
          <w:color w:val="auto"/>
        </w:rPr>
        <w:t xml:space="preserve"> that the dunes are growing at both ends of the beach and eroding in the </w:t>
      </w:r>
      <w:r w:rsidRPr="3EA717CF" w:rsidR="31C50A44">
        <w:rPr>
          <w:rFonts w:ascii="Calibri" w:hAnsi="Calibri" w:eastAsia="Calibri" w:cs="Calibri" w:asciiTheme="minorAscii" w:hAnsiTheme="minorAscii" w:eastAsiaTheme="minorAscii" w:cstheme="minorAscii"/>
          <w:color w:val="auto"/>
        </w:rPr>
        <w:t>central area</w:t>
      </w:r>
      <w:r w:rsidRPr="3EA717CF" w:rsidR="31C50A44">
        <w:rPr>
          <w:rFonts w:ascii="Calibri" w:hAnsi="Calibri" w:eastAsia="Calibri" w:cs="Calibri" w:asciiTheme="minorAscii" w:hAnsiTheme="minorAscii" w:eastAsiaTheme="minorAscii" w:cstheme="minorAscii"/>
          <w:color w:val="auto"/>
        </w:rPr>
        <w:t xml:space="preserve"> of the beach. This erosion is due to a depression in the intertidal area that allows waves to reach the dunes during high tides and rough seas. The sediment </w:t>
      </w:r>
      <w:r w:rsidRPr="3EA717CF" w:rsidR="31C50A44">
        <w:rPr>
          <w:rFonts w:ascii="Calibri" w:hAnsi="Calibri" w:eastAsia="Calibri" w:cs="Calibri" w:asciiTheme="minorAscii" w:hAnsiTheme="minorAscii" w:eastAsiaTheme="minorAscii" w:cstheme="minorAscii"/>
          <w:color w:val="auto"/>
        </w:rPr>
        <w:t>generally moves</w:t>
      </w:r>
      <w:r w:rsidRPr="3EA717CF" w:rsidR="31C50A44">
        <w:rPr>
          <w:rFonts w:ascii="Calibri" w:hAnsi="Calibri" w:eastAsia="Calibri" w:cs="Calibri" w:asciiTheme="minorAscii" w:hAnsiTheme="minorAscii" w:eastAsiaTheme="minorAscii" w:cstheme="minorAscii"/>
          <w:color w:val="auto"/>
        </w:rPr>
        <w:t xml:space="preserve"> eastwards along the beach and enters the channel of the Neath Estuary. Regular dredging is necessary to </w:t>
      </w:r>
      <w:r w:rsidRPr="3EA717CF" w:rsidR="31C50A44">
        <w:rPr>
          <w:rFonts w:ascii="Calibri" w:hAnsi="Calibri" w:eastAsia="Calibri" w:cs="Calibri" w:asciiTheme="minorAscii" w:hAnsiTheme="minorAscii" w:eastAsiaTheme="minorAscii" w:cstheme="minorAscii"/>
          <w:color w:val="auto"/>
        </w:rPr>
        <w:t>maintain</w:t>
      </w:r>
      <w:r w:rsidRPr="3EA717CF" w:rsidR="31C50A44">
        <w:rPr>
          <w:rFonts w:ascii="Calibri" w:hAnsi="Calibri" w:eastAsia="Calibri" w:cs="Calibri" w:asciiTheme="minorAscii" w:hAnsiTheme="minorAscii" w:eastAsiaTheme="minorAscii" w:cstheme="minorAscii"/>
          <w:color w:val="auto"/>
        </w:rPr>
        <w:t xml:space="preserve"> the navigability of the channel.</w:t>
      </w:r>
    </w:p>
    <w:p w:rsidR="3EA717CF" w:rsidP="3EA717CF" w:rsidRDefault="3EA717CF" w14:paraId="59A925FC" w14:textId="1065470D">
      <w:pPr>
        <w:pStyle w:val="Normal"/>
        <w:spacing w:before="240" w:beforeAutospacing="off" w:after="240" w:afterAutospacing="off"/>
        <w:jc w:val="both"/>
        <w:rPr>
          <w:rFonts w:ascii="Calibri" w:hAnsi="Calibri" w:eastAsia="Calibri" w:cs="Calibri" w:asciiTheme="minorAscii" w:hAnsiTheme="minorAscii" w:eastAsiaTheme="minorAscii" w:cstheme="minorAscii"/>
          <w:color w:val="auto"/>
        </w:rPr>
      </w:pPr>
    </w:p>
    <w:p w:rsidR="184803E0" w:rsidP="3EA717CF" w:rsidRDefault="184803E0" w14:paraId="7E54ED4E" w14:textId="3E346557">
      <w:pPr>
        <w:pStyle w:val="Normal"/>
        <w:spacing w:before="240" w:beforeAutospacing="off" w:after="240" w:afterAutospacing="off"/>
        <w:jc w:val="both"/>
        <w:rPr>
          <w:rFonts w:ascii="Calibri" w:hAnsi="Calibri" w:eastAsia="Calibri" w:cs="Calibri" w:asciiTheme="minorAscii" w:hAnsiTheme="minorAscii" w:eastAsiaTheme="minorAscii" w:cstheme="minorAscii"/>
          <w:color w:val="auto"/>
        </w:rPr>
      </w:pPr>
      <w:r w:rsidRPr="3EA717CF" w:rsidR="184803E0">
        <w:rPr>
          <w:rFonts w:ascii="Calibri" w:hAnsi="Calibri" w:eastAsia="Calibri" w:cs="Calibri" w:asciiTheme="minorAscii" w:hAnsiTheme="minorAscii" w:eastAsiaTheme="minorAscii" w:cstheme="minorAscii"/>
          <w:color w:val="auto"/>
        </w:rPr>
        <w:t xml:space="preserve">No surveys of breeding birds have been carried out, but observations </w:t>
      </w:r>
      <w:r w:rsidRPr="3EA717CF" w:rsidR="184803E0">
        <w:rPr>
          <w:rFonts w:ascii="Calibri" w:hAnsi="Calibri" w:eastAsia="Calibri" w:cs="Calibri" w:asciiTheme="minorAscii" w:hAnsiTheme="minorAscii" w:eastAsiaTheme="minorAscii" w:cstheme="minorAscii"/>
          <w:color w:val="auto"/>
        </w:rPr>
        <w:t>indicate</w:t>
      </w:r>
      <w:r w:rsidRPr="3EA717CF" w:rsidR="184803E0">
        <w:rPr>
          <w:rFonts w:ascii="Calibri" w:hAnsi="Calibri" w:eastAsia="Calibri" w:cs="Calibri" w:asciiTheme="minorAscii" w:hAnsiTheme="minorAscii" w:eastAsiaTheme="minorAscii" w:cstheme="minorAscii"/>
          <w:color w:val="auto"/>
        </w:rPr>
        <w:t xml:space="preserve"> the importance of the dunes for ground-nesting birds such as skylarks and meadow pipits. There is also evidence of breeding redshanks and shelducks. Other species protected under </w:t>
      </w:r>
      <w:r w:rsidRPr="3EA717CF" w:rsidR="184803E0">
        <w:rPr>
          <w:rFonts w:ascii="Calibri" w:hAnsi="Calibri" w:eastAsia="Calibri" w:cs="Calibri" w:asciiTheme="minorAscii" w:hAnsiTheme="minorAscii" w:eastAsiaTheme="minorAscii" w:cstheme="minorAscii"/>
          <w:color w:val="auto"/>
        </w:rPr>
        <w:t xml:space="preserve">Section 7 that may nest on the site include ringed plovers, linnets, reed buntings, kestrels, cuckoos, warblers, dippers, bullfinches, house sparrows, </w:t>
      </w:r>
      <w:bookmarkStart w:name="_Int_t4LXVftm" w:id="969674858"/>
      <w:r w:rsidRPr="3EA717CF" w:rsidR="184803E0">
        <w:rPr>
          <w:rFonts w:ascii="Calibri" w:hAnsi="Calibri" w:eastAsia="Calibri" w:cs="Calibri" w:asciiTheme="minorAscii" w:hAnsiTheme="minorAscii" w:eastAsiaTheme="minorAscii" w:cstheme="minorAscii"/>
          <w:color w:val="auto"/>
        </w:rPr>
        <w:t>starlings</w:t>
      </w:r>
      <w:bookmarkEnd w:id="969674858"/>
      <w:r w:rsidRPr="3EA717CF" w:rsidR="184803E0">
        <w:rPr>
          <w:rFonts w:ascii="Calibri" w:hAnsi="Calibri" w:eastAsia="Calibri" w:cs="Calibri" w:asciiTheme="minorAscii" w:hAnsiTheme="minorAscii" w:eastAsiaTheme="minorAscii" w:cstheme="minorAscii"/>
          <w:color w:val="auto"/>
        </w:rPr>
        <w:t xml:space="preserve"> and song thrushes.</w:t>
      </w:r>
    </w:p>
    <w:p w:rsidR="5DCE33EA" w:rsidP="3EA717CF" w:rsidRDefault="5DCE33EA" w14:paraId="0BF908A2" w14:textId="452245E5">
      <w:pPr>
        <w:pStyle w:val="Normal"/>
        <w:spacing w:before="240" w:beforeAutospacing="off" w:after="240" w:afterAutospacing="off"/>
        <w:jc w:val="both"/>
        <w:rPr>
          <w:rFonts w:ascii="Calibri" w:hAnsi="Calibri" w:eastAsia="Calibri" w:cs="Calibri" w:asciiTheme="minorAscii" w:hAnsiTheme="minorAscii" w:eastAsiaTheme="minorAscii" w:cstheme="minorAscii"/>
        </w:rPr>
      </w:pPr>
      <w:r w:rsidRPr="3EA717CF" w:rsidR="5DCE33EA">
        <w:rPr>
          <w:rFonts w:ascii="Calibri" w:hAnsi="Calibri" w:eastAsia="Calibri" w:cs="Calibri" w:asciiTheme="minorAscii" w:hAnsiTheme="minorAscii" w:eastAsiaTheme="minorAscii" w:cstheme="minorAscii"/>
        </w:rPr>
        <w:t xml:space="preserve">Various mammals have been </w:t>
      </w:r>
      <w:r w:rsidRPr="3EA717CF" w:rsidR="5DCE33EA">
        <w:rPr>
          <w:rFonts w:ascii="Calibri" w:hAnsi="Calibri" w:eastAsia="Calibri" w:cs="Calibri" w:asciiTheme="minorAscii" w:hAnsiTheme="minorAscii" w:eastAsiaTheme="minorAscii" w:cstheme="minorAscii"/>
        </w:rPr>
        <w:t>observed</w:t>
      </w:r>
      <w:r w:rsidRPr="3EA717CF" w:rsidR="5DCE33EA">
        <w:rPr>
          <w:rFonts w:ascii="Calibri" w:hAnsi="Calibri" w:eastAsia="Calibri" w:cs="Calibri" w:asciiTheme="minorAscii" w:hAnsiTheme="minorAscii" w:eastAsiaTheme="minorAscii" w:cstheme="minorAscii"/>
        </w:rPr>
        <w:t xml:space="preserve"> at the site, including red foxes, hedgehogs, rabbits, wood mice, voles, shrews, water shrews and pygmy shrews. Otters and polecats are also likely to be occasional visitors.</w:t>
      </w:r>
    </w:p>
    <w:p w:rsidR="3EA717CF" w:rsidP="3EA717CF" w:rsidRDefault="3EA717CF" w14:paraId="055165FD" w14:textId="7D607170">
      <w:pPr>
        <w:pStyle w:val="Normal"/>
        <w:spacing w:before="240" w:beforeAutospacing="off" w:after="240" w:afterAutospacing="off"/>
        <w:jc w:val="both"/>
        <w:rPr>
          <w:rFonts w:ascii="Calibri" w:hAnsi="Calibri" w:eastAsia="Calibri" w:cs="Calibri" w:asciiTheme="minorAscii" w:hAnsiTheme="minorAscii" w:eastAsiaTheme="minorAscii" w:cstheme="minorAscii"/>
        </w:rPr>
      </w:pPr>
    </w:p>
    <w:p w:rsidR="74B324D7" w:rsidP="3EA717CF" w:rsidRDefault="74B324D7" w14:paraId="6B61C580" w14:textId="6C719BBA">
      <w:pPr>
        <w:pStyle w:val="Normal"/>
        <w:spacing w:before="240" w:beforeAutospacing="off" w:after="240" w:afterAutospacing="off"/>
        <w:jc w:val="both"/>
        <w:rPr>
          <w:rFonts w:ascii="Calibri" w:hAnsi="Calibri" w:eastAsia="Calibri" w:cs="Calibri" w:asciiTheme="minorAscii" w:hAnsiTheme="minorAscii" w:eastAsiaTheme="minorAscii" w:cstheme="minorAscii"/>
        </w:rPr>
      </w:pPr>
      <w:r w:rsidRPr="3EA717CF" w:rsidR="74B324D7">
        <w:rPr>
          <w:rFonts w:ascii="Calibri" w:hAnsi="Calibri" w:eastAsia="Calibri" w:cs="Calibri" w:asciiTheme="minorAscii" w:hAnsiTheme="minorAscii" w:eastAsiaTheme="minorAscii" w:cstheme="minorAscii"/>
        </w:rPr>
        <w:t>Live-bearing lizards are abundant in the dunes, with some specimens having been translocated to the area during the development phase of the campus. Despite regular surveys in 2016 and 2017 and during the construction of the campus, no other reptile species were documented. The invertebrate community within the SSSI is notable for harbouring sand dune specialist species such as the dune tiger beetle and dune beetle.</w:t>
      </w:r>
    </w:p>
    <w:p w:rsidR="3EA717CF" w:rsidP="3EA717CF" w:rsidRDefault="3EA717CF" w14:paraId="5505DE50" w14:textId="4637F44A">
      <w:pPr>
        <w:pStyle w:val="Normal"/>
        <w:spacing w:before="240" w:beforeAutospacing="off" w:after="240" w:afterAutospacing="off"/>
        <w:jc w:val="both"/>
        <w:rPr>
          <w:rFonts w:ascii="Calibri" w:hAnsi="Calibri" w:eastAsia="Calibri" w:cs="Calibri" w:asciiTheme="minorAscii" w:hAnsiTheme="minorAscii" w:eastAsiaTheme="minorAscii" w:cstheme="minorAscii"/>
        </w:rPr>
      </w:pPr>
    </w:p>
    <w:p w:rsidR="45709AAF" w:rsidP="3EA717CF" w:rsidRDefault="45709AAF" w14:paraId="0078E56C" w14:textId="260D0E6C">
      <w:pPr>
        <w:pStyle w:val="Normal"/>
        <w:spacing w:before="240" w:beforeAutospacing="off" w:after="240" w:afterAutospacing="off"/>
        <w:jc w:val="both"/>
        <w:rPr>
          <w:rFonts w:ascii="Calibri" w:hAnsi="Calibri" w:eastAsia="Calibri" w:cs="Calibri" w:asciiTheme="minorAscii" w:hAnsiTheme="minorAscii" w:eastAsiaTheme="minorAscii" w:cstheme="minorAscii"/>
        </w:rPr>
      </w:pPr>
      <w:r w:rsidRPr="3EA717CF" w:rsidR="45709AAF">
        <w:rPr>
          <w:rFonts w:ascii="Calibri" w:hAnsi="Calibri" w:eastAsia="Calibri" w:cs="Calibri" w:asciiTheme="minorAscii" w:hAnsiTheme="minorAscii" w:eastAsiaTheme="minorAscii" w:cstheme="minorAscii"/>
        </w:rPr>
        <w:t xml:space="preserve">In addition, wildlife </w:t>
      </w:r>
      <w:r w:rsidRPr="3EA717CF" w:rsidR="45709AAF">
        <w:rPr>
          <w:rFonts w:ascii="Calibri" w:hAnsi="Calibri" w:eastAsia="Calibri" w:cs="Calibri" w:asciiTheme="minorAscii" w:hAnsiTheme="minorAscii" w:eastAsiaTheme="minorAscii" w:cstheme="minorAscii"/>
        </w:rPr>
        <w:t>tends</w:t>
      </w:r>
      <w:r w:rsidRPr="3EA717CF" w:rsidR="45709AAF">
        <w:rPr>
          <w:rFonts w:ascii="Calibri" w:hAnsi="Calibri" w:eastAsia="Calibri" w:cs="Calibri" w:asciiTheme="minorAscii" w:hAnsiTheme="minorAscii" w:eastAsiaTheme="minorAscii" w:cstheme="minorAscii"/>
        </w:rPr>
        <w:t xml:space="preserve"> to congregate at the edges of habitats where different vegetation types meet, resulting in an "edge effect." Therefore, habitat management should focus on creating and </w:t>
      </w:r>
      <w:r w:rsidRPr="3EA717CF" w:rsidR="45709AAF">
        <w:rPr>
          <w:rFonts w:ascii="Calibri" w:hAnsi="Calibri" w:eastAsia="Calibri" w:cs="Calibri" w:asciiTheme="minorAscii" w:hAnsiTheme="minorAscii" w:eastAsiaTheme="minorAscii" w:cstheme="minorAscii"/>
        </w:rPr>
        <w:t>maintaining</w:t>
      </w:r>
      <w:r w:rsidRPr="3EA717CF" w:rsidR="45709AAF">
        <w:rPr>
          <w:rFonts w:ascii="Calibri" w:hAnsi="Calibri" w:eastAsia="Calibri" w:cs="Calibri" w:asciiTheme="minorAscii" w:hAnsiTheme="minorAscii" w:eastAsiaTheme="minorAscii" w:cstheme="minorAscii"/>
        </w:rPr>
        <w:t xml:space="preserve"> habitat edges to effectively support wildlife populations )</w:t>
      </w:r>
      <w:r w:rsidRPr="3EA717CF" w:rsidR="45709AAF">
        <w:rPr>
          <w:rFonts w:ascii="Calibri" w:hAnsi="Calibri" w:eastAsia="Calibri" w:cs="Calibri" w:asciiTheme="minorAscii" w:hAnsiTheme="minorAscii" w:eastAsiaTheme="minorAscii" w:cstheme="minorAscii"/>
        </w:rPr>
        <w:t>Ausden</w:t>
      </w:r>
      <w:r w:rsidRPr="3EA717CF" w:rsidR="45709AAF">
        <w:rPr>
          <w:rFonts w:ascii="Calibri" w:hAnsi="Calibri" w:eastAsia="Calibri" w:cs="Calibri" w:asciiTheme="minorAscii" w:hAnsiTheme="minorAscii" w:eastAsiaTheme="minorAscii" w:cstheme="minorAscii"/>
        </w:rPr>
        <w:t>, 2007).</w:t>
      </w:r>
    </w:p>
    <w:p w:rsidR="3EA717CF" w:rsidP="3EA717CF" w:rsidRDefault="3EA717CF" w14:paraId="1391FA5E" w14:textId="61934F9C">
      <w:pPr>
        <w:pStyle w:val="Normal"/>
        <w:spacing w:before="240" w:beforeAutospacing="off" w:after="240" w:afterAutospacing="off"/>
        <w:jc w:val="both"/>
        <w:rPr>
          <w:rFonts w:ascii="Calibri" w:hAnsi="Calibri" w:eastAsia="Calibri" w:cs="Calibri" w:asciiTheme="minorAscii" w:hAnsiTheme="minorAscii" w:eastAsiaTheme="minorAscii" w:cstheme="minorAscii"/>
        </w:rPr>
      </w:pPr>
    </w:p>
    <w:p w:rsidR="3C8D3902" w:rsidP="3EA717CF" w:rsidRDefault="3C8D3902" w14:paraId="1C80DEAA" w14:textId="36EF0922">
      <w:pPr>
        <w:pStyle w:val="Heading1"/>
        <w:rPr/>
      </w:pPr>
      <w:bookmarkStart w:name="_Toc552586879" w:id="1422387884"/>
      <w:r w:rsidR="3C8D3902">
        <w:rPr/>
        <w:t>Site Management</w:t>
      </w:r>
      <w:bookmarkEnd w:id="1422387884"/>
    </w:p>
    <w:p w:rsidR="337025D1" w:rsidP="3EA717CF" w:rsidRDefault="337025D1" w14:paraId="370319D5" w14:textId="04F749DF">
      <w:pPr>
        <w:pStyle w:val="Heading2"/>
        <w:ind w:left="720"/>
        <w:rPr/>
      </w:pPr>
      <w:bookmarkStart w:name="_Toc449896926" w:id="2024143981"/>
      <w:r w:rsidR="337025D1">
        <w:rPr/>
        <w:t>Habitat management</w:t>
      </w:r>
      <w:bookmarkEnd w:id="2024143981"/>
    </w:p>
    <w:p w:rsidR="3EA717CF" w:rsidP="3EA717CF" w:rsidRDefault="3EA717CF" w14:paraId="3120001D" w14:textId="3D7BD4E3">
      <w:pPr>
        <w:pStyle w:val="Normal"/>
        <w:rPr/>
      </w:pPr>
    </w:p>
    <w:p w:rsidR="6C82E875" w:rsidP="3EA717CF" w:rsidRDefault="6C82E875" w14:paraId="032A928A" w14:textId="251A08DA">
      <w:pPr>
        <w:pStyle w:val="Normal"/>
        <w:jc w:val="both"/>
        <w:rPr>
          <w:rFonts w:ascii="Calibri" w:hAnsi="Calibri" w:eastAsia="Calibri" w:cs="Calibri" w:asciiTheme="minorAscii" w:hAnsiTheme="minorAscii" w:eastAsiaTheme="minorAscii" w:cstheme="minorAscii"/>
        </w:rPr>
      </w:pPr>
      <w:r w:rsidRPr="3EA717CF" w:rsidR="6C82E875">
        <w:rPr>
          <w:rFonts w:ascii="Calibri" w:hAnsi="Calibri" w:eastAsia="Calibri" w:cs="Calibri" w:asciiTheme="minorAscii" w:hAnsiTheme="minorAscii" w:eastAsiaTheme="minorAscii" w:cstheme="minorAscii"/>
        </w:rPr>
        <w:t xml:space="preserve">Throughout history, people have used the land for various purposes such as housing, agriculture, trade, </w:t>
      </w:r>
      <w:r w:rsidRPr="3EA717CF" w:rsidR="6C82E875">
        <w:rPr>
          <w:rFonts w:ascii="Calibri" w:hAnsi="Calibri" w:eastAsia="Calibri" w:cs="Calibri" w:asciiTheme="minorAscii" w:hAnsiTheme="minorAscii" w:eastAsiaTheme="minorAscii" w:cstheme="minorAscii"/>
        </w:rPr>
        <w:t>recreation</w:t>
      </w:r>
      <w:r w:rsidRPr="3EA717CF" w:rsidR="6C82E875">
        <w:rPr>
          <w:rFonts w:ascii="Calibri" w:hAnsi="Calibri" w:eastAsia="Calibri" w:cs="Calibri" w:asciiTheme="minorAscii" w:hAnsiTheme="minorAscii" w:eastAsiaTheme="minorAscii" w:cstheme="minorAscii"/>
        </w:rPr>
        <w:t xml:space="preserve"> and transport. Currently, only 29 of the Earth's surface is land, the remaining 71% is ocean. Of the land surface, 71% is considered habitable for humans, while the remaining 29% consists of glaciers and barren land (Bijl &amp; Salisbury, 2019</w:t>
      </w:r>
      <w:r w:rsidRPr="3EA717CF" w:rsidR="334365C2">
        <w:rPr>
          <w:rFonts w:ascii="Calibri" w:hAnsi="Calibri" w:eastAsia="Calibri" w:cs="Calibri" w:asciiTheme="minorAscii" w:hAnsiTheme="minorAscii" w:eastAsiaTheme="minorAscii" w:cstheme="minorAscii"/>
        </w:rPr>
        <w:t>)</w:t>
      </w:r>
      <w:r w:rsidRPr="3EA717CF" w:rsidR="6C82E875">
        <w:rPr>
          <w:rFonts w:ascii="Calibri" w:hAnsi="Calibri" w:eastAsia="Calibri" w:cs="Calibri" w:asciiTheme="minorAscii" w:hAnsiTheme="minorAscii" w:eastAsiaTheme="minorAscii" w:cstheme="minorAscii"/>
        </w:rPr>
        <w:t>. In addition, the world's population has more than quadrupled in the last century and is projected to continue to grow, increasing the pressure on the planet and its resources. It is important to recognise that we share the land with other species. To achieve sustainable coexistence with animals and the environment, it is therefore essential to share the land and its resources fairly and ensure that animals have sufficient space and resources for their needs.</w:t>
      </w:r>
    </w:p>
    <w:p w:rsidR="3EA717CF" w:rsidP="3EA717CF" w:rsidRDefault="3EA717CF" w14:paraId="52A6AFB5" w14:textId="4BA366C3">
      <w:pPr>
        <w:pStyle w:val="Normal"/>
        <w:jc w:val="both"/>
        <w:rPr>
          <w:rFonts w:ascii="Calibri" w:hAnsi="Calibri" w:eastAsia="Calibri" w:cs="Calibri" w:asciiTheme="minorAscii" w:hAnsiTheme="minorAscii" w:eastAsiaTheme="minorAscii" w:cstheme="minorAscii"/>
        </w:rPr>
      </w:pPr>
    </w:p>
    <w:p w:rsidR="624D2C44" w:rsidP="3EA717CF" w:rsidRDefault="624D2C44" w14:paraId="44513102" w14:textId="5084D0EA">
      <w:pPr>
        <w:pStyle w:val="Normal"/>
        <w:jc w:val="both"/>
        <w:rPr>
          <w:rFonts w:ascii="Calibri" w:hAnsi="Calibri" w:eastAsia="Calibri" w:cs="Calibri" w:asciiTheme="minorAscii" w:hAnsiTheme="minorAscii" w:eastAsiaTheme="minorAscii" w:cstheme="minorAscii"/>
        </w:rPr>
      </w:pPr>
      <w:r w:rsidRPr="3EA717CF" w:rsidR="624D2C44">
        <w:rPr>
          <w:rFonts w:ascii="Calibri" w:hAnsi="Calibri" w:eastAsia="Calibri" w:cs="Calibri" w:asciiTheme="minorAscii" w:hAnsiTheme="minorAscii" w:eastAsiaTheme="minorAscii" w:cstheme="minorAscii"/>
        </w:rPr>
        <w:t>The objective of habitat management should be to prevent further encroachment of scrub and woodland by selectively removing trees and shrubs, initially targeting invasive, non-native species. Efforts should also be made to push back the forest edge where it encroaches on the dune grassland</w:t>
      </w:r>
      <w:r w:rsidRPr="3EA717CF" w:rsidR="075A39FF">
        <w:rPr>
          <w:rFonts w:ascii="Calibri" w:hAnsi="Calibri" w:eastAsia="Calibri" w:cs="Calibri" w:asciiTheme="minorAscii" w:hAnsiTheme="minorAscii" w:eastAsiaTheme="minorAscii" w:cstheme="minorAscii"/>
        </w:rPr>
        <w:t xml:space="preserve"> (Sampson, 2018).</w:t>
      </w:r>
    </w:p>
    <w:p w:rsidR="3EA717CF" w:rsidP="3EA717CF" w:rsidRDefault="3EA717CF" w14:paraId="25CE12CC" w14:textId="3F456CE3">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6A7BA3EF" w:rsidP="3EA717CF" w:rsidRDefault="6A7BA3EF" w14:paraId="5C6B1A84" w14:textId="1F812251">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EA717CF" w:rsidR="6A7BA3E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Habitat is a concept that is specific to each species, as each species has different requirements. Even though several species may inhabit the same area, they have </w:t>
      </w:r>
      <w:r w:rsidRPr="3EA717CF" w:rsidR="6A7BA3E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different needs</w:t>
      </w:r>
      <w:r w:rsidRPr="3EA717CF" w:rsidR="6A7BA3E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which means that environmental changes will </w:t>
      </w:r>
      <w:r w:rsidRPr="3EA717CF" w:rsidR="6A7BA3E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impact</w:t>
      </w:r>
      <w:r w:rsidRPr="3EA717CF" w:rsidR="6A7BA3E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them uniquely (Bijl &amp; Salisbury, 2019). All animals </w:t>
      </w:r>
      <w:r w:rsidRPr="3EA717CF" w:rsidR="6A7BA3E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require</w:t>
      </w:r>
      <w:r w:rsidRPr="3EA717CF" w:rsidR="6A7BA3E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certain resources or habitat factors, including food, water, </w:t>
      </w:r>
      <w:r w:rsidRPr="3EA717CF" w:rsidR="6A7BA3E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cover</w:t>
      </w:r>
      <w:r w:rsidRPr="3EA717CF" w:rsidR="6A7BA3E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space, as well as suitable environmental conditions such as temperature, soil type and rainfall.</w:t>
      </w:r>
    </w:p>
    <w:p w:rsidR="3EA717CF" w:rsidP="3EA717CF" w:rsidRDefault="3EA717CF" w14:paraId="7A034F7F" w14:textId="7656FCD3">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0D7A0197" w:rsidP="3EA717CF" w:rsidRDefault="0D7A0197" w14:paraId="3CF72A2B" w14:textId="60C7D82B">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EA717CF" w:rsidR="0D7A019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Furthermore, it is not only the quantity but also the distribution of resources in a habitat that is important. The spatial arrangement of food, cover and water has a significant impact on the numbers and distribution of wildlife, with smaller blocks of diverse resources close together being the most effective (</w:t>
      </w:r>
      <w:r w:rsidRPr="3EA717CF" w:rsidR="0D7A019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Ausden</w:t>
      </w:r>
      <w:r w:rsidRPr="3EA717CF" w:rsidR="0D7A019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2007).</w:t>
      </w:r>
    </w:p>
    <w:p w:rsidR="3EA717CF" w:rsidP="3EA717CF" w:rsidRDefault="3EA717CF" w14:paraId="62718B00" w14:textId="2279A426">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6A7BA3EF" w:rsidP="3EA717CF" w:rsidRDefault="6A7BA3EF" w14:paraId="204003D8" w14:textId="010191D1">
      <w:pPr>
        <w:pStyle w:val="Normal"/>
        <w:jc w:val="both"/>
        <w:rPr/>
      </w:pPr>
      <w:r w:rsidRPr="3EA717CF" w:rsidR="6A7BA3E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Adequate availability of these habitat factors promotes the well-being. However, a lack of any of these factors, be it insufficient food, </w:t>
      </w:r>
      <w:r w:rsidRPr="3EA717CF" w:rsidR="6A7BA3E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water</w:t>
      </w:r>
      <w:r w:rsidRPr="3EA717CF" w:rsidR="6A7BA3E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or nesting sites, can limit the number and distribution of wildlife </w:t>
      </w:r>
      <w:r w:rsidRPr="3EA717CF" w:rsidR="6A7BA3E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 a given</w:t>
      </w:r>
      <w:r w:rsidRPr="3EA717CF" w:rsidR="6A7BA3E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area and thus act as a limiting factor (Bijl &amp; Salisbury, 2019).</w:t>
      </w:r>
    </w:p>
    <w:p w:rsidR="3EA717CF" w:rsidP="3EA717CF" w:rsidRDefault="3EA717CF" w14:paraId="69F0DBD0" w14:textId="5B9C8F88">
      <w:pPr>
        <w:pStyle w:val="Normal"/>
        <w:jc w:val="both"/>
        <w:rPr>
          <w:rFonts w:ascii="Calibri" w:hAnsi="Calibri" w:eastAsia="Calibri" w:cs="Calibri" w:asciiTheme="minorAscii" w:hAnsiTheme="minorAscii" w:eastAsiaTheme="minorAscii" w:cstheme="minorAscii"/>
        </w:rPr>
      </w:pPr>
    </w:p>
    <w:p w:rsidR="6B1E2C00" w:rsidP="3EA717CF" w:rsidRDefault="6B1E2C00" w14:paraId="722615FD" w14:textId="039A6059">
      <w:pPr>
        <w:pStyle w:val="Normal"/>
        <w:jc w:val="both"/>
        <w:rPr>
          <w:rFonts w:ascii="Calibri" w:hAnsi="Calibri" w:eastAsia="Calibri" w:cs="Calibri" w:asciiTheme="minorAscii" w:hAnsiTheme="minorAscii" w:eastAsiaTheme="minorAscii" w:cstheme="minorAscii"/>
        </w:rPr>
      </w:pPr>
      <w:r w:rsidRPr="3EA717CF" w:rsidR="6B1E2C00">
        <w:rPr>
          <w:rFonts w:ascii="Calibri" w:hAnsi="Calibri" w:eastAsia="Calibri" w:cs="Calibri" w:asciiTheme="minorAscii" w:hAnsiTheme="minorAscii" w:eastAsiaTheme="minorAscii" w:cstheme="minorAscii"/>
        </w:rPr>
        <w:t xml:space="preserve">When </w:t>
      </w:r>
      <w:r w:rsidRPr="3EA717CF" w:rsidR="6B1E2C00">
        <w:rPr>
          <w:rFonts w:ascii="Calibri" w:hAnsi="Calibri" w:eastAsia="Calibri" w:cs="Calibri" w:asciiTheme="minorAscii" w:hAnsiTheme="minorAscii" w:eastAsiaTheme="minorAscii" w:cstheme="minorAscii"/>
        </w:rPr>
        <w:t>determining</w:t>
      </w:r>
      <w:r w:rsidRPr="3EA717CF" w:rsidR="6B1E2C00">
        <w:rPr>
          <w:rFonts w:ascii="Calibri" w:hAnsi="Calibri" w:eastAsia="Calibri" w:cs="Calibri" w:asciiTheme="minorAscii" w:hAnsiTheme="minorAscii" w:eastAsiaTheme="minorAscii" w:cstheme="minorAscii"/>
        </w:rPr>
        <w:t xml:space="preserve"> how to manage or improve a habitat</w:t>
      </w:r>
      <w:r w:rsidRPr="3EA717CF" w:rsidR="6B1E2C00">
        <w:rPr>
          <w:rFonts w:ascii="Calibri" w:hAnsi="Calibri" w:eastAsia="Calibri" w:cs="Calibri" w:asciiTheme="minorAscii" w:hAnsiTheme="minorAscii" w:eastAsiaTheme="minorAscii" w:cstheme="minorAscii"/>
        </w:rPr>
        <w:t>, the following steps should be considered:</w:t>
      </w:r>
    </w:p>
    <w:p w:rsidR="6B1E2C00" w:rsidP="3EA717CF" w:rsidRDefault="6B1E2C00" w14:paraId="7713FA55" w14:textId="2C9C6E8A">
      <w:pPr>
        <w:pStyle w:val="ListParagraph"/>
        <w:numPr>
          <w:ilvl w:val="0"/>
          <w:numId w:val="1"/>
        </w:numPr>
        <w:jc w:val="both"/>
        <w:rPr>
          <w:rFonts w:ascii="Calibri" w:hAnsi="Calibri" w:eastAsia="Calibri" w:cs="Calibri" w:asciiTheme="minorAscii" w:hAnsiTheme="minorAscii" w:eastAsiaTheme="minorAscii" w:cstheme="minorAscii"/>
          <w:sz w:val="24"/>
          <w:szCs w:val="24"/>
        </w:rPr>
      </w:pPr>
      <w:r w:rsidRPr="3EA717CF" w:rsidR="6B1E2C00">
        <w:rPr>
          <w:rFonts w:ascii="Calibri" w:hAnsi="Calibri" w:eastAsia="Calibri" w:cs="Calibri" w:asciiTheme="minorAscii" w:hAnsiTheme="minorAscii" w:eastAsiaTheme="minorAscii" w:cstheme="minorAscii"/>
        </w:rPr>
        <w:t xml:space="preserve">Assess the current ecological and recreational value, including existing habitats and species, as well as </w:t>
      </w:r>
      <w:r w:rsidRPr="3EA717CF" w:rsidR="6B1E2C00">
        <w:rPr>
          <w:rFonts w:ascii="Calibri" w:hAnsi="Calibri" w:eastAsia="Calibri" w:cs="Calibri" w:asciiTheme="minorAscii" w:hAnsiTheme="minorAscii" w:eastAsiaTheme="minorAscii" w:cstheme="minorAscii"/>
        </w:rPr>
        <w:t>additional</w:t>
      </w:r>
      <w:r w:rsidRPr="3EA717CF" w:rsidR="6B1E2C00">
        <w:rPr>
          <w:rFonts w:ascii="Calibri" w:hAnsi="Calibri" w:eastAsia="Calibri" w:cs="Calibri" w:asciiTheme="minorAscii" w:hAnsiTheme="minorAscii" w:eastAsiaTheme="minorAscii" w:cstheme="minorAscii"/>
        </w:rPr>
        <w:t xml:space="preserve"> benefits, such as carbon sequestration, flood control or wind protection, and potential economic benefits.</w:t>
      </w:r>
    </w:p>
    <w:p w:rsidR="6B1E2C00" w:rsidP="3EA717CF" w:rsidRDefault="6B1E2C00" w14:paraId="73F4B877" w14:textId="26F5834B">
      <w:pPr>
        <w:pStyle w:val="ListParagraph"/>
        <w:numPr>
          <w:ilvl w:val="0"/>
          <w:numId w:val="1"/>
        </w:numPr>
        <w:jc w:val="both"/>
        <w:rPr>
          <w:rFonts w:ascii="Calibri" w:hAnsi="Calibri" w:eastAsia="Calibri" w:cs="Calibri" w:asciiTheme="minorAscii" w:hAnsiTheme="minorAscii" w:eastAsiaTheme="minorAscii" w:cstheme="minorAscii"/>
          <w:sz w:val="24"/>
          <w:szCs w:val="24"/>
        </w:rPr>
      </w:pPr>
      <w:r w:rsidRPr="3EA717CF" w:rsidR="6B1E2C00">
        <w:rPr>
          <w:rFonts w:ascii="Calibri" w:hAnsi="Calibri" w:eastAsia="Calibri" w:cs="Calibri" w:asciiTheme="minorAscii" w:hAnsiTheme="minorAscii" w:eastAsiaTheme="minorAscii" w:cstheme="minorAscii"/>
        </w:rPr>
        <w:t>Develop strategies to manage the existing habitat to maximise its ecological potential.</w:t>
      </w:r>
    </w:p>
    <w:p w:rsidR="6B1E2C00" w:rsidP="3EA717CF" w:rsidRDefault="6B1E2C00" w14:paraId="54C75237" w14:textId="28E8A475">
      <w:pPr>
        <w:pStyle w:val="ListParagraph"/>
        <w:numPr>
          <w:ilvl w:val="0"/>
          <w:numId w:val="1"/>
        </w:numPr>
        <w:jc w:val="both"/>
        <w:rPr>
          <w:rFonts w:ascii="Calibri" w:hAnsi="Calibri" w:eastAsia="Calibri" w:cs="Calibri" w:asciiTheme="minorAscii" w:hAnsiTheme="minorAscii" w:eastAsiaTheme="minorAscii" w:cstheme="minorAscii"/>
          <w:sz w:val="24"/>
          <w:szCs w:val="24"/>
        </w:rPr>
      </w:pPr>
      <w:r w:rsidRPr="3EA717CF" w:rsidR="6B1E2C00">
        <w:rPr>
          <w:rFonts w:ascii="Calibri" w:hAnsi="Calibri" w:eastAsia="Calibri" w:cs="Calibri" w:asciiTheme="minorAscii" w:hAnsiTheme="minorAscii" w:eastAsiaTheme="minorAscii" w:cstheme="minorAscii"/>
        </w:rPr>
        <w:t>Exploring opportunities for habitat enhancement or restoration</w:t>
      </w:r>
      <w:r w:rsidRPr="3EA717CF" w:rsidR="62EDE3C3">
        <w:rPr>
          <w:rFonts w:ascii="Calibri" w:hAnsi="Calibri" w:eastAsia="Calibri" w:cs="Calibri" w:asciiTheme="minorAscii" w:hAnsiTheme="minorAscii" w:eastAsiaTheme="minorAscii" w:cstheme="minorAscii"/>
        </w:rPr>
        <w:t xml:space="preserve"> (NWT, nd)</w:t>
      </w:r>
      <w:r w:rsidRPr="3EA717CF" w:rsidR="6B1E2C00">
        <w:rPr>
          <w:rFonts w:ascii="Calibri" w:hAnsi="Calibri" w:eastAsia="Calibri" w:cs="Calibri" w:asciiTheme="minorAscii" w:hAnsiTheme="minorAscii" w:eastAsiaTheme="minorAscii" w:cstheme="minorAscii"/>
        </w:rPr>
        <w:t>.</w:t>
      </w:r>
    </w:p>
    <w:p w:rsidR="3EA717CF" w:rsidP="3EA717CF" w:rsidRDefault="3EA717CF" w14:paraId="5EFB1492" w14:textId="501D56C9">
      <w:pPr>
        <w:pStyle w:val="Normal"/>
        <w:jc w:val="both"/>
        <w:rPr>
          <w:rFonts w:ascii="Calibri" w:hAnsi="Calibri" w:eastAsia="Calibri" w:cs="Calibri" w:asciiTheme="minorAscii" w:hAnsiTheme="minorAscii" w:eastAsiaTheme="minorAscii" w:cstheme="minorAscii"/>
        </w:rPr>
      </w:pPr>
    </w:p>
    <w:p w:rsidR="53327EC0" w:rsidP="3EA717CF" w:rsidRDefault="53327EC0" w14:paraId="11C7F02F" w14:textId="17E0C8B4">
      <w:pPr>
        <w:pStyle w:val="Normal"/>
        <w:jc w:val="both"/>
        <w:rPr>
          <w:rFonts w:ascii="Calibri" w:hAnsi="Calibri" w:eastAsia="Calibri" w:cs="Calibri" w:asciiTheme="minorAscii" w:hAnsiTheme="minorAscii" w:eastAsiaTheme="minorAscii" w:cstheme="minorAscii"/>
        </w:rPr>
      </w:pPr>
      <w:r w:rsidRPr="3EA717CF" w:rsidR="53327EC0">
        <w:rPr>
          <w:rFonts w:ascii="Calibri" w:hAnsi="Calibri" w:eastAsia="Calibri" w:cs="Calibri" w:asciiTheme="minorAscii" w:hAnsiTheme="minorAscii" w:eastAsiaTheme="minorAscii" w:cstheme="minorAscii"/>
        </w:rPr>
        <w:t xml:space="preserve">The absence of grazing and historical management practises </w:t>
      </w:r>
      <w:bookmarkStart w:name="_Int_AWN15UsQ" w:id="186805730"/>
      <w:r w:rsidRPr="3EA717CF" w:rsidR="53327EC0">
        <w:rPr>
          <w:rFonts w:ascii="Calibri" w:hAnsi="Calibri" w:eastAsia="Calibri" w:cs="Calibri" w:asciiTheme="minorAscii" w:hAnsiTheme="minorAscii" w:eastAsiaTheme="minorAscii" w:cstheme="minorAscii"/>
        </w:rPr>
        <w:t>hav</w:t>
      </w:r>
      <w:r w:rsidRPr="3EA717CF" w:rsidR="61A892FF">
        <w:rPr>
          <w:rFonts w:ascii="Calibri" w:hAnsi="Calibri" w:eastAsia="Calibri" w:cs="Calibri" w:asciiTheme="minorAscii" w:hAnsiTheme="minorAscii" w:eastAsiaTheme="minorAscii" w:cstheme="minorAscii"/>
        </w:rPr>
        <w:t xml:space="preserve"> led to the stabilization of the dunes, which in some areas has led to an overgrowth of ferns and tall grasses and an increase in scrub encroachment and woodland cover, particularly by invasive non-native species. While scrub and trees are natural components of stabilised dune habitats and provide important habitats for various animals, the uncontrolled growth of scrub and woodland has expanded at the expense of the diverse specialised dune flora and invertebrates living in them (Sampson, 2018)</w:t>
      </w:r>
      <w:bookmarkEnd w:id="186805730"/>
      <w:r w:rsidRPr="3EA717CF" w:rsidR="53327EC0">
        <w:rPr>
          <w:rFonts w:ascii="Calibri" w:hAnsi="Calibri" w:eastAsia="Calibri" w:cs="Calibri" w:asciiTheme="minorAscii" w:hAnsiTheme="minorAscii" w:eastAsiaTheme="minorAscii" w:cstheme="minorAscii"/>
        </w:rPr>
        <w:t>.</w:t>
      </w:r>
    </w:p>
    <w:p w:rsidR="3EA717CF" w:rsidP="3EA717CF" w:rsidRDefault="3EA717CF" w14:paraId="16D1734A" w14:textId="24DBB24B">
      <w:pPr>
        <w:pStyle w:val="Normal"/>
        <w:jc w:val="both"/>
        <w:rPr>
          <w:rFonts w:ascii="Calibri" w:hAnsi="Calibri" w:eastAsia="Calibri" w:cs="Calibri" w:asciiTheme="minorAscii" w:hAnsiTheme="minorAscii" w:eastAsiaTheme="minorAscii" w:cstheme="minorAscii"/>
        </w:rPr>
      </w:pPr>
    </w:p>
    <w:p w:rsidR="62CF3168" w:rsidP="3EA717CF" w:rsidRDefault="62CF3168" w14:paraId="56083AED" w14:textId="230C2EA0">
      <w:pPr>
        <w:pStyle w:val="Normal"/>
        <w:jc w:val="both"/>
        <w:rPr>
          <w:rFonts w:ascii="Calibri" w:hAnsi="Calibri" w:eastAsia="Calibri" w:cs="Calibri" w:asciiTheme="minorAscii" w:hAnsiTheme="minorAscii" w:eastAsiaTheme="minorAscii" w:cstheme="minorAscii"/>
        </w:rPr>
      </w:pPr>
      <w:r w:rsidRPr="3EA717CF" w:rsidR="62CF3168">
        <w:rPr>
          <w:rFonts w:ascii="Calibri" w:hAnsi="Calibri" w:eastAsia="Calibri" w:cs="Calibri" w:asciiTheme="minorAscii" w:hAnsiTheme="minorAscii" w:eastAsiaTheme="minorAscii" w:cstheme="minorAscii"/>
        </w:rPr>
        <w:t xml:space="preserve">Sea buckthorn, Japanese knotweed, Japanese rose, cotoneaster, buddleia, </w:t>
      </w:r>
      <w:r w:rsidRPr="3EA717CF" w:rsidR="62CF3168">
        <w:rPr>
          <w:rFonts w:ascii="Calibri" w:hAnsi="Calibri" w:eastAsia="Calibri" w:cs="Calibri" w:asciiTheme="minorAscii" w:hAnsiTheme="minorAscii" w:eastAsiaTheme="minorAscii" w:cstheme="minorAscii"/>
        </w:rPr>
        <w:t>conifers</w:t>
      </w:r>
      <w:r w:rsidRPr="3EA717CF" w:rsidR="62CF3168">
        <w:rPr>
          <w:rFonts w:ascii="Calibri" w:hAnsi="Calibri" w:eastAsia="Calibri" w:cs="Calibri" w:asciiTheme="minorAscii" w:hAnsiTheme="minorAscii" w:eastAsiaTheme="minorAscii" w:cstheme="minorAscii"/>
        </w:rPr>
        <w:t xml:space="preserve"> and holm oak pose a significant risk of spreading throughout the area and damaging the native dune communities. The holm oak and Japanese rose are particularly widespread and require lengthy efforts to control successfully. Whilst the overall aim is to remove these species from the area, individual large </w:t>
      </w:r>
      <w:r w:rsidRPr="3EA717CF" w:rsidR="62CF3168">
        <w:rPr>
          <w:rFonts w:ascii="Calibri" w:hAnsi="Calibri" w:eastAsia="Calibri" w:cs="Calibri" w:asciiTheme="minorAscii" w:hAnsiTheme="minorAscii" w:eastAsiaTheme="minorAscii" w:cstheme="minorAscii"/>
        </w:rPr>
        <w:t>trees</w:t>
      </w:r>
      <w:r w:rsidRPr="3EA717CF" w:rsidR="62CF3168">
        <w:rPr>
          <w:rFonts w:ascii="Calibri" w:hAnsi="Calibri" w:eastAsia="Calibri" w:cs="Calibri" w:asciiTheme="minorAscii" w:hAnsiTheme="minorAscii" w:eastAsiaTheme="minorAscii" w:cstheme="minorAscii"/>
        </w:rPr>
        <w:t xml:space="preserve"> and the single large stand of sea buckthorn in the </w:t>
      </w:r>
      <w:r w:rsidRPr="3EA717CF" w:rsidR="62CF3168">
        <w:rPr>
          <w:rFonts w:ascii="Calibri" w:hAnsi="Calibri" w:eastAsia="Calibri" w:cs="Calibri" w:asciiTheme="minorAscii" w:hAnsiTheme="minorAscii" w:eastAsiaTheme="minorAscii" w:cstheme="minorAscii"/>
        </w:rPr>
        <w:t>central area</w:t>
      </w:r>
      <w:r w:rsidRPr="3EA717CF" w:rsidR="62CF3168">
        <w:rPr>
          <w:rFonts w:ascii="Calibri" w:hAnsi="Calibri" w:eastAsia="Calibri" w:cs="Calibri" w:asciiTheme="minorAscii" w:hAnsiTheme="minorAscii" w:eastAsiaTheme="minorAscii" w:cstheme="minorAscii"/>
        </w:rPr>
        <w:t xml:space="preserve"> provide some ecological benefits, particularly for birds and rabbits. Whilst the area is actively managed to prevent the spread of these species, some specimens may therefore be allowed to remain. The threat from other non-native species will be continually assessed and </w:t>
      </w:r>
      <w:r w:rsidRPr="3EA717CF" w:rsidR="62CF3168">
        <w:rPr>
          <w:rFonts w:ascii="Calibri" w:hAnsi="Calibri" w:eastAsia="Calibri" w:cs="Calibri" w:asciiTheme="minorAscii" w:hAnsiTheme="minorAscii" w:eastAsiaTheme="minorAscii" w:cstheme="minorAscii"/>
        </w:rPr>
        <w:t>appropriate management</w:t>
      </w:r>
      <w:r w:rsidRPr="3EA717CF" w:rsidR="62CF3168">
        <w:rPr>
          <w:rFonts w:ascii="Calibri" w:hAnsi="Calibri" w:eastAsia="Calibri" w:cs="Calibri" w:asciiTheme="minorAscii" w:hAnsiTheme="minorAscii" w:eastAsiaTheme="minorAscii" w:cstheme="minorAscii"/>
        </w:rPr>
        <w:t xml:space="preserve"> strategies will be developed if spread of these species is </w:t>
      </w:r>
      <w:r w:rsidRPr="3EA717CF" w:rsidR="62CF3168">
        <w:rPr>
          <w:rFonts w:ascii="Calibri" w:hAnsi="Calibri" w:eastAsia="Calibri" w:cs="Calibri" w:asciiTheme="minorAscii" w:hAnsiTheme="minorAscii" w:eastAsiaTheme="minorAscii" w:cstheme="minorAscii"/>
        </w:rPr>
        <w:t>observed</w:t>
      </w:r>
      <w:r w:rsidRPr="3EA717CF" w:rsidR="62CF3168">
        <w:rPr>
          <w:rFonts w:ascii="Calibri" w:hAnsi="Calibri" w:eastAsia="Calibri" w:cs="Calibri" w:asciiTheme="minorAscii" w:hAnsiTheme="minorAscii" w:eastAsiaTheme="minorAscii" w:cstheme="minorAscii"/>
        </w:rPr>
        <w:t xml:space="preserve"> (Sampson, 2018).</w:t>
      </w:r>
    </w:p>
    <w:p w:rsidR="3EA717CF" w:rsidP="3EA717CF" w:rsidRDefault="3EA717CF" w14:paraId="0F518091" w14:textId="798512CD">
      <w:pPr>
        <w:pStyle w:val="Normal"/>
        <w:jc w:val="both"/>
        <w:rPr>
          <w:rFonts w:ascii="Calibri" w:hAnsi="Calibri" w:eastAsia="Calibri" w:cs="Calibri" w:asciiTheme="minorAscii" w:hAnsiTheme="minorAscii" w:eastAsiaTheme="minorAscii" w:cstheme="minorAscii"/>
        </w:rPr>
      </w:pPr>
    </w:p>
    <w:p w:rsidR="3EA717CF" w:rsidP="3EA717CF" w:rsidRDefault="3EA717CF" w14:paraId="364BDC51" w14:textId="5802D915">
      <w:pPr>
        <w:pStyle w:val="Normal"/>
        <w:jc w:val="both"/>
        <w:rPr>
          <w:rFonts w:ascii="Calibri" w:hAnsi="Calibri" w:eastAsia="Calibri" w:cs="Calibri" w:asciiTheme="minorAscii" w:hAnsiTheme="minorAscii" w:eastAsiaTheme="minorAscii" w:cstheme="minorAscii"/>
        </w:rPr>
      </w:pPr>
    </w:p>
    <w:p w:rsidR="262ED8DE" w:rsidP="3EA717CF" w:rsidRDefault="262ED8DE" w14:paraId="6350B5BF" w14:textId="26CC4A49">
      <w:pPr>
        <w:pStyle w:val="Heading3"/>
        <w:ind w:left="1440"/>
        <w:rPr/>
      </w:pPr>
      <w:bookmarkStart w:name="_Toc1692670221" w:id="1430879122"/>
      <w:r w:rsidR="262ED8DE">
        <w:rPr/>
        <w:t>Removal of non-native invasive trees species</w:t>
      </w:r>
      <w:bookmarkEnd w:id="1430879122"/>
    </w:p>
    <w:p w:rsidR="3EA717CF" w:rsidP="3EA717CF" w:rsidRDefault="3EA717CF" w14:paraId="57A6D261" w14:textId="003DDB6A">
      <w:pPr>
        <w:pStyle w:val="Normal"/>
        <w:jc w:val="both"/>
        <w:rPr>
          <w:rFonts w:ascii="Calibri" w:hAnsi="Calibri" w:eastAsia="Calibri" w:cs="Calibri" w:asciiTheme="minorAscii" w:hAnsiTheme="minorAscii" w:eastAsiaTheme="minorAscii" w:cstheme="minorAscii"/>
        </w:rPr>
      </w:pPr>
    </w:p>
    <w:p w:rsidR="5C4EBEFE" w:rsidP="3EA717CF" w:rsidRDefault="5C4EBEFE" w14:paraId="235E3B6E" w14:textId="02EE4CF7">
      <w:pPr>
        <w:pStyle w:val="Normal"/>
        <w:jc w:val="both"/>
        <w:rPr>
          <w:rFonts w:ascii="Calibri" w:hAnsi="Calibri" w:eastAsia="Calibri" w:cs="Calibri" w:asciiTheme="minorAscii" w:hAnsiTheme="minorAscii" w:eastAsiaTheme="minorAscii" w:cstheme="minorAscii"/>
        </w:rPr>
      </w:pPr>
      <w:r w:rsidRPr="3EA717CF" w:rsidR="5C4EBEFE">
        <w:rPr>
          <w:rFonts w:ascii="Calibri" w:hAnsi="Calibri" w:eastAsia="Calibri" w:cs="Calibri" w:asciiTheme="minorAscii" w:hAnsiTheme="minorAscii" w:eastAsiaTheme="minorAscii" w:cstheme="minorAscii"/>
        </w:rPr>
        <w:t xml:space="preserve">Vegetation serves as the fundamental </w:t>
      </w:r>
      <w:r w:rsidRPr="3EA717CF" w:rsidR="5C4EBEFE">
        <w:rPr>
          <w:rFonts w:ascii="Calibri" w:hAnsi="Calibri" w:eastAsia="Calibri" w:cs="Calibri" w:asciiTheme="minorAscii" w:hAnsiTheme="minorAscii" w:eastAsiaTheme="minorAscii" w:cstheme="minorAscii"/>
        </w:rPr>
        <w:t>component</w:t>
      </w:r>
      <w:r w:rsidRPr="3EA717CF" w:rsidR="5C4EBEFE">
        <w:rPr>
          <w:rFonts w:ascii="Calibri" w:hAnsi="Calibri" w:eastAsia="Calibri" w:cs="Calibri" w:asciiTheme="minorAscii" w:hAnsiTheme="minorAscii" w:eastAsiaTheme="minorAscii" w:cstheme="minorAscii"/>
        </w:rPr>
        <w:t xml:space="preserve"> of terrestrial vertebrate habitats and is therefore at the centre of ecological management efforts. Ecological succession, the natural process of plant and animal change over time without disturbance, can be manipulated to either improve or degrade habitat quality (</w:t>
      </w:r>
      <w:r w:rsidRPr="3EA717CF" w:rsidR="5C4EBEFE">
        <w:rPr>
          <w:rFonts w:ascii="Calibri" w:hAnsi="Calibri" w:eastAsia="Calibri" w:cs="Calibri" w:asciiTheme="minorAscii" w:hAnsiTheme="minorAscii" w:eastAsiaTheme="minorAscii" w:cstheme="minorAscii"/>
        </w:rPr>
        <w:t>Bijl</w:t>
      </w:r>
      <w:r w:rsidRPr="3EA717CF" w:rsidR="5C4EBEFE">
        <w:rPr>
          <w:rFonts w:ascii="Calibri" w:hAnsi="Calibri" w:eastAsia="Calibri" w:cs="Calibri" w:asciiTheme="minorAscii" w:hAnsiTheme="minorAscii" w:eastAsiaTheme="minorAscii" w:cstheme="minorAscii"/>
        </w:rPr>
        <w:t xml:space="preserve"> &amp; </w:t>
      </w:r>
      <w:r w:rsidRPr="3EA717CF" w:rsidR="7B972BB5">
        <w:rPr>
          <w:rFonts w:ascii="Calibri" w:hAnsi="Calibri" w:eastAsia="Calibri" w:cs="Calibri" w:asciiTheme="minorAscii" w:hAnsiTheme="minorAscii" w:eastAsiaTheme="minorAscii" w:cstheme="minorAscii"/>
        </w:rPr>
        <w:t>Salisbury</w:t>
      </w:r>
      <w:r w:rsidRPr="3EA717CF" w:rsidR="5C4EBEFE">
        <w:rPr>
          <w:rFonts w:ascii="Calibri" w:hAnsi="Calibri" w:eastAsia="Calibri" w:cs="Calibri" w:asciiTheme="minorAscii" w:hAnsiTheme="minorAscii" w:eastAsiaTheme="minorAscii" w:cstheme="minorAscii"/>
        </w:rPr>
        <w:t xml:space="preserve"> 2019).</w:t>
      </w:r>
    </w:p>
    <w:p w:rsidR="262ED8DE" w:rsidP="3EA717CF" w:rsidRDefault="262ED8DE" w14:paraId="1B9D7EBE" w14:textId="1C657BC4">
      <w:pPr>
        <w:pStyle w:val="Normal"/>
        <w:jc w:val="both"/>
        <w:rPr>
          <w:rFonts w:ascii="Calibri" w:hAnsi="Calibri" w:eastAsia="Calibri" w:cs="Calibri" w:asciiTheme="minorAscii" w:hAnsiTheme="minorAscii" w:eastAsiaTheme="minorAscii" w:cstheme="minorAscii"/>
        </w:rPr>
      </w:pPr>
      <w:r w:rsidRPr="3EA717CF" w:rsidR="262ED8DE">
        <w:rPr>
          <w:rFonts w:ascii="Calibri" w:hAnsi="Calibri" w:eastAsia="Calibri" w:cs="Calibri" w:asciiTheme="minorAscii" w:hAnsiTheme="minorAscii" w:eastAsiaTheme="minorAscii" w:cstheme="minorAscii"/>
        </w:rPr>
        <w:t>Mainly conifers</w:t>
      </w:r>
      <w:r w:rsidRPr="3EA717CF" w:rsidR="262ED8DE">
        <w:rPr>
          <w:rFonts w:ascii="Calibri" w:hAnsi="Calibri" w:eastAsia="Calibri" w:cs="Calibri" w:asciiTheme="minorAscii" w:hAnsiTheme="minorAscii" w:eastAsiaTheme="minorAscii" w:cstheme="minorAscii"/>
        </w:rPr>
        <w:t xml:space="preserve"> and holm oaks, from the entire site. The focus will be on cutting and treating the stumps of these species, prioritising the main dune area first, where holm oaks and conifers are just beginning to </w:t>
      </w:r>
      <w:r w:rsidRPr="3EA717CF" w:rsidR="262ED8DE">
        <w:rPr>
          <w:rFonts w:ascii="Calibri" w:hAnsi="Calibri" w:eastAsia="Calibri" w:cs="Calibri" w:asciiTheme="minorAscii" w:hAnsiTheme="minorAscii" w:eastAsiaTheme="minorAscii" w:cstheme="minorAscii"/>
        </w:rPr>
        <w:t>establish</w:t>
      </w:r>
      <w:r w:rsidRPr="3EA717CF" w:rsidR="262ED8DE">
        <w:rPr>
          <w:rFonts w:ascii="Calibri" w:hAnsi="Calibri" w:eastAsia="Calibri" w:cs="Calibri" w:asciiTheme="minorAscii" w:hAnsiTheme="minorAscii" w:eastAsiaTheme="minorAscii" w:cstheme="minorAscii"/>
        </w:rPr>
        <w:t>. Attention will then shift to the northern dunes</w:t>
      </w:r>
      <w:r w:rsidRPr="3EA717CF" w:rsidR="5E756776">
        <w:rPr>
          <w:rFonts w:ascii="Calibri" w:hAnsi="Calibri" w:eastAsia="Calibri" w:cs="Calibri" w:asciiTheme="minorAscii" w:hAnsiTheme="minorAscii" w:eastAsiaTheme="minorAscii" w:cstheme="minorAscii"/>
        </w:rPr>
        <w:t xml:space="preserve"> (Sampson, 2018)</w:t>
      </w:r>
      <w:r w:rsidRPr="3EA717CF" w:rsidR="262ED8DE">
        <w:rPr>
          <w:rFonts w:ascii="Calibri" w:hAnsi="Calibri" w:eastAsia="Calibri" w:cs="Calibri" w:asciiTheme="minorAscii" w:hAnsiTheme="minorAscii" w:eastAsiaTheme="minorAscii" w:cstheme="minorAscii"/>
        </w:rPr>
        <w:t>.</w:t>
      </w:r>
    </w:p>
    <w:p w:rsidR="7F22F4DD" w:rsidP="3EA717CF" w:rsidRDefault="7F22F4DD" w14:paraId="76B9FC63" w14:textId="372B08CF">
      <w:pPr>
        <w:pStyle w:val="Normal"/>
        <w:jc w:val="both"/>
        <w:rPr>
          <w:rFonts w:ascii="Calibri" w:hAnsi="Calibri" w:eastAsia="Calibri" w:cs="Calibri" w:asciiTheme="minorAscii" w:hAnsiTheme="minorAscii" w:eastAsiaTheme="minorAscii" w:cstheme="minorAscii"/>
        </w:rPr>
      </w:pPr>
      <w:r w:rsidRPr="3EA717CF" w:rsidR="7F22F4DD">
        <w:rPr>
          <w:rFonts w:ascii="Calibri" w:hAnsi="Calibri" w:eastAsia="Calibri" w:cs="Calibri" w:asciiTheme="minorAscii" w:hAnsiTheme="minorAscii" w:eastAsiaTheme="minorAscii" w:cstheme="minorAscii"/>
        </w:rPr>
        <w:t>Pruned wood will either be removed from the area or introduced into the beach line to improve the driftwood habitat. Litter (small branches and leaves) will be piled under the remaining tree canopy or burnt locally on metal sheets if this is not possible. In areas where there is limited alternative cover, the healthiest trees are retained for wildlife and aesthetic reasons. Regular inspections are carried out to remove any saplings that may sprout.</w:t>
      </w:r>
    </w:p>
    <w:p w:rsidR="3EA717CF" w:rsidP="3EA717CF" w:rsidRDefault="3EA717CF" w14:paraId="52D5D759" w14:textId="49D69033">
      <w:pPr>
        <w:pStyle w:val="Normal"/>
        <w:jc w:val="both"/>
        <w:rPr>
          <w:rFonts w:ascii="Calibri" w:hAnsi="Calibri" w:eastAsia="Calibri" w:cs="Calibri" w:asciiTheme="minorAscii" w:hAnsiTheme="minorAscii" w:eastAsiaTheme="minorAscii" w:cstheme="minorAscii"/>
        </w:rPr>
      </w:pPr>
    </w:p>
    <w:p w:rsidR="07B940F0" w:rsidP="3EA717CF" w:rsidRDefault="07B940F0" w14:paraId="12564188" w14:textId="1DD37135">
      <w:pPr>
        <w:pStyle w:val="Heading3"/>
        <w:ind w:left="1440"/>
        <w:rPr>
          <w:noProof w:val="0"/>
          <w:lang w:val="en-GB"/>
        </w:rPr>
      </w:pPr>
      <w:bookmarkStart w:name="_Toc338462539" w:id="1862876081"/>
      <w:r w:rsidRPr="3EA717CF" w:rsidR="07B940F0">
        <w:rPr>
          <w:noProof w:val="0"/>
          <w:lang w:val="en-GB"/>
        </w:rPr>
        <w:t xml:space="preserve">Qualified employees use knapsack sprayers to apply Roundup </w:t>
      </w:r>
      <w:r w:rsidRPr="3EA717CF" w:rsidR="07B940F0">
        <w:rPr>
          <w:noProof w:val="0"/>
          <w:lang w:val="en-GB"/>
        </w:rPr>
        <w:t>ProActive</w:t>
      </w:r>
      <w:r w:rsidRPr="3EA717CF" w:rsidR="07B940F0">
        <w:rPr>
          <w:noProof w:val="0"/>
          <w:lang w:val="en-GB"/>
        </w:rPr>
        <w:t xml:space="preserve"> to control various invasive species</w:t>
      </w:r>
      <w:bookmarkEnd w:id="1862876081"/>
    </w:p>
    <w:p w:rsidR="07B940F0" w:rsidP="3EA717CF" w:rsidRDefault="07B940F0" w14:paraId="49CCBA7B" w14:textId="2C468342">
      <w:pPr>
        <w:pStyle w:val="Normal"/>
        <w:spacing w:before="240" w:beforeAutospacing="off" w:after="240" w:afterAutospacing="off"/>
        <w:ind w:left="0"/>
        <w:jc w:val="both"/>
        <w:rPr/>
      </w:pPr>
      <w:r w:rsidRPr="3EA717CF" w:rsidR="07B940F0">
        <w:rPr>
          <w:rFonts w:ascii="system-ui" w:hAnsi="system-ui" w:eastAsia="system-ui" w:cs="system-ui"/>
          <w:b w:val="0"/>
          <w:bCs w:val="0"/>
          <w:i w:val="0"/>
          <w:iCs w:val="0"/>
          <w:caps w:val="0"/>
          <w:smallCaps w:val="0"/>
          <w:noProof w:val="0"/>
          <w:color w:val="auto"/>
          <w:sz w:val="24"/>
          <w:szCs w:val="24"/>
          <w:lang w:val="en-GB"/>
        </w:rPr>
        <w:t xml:space="preserve"> </w:t>
      </w:r>
    </w:p>
    <w:p w:rsidR="07B940F0" w:rsidP="3EA717CF" w:rsidRDefault="07B940F0" w14:paraId="2FD2C85C" w14:textId="278F59E0">
      <w:pPr>
        <w:pStyle w:val="Normal"/>
        <w:spacing w:before="240" w:beforeAutospacing="off" w:after="240" w:afterAutospacing="off"/>
        <w:ind w:lef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EA717CF" w:rsidR="07B940F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Rosa rugosa: Treatment is applied from May to September. Spraying will target dense stands, favouring hand digging of smaller, younger plants before they become established. For larger stands with lower density, mechanical digging or weedkillers can be used to effectively control this widespread species.</w:t>
      </w:r>
    </w:p>
    <w:p w:rsidR="6B9F5F10" w:rsidP="3EA717CF" w:rsidRDefault="6B9F5F10" w14:paraId="1C5B555C" w14:textId="0ED9F5DE">
      <w:pPr>
        <w:pStyle w:val="Normal"/>
        <w:spacing w:before="240" w:beforeAutospacing="off" w:after="240" w:afterAutospacing="off"/>
        <w:ind w:lef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EA717CF" w:rsidR="6B9F5F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Japanese knotweed: Treatment follows the same approach as for Rosa rugosa if it occurs elsewhere on the site.</w:t>
      </w:r>
    </w:p>
    <w:p w:rsidR="6B9F5F10" w:rsidP="3EA717CF" w:rsidRDefault="6B9F5F10" w14:paraId="30BFAD4A" w14:textId="2A5E0324">
      <w:pPr>
        <w:pStyle w:val="Normal"/>
        <w:spacing w:before="240" w:beforeAutospacing="off" w:after="240" w:afterAutospacing="off"/>
        <w:ind w:lef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EA717CF" w:rsidR="6B9F5F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Buckthorn: Spreading plants are sprayed to prevent further spread, while larger stands are left untreated in the centre to provide shelter for a rabbit burrow. In stands 2 and 5, small plants (&lt;1.2 m) are </w:t>
      </w:r>
      <w:r w:rsidRPr="3EA717CF" w:rsidR="0352335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sprayed, </w:t>
      </w:r>
      <w:r w:rsidRPr="3EA717CF" w:rsidR="6B9F5F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and larger plants are </w:t>
      </w:r>
      <w:r w:rsidRPr="3EA717CF" w:rsidR="373BDE2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cut,</w:t>
      </w:r>
      <w:r w:rsidRPr="3EA717CF" w:rsidR="6B9F5F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the stumps treated with glyphosate. If possible, the cuttings are removed from the area or, if this is not possible, burnt on metal sheets. Stands 3 and 4 are sprayed with Roundup </w:t>
      </w:r>
      <w:r w:rsidRPr="3EA717CF" w:rsidR="6B9F5F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ProActive</w:t>
      </w:r>
      <w:r w:rsidRPr="3EA717CF" w:rsidR="6B9F5F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Cutting and treatment of the stumps is carried out in autumn/winter while spraying of the standing plants takes place from August to September. Similar control measures will be applied to any newly discovered sea buckthorn stands</w:t>
      </w:r>
      <w:r w:rsidRPr="3EA717CF" w:rsidR="3F52E61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(Sampson, 2018)</w:t>
      </w:r>
      <w:r w:rsidRPr="3EA717CF" w:rsidR="6B9F5F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3EA717CF" w:rsidP="3EA717CF" w:rsidRDefault="3EA717CF" w14:paraId="0C592B55" w14:textId="33394C21">
      <w:pPr>
        <w:pStyle w:val="Normal"/>
        <w:jc w:val="both"/>
        <w:rPr>
          <w:rFonts w:ascii="Calibri" w:hAnsi="Calibri" w:eastAsia="Calibri" w:cs="Calibri" w:asciiTheme="minorAscii" w:hAnsiTheme="minorAscii" w:eastAsiaTheme="minorAscii" w:cstheme="minorAscii"/>
        </w:rPr>
      </w:pPr>
    </w:p>
    <w:p w:rsidR="52EF6FFF" w:rsidP="3EA717CF" w:rsidRDefault="52EF6FFF" w14:paraId="0AB884A0" w14:textId="160620BC">
      <w:pPr>
        <w:pStyle w:val="Heading2"/>
        <w:ind w:left="720"/>
        <w:rPr/>
      </w:pPr>
      <w:bookmarkStart w:name="_Toc397277030" w:id="1234589026"/>
      <w:r w:rsidR="52EF6FFF">
        <w:rPr/>
        <w:t>Human Intervention</w:t>
      </w:r>
      <w:bookmarkEnd w:id="1234589026"/>
    </w:p>
    <w:p w:rsidR="3EA717CF" w:rsidP="3EA717CF" w:rsidRDefault="3EA717CF" w14:paraId="5B618EA2" w14:textId="50FC000A">
      <w:pPr>
        <w:pStyle w:val="Normal"/>
        <w:rPr/>
      </w:pPr>
    </w:p>
    <w:p w:rsidR="1D3E1009" w:rsidP="3EA717CF" w:rsidRDefault="1D3E1009" w14:paraId="4D013455" w14:textId="335FE323">
      <w:pPr>
        <w:pStyle w:val="Normal"/>
        <w:jc w:val="both"/>
        <w:rPr>
          <w:rFonts w:ascii="Calibri" w:hAnsi="Calibri" w:eastAsia="Calibri" w:cs="Calibri" w:asciiTheme="minorAscii" w:hAnsiTheme="minorAscii" w:eastAsiaTheme="minorAscii" w:cstheme="minorAscii"/>
        </w:rPr>
      </w:pPr>
      <w:r w:rsidRPr="3EA717CF" w:rsidR="1D3E1009">
        <w:rPr>
          <w:rFonts w:ascii="Calibri" w:hAnsi="Calibri" w:eastAsia="Calibri" w:cs="Calibri" w:asciiTheme="minorAscii" w:hAnsiTheme="minorAscii" w:eastAsiaTheme="minorAscii" w:cstheme="minorAscii"/>
        </w:rPr>
        <w:t>Regrettably, human activities have had a catastrophic impact on habitats. These include urbanisation, the removal of predators and competitors, the widespread introduction of domestic animals, the relocation of familiar species around the world and the destruction— of habitats - as demonstrated by recent events such as the Amazon Forest fires and the fires in Africa. In addition, human population growth and pollution further jeopardise the survival of wildlife (Bijl &amp; Salisbury, 2019).</w:t>
      </w:r>
    </w:p>
    <w:p w:rsidR="1D3E1009" w:rsidP="3EA717CF" w:rsidRDefault="1D3E1009" w14:paraId="2C9DD9D9" w14:textId="22E19A09">
      <w:pPr>
        <w:pStyle w:val="Normal"/>
        <w:jc w:val="both"/>
        <w:rPr>
          <w:rFonts w:ascii="Calibri" w:hAnsi="Calibri" w:eastAsia="Calibri" w:cs="Calibri" w:asciiTheme="minorAscii" w:hAnsiTheme="minorAscii" w:eastAsiaTheme="minorAscii" w:cstheme="minorAscii"/>
        </w:rPr>
      </w:pPr>
      <w:r w:rsidRPr="3EA717CF" w:rsidR="1D3E1009">
        <w:rPr>
          <w:rFonts w:ascii="Calibri" w:hAnsi="Calibri" w:eastAsia="Calibri" w:cs="Calibri" w:asciiTheme="minorAscii" w:hAnsiTheme="minorAscii" w:eastAsiaTheme="minorAscii" w:cstheme="minorAscii"/>
        </w:rPr>
        <w:t>Certain areas have been irreversibly altered by human-induced changes such as climate change, acidification of soils and waters, and changes in species composition through the introduction of alien or exotic species. These changes pose a major challenge for the conservation and protection of biodiversity (Bijl &amp; Salisbury, 2019).</w:t>
      </w:r>
    </w:p>
    <w:p w:rsidR="3EA717CF" w:rsidP="3EA717CF" w:rsidRDefault="3EA717CF" w14:paraId="0F939AA0" w14:textId="405AE782">
      <w:pPr>
        <w:pStyle w:val="Normal"/>
        <w:jc w:val="both"/>
        <w:rPr>
          <w:rFonts w:ascii="Calibri" w:hAnsi="Calibri" w:eastAsia="Calibri" w:cs="Calibri" w:asciiTheme="minorAscii" w:hAnsiTheme="minorAscii" w:eastAsiaTheme="minorAscii" w:cstheme="minorAscii"/>
        </w:rPr>
      </w:pPr>
    </w:p>
    <w:p w:rsidR="38D3AE59" w:rsidP="3EA717CF" w:rsidRDefault="38D3AE59" w14:paraId="6EFEA506" w14:textId="23339CA1">
      <w:pPr>
        <w:pStyle w:val="Normal"/>
        <w:jc w:val="both"/>
        <w:rPr>
          <w:rFonts w:ascii="Calibri" w:hAnsi="Calibri" w:eastAsia="Calibri" w:cs="Calibri" w:asciiTheme="minorAscii" w:hAnsiTheme="minorAscii" w:eastAsiaTheme="minorAscii" w:cstheme="minorAscii"/>
        </w:rPr>
      </w:pPr>
      <w:r w:rsidRPr="3EA717CF" w:rsidR="38D3AE59">
        <w:rPr>
          <w:rFonts w:ascii="Calibri" w:hAnsi="Calibri" w:eastAsia="Calibri" w:cs="Calibri" w:asciiTheme="minorAscii" w:hAnsiTheme="minorAscii" w:eastAsiaTheme="minorAscii" w:cstheme="minorAscii"/>
        </w:rPr>
        <w:t xml:space="preserve">Human activity has significantly altered the </w:t>
      </w:r>
      <w:bookmarkStart w:name="_Int_u5MVY0gS" w:id="1920141099"/>
      <w:r w:rsidRPr="3EA717CF" w:rsidR="38D3AE59">
        <w:rPr>
          <w:rFonts w:ascii="Calibri" w:hAnsi="Calibri" w:eastAsia="Calibri" w:cs="Calibri" w:asciiTheme="minorAscii" w:hAnsiTheme="minorAscii" w:eastAsiaTheme="minorAscii" w:cstheme="minorAscii"/>
        </w:rPr>
        <w:t>River</w:t>
      </w:r>
      <w:bookmarkEnd w:id="1920141099"/>
      <w:r w:rsidRPr="3EA717CF" w:rsidR="38D3AE59">
        <w:rPr>
          <w:rFonts w:ascii="Calibri" w:hAnsi="Calibri" w:eastAsia="Calibri" w:cs="Calibri" w:asciiTheme="minorAscii" w:hAnsiTheme="minorAscii" w:eastAsiaTheme="minorAscii" w:cstheme="minorAscii"/>
        </w:rPr>
        <w:t xml:space="preserve"> Neath and its estuary since the mid-18th century. Originally the lower part of the river was a meandering channel, but since the early 19th century various initiatives have been taken to straighten and shorten the river. In the 1920s, the construction of retaining walls began, which were regularly improved and extended over time. However, the canal has always had problems with sedimentation, so dredging has been necessary for many years. Sediment dredged from the river has been disposed of at various locations, including off the coast of Swansea Bay, off Sker Point, in the intertidal areas seaward of Crymlyn Burrows and Baglan Burrows and on land at Baglan. In addition, some of the dredged sand was used for industrial backfill and construction purposes. Wheeled machinery was often used to remove the material at low tide</w:t>
      </w:r>
      <w:r w:rsidRPr="3EA717CF" w:rsidR="108D40FC">
        <w:rPr>
          <w:rFonts w:ascii="Calibri" w:hAnsi="Calibri" w:eastAsia="Calibri" w:cs="Calibri" w:asciiTheme="minorAscii" w:hAnsiTheme="minorAscii" w:eastAsiaTheme="minorAscii" w:cstheme="minorAscii"/>
        </w:rPr>
        <w:t xml:space="preserve"> (Pye &amp; Blott, 2014).</w:t>
      </w:r>
    </w:p>
    <w:p w:rsidR="3EA717CF" w:rsidP="3EA717CF" w:rsidRDefault="3EA717CF" w14:paraId="2FAEF0C1" w14:textId="2FBBCE77">
      <w:pPr>
        <w:pStyle w:val="Normal"/>
        <w:jc w:val="both"/>
        <w:rPr>
          <w:rFonts w:ascii="Calibri" w:hAnsi="Calibri" w:eastAsia="Calibri" w:cs="Calibri" w:asciiTheme="minorAscii" w:hAnsiTheme="minorAscii" w:eastAsiaTheme="minorAscii" w:cstheme="minorAscii"/>
        </w:rPr>
      </w:pPr>
    </w:p>
    <w:p w:rsidR="172E5C95" w:rsidP="3EA717CF" w:rsidRDefault="172E5C95" w14:paraId="22506A05" w14:textId="4FCEBF21">
      <w:pPr>
        <w:pStyle w:val="Normal"/>
        <w:jc w:val="both"/>
        <w:rPr>
          <w:rFonts w:ascii="Calibri" w:hAnsi="Calibri" w:eastAsia="Calibri" w:cs="Calibri" w:asciiTheme="minorAscii" w:hAnsiTheme="minorAscii" w:eastAsiaTheme="minorAscii" w:cstheme="minorAscii"/>
        </w:rPr>
      </w:pPr>
      <w:r w:rsidRPr="3EA717CF" w:rsidR="172E5C95">
        <w:rPr>
          <w:rFonts w:ascii="Calibri" w:hAnsi="Calibri" w:eastAsia="Calibri" w:cs="Calibri" w:asciiTheme="minorAscii" w:hAnsiTheme="minorAscii" w:eastAsiaTheme="minorAscii" w:cstheme="minorAscii"/>
        </w:rPr>
        <w:t>Almost the entire former tidal area in Baglan Bay has been converted for industrial and harbour activities. Parts of the region were designated as landfill sites and large parts of the former dunes were flattened to raise the former tidal areas. In the early 1960s, a significant portion of the northern area of Baglan Burrows was levelled in preparation for the construction of the BP chemical plant. Similarly, the western part of Crymlyn Burrows was levelled to make way for oil storage tanks on the east side of Swansea Docks. The first tanks were built between 1918 and 1922, with the tank farm being extended eastwards by BP in the post-war period. Concerns over possible destruction of the oil handling and storage facilities at Swansea in the early 1940s prompted the establishment of alternative oil tanker berths at Port Talbot. An oil pipeline was built from Port Talbot, running through the dunes of Baglan and under the river to the Crymlyn side of the estuary and from there onwards to Swansea (Pye &amp; Blott, 2014).</w:t>
      </w:r>
    </w:p>
    <w:p w:rsidR="3EA717CF" w:rsidP="3EA717CF" w:rsidRDefault="3EA717CF" w14:paraId="3B290609" w14:textId="5A0A850D">
      <w:pPr>
        <w:pStyle w:val="Normal"/>
        <w:jc w:val="both"/>
        <w:rPr>
          <w:rFonts w:ascii="Calibri" w:hAnsi="Calibri" w:eastAsia="Calibri" w:cs="Calibri" w:asciiTheme="minorAscii" w:hAnsiTheme="minorAscii" w:eastAsiaTheme="minorAscii" w:cstheme="minorAscii"/>
        </w:rPr>
      </w:pPr>
    </w:p>
    <w:p w:rsidR="4EA0A3A8" w:rsidP="3EA717CF" w:rsidRDefault="4EA0A3A8" w14:paraId="531C2CB5" w14:textId="030D93D4">
      <w:pPr>
        <w:pStyle w:val="Normal"/>
        <w:jc w:val="both"/>
        <w:rPr>
          <w:rFonts w:ascii="Calibri" w:hAnsi="Calibri" w:eastAsia="Calibri" w:cs="Calibri" w:asciiTheme="minorAscii" w:hAnsiTheme="minorAscii" w:eastAsiaTheme="minorAscii" w:cstheme="minorAscii"/>
        </w:rPr>
      </w:pPr>
      <w:r w:rsidRPr="3EA717CF" w:rsidR="4EA0A3A8">
        <w:rPr>
          <w:rFonts w:ascii="Calibri" w:hAnsi="Calibri" w:eastAsia="Calibri" w:cs="Calibri" w:asciiTheme="minorAscii" w:hAnsiTheme="minorAscii" w:eastAsiaTheme="minorAscii" w:cstheme="minorAscii"/>
        </w:rPr>
        <w:t xml:space="preserve">Ecological monitoring plays a crucial role in regularly assessing the status and population trends of habitats and species. This </w:t>
      </w:r>
      <w:r w:rsidRPr="3EA717CF" w:rsidR="4EA0A3A8">
        <w:rPr>
          <w:rFonts w:ascii="Calibri" w:hAnsi="Calibri" w:eastAsia="Calibri" w:cs="Calibri" w:asciiTheme="minorAscii" w:hAnsiTheme="minorAscii" w:eastAsiaTheme="minorAscii" w:cstheme="minorAscii"/>
        </w:rPr>
        <w:t>facilitates</w:t>
      </w:r>
      <w:r w:rsidRPr="3EA717CF" w:rsidR="4EA0A3A8">
        <w:rPr>
          <w:rFonts w:ascii="Calibri" w:hAnsi="Calibri" w:eastAsia="Calibri" w:cs="Calibri" w:asciiTheme="minorAscii" w:hAnsiTheme="minorAscii" w:eastAsiaTheme="minorAscii" w:cstheme="minorAscii"/>
        </w:rPr>
        <w:t xml:space="preserve"> the identification of potential threats and allows the effectiveness of management measures to be assessed (Sampson, 2018).</w:t>
      </w:r>
    </w:p>
    <w:p w:rsidR="355DA4C0" w:rsidP="3EA717CF" w:rsidRDefault="355DA4C0" w14:paraId="36405858" w14:textId="24D8A13A">
      <w:pPr>
        <w:pStyle w:val="Normal"/>
        <w:jc w:val="both"/>
        <w:rPr>
          <w:rFonts w:ascii="Calibri" w:hAnsi="Calibri" w:eastAsia="Calibri" w:cs="Calibri" w:asciiTheme="minorAscii" w:hAnsiTheme="minorAscii" w:eastAsiaTheme="minorAscii" w:cstheme="minorAscii"/>
        </w:rPr>
      </w:pPr>
      <w:r w:rsidRPr="3EA717CF" w:rsidR="355DA4C0">
        <w:rPr>
          <w:rFonts w:ascii="Calibri" w:hAnsi="Calibri" w:eastAsia="Calibri" w:cs="Calibri" w:asciiTheme="minorAscii" w:hAnsiTheme="minorAscii" w:eastAsiaTheme="minorAscii" w:cstheme="minorAscii"/>
        </w:rPr>
        <w:t xml:space="preserve">In addition to monitoring human impacts, </w:t>
      </w:r>
      <w:r w:rsidRPr="3EA717CF" w:rsidR="355DA4C0">
        <w:rPr>
          <w:rFonts w:ascii="Calibri" w:hAnsi="Calibri" w:eastAsia="Calibri" w:cs="Calibri" w:asciiTheme="minorAscii" w:hAnsiTheme="minorAscii" w:eastAsiaTheme="minorAscii" w:cstheme="minorAscii"/>
        </w:rPr>
        <w:t>maintaining</w:t>
      </w:r>
      <w:r w:rsidRPr="3EA717CF" w:rsidR="355DA4C0">
        <w:rPr>
          <w:rFonts w:ascii="Calibri" w:hAnsi="Calibri" w:eastAsia="Calibri" w:cs="Calibri" w:asciiTheme="minorAscii" w:hAnsiTheme="minorAscii" w:eastAsiaTheme="minorAscii" w:cstheme="minorAscii"/>
        </w:rPr>
        <w:t xml:space="preserve"> a favourable conservation status of the site requires comprehensive data on its characteristics, which are either measured directly or assessed using </w:t>
      </w:r>
      <w:r w:rsidRPr="3EA717CF" w:rsidR="355DA4C0">
        <w:rPr>
          <w:rFonts w:ascii="Calibri" w:hAnsi="Calibri" w:eastAsia="Calibri" w:cs="Calibri" w:asciiTheme="minorAscii" w:hAnsiTheme="minorAscii" w:eastAsiaTheme="minorAscii" w:cstheme="minorAscii"/>
        </w:rPr>
        <w:t>appropriate indicators</w:t>
      </w:r>
      <w:r w:rsidRPr="3EA717CF" w:rsidR="355DA4C0">
        <w:rPr>
          <w:rFonts w:ascii="Calibri" w:hAnsi="Calibri" w:eastAsia="Calibri" w:cs="Calibri" w:asciiTheme="minorAscii" w:hAnsiTheme="minorAscii" w:eastAsiaTheme="minorAscii" w:cstheme="minorAscii"/>
        </w:rPr>
        <w:t xml:space="preserve">. An extended Phase 1 habitat survey was carried out in 2016 and will be repeated every six years to track changes in the extent of large-scale habitats. Interim monitoring of important species, habitats and communities is also being carried out. Declines in rare or locally important habitats or species will serve as triggers for the implementation of </w:t>
      </w:r>
      <w:r w:rsidRPr="3EA717CF" w:rsidR="355DA4C0">
        <w:rPr>
          <w:rFonts w:ascii="Calibri" w:hAnsi="Calibri" w:eastAsia="Calibri" w:cs="Calibri" w:asciiTheme="minorAscii" w:hAnsiTheme="minorAscii" w:eastAsiaTheme="minorAscii" w:cstheme="minorAscii"/>
        </w:rPr>
        <w:t>appropriate management</w:t>
      </w:r>
      <w:r w:rsidRPr="3EA717CF" w:rsidR="355DA4C0">
        <w:rPr>
          <w:rFonts w:ascii="Calibri" w:hAnsi="Calibri" w:eastAsia="Calibri" w:cs="Calibri" w:asciiTheme="minorAscii" w:hAnsiTheme="minorAscii" w:eastAsiaTheme="minorAscii" w:cstheme="minorAscii"/>
        </w:rPr>
        <w:t xml:space="preserve"> measures. Surveys will also be used to assess the impact of management measures to ensure that they are achieving the intended results (Sampson, 2018).</w:t>
      </w:r>
    </w:p>
    <w:p w:rsidR="3EA717CF" w:rsidP="3EA717CF" w:rsidRDefault="3EA717CF" w14:paraId="1E907337" w14:textId="28067884">
      <w:pPr>
        <w:pStyle w:val="Normal"/>
        <w:jc w:val="both"/>
        <w:rPr>
          <w:rFonts w:ascii="Calibri" w:hAnsi="Calibri" w:eastAsia="Calibri" w:cs="Calibri" w:asciiTheme="minorAscii" w:hAnsiTheme="minorAscii" w:eastAsiaTheme="minorAscii" w:cstheme="minorAscii"/>
        </w:rPr>
      </w:pPr>
    </w:p>
    <w:p w:rsidR="3EA717CF" w:rsidP="3EA717CF" w:rsidRDefault="3EA717CF" w14:paraId="1FD007F2" w14:textId="7AEFA3C7">
      <w:pPr>
        <w:pStyle w:val="Normal"/>
        <w:rPr/>
      </w:pPr>
    </w:p>
    <w:p w:rsidR="5EE5A8E1" w:rsidP="3EA717CF" w:rsidRDefault="5EE5A8E1" w14:paraId="7E3290BD" w14:textId="65F9DB6B">
      <w:pPr>
        <w:pStyle w:val="Heading1"/>
        <w:rPr/>
      </w:pPr>
      <w:bookmarkStart w:name="_Toc1094144574" w:id="1489065121"/>
      <w:r w:rsidR="5EE5A8E1">
        <w:rPr/>
        <w:t>Conclusions and Recommendations</w:t>
      </w:r>
      <w:bookmarkEnd w:id="1489065121"/>
    </w:p>
    <w:p w:rsidR="3EA717CF" w:rsidP="3EA717CF" w:rsidRDefault="3EA717CF" w14:paraId="4495FD93" w14:textId="556D96F1">
      <w:pPr>
        <w:pStyle w:val="Normal"/>
        <w:rPr/>
      </w:pPr>
    </w:p>
    <w:p w:rsidR="0D8D3E8F" w:rsidP="3EA717CF" w:rsidRDefault="0D8D3E8F" w14:paraId="70B931E9" w14:textId="7A963188">
      <w:pPr>
        <w:pStyle w:val="Normal"/>
        <w:jc w:val="both"/>
        <w:rPr>
          <w:rFonts w:ascii="Calibri" w:hAnsi="Calibri" w:eastAsia="Calibri" w:cs="Calibri" w:asciiTheme="minorAscii" w:hAnsiTheme="minorAscii" w:eastAsiaTheme="minorAscii" w:cstheme="minorAscii"/>
        </w:rPr>
      </w:pPr>
      <w:r w:rsidRPr="3EA717CF" w:rsidR="0D8D3E8F">
        <w:rPr>
          <w:rFonts w:ascii="Calibri" w:hAnsi="Calibri" w:eastAsia="Calibri" w:cs="Calibri" w:asciiTheme="minorAscii" w:hAnsiTheme="minorAscii" w:eastAsiaTheme="minorAscii" w:cstheme="minorAscii"/>
        </w:rPr>
        <w:t xml:space="preserve">Crymlyn Burrows </w:t>
      </w:r>
      <w:r w:rsidRPr="3EA717CF" w:rsidR="0D8D3E8F">
        <w:rPr>
          <w:rFonts w:ascii="Calibri" w:hAnsi="Calibri" w:eastAsia="Calibri" w:cs="Calibri" w:asciiTheme="minorAscii" w:hAnsiTheme="minorAscii" w:eastAsiaTheme="minorAscii" w:cstheme="minorAscii"/>
        </w:rPr>
        <w:t>represents</w:t>
      </w:r>
      <w:r w:rsidRPr="3EA717CF" w:rsidR="0D8D3E8F">
        <w:rPr>
          <w:rFonts w:ascii="Calibri" w:hAnsi="Calibri" w:eastAsia="Calibri" w:cs="Calibri" w:asciiTheme="minorAscii" w:hAnsiTheme="minorAscii" w:eastAsiaTheme="minorAscii" w:cstheme="minorAscii"/>
        </w:rPr>
        <w:t xml:space="preserve"> a complex and dynamic ecosystem, which emphasises the need for evidence-based management </w:t>
      </w:r>
      <w:r w:rsidRPr="3EA717CF" w:rsidR="0D8D3E8F">
        <w:rPr>
          <w:rFonts w:ascii="Calibri" w:hAnsi="Calibri" w:eastAsia="Calibri" w:cs="Calibri" w:asciiTheme="minorAscii" w:hAnsiTheme="minorAscii" w:eastAsiaTheme="minorAscii" w:cstheme="minorAscii"/>
        </w:rPr>
        <w:t>practi</w:t>
      </w:r>
      <w:r w:rsidRPr="3EA717CF" w:rsidR="39431CCC">
        <w:rPr>
          <w:rFonts w:ascii="Calibri" w:hAnsi="Calibri" w:eastAsia="Calibri" w:cs="Calibri" w:asciiTheme="minorAscii" w:hAnsiTheme="minorAscii" w:eastAsiaTheme="minorAscii" w:cstheme="minorAscii"/>
        </w:rPr>
        <w:t>c</w:t>
      </w:r>
      <w:r w:rsidRPr="3EA717CF" w:rsidR="0D8D3E8F">
        <w:rPr>
          <w:rFonts w:ascii="Calibri" w:hAnsi="Calibri" w:eastAsia="Calibri" w:cs="Calibri" w:asciiTheme="minorAscii" w:hAnsiTheme="minorAscii" w:eastAsiaTheme="minorAscii" w:cstheme="minorAscii"/>
        </w:rPr>
        <w:t>es</w:t>
      </w:r>
      <w:r w:rsidRPr="3EA717CF" w:rsidR="0D8D3E8F">
        <w:rPr>
          <w:rFonts w:ascii="Calibri" w:hAnsi="Calibri" w:eastAsia="Calibri" w:cs="Calibri" w:asciiTheme="minorAscii" w:hAnsiTheme="minorAscii" w:eastAsiaTheme="minorAscii" w:cstheme="minorAscii"/>
        </w:rPr>
        <w:t xml:space="preserve">. Research and monitoring efforts are primarily aimed at recognising changes within the site, </w:t>
      </w:r>
      <w:r w:rsidRPr="3EA717CF" w:rsidR="0D8D3E8F">
        <w:rPr>
          <w:rFonts w:ascii="Calibri" w:hAnsi="Calibri" w:eastAsia="Calibri" w:cs="Calibri" w:asciiTheme="minorAscii" w:hAnsiTheme="minorAscii" w:eastAsiaTheme="minorAscii" w:cstheme="minorAscii"/>
        </w:rPr>
        <w:t>identifying</w:t>
      </w:r>
      <w:r w:rsidRPr="3EA717CF" w:rsidR="0D8D3E8F">
        <w:rPr>
          <w:rFonts w:ascii="Calibri" w:hAnsi="Calibri" w:eastAsia="Calibri" w:cs="Calibri" w:asciiTheme="minorAscii" w:hAnsiTheme="minorAscii" w:eastAsiaTheme="minorAscii" w:cstheme="minorAscii"/>
        </w:rPr>
        <w:t xml:space="preserve"> their causes and gaining insights to make management decisions effectively</w:t>
      </w:r>
      <w:r w:rsidRPr="3EA717CF" w:rsidR="4E1FF5E4">
        <w:rPr>
          <w:rFonts w:ascii="Calibri" w:hAnsi="Calibri" w:eastAsia="Calibri" w:cs="Calibri" w:asciiTheme="minorAscii" w:hAnsiTheme="minorAscii" w:eastAsiaTheme="minorAscii" w:cstheme="minorAscii"/>
        </w:rPr>
        <w:t xml:space="preserve"> (Sampson, 2018)</w:t>
      </w:r>
      <w:r w:rsidRPr="3EA717CF" w:rsidR="0D8D3E8F">
        <w:rPr>
          <w:rFonts w:ascii="Calibri" w:hAnsi="Calibri" w:eastAsia="Calibri" w:cs="Calibri" w:asciiTheme="minorAscii" w:hAnsiTheme="minorAscii" w:eastAsiaTheme="minorAscii" w:cstheme="minorAscii"/>
        </w:rPr>
        <w:t>.</w:t>
      </w:r>
    </w:p>
    <w:p w:rsidR="3EA717CF" w:rsidP="3EA717CF" w:rsidRDefault="3EA717CF" w14:paraId="1119E4C1" w14:textId="50FFEB07">
      <w:pPr>
        <w:pStyle w:val="Normal"/>
        <w:jc w:val="both"/>
        <w:rPr>
          <w:rFonts w:ascii="Calibri" w:hAnsi="Calibri" w:eastAsia="Calibri" w:cs="Calibri" w:asciiTheme="minorAscii" w:hAnsiTheme="minorAscii" w:eastAsiaTheme="minorAscii" w:cstheme="minorAscii"/>
        </w:rPr>
      </w:pPr>
    </w:p>
    <w:p w:rsidR="6AFE4F5A" w:rsidP="3EA717CF" w:rsidRDefault="6AFE4F5A" w14:paraId="3B3F1DC6" w14:textId="4846354F">
      <w:pPr>
        <w:pStyle w:val="Normal"/>
        <w:jc w:val="both"/>
        <w:rPr>
          <w:rFonts w:ascii="Calibri" w:hAnsi="Calibri" w:eastAsia="Calibri" w:cs="Calibri" w:asciiTheme="minorAscii" w:hAnsiTheme="minorAscii" w:eastAsiaTheme="minorAscii" w:cstheme="minorAscii"/>
        </w:rPr>
      </w:pPr>
      <w:r w:rsidRPr="3EA717CF" w:rsidR="6AFE4F5A">
        <w:rPr>
          <w:rFonts w:ascii="Calibri" w:hAnsi="Calibri" w:eastAsia="Calibri" w:cs="Calibri" w:asciiTheme="minorAscii" w:hAnsiTheme="minorAscii" w:eastAsiaTheme="minorAscii" w:cstheme="minorAscii"/>
        </w:rPr>
        <w:t xml:space="preserve">To begin habitat management, it is crucial to first understand the environmental conditions and resource requirements of specific species. A strategy can then be developed to achieve habitat-related conservation and management </w:t>
      </w:r>
      <w:r w:rsidRPr="3EA717CF" w:rsidR="6AFE4F5A">
        <w:rPr>
          <w:rFonts w:ascii="Calibri" w:hAnsi="Calibri" w:eastAsia="Calibri" w:cs="Calibri" w:asciiTheme="minorAscii" w:hAnsiTheme="minorAscii" w:eastAsiaTheme="minorAscii" w:cstheme="minorAscii"/>
        </w:rPr>
        <w:t>objectives</w:t>
      </w:r>
      <w:r w:rsidRPr="3EA717CF" w:rsidR="6AFE4F5A">
        <w:rPr>
          <w:rFonts w:ascii="Calibri" w:hAnsi="Calibri" w:eastAsia="Calibri" w:cs="Calibri" w:asciiTheme="minorAscii" w:hAnsiTheme="minorAscii" w:eastAsiaTheme="minorAscii" w:cstheme="minorAscii"/>
        </w:rPr>
        <w:t xml:space="preserve"> (</w:t>
      </w:r>
      <w:r w:rsidRPr="3EA717CF" w:rsidR="6AFE4F5A">
        <w:rPr>
          <w:rFonts w:ascii="Calibri" w:hAnsi="Calibri" w:eastAsia="Calibri" w:cs="Calibri" w:asciiTheme="minorAscii" w:hAnsiTheme="minorAscii" w:eastAsiaTheme="minorAscii" w:cstheme="minorAscii"/>
        </w:rPr>
        <w:t>Ausden</w:t>
      </w:r>
      <w:r w:rsidRPr="3EA717CF" w:rsidR="6AFE4F5A">
        <w:rPr>
          <w:rFonts w:ascii="Calibri" w:hAnsi="Calibri" w:eastAsia="Calibri" w:cs="Calibri" w:asciiTheme="minorAscii" w:hAnsiTheme="minorAscii" w:eastAsiaTheme="minorAscii" w:cstheme="minorAscii"/>
        </w:rPr>
        <w:t>, 2007</w:t>
      </w:r>
      <w:r w:rsidRPr="3EA717CF" w:rsidR="5699BC99">
        <w:rPr>
          <w:rFonts w:ascii="Calibri" w:hAnsi="Calibri" w:eastAsia="Calibri" w:cs="Calibri" w:asciiTheme="minorAscii" w:hAnsiTheme="minorAscii" w:eastAsiaTheme="minorAscii" w:cstheme="minorAscii"/>
        </w:rPr>
        <w:t>)</w:t>
      </w:r>
      <w:r w:rsidRPr="3EA717CF" w:rsidR="6AFE4F5A">
        <w:rPr>
          <w:rFonts w:ascii="Calibri" w:hAnsi="Calibri" w:eastAsia="Calibri" w:cs="Calibri" w:asciiTheme="minorAscii" w:hAnsiTheme="minorAscii" w:eastAsiaTheme="minorAscii" w:cstheme="minorAscii"/>
        </w:rPr>
        <w:t>.</w:t>
      </w:r>
    </w:p>
    <w:p w:rsidR="3EA717CF" w:rsidP="3EA717CF" w:rsidRDefault="3EA717CF" w14:paraId="0B309338" w14:textId="5D915660">
      <w:pPr>
        <w:pStyle w:val="Normal"/>
        <w:jc w:val="both"/>
        <w:rPr>
          <w:rFonts w:ascii="Calibri" w:hAnsi="Calibri" w:eastAsia="Calibri" w:cs="Calibri" w:asciiTheme="minorAscii" w:hAnsiTheme="minorAscii" w:eastAsiaTheme="minorAscii" w:cstheme="minorAscii"/>
        </w:rPr>
      </w:pPr>
    </w:p>
    <w:p w:rsidR="6AFE4F5A" w:rsidP="3EA717CF" w:rsidRDefault="6AFE4F5A" w14:paraId="051BD8CF" w14:textId="28E5A424">
      <w:pPr>
        <w:pStyle w:val="Normal"/>
        <w:jc w:val="both"/>
        <w:rPr>
          <w:rFonts w:ascii="Calibri" w:hAnsi="Calibri" w:eastAsia="Calibri" w:cs="Calibri" w:asciiTheme="minorAscii" w:hAnsiTheme="minorAscii" w:eastAsiaTheme="minorAscii" w:cstheme="minorAscii"/>
        </w:rPr>
      </w:pPr>
      <w:r w:rsidRPr="3EA717CF" w:rsidR="6AFE4F5A">
        <w:rPr>
          <w:rFonts w:ascii="Calibri" w:hAnsi="Calibri" w:eastAsia="Calibri" w:cs="Calibri" w:asciiTheme="minorAscii" w:hAnsiTheme="minorAscii" w:eastAsiaTheme="minorAscii" w:cstheme="minorAscii"/>
        </w:rPr>
        <w:t>However, it must be recognised that managing land for one species may have unintended effects on other species. Therefore, it is not possible to increase the population of all species on every piece of land, as management decisions often involve trade-offs and can lead to unintended consequences for other species</w:t>
      </w:r>
      <w:r w:rsidRPr="3EA717CF" w:rsidR="5AED22AC">
        <w:rPr>
          <w:rFonts w:ascii="Calibri" w:hAnsi="Calibri" w:eastAsia="Calibri" w:cs="Calibri" w:asciiTheme="minorAscii" w:hAnsiTheme="minorAscii" w:eastAsiaTheme="minorAscii" w:cstheme="minorAscii"/>
        </w:rPr>
        <w:t xml:space="preserve"> (B</w:t>
      </w:r>
      <w:r w:rsidRPr="3EA717CF" w:rsidR="5A171B35">
        <w:rPr>
          <w:rFonts w:ascii="Calibri" w:hAnsi="Calibri" w:eastAsia="Calibri" w:cs="Calibri" w:asciiTheme="minorAscii" w:hAnsiTheme="minorAscii" w:eastAsiaTheme="minorAscii" w:cstheme="minorAscii"/>
        </w:rPr>
        <w:t>ij</w:t>
      </w:r>
      <w:r w:rsidRPr="3EA717CF" w:rsidR="5AED22AC">
        <w:rPr>
          <w:rFonts w:ascii="Calibri" w:hAnsi="Calibri" w:eastAsia="Calibri" w:cs="Calibri" w:asciiTheme="minorAscii" w:hAnsiTheme="minorAscii" w:eastAsiaTheme="minorAscii" w:cstheme="minorAscii"/>
        </w:rPr>
        <w:t>l</w:t>
      </w:r>
      <w:r w:rsidRPr="3EA717CF" w:rsidR="5AED22AC">
        <w:rPr>
          <w:rFonts w:ascii="Calibri" w:hAnsi="Calibri" w:eastAsia="Calibri" w:cs="Calibri" w:asciiTheme="minorAscii" w:hAnsiTheme="minorAscii" w:eastAsiaTheme="minorAscii" w:cstheme="minorAscii"/>
        </w:rPr>
        <w:t xml:space="preserve"> &amp; Salisbury, 2019)</w:t>
      </w:r>
      <w:r w:rsidRPr="3EA717CF" w:rsidR="6AFE4F5A">
        <w:rPr>
          <w:rFonts w:ascii="Calibri" w:hAnsi="Calibri" w:eastAsia="Calibri" w:cs="Calibri" w:asciiTheme="minorAscii" w:hAnsiTheme="minorAscii" w:eastAsiaTheme="minorAscii" w:cstheme="minorAscii"/>
        </w:rPr>
        <w:t>.</w:t>
      </w:r>
    </w:p>
    <w:p w:rsidR="3EA717CF" w:rsidP="3EA717CF" w:rsidRDefault="3EA717CF" w14:paraId="0BFB7033" w14:textId="157EF008">
      <w:pPr>
        <w:jc w:val="both"/>
        <w:rPr>
          <w:rFonts w:ascii="Calibri" w:hAnsi="Calibri" w:eastAsia="Calibri" w:cs="Calibri" w:asciiTheme="minorAscii" w:hAnsiTheme="minorAscii" w:eastAsiaTheme="minorAscii" w:cstheme="minorAscii"/>
        </w:rPr>
      </w:pPr>
    </w:p>
    <w:p w:rsidR="0BABDCC2" w:rsidP="3EA717CF" w:rsidRDefault="0BABDCC2" w14:paraId="5BD34049" w14:textId="1E86AABE">
      <w:pPr>
        <w:jc w:val="both"/>
        <w:rPr>
          <w:rFonts w:ascii="Calibri" w:hAnsi="Calibri" w:eastAsia="Calibri" w:cs="Calibri" w:asciiTheme="minorAscii" w:hAnsiTheme="minorAscii" w:eastAsiaTheme="minorAscii" w:cstheme="minorAscii"/>
        </w:rPr>
      </w:pPr>
      <w:r w:rsidRPr="3EA717CF" w:rsidR="0BABDCC2">
        <w:rPr>
          <w:rFonts w:ascii="Calibri" w:hAnsi="Calibri" w:eastAsia="Calibri" w:cs="Calibri" w:asciiTheme="minorAscii" w:hAnsiTheme="minorAscii" w:eastAsiaTheme="minorAscii" w:cstheme="minorAscii"/>
        </w:rPr>
        <w:t xml:space="preserve">In addition to the routine </w:t>
      </w:r>
      <w:r w:rsidRPr="3EA717CF" w:rsidR="0BABDCC2">
        <w:rPr>
          <w:rFonts w:ascii="Calibri" w:hAnsi="Calibri" w:eastAsia="Calibri" w:cs="Calibri" w:asciiTheme="minorAscii" w:hAnsiTheme="minorAscii" w:eastAsiaTheme="minorAscii" w:cstheme="minorAscii"/>
        </w:rPr>
        <w:t>monitoring</w:t>
      </w:r>
      <w:r w:rsidRPr="3EA717CF" w:rsidR="0BABDCC2">
        <w:rPr>
          <w:rFonts w:ascii="Calibri" w:hAnsi="Calibri" w:eastAsia="Calibri" w:cs="Calibri" w:asciiTheme="minorAscii" w:hAnsiTheme="minorAscii" w:eastAsiaTheme="minorAscii" w:cstheme="minorAscii"/>
        </w:rPr>
        <w:t xml:space="preserve"> necessary for effective management of the area, ownership of the Site of Special Scientific Interest (SSSI) provides the </w:t>
      </w:r>
      <w:r w:rsidRPr="3EA717CF" w:rsidR="07857C20">
        <w:rPr>
          <w:rFonts w:ascii="Calibri" w:hAnsi="Calibri" w:eastAsia="Calibri" w:cs="Calibri" w:asciiTheme="minorAscii" w:hAnsiTheme="minorAscii" w:eastAsiaTheme="minorAscii" w:cstheme="minorAscii"/>
        </w:rPr>
        <w:t>community, as well as all students</w:t>
      </w:r>
      <w:r w:rsidRPr="3EA717CF" w:rsidR="0BABDCC2">
        <w:rPr>
          <w:rFonts w:ascii="Calibri" w:hAnsi="Calibri" w:eastAsia="Calibri" w:cs="Calibri" w:asciiTheme="minorAscii" w:hAnsiTheme="minorAscii" w:eastAsiaTheme="minorAscii" w:cstheme="minorAscii"/>
        </w:rPr>
        <w:t xml:space="preserve"> with the valuable opportunity to utilise it as a living laboratory for teaching and research. Collaboration with various academic colleges is already </w:t>
      </w:r>
      <w:r w:rsidRPr="3EA717CF" w:rsidR="0BABDCC2">
        <w:rPr>
          <w:rFonts w:ascii="Calibri" w:hAnsi="Calibri" w:eastAsia="Calibri" w:cs="Calibri" w:asciiTheme="minorAscii" w:hAnsiTheme="minorAscii" w:eastAsiaTheme="minorAscii" w:cstheme="minorAscii"/>
        </w:rPr>
        <w:t>established</w:t>
      </w:r>
      <w:r w:rsidRPr="3EA717CF" w:rsidR="0BABDCC2">
        <w:rPr>
          <w:rFonts w:ascii="Calibri" w:hAnsi="Calibri" w:eastAsia="Calibri" w:cs="Calibri" w:asciiTheme="minorAscii" w:hAnsiTheme="minorAscii" w:eastAsiaTheme="minorAscii" w:cstheme="minorAscii"/>
        </w:rPr>
        <w:t xml:space="preserve">, but there is potential for further expansion. It is important to promote the </w:t>
      </w:r>
      <w:r w:rsidRPr="3EA717CF" w:rsidR="0BABDCC2">
        <w:rPr>
          <w:rFonts w:ascii="Calibri" w:hAnsi="Calibri" w:eastAsia="Calibri" w:cs="Calibri" w:asciiTheme="minorAscii" w:hAnsiTheme="minorAscii" w:eastAsiaTheme="minorAscii" w:cstheme="minorAscii"/>
        </w:rPr>
        <w:t>appropriate use</w:t>
      </w:r>
      <w:r w:rsidRPr="3EA717CF" w:rsidR="0BABDCC2">
        <w:rPr>
          <w:rFonts w:ascii="Calibri" w:hAnsi="Calibri" w:eastAsia="Calibri" w:cs="Calibri" w:asciiTheme="minorAscii" w:hAnsiTheme="minorAscii" w:eastAsiaTheme="minorAscii" w:cstheme="minorAscii"/>
        </w:rPr>
        <w:t xml:space="preserve"> of the area for educational and research purposes by communicating teaching visits and research projects to the warden. This will minimise conflicts with nature conservation </w:t>
      </w:r>
      <w:r w:rsidRPr="3EA717CF" w:rsidR="0BABDCC2">
        <w:rPr>
          <w:rFonts w:ascii="Calibri" w:hAnsi="Calibri" w:eastAsia="Calibri" w:cs="Calibri" w:asciiTheme="minorAscii" w:hAnsiTheme="minorAscii" w:eastAsiaTheme="minorAscii" w:cstheme="minorAscii"/>
        </w:rPr>
        <w:t>objectives</w:t>
      </w:r>
      <w:r w:rsidRPr="3EA717CF" w:rsidR="0BABDCC2">
        <w:rPr>
          <w:rFonts w:ascii="Calibri" w:hAnsi="Calibri" w:eastAsia="Calibri" w:cs="Calibri" w:asciiTheme="minorAscii" w:hAnsiTheme="minorAscii" w:eastAsiaTheme="minorAscii" w:cstheme="minorAscii"/>
        </w:rPr>
        <w:t>, make it easier to obtain the necessary permissions from Natural Resources Wales (NRW) and allow academic use to be documented</w:t>
      </w:r>
      <w:r w:rsidRPr="3EA717CF" w:rsidR="69F49E6B">
        <w:rPr>
          <w:rFonts w:ascii="Calibri" w:hAnsi="Calibri" w:eastAsia="Calibri" w:cs="Calibri" w:asciiTheme="minorAscii" w:hAnsiTheme="minorAscii" w:eastAsiaTheme="minorAscii" w:cstheme="minorAscii"/>
        </w:rPr>
        <w:t xml:space="preserve"> (Sampson, 2018)</w:t>
      </w:r>
      <w:r w:rsidRPr="3EA717CF" w:rsidR="0BABDCC2">
        <w:rPr>
          <w:rFonts w:ascii="Calibri" w:hAnsi="Calibri" w:eastAsia="Calibri" w:cs="Calibri" w:asciiTheme="minorAscii" w:hAnsiTheme="minorAscii" w:eastAsiaTheme="minorAscii" w:cstheme="minorAscii"/>
        </w:rPr>
        <w:t>.</w:t>
      </w:r>
    </w:p>
    <w:p w:rsidR="3EA717CF" w:rsidP="3EA717CF" w:rsidRDefault="3EA717CF" w14:paraId="142AF528" w14:textId="25BDEF20">
      <w:pPr>
        <w:pStyle w:val="Normal"/>
        <w:jc w:val="both"/>
        <w:rPr>
          <w:rFonts w:ascii="Calibri" w:hAnsi="Calibri" w:eastAsia="Calibri" w:cs="Calibri" w:asciiTheme="minorAscii" w:hAnsiTheme="minorAscii" w:eastAsiaTheme="minorAscii" w:cstheme="minorAscii"/>
        </w:rPr>
      </w:pPr>
    </w:p>
    <w:p w:rsidR="1FD4C0EE" w:rsidP="3EA717CF" w:rsidRDefault="1FD4C0EE" w14:paraId="6FE5179B" w14:textId="1A865F9F">
      <w:pPr>
        <w:pStyle w:val="Normal"/>
        <w:jc w:val="both"/>
        <w:rPr>
          <w:rFonts w:ascii="Calibri" w:hAnsi="Calibri" w:eastAsia="Calibri" w:cs="Calibri" w:asciiTheme="minorAscii" w:hAnsiTheme="minorAscii" w:eastAsiaTheme="minorAscii" w:cstheme="minorAscii"/>
        </w:rPr>
      </w:pPr>
      <w:r w:rsidRPr="3EA717CF" w:rsidR="1FD4C0EE">
        <w:rPr>
          <w:rFonts w:ascii="Calibri" w:hAnsi="Calibri" w:eastAsia="Calibri" w:cs="Calibri" w:asciiTheme="minorAscii" w:hAnsiTheme="minorAscii" w:eastAsiaTheme="minorAscii" w:cstheme="minorAscii"/>
        </w:rPr>
        <w:t>It is of the utmost importance that visitors are informed about the protected status of the site and the activities that are prohibited. Signs have been placed at the main entrances with this information, which will help to prevent careless or accidental damage to the site.</w:t>
      </w:r>
    </w:p>
    <w:p w:rsidR="06DEF276" w:rsidP="3EA717CF" w:rsidRDefault="06DEF276" w14:paraId="4B870CFA" w14:textId="1EC383E5">
      <w:pPr>
        <w:pStyle w:val="Normal"/>
        <w:jc w:val="both"/>
        <w:rPr>
          <w:rFonts w:ascii="Calibri" w:hAnsi="Calibri" w:eastAsia="Calibri" w:cs="Calibri" w:asciiTheme="minorAscii" w:hAnsiTheme="minorAscii" w:eastAsiaTheme="minorAscii" w:cstheme="minorAscii"/>
        </w:rPr>
      </w:pPr>
      <w:r w:rsidRPr="3EA717CF" w:rsidR="06DEF276">
        <w:rPr>
          <w:rFonts w:ascii="Calibri" w:hAnsi="Calibri" w:eastAsia="Calibri" w:cs="Calibri" w:asciiTheme="minorAscii" w:hAnsiTheme="minorAscii" w:eastAsiaTheme="minorAscii" w:cstheme="minorAscii"/>
        </w:rPr>
        <w:t>The implementation of education and information initiatives is important to raise community awareness of the importance of habitat and species conservation and to promote sustainable practises among the public. Collaboration with various stakeholders, including government agencies, conservation organisations, landowners and other interested parties, is critical to promoting coordinated conservation efforts and maximising the impact of conservation initiatives across the site and its surroundings.</w:t>
      </w:r>
    </w:p>
    <w:p w:rsidR="3EA717CF" w:rsidRDefault="3EA717CF" w14:paraId="37C7EE3A" w14:textId="61B98355">
      <w:pPr>
        <w:rPr/>
      </w:pPr>
      <w:r>
        <w:br w:type="page"/>
      </w:r>
    </w:p>
    <w:p w:rsidR="018E3C75" w:rsidP="3EA717CF" w:rsidRDefault="018E3C75" w14:paraId="49F1734D" w14:textId="07F153B1">
      <w:pPr>
        <w:pStyle w:val="Heading1"/>
        <w:rPr/>
      </w:pPr>
      <w:bookmarkStart w:name="_Toc1391056022" w:id="879164285"/>
      <w:r w:rsidR="018E3C75">
        <w:rPr/>
        <w:t>References</w:t>
      </w:r>
      <w:bookmarkEnd w:id="879164285"/>
    </w:p>
    <w:p w:rsidR="71EA5DF5" w:rsidP="3EA717CF" w:rsidRDefault="71EA5DF5" w14:paraId="430FD7E3" w14:textId="2B21DD50">
      <w:pPr>
        <w:pStyle w:val="Normal"/>
        <w:jc w:val="both"/>
        <w:rPr>
          <w:rFonts w:ascii="Calibri" w:hAnsi="Calibri" w:eastAsia="Calibri" w:cs="Calibri" w:asciiTheme="minorAscii" w:hAnsiTheme="minorAscii" w:eastAsiaTheme="minorAscii" w:cstheme="minorAscii"/>
        </w:rPr>
      </w:pPr>
      <w:r w:rsidRPr="3EA717CF" w:rsidR="71EA5DF5">
        <w:rPr>
          <w:rFonts w:ascii="Calibri" w:hAnsi="Calibri" w:eastAsia="Calibri" w:cs="Calibri" w:asciiTheme="minorAscii" w:hAnsiTheme="minorAscii" w:eastAsiaTheme="minorAscii" w:cstheme="minorAscii"/>
        </w:rPr>
        <w:t>Al-Saadi &amp; Brooks M. (1973). ‘A geophysical study of Pleistocene buried v</w:t>
      </w:r>
      <w:r w:rsidRPr="3EA717CF" w:rsidR="1DDFB21D">
        <w:rPr>
          <w:rFonts w:ascii="Calibri" w:hAnsi="Calibri" w:eastAsia="Calibri" w:cs="Calibri" w:asciiTheme="minorAscii" w:hAnsiTheme="minorAscii" w:eastAsiaTheme="minorAscii" w:cstheme="minorAscii"/>
        </w:rPr>
        <w:t>alleys in the lower Swansea Valley, Vale of Neath and Swansea Bay</w:t>
      </w:r>
      <w:bookmarkStart w:name="_Int_Pt0HxjpB" w:id="1613560936"/>
      <w:r w:rsidRPr="3EA717CF" w:rsidR="1DDFB21D">
        <w:rPr>
          <w:rFonts w:ascii="Calibri" w:hAnsi="Calibri" w:eastAsia="Calibri" w:cs="Calibri" w:asciiTheme="minorAscii" w:hAnsiTheme="minorAscii" w:eastAsiaTheme="minorAscii" w:cstheme="minorAscii"/>
        </w:rPr>
        <w:t>’.</w:t>
      </w:r>
      <w:bookmarkEnd w:id="1613560936"/>
      <w:r w:rsidRPr="3EA717CF" w:rsidR="1DDFB21D">
        <w:rPr>
          <w:rFonts w:ascii="Calibri" w:hAnsi="Calibri" w:eastAsia="Calibri" w:cs="Calibri" w:asciiTheme="minorAscii" w:hAnsiTheme="minorAscii" w:eastAsiaTheme="minorAscii" w:cstheme="minorAscii"/>
        </w:rPr>
        <w:t xml:space="preserve"> Proceedings of the Geologists Association</w:t>
      </w:r>
      <w:bookmarkStart w:name="_Int_uLeWgyHR" w:id="1208538572"/>
      <w:r w:rsidRPr="3EA717CF" w:rsidR="68CD91F4">
        <w:rPr>
          <w:rFonts w:ascii="Calibri" w:hAnsi="Calibri" w:eastAsia="Calibri" w:cs="Calibri" w:asciiTheme="minorAscii" w:hAnsiTheme="minorAscii" w:eastAsiaTheme="minorAscii" w:cstheme="minorAscii"/>
        </w:rPr>
        <w:t>’.</w:t>
      </w:r>
      <w:bookmarkEnd w:id="1208538572"/>
      <w:r w:rsidRPr="3EA717CF" w:rsidR="68CD91F4">
        <w:rPr>
          <w:rFonts w:ascii="Calibri" w:hAnsi="Calibri" w:eastAsia="Calibri" w:cs="Calibri" w:asciiTheme="minorAscii" w:hAnsiTheme="minorAscii" w:eastAsiaTheme="minorAscii" w:cstheme="minorAscii"/>
        </w:rPr>
        <w:t xml:space="preserve"> Volume 84, issue 2, pp. 135-153. Available at: https://doi.org/10/1016/50016-7878(73)80012-4</w:t>
      </w:r>
    </w:p>
    <w:p w:rsidR="3EA717CF" w:rsidP="3EA717CF" w:rsidRDefault="3EA717CF" w14:paraId="50BBF609" w14:textId="2EA241CE">
      <w:pPr>
        <w:pStyle w:val="Normal"/>
        <w:jc w:val="both"/>
        <w:rPr>
          <w:rFonts w:ascii="Calibri" w:hAnsi="Calibri" w:eastAsia="Calibri" w:cs="Calibri" w:asciiTheme="minorAscii" w:hAnsiTheme="minorAscii" w:eastAsiaTheme="minorAscii" w:cstheme="minorAscii"/>
        </w:rPr>
      </w:pPr>
    </w:p>
    <w:p w:rsidR="018E3C75" w:rsidP="3EA717CF" w:rsidRDefault="018E3C75" w14:paraId="00127DE7" w14:textId="5F6E5D48">
      <w:pPr>
        <w:pStyle w:val="Normal"/>
        <w:jc w:val="both"/>
        <w:rPr>
          <w:rFonts w:ascii="Calibri" w:hAnsi="Calibri" w:eastAsia="Calibri" w:cs="Calibri" w:asciiTheme="minorAscii" w:hAnsiTheme="minorAscii" w:eastAsiaTheme="minorAscii" w:cstheme="minorAscii"/>
        </w:rPr>
      </w:pPr>
      <w:r w:rsidRPr="3EA717CF" w:rsidR="018E3C75">
        <w:rPr>
          <w:rFonts w:ascii="Calibri" w:hAnsi="Calibri" w:eastAsia="Calibri" w:cs="Calibri" w:asciiTheme="minorAscii" w:hAnsiTheme="minorAscii" w:eastAsiaTheme="minorAscii" w:cstheme="minorAscii"/>
        </w:rPr>
        <w:t>Barry L. (</w:t>
      </w:r>
      <w:r w:rsidRPr="3EA717CF" w:rsidR="018E3C75">
        <w:rPr>
          <w:rFonts w:ascii="Calibri" w:hAnsi="Calibri" w:eastAsia="Calibri" w:cs="Calibri" w:asciiTheme="minorAscii" w:hAnsiTheme="minorAscii" w:eastAsiaTheme="minorAscii" w:cstheme="minorAscii"/>
        </w:rPr>
        <w:t>nd</w:t>
      </w:r>
      <w:r w:rsidRPr="3EA717CF" w:rsidR="018E3C75">
        <w:rPr>
          <w:rFonts w:ascii="Calibri" w:hAnsi="Calibri" w:eastAsia="Calibri" w:cs="Calibri" w:asciiTheme="minorAscii" w:hAnsiTheme="minorAscii" w:eastAsiaTheme="minorAscii" w:cstheme="minorAscii"/>
        </w:rPr>
        <w:t>), ‘A walk along Crymlyn Burrows</w:t>
      </w:r>
      <w:bookmarkStart w:name="_Int_At3P6PAi" w:id="2040096639"/>
      <w:r w:rsidRPr="3EA717CF" w:rsidR="479E0A95">
        <w:rPr>
          <w:rFonts w:ascii="Calibri" w:hAnsi="Calibri" w:eastAsia="Calibri" w:cs="Calibri" w:asciiTheme="minorAscii" w:hAnsiTheme="minorAscii" w:eastAsiaTheme="minorAscii" w:cstheme="minorAscii"/>
        </w:rPr>
        <w:t>’.</w:t>
      </w:r>
      <w:bookmarkEnd w:id="2040096639"/>
      <w:r w:rsidRPr="3EA717CF" w:rsidR="018E3C75">
        <w:rPr>
          <w:rFonts w:ascii="Calibri" w:hAnsi="Calibri" w:eastAsia="Calibri" w:cs="Calibri" w:asciiTheme="minorAscii" w:hAnsiTheme="minorAscii" w:eastAsiaTheme="minorAscii" w:cstheme="minorAscii"/>
        </w:rPr>
        <w:t xml:space="preserve"> Liz Barry Photographer &amp; </w:t>
      </w:r>
      <w:r w:rsidRPr="3EA717CF" w:rsidR="60E0AF0D">
        <w:rPr>
          <w:rFonts w:ascii="Calibri" w:hAnsi="Calibri" w:eastAsia="Calibri" w:cs="Calibri" w:asciiTheme="minorAscii" w:hAnsiTheme="minorAscii" w:eastAsiaTheme="minorAscii" w:cstheme="minorAscii"/>
        </w:rPr>
        <w:t>Travel wr</w:t>
      </w:r>
      <w:r w:rsidRPr="3EA717CF" w:rsidR="48F70C2E">
        <w:rPr>
          <w:rFonts w:ascii="Calibri" w:hAnsi="Calibri" w:eastAsia="Calibri" w:cs="Calibri" w:asciiTheme="minorAscii" w:hAnsiTheme="minorAscii" w:eastAsiaTheme="minorAscii" w:cstheme="minorAscii"/>
        </w:rPr>
        <w:t xml:space="preserve">iter. Available at: </w:t>
      </w:r>
      <w:hyperlink r:id="Rf5528c0882124eea">
        <w:r w:rsidRPr="3EA717CF" w:rsidR="48F70C2E">
          <w:rPr>
            <w:rStyle w:val="Hyperlink"/>
            <w:rFonts w:ascii="Calibri" w:hAnsi="Calibri" w:eastAsia="Calibri" w:cs="Calibri" w:asciiTheme="minorAscii" w:hAnsiTheme="minorAscii" w:eastAsiaTheme="minorAscii" w:cstheme="minorAscii"/>
          </w:rPr>
          <w:t>https://lizbarryphotos.co.uk/a-walk-along-crymlyn-burrows/</w:t>
        </w:r>
      </w:hyperlink>
    </w:p>
    <w:p w:rsidR="3EA717CF" w:rsidP="3EA717CF" w:rsidRDefault="3EA717CF" w14:paraId="139AA780" w14:textId="65680DC2">
      <w:pPr>
        <w:pStyle w:val="Normal"/>
        <w:jc w:val="both"/>
        <w:rPr>
          <w:rFonts w:ascii="Calibri" w:hAnsi="Calibri" w:eastAsia="Calibri" w:cs="Calibri" w:asciiTheme="minorAscii" w:hAnsiTheme="minorAscii" w:eastAsiaTheme="minorAscii" w:cstheme="minorAscii"/>
        </w:rPr>
      </w:pPr>
    </w:p>
    <w:p w:rsidR="27140BF3" w:rsidP="3EA717CF" w:rsidRDefault="27140BF3" w14:paraId="3F95DE09" w14:textId="05B28924">
      <w:pPr>
        <w:pStyle w:val="Normal"/>
        <w:jc w:val="both"/>
        <w:rPr>
          <w:rFonts w:ascii="Calibri" w:hAnsi="Calibri" w:eastAsia="Calibri" w:cs="Calibri" w:asciiTheme="minorAscii" w:hAnsiTheme="minorAscii" w:eastAsiaTheme="minorAscii" w:cstheme="minorAscii"/>
        </w:rPr>
      </w:pPr>
      <w:r w:rsidRPr="3EA717CF" w:rsidR="27140BF3">
        <w:rPr>
          <w:rFonts w:ascii="Calibri" w:hAnsi="Calibri" w:eastAsia="Calibri" w:cs="Calibri" w:asciiTheme="minorAscii" w:hAnsiTheme="minorAscii" w:eastAsiaTheme="minorAscii" w:cstheme="minorAscii"/>
        </w:rPr>
        <w:t xml:space="preserve">Bijl H. &amp; Salisbury A. (2019). ‘The fundamental role of </w:t>
      </w:r>
      <w:r w:rsidRPr="3EA717CF" w:rsidR="2CEC74CF">
        <w:rPr>
          <w:rFonts w:ascii="Calibri" w:hAnsi="Calibri" w:eastAsia="Calibri" w:cs="Calibri" w:asciiTheme="minorAscii" w:hAnsiTheme="minorAscii" w:eastAsiaTheme="minorAscii" w:cstheme="minorAscii"/>
        </w:rPr>
        <w:t>Habitat Management in wildlife conservation</w:t>
      </w:r>
      <w:r w:rsidRPr="3EA717CF" w:rsidR="2CEC74CF">
        <w:rPr>
          <w:rFonts w:ascii="Calibri" w:hAnsi="Calibri" w:eastAsia="Calibri" w:cs="Calibri" w:asciiTheme="minorAscii" w:hAnsiTheme="minorAscii" w:eastAsiaTheme="minorAscii" w:cstheme="minorAscii"/>
        </w:rPr>
        <w:t>’.</w:t>
      </w:r>
      <w:r w:rsidRPr="3EA717CF" w:rsidR="2CEC74CF">
        <w:rPr>
          <w:rFonts w:ascii="Calibri" w:hAnsi="Calibri" w:eastAsia="Calibri" w:cs="Calibri" w:asciiTheme="minorAscii" w:hAnsiTheme="minorAscii" w:eastAsiaTheme="minorAscii" w:cstheme="minorAscii"/>
        </w:rPr>
        <w:t xml:space="preserve"> HAMS. Available at: </w:t>
      </w:r>
      <w:hyperlink r:id="Rb9a5b4ebdb4442b1">
        <w:r w:rsidRPr="3EA717CF" w:rsidR="1AC115E7">
          <w:rPr>
            <w:rStyle w:val="Hyperlink"/>
            <w:rFonts w:ascii="Calibri" w:hAnsi="Calibri" w:eastAsia="Calibri" w:cs="Calibri" w:asciiTheme="minorAscii" w:hAnsiTheme="minorAscii" w:eastAsiaTheme="minorAscii" w:cstheme="minorAscii"/>
          </w:rPr>
          <w:t>https://hams.online/de/blog/the-fundamental-role-of-habitat-management-in-wildlife-conservation</w:t>
        </w:r>
      </w:hyperlink>
      <w:r w:rsidRPr="3EA717CF" w:rsidR="1AC115E7">
        <w:rPr>
          <w:rFonts w:ascii="Calibri" w:hAnsi="Calibri" w:eastAsia="Calibri" w:cs="Calibri" w:asciiTheme="minorAscii" w:hAnsiTheme="minorAscii" w:eastAsiaTheme="minorAscii" w:cstheme="minorAscii"/>
        </w:rPr>
        <w:t>. [Online]. Accessed: 13/10/2023</w:t>
      </w:r>
      <w:r w:rsidRPr="3EA717CF" w:rsidR="366EE5D0">
        <w:rPr>
          <w:rFonts w:ascii="Calibri" w:hAnsi="Calibri" w:eastAsia="Calibri" w:cs="Calibri" w:asciiTheme="minorAscii" w:hAnsiTheme="minorAscii" w:eastAsiaTheme="minorAscii" w:cstheme="minorAscii"/>
        </w:rPr>
        <w:t>.</w:t>
      </w:r>
    </w:p>
    <w:p w:rsidR="3EA717CF" w:rsidP="3EA717CF" w:rsidRDefault="3EA717CF" w14:paraId="1DA5EC8B" w14:textId="7C3349A1">
      <w:pPr>
        <w:pStyle w:val="Normal"/>
        <w:jc w:val="both"/>
        <w:rPr>
          <w:rFonts w:ascii="Calibri" w:hAnsi="Calibri" w:eastAsia="Calibri" w:cs="Calibri" w:asciiTheme="minorAscii" w:hAnsiTheme="minorAscii" w:eastAsiaTheme="minorAscii" w:cstheme="minorAscii"/>
        </w:rPr>
      </w:pPr>
    </w:p>
    <w:p w:rsidR="18045697" w:rsidP="3EA717CF" w:rsidRDefault="18045697" w14:paraId="4E6DB5BF" w14:textId="78B68C34">
      <w:pPr>
        <w:pStyle w:val="Normal"/>
        <w:jc w:val="both"/>
        <w:rPr>
          <w:rFonts w:ascii="Calibri" w:hAnsi="Calibri" w:eastAsia="Calibri" w:cs="Calibri" w:asciiTheme="minorAscii" w:hAnsiTheme="minorAscii" w:eastAsiaTheme="minorAscii" w:cstheme="minorAscii"/>
        </w:rPr>
      </w:pPr>
      <w:r w:rsidRPr="3EA717CF" w:rsidR="18045697">
        <w:rPr>
          <w:rFonts w:ascii="Calibri" w:hAnsi="Calibri" w:eastAsia="Calibri" w:cs="Calibri" w:asciiTheme="minorAscii" w:hAnsiTheme="minorAscii" w:eastAsiaTheme="minorAscii" w:cstheme="minorAscii"/>
        </w:rPr>
        <w:t>Carr, A. P. &amp; Blackley, M. W. L. (1977). ‘Swansea Bay (SKER), Project: 1. a) Introduction</w:t>
      </w:r>
      <w:r w:rsidRPr="3EA717CF" w:rsidR="234C1D57">
        <w:rPr>
          <w:rFonts w:ascii="Calibri" w:hAnsi="Calibri" w:eastAsia="Calibri" w:cs="Calibri" w:asciiTheme="minorAscii" w:hAnsiTheme="minorAscii" w:eastAsiaTheme="minorAscii" w:cstheme="minorAscii"/>
        </w:rPr>
        <w:t xml:space="preserve">. b) </w:t>
      </w:r>
      <w:bookmarkStart w:name="_Int_WSrzEnmn" w:id="1091636356"/>
      <w:r w:rsidRPr="3EA717CF" w:rsidR="234C1D57">
        <w:rPr>
          <w:rFonts w:ascii="Calibri" w:hAnsi="Calibri" w:eastAsia="Calibri" w:cs="Calibri" w:asciiTheme="minorAscii" w:hAnsiTheme="minorAscii" w:eastAsiaTheme="minorAscii" w:cstheme="minorAscii"/>
        </w:rPr>
        <w:t>Long</w:t>
      </w:r>
      <w:bookmarkEnd w:id="1091636356"/>
      <w:r w:rsidRPr="3EA717CF" w:rsidR="234C1D57">
        <w:rPr>
          <w:rFonts w:ascii="Calibri" w:hAnsi="Calibri" w:eastAsia="Calibri" w:cs="Calibri" w:asciiTheme="minorAscii" w:hAnsiTheme="minorAscii" w:eastAsiaTheme="minorAscii" w:cstheme="minorAscii"/>
        </w:rPr>
        <w:t xml:space="preserve"> term changes in the coastline. Wormley, U.K, Institute of</w:t>
      </w:r>
      <w:r w:rsidRPr="3EA717CF" w:rsidR="0CAE56BD">
        <w:rPr>
          <w:rFonts w:ascii="Calibri" w:hAnsi="Calibri" w:eastAsia="Calibri" w:cs="Calibri" w:asciiTheme="minorAscii" w:hAnsiTheme="minorAscii" w:eastAsiaTheme="minorAscii" w:cstheme="minorAscii"/>
        </w:rPr>
        <w:t xml:space="preserve"> Oceanographic Sciences, pp 63. Available at: </w:t>
      </w:r>
      <w:hyperlink r:id="R7a6b7572db914fc6">
        <w:r w:rsidRPr="3EA717CF" w:rsidR="0CAE56BD">
          <w:rPr>
            <w:rStyle w:val="Hyperlink"/>
            <w:rFonts w:ascii="Calibri" w:hAnsi="Calibri" w:eastAsia="Calibri" w:cs="Calibri" w:asciiTheme="minorAscii" w:hAnsiTheme="minorAscii" w:eastAsiaTheme="minorAscii" w:cstheme="minorAscii"/>
          </w:rPr>
          <w:t>https://nora.nera.ac.uk/id</w:t>
        </w:r>
        <w:r w:rsidRPr="3EA717CF" w:rsidR="685798EC">
          <w:rPr>
            <w:rStyle w:val="Hyperlink"/>
            <w:rFonts w:ascii="Calibri" w:hAnsi="Calibri" w:eastAsia="Calibri" w:cs="Calibri" w:asciiTheme="minorAscii" w:hAnsiTheme="minorAscii" w:eastAsiaTheme="minorAscii" w:cstheme="minorAscii"/>
          </w:rPr>
          <w:t>/eprint/114323</w:t>
        </w:r>
      </w:hyperlink>
    </w:p>
    <w:p w:rsidR="3EA717CF" w:rsidP="3EA717CF" w:rsidRDefault="3EA717CF" w14:paraId="17C2EACC" w14:textId="63F85DDA">
      <w:pPr>
        <w:pStyle w:val="Normal"/>
        <w:jc w:val="both"/>
        <w:rPr>
          <w:rFonts w:ascii="Calibri" w:hAnsi="Calibri" w:eastAsia="Calibri" w:cs="Calibri" w:asciiTheme="minorAscii" w:hAnsiTheme="minorAscii" w:eastAsiaTheme="minorAscii" w:cstheme="minorAscii"/>
          <w:color w:val="auto"/>
        </w:rPr>
      </w:pPr>
    </w:p>
    <w:p w:rsidR="65932A35" w:rsidP="3EA717CF" w:rsidRDefault="65932A35" w14:paraId="06B7FE95" w14:textId="5BC1C8A3">
      <w:pPr>
        <w:pStyle w:val="Normal"/>
        <w:jc w:val="both"/>
        <w:rPr>
          <w:rFonts w:ascii="Calibri" w:hAnsi="Calibri" w:eastAsia="Calibri" w:cs="Calibri" w:asciiTheme="minorAscii" w:hAnsiTheme="minorAscii" w:eastAsiaTheme="minorAscii" w:cstheme="minorAscii"/>
          <w:color w:val="auto"/>
          <w:sz w:val="24"/>
          <w:szCs w:val="24"/>
        </w:rPr>
      </w:pPr>
      <w:r w:rsidRPr="3EA717CF" w:rsidR="65932A35">
        <w:rPr>
          <w:rFonts w:ascii="Calibri" w:hAnsi="Calibri" w:eastAsia="Calibri" w:cs="Calibri" w:asciiTheme="minorAscii" w:hAnsiTheme="minorAscii" w:eastAsiaTheme="minorAscii" w:cstheme="minorAscii"/>
          <w:color w:val="auto"/>
        </w:rPr>
        <w:t xml:space="preserve">Culver, S. J. (1977). ‘The development of the Swansea Bay area during the past 20,000 </w:t>
      </w:r>
      <w:r w:rsidRPr="3EA717CF" w:rsidR="65932A35">
        <w:rPr>
          <w:rFonts w:ascii="Calibri" w:hAnsi="Calibri" w:eastAsia="Calibri" w:cs="Calibri" w:asciiTheme="minorAscii" w:hAnsiTheme="minorAscii" w:eastAsiaTheme="minorAscii" w:cstheme="minorAscii"/>
          <w:color w:val="auto"/>
          <w:sz w:val="24"/>
          <w:szCs w:val="24"/>
        </w:rPr>
        <w:t>years’</w:t>
      </w:r>
      <w:r w:rsidRPr="3EA717CF" w:rsidR="7A7BEF18">
        <w:rPr>
          <w:rFonts w:ascii="Calibri" w:hAnsi="Calibri" w:eastAsia="Calibri" w:cs="Calibri" w:asciiTheme="minorAscii" w:hAnsiTheme="minorAscii" w:eastAsiaTheme="minorAscii" w:cstheme="minorAscii"/>
          <w:color w:val="auto"/>
          <w:sz w:val="24"/>
          <w:szCs w:val="24"/>
        </w:rPr>
        <w:t>.</w:t>
      </w:r>
      <w:r w:rsidRPr="3EA717CF" w:rsidR="65932A35">
        <w:rPr>
          <w:rFonts w:ascii="Calibri" w:hAnsi="Calibri" w:eastAsia="Calibri" w:cs="Calibri" w:asciiTheme="minorAscii" w:hAnsiTheme="minorAscii" w:eastAsiaTheme="minorAscii" w:cstheme="minorAscii"/>
          <w:color w:val="auto"/>
          <w:sz w:val="24"/>
          <w:szCs w:val="24"/>
        </w:rPr>
        <w:t xml:space="preserve"> Gower Journal</w:t>
      </w:r>
      <w:r w:rsidRPr="3EA717CF" w:rsidR="66CA13F0">
        <w:rPr>
          <w:rFonts w:ascii="Calibri" w:hAnsi="Calibri" w:eastAsia="Calibri" w:cs="Calibri" w:asciiTheme="minorAscii" w:hAnsiTheme="minorAscii" w:eastAsiaTheme="minorAscii" w:cstheme="minorAscii"/>
          <w:color w:val="auto"/>
          <w:sz w:val="24"/>
          <w:szCs w:val="24"/>
        </w:rPr>
        <w:t xml:space="preserve"> 27, pp. 58-62.</w:t>
      </w:r>
    </w:p>
    <w:p w:rsidR="3EA717CF" w:rsidP="3EA717CF" w:rsidRDefault="3EA717CF" w14:paraId="60DCD49B" w14:textId="68590BDF">
      <w:pPr>
        <w:pStyle w:val="Normal"/>
        <w:jc w:val="both"/>
        <w:rPr>
          <w:rFonts w:ascii="Calibri" w:hAnsi="Calibri" w:eastAsia="Calibri" w:cs="Calibri" w:asciiTheme="minorAscii" w:hAnsiTheme="minorAscii" w:eastAsiaTheme="minorAscii" w:cstheme="minorAscii"/>
          <w:color w:val="auto"/>
          <w:sz w:val="24"/>
          <w:szCs w:val="24"/>
        </w:rPr>
      </w:pPr>
    </w:p>
    <w:p w:rsidR="28B88891" w:rsidP="3EA717CF" w:rsidRDefault="28B88891" w14:paraId="59375079" w14:textId="19948986">
      <w:pPr>
        <w:pStyle w:val="Normal"/>
        <w:jc w:val="both"/>
        <w:rPr>
          <w:rFonts w:ascii="Calibri" w:hAnsi="Calibri" w:eastAsia="Calibri" w:cs="Calibri" w:asciiTheme="minorAscii" w:hAnsiTheme="minorAscii" w:eastAsiaTheme="minorAscii" w:cstheme="minorAscii"/>
          <w:color w:val="auto"/>
          <w:sz w:val="24"/>
          <w:szCs w:val="24"/>
        </w:rPr>
      </w:pPr>
      <w:r w:rsidRPr="3EA717CF" w:rsidR="28B88891">
        <w:rPr>
          <w:rFonts w:ascii="Calibri" w:hAnsi="Calibri" w:eastAsia="Calibri" w:cs="Calibri" w:asciiTheme="minorAscii" w:hAnsiTheme="minorAscii" w:eastAsiaTheme="minorAscii" w:cstheme="minorAscii"/>
          <w:color w:val="auto"/>
          <w:sz w:val="24"/>
          <w:szCs w:val="24"/>
        </w:rPr>
        <w:t xml:space="preserve">MACC (2017). ‘Unexploded Ordnance Desk Study T2470, Crymlyn Burrows, Swansea. </w:t>
      </w:r>
      <w:r w:rsidRPr="3EA717CF" w:rsidR="41562D8D">
        <w:rPr>
          <w:rFonts w:ascii="Calibri" w:hAnsi="Calibri" w:eastAsia="Calibri" w:cs="Calibri" w:asciiTheme="minorAscii" w:hAnsiTheme="minorAscii" w:eastAsiaTheme="minorAscii" w:cstheme="minorAscii"/>
          <w:color w:val="auto"/>
          <w:sz w:val="24"/>
          <w:szCs w:val="24"/>
        </w:rPr>
        <w:t>Unpublished</w:t>
      </w:r>
      <w:r w:rsidRPr="3EA717CF" w:rsidR="28B88891">
        <w:rPr>
          <w:rFonts w:ascii="Calibri" w:hAnsi="Calibri" w:eastAsia="Calibri" w:cs="Calibri" w:asciiTheme="minorAscii" w:hAnsiTheme="minorAscii" w:eastAsiaTheme="minorAscii" w:cstheme="minorAscii"/>
          <w:color w:val="auto"/>
          <w:sz w:val="24"/>
          <w:szCs w:val="24"/>
        </w:rPr>
        <w:t xml:space="preserve"> report for </w:t>
      </w:r>
      <w:r w:rsidRPr="3EA717CF" w:rsidR="0E71918E">
        <w:rPr>
          <w:rFonts w:ascii="Calibri" w:hAnsi="Calibri" w:eastAsia="Calibri" w:cs="Calibri" w:asciiTheme="minorAscii" w:hAnsiTheme="minorAscii" w:eastAsiaTheme="minorAscii" w:cstheme="minorAscii"/>
          <w:color w:val="auto"/>
          <w:sz w:val="24"/>
          <w:szCs w:val="24"/>
        </w:rPr>
        <w:t>Swansea University.</w:t>
      </w:r>
    </w:p>
    <w:p w:rsidR="3EA717CF" w:rsidP="3EA717CF" w:rsidRDefault="3EA717CF" w14:paraId="1DFD2658" w14:textId="41F27F73">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73F0279C" w:rsidP="3EA717CF" w:rsidRDefault="73F0279C" w14:paraId="20760246" w14:textId="489D7B63">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EA717CF" w:rsidR="73F027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Ausden</w:t>
      </w:r>
      <w:r w:rsidRPr="3EA717CF" w:rsidR="6BD48F8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 (2007).</w:t>
      </w:r>
      <w:r w:rsidRPr="3EA717CF" w:rsidR="73F027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EA717CF" w:rsidR="65F22B3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EA717CF" w:rsidR="73F027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Habitat management for conservation</w:t>
      </w:r>
      <w:r w:rsidRPr="3EA717CF" w:rsidR="37D397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EA717CF" w:rsidR="73F027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EA717CF" w:rsidR="73F027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 handbook of techniques: Oxford University Press, Oxford, 2007, 411 pp, ISBN 978-0-19-856873-8,” </w:t>
      </w:r>
      <w:r w:rsidRPr="3EA717CF" w:rsidR="73F0279C">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Journal of Insect Conservation</w:t>
      </w:r>
      <w:r w:rsidRPr="3EA717CF" w:rsidR="2A7974B3">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w:t>
      </w:r>
      <w:r w:rsidRPr="3EA717CF" w:rsidR="73F027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pp. 723–724. Available at: </w:t>
      </w:r>
      <w:hyperlink r:id="R245312d67b504e17">
        <w:r w:rsidRPr="3EA717CF" w:rsidR="73F0279C">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https://doi.org/10.1007/s10841-008-9131-z</w:t>
        </w:r>
      </w:hyperlink>
      <w:r w:rsidRPr="3EA717CF" w:rsidR="73F027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3EA717CF" w:rsidP="3EA717CF" w:rsidRDefault="3EA717CF" w14:paraId="7C082B2A" w14:textId="1FC81231">
      <w:pPr>
        <w:pStyle w:val="Normal"/>
        <w:jc w:val="both"/>
        <w:rPr>
          <w:rFonts w:ascii="Calibri" w:hAnsi="Calibri" w:eastAsia="Calibri" w:cs="Calibri" w:asciiTheme="minorAscii" w:hAnsiTheme="minorAscii" w:eastAsiaTheme="minorAscii" w:cstheme="minorAscii"/>
          <w:sz w:val="24"/>
          <w:szCs w:val="24"/>
        </w:rPr>
      </w:pPr>
    </w:p>
    <w:p w:rsidR="2091EE3F" w:rsidP="3EA717CF" w:rsidRDefault="2091EE3F" w14:paraId="4F500DF7" w14:textId="00E927D6">
      <w:pPr>
        <w:pStyle w:val="Normal"/>
        <w:jc w:val="both"/>
        <w:rPr>
          <w:rFonts w:ascii="Calibri" w:hAnsi="Calibri" w:eastAsia="Calibri" w:cs="Calibri" w:asciiTheme="minorAscii" w:hAnsiTheme="minorAscii" w:eastAsiaTheme="minorAscii" w:cstheme="minorAscii"/>
        </w:rPr>
      </w:pPr>
      <w:r w:rsidRPr="3EA717CF" w:rsidR="2091EE3F">
        <w:rPr>
          <w:rFonts w:ascii="Calibri" w:hAnsi="Calibri" w:eastAsia="Calibri" w:cs="Calibri" w:asciiTheme="minorAscii" w:hAnsiTheme="minorAscii" w:eastAsiaTheme="minorAscii" w:cstheme="minorAscii"/>
          <w:sz w:val="24"/>
          <w:szCs w:val="24"/>
        </w:rPr>
        <w:t>Norfolk Wildlife Trust (NWT) (</w:t>
      </w:r>
      <w:r w:rsidRPr="3EA717CF" w:rsidR="2091EE3F">
        <w:rPr>
          <w:rFonts w:ascii="Calibri" w:hAnsi="Calibri" w:eastAsia="Calibri" w:cs="Calibri" w:asciiTheme="minorAscii" w:hAnsiTheme="minorAscii" w:eastAsiaTheme="minorAscii" w:cstheme="minorAscii"/>
          <w:sz w:val="24"/>
          <w:szCs w:val="24"/>
        </w:rPr>
        <w:t>nd</w:t>
      </w:r>
      <w:r w:rsidRPr="3EA717CF" w:rsidR="2091EE3F">
        <w:rPr>
          <w:rFonts w:ascii="Calibri" w:hAnsi="Calibri" w:eastAsia="Calibri" w:cs="Calibri" w:asciiTheme="minorAscii" w:hAnsiTheme="minorAscii" w:eastAsiaTheme="minorAscii" w:cstheme="minorAscii"/>
          <w:sz w:val="24"/>
          <w:szCs w:val="24"/>
        </w:rPr>
        <w:t>). ‘Introduction to Habitat Management</w:t>
      </w:r>
      <w:r w:rsidRPr="3EA717CF" w:rsidR="2091EE3F">
        <w:rPr>
          <w:rFonts w:ascii="Calibri" w:hAnsi="Calibri" w:eastAsia="Calibri" w:cs="Calibri" w:asciiTheme="minorAscii" w:hAnsiTheme="minorAscii" w:eastAsiaTheme="minorAscii" w:cstheme="minorAscii"/>
          <w:sz w:val="24"/>
          <w:szCs w:val="24"/>
        </w:rPr>
        <w:t>’.</w:t>
      </w:r>
      <w:r w:rsidRPr="3EA717CF" w:rsidR="2091EE3F">
        <w:rPr>
          <w:rFonts w:ascii="Calibri" w:hAnsi="Calibri" w:eastAsia="Calibri" w:cs="Calibri" w:asciiTheme="minorAscii" w:hAnsiTheme="minorAscii" w:eastAsiaTheme="minorAscii" w:cstheme="minorAscii"/>
          <w:sz w:val="24"/>
          <w:szCs w:val="24"/>
        </w:rPr>
        <w:t xml:space="preserve"> Wildlife in Norfolk. Available at: </w:t>
      </w:r>
      <w:hyperlink r:id="R6854b82adc204147">
        <w:r w:rsidRPr="3EA717CF" w:rsidR="670DF57D">
          <w:rPr>
            <w:rStyle w:val="Hyperlink"/>
            <w:rFonts w:ascii="Calibri" w:hAnsi="Calibri" w:eastAsia="Calibri" w:cs="Calibri" w:asciiTheme="minorAscii" w:hAnsiTheme="minorAscii" w:eastAsiaTheme="minorAscii" w:cstheme="minorAscii"/>
            <w:sz w:val="24"/>
            <w:szCs w:val="24"/>
          </w:rPr>
          <w:t>https://www.norfolkwildlife</w:t>
        </w:r>
        <w:r w:rsidRPr="3EA717CF" w:rsidR="670DF57D">
          <w:rPr>
            <w:rStyle w:val="Hyperlink"/>
            <w:rFonts w:ascii="Calibri" w:hAnsi="Calibri" w:eastAsia="Calibri" w:cs="Calibri" w:asciiTheme="minorAscii" w:hAnsiTheme="minorAscii" w:eastAsiaTheme="minorAscii" w:cstheme="minorAscii"/>
          </w:rPr>
          <w:t>trust.org.uk/wildlife-in-norfolk/a-living-landscape/supporting-nature-s-recovery/introduction-to-habitat-management</w:t>
        </w:r>
      </w:hyperlink>
      <w:r w:rsidRPr="3EA717CF" w:rsidR="68554A89">
        <w:rPr>
          <w:rFonts w:ascii="Calibri" w:hAnsi="Calibri" w:eastAsia="Calibri" w:cs="Calibri" w:asciiTheme="minorAscii" w:hAnsiTheme="minorAscii" w:eastAsiaTheme="minorAscii" w:cstheme="minorAscii"/>
        </w:rPr>
        <w:t>. Accessed: 12/10/2024.</w:t>
      </w:r>
    </w:p>
    <w:p w:rsidR="3EA717CF" w:rsidP="3EA717CF" w:rsidRDefault="3EA717CF" w14:paraId="04E9B14F" w14:textId="2CA62070">
      <w:pPr>
        <w:pStyle w:val="Normal"/>
        <w:jc w:val="both"/>
        <w:rPr>
          <w:rFonts w:ascii="Calibri" w:hAnsi="Calibri" w:eastAsia="Calibri" w:cs="Calibri" w:asciiTheme="minorAscii" w:hAnsiTheme="minorAscii" w:eastAsiaTheme="minorAscii" w:cstheme="minorAscii"/>
        </w:rPr>
      </w:pPr>
    </w:p>
    <w:p w:rsidR="36264650" w:rsidP="3EA717CF" w:rsidRDefault="36264650" w14:paraId="197A5B8F" w14:textId="26B4F24B">
      <w:pPr>
        <w:pStyle w:val="Normal"/>
        <w:jc w:val="both"/>
        <w:rPr>
          <w:rFonts w:ascii="Calibri" w:hAnsi="Calibri" w:eastAsia="Calibri" w:cs="Calibri" w:asciiTheme="minorAscii" w:hAnsiTheme="minorAscii" w:eastAsiaTheme="minorAscii" w:cstheme="minorAscii"/>
        </w:rPr>
      </w:pPr>
      <w:r w:rsidRPr="3EA717CF" w:rsidR="36264650">
        <w:rPr>
          <w:rFonts w:ascii="Calibri" w:hAnsi="Calibri" w:eastAsia="Calibri" w:cs="Calibri" w:asciiTheme="minorAscii" w:hAnsiTheme="minorAscii" w:eastAsiaTheme="minorAscii" w:cstheme="minorAscii"/>
        </w:rPr>
        <w:t xml:space="preserve">Price, C. R. &amp; Brooks, K. (1980). ‘Swansea Bay: bedrock geology and its influence </w:t>
      </w:r>
      <w:r w:rsidRPr="3EA717CF" w:rsidR="334578C4">
        <w:rPr>
          <w:rFonts w:ascii="Calibri" w:hAnsi="Calibri" w:eastAsia="Calibri" w:cs="Calibri" w:asciiTheme="minorAscii" w:hAnsiTheme="minorAscii" w:eastAsiaTheme="minorAscii" w:cstheme="minorAscii"/>
        </w:rPr>
        <w:t>over geomorphological development</w:t>
      </w:r>
      <w:bookmarkStart w:name="_Int_tfz846v7" w:id="923490654"/>
      <w:r w:rsidRPr="3EA717CF" w:rsidR="334578C4">
        <w:rPr>
          <w:rFonts w:ascii="Calibri" w:hAnsi="Calibri" w:eastAsia="Calibri" w:cs="Calibri" w:asciiTheme="minorAscii" w:hAnsiTheme="minorAscii" w:eastAsiaTheme="minorAscii" w:cstheme="minorAscii"/>
        </w:rPr>
        <w:t>’.</w:t>
      </w:r>
      <w:bookmarkEnd w:id="923490654"/>
    </w:p>
    <w:p w:rsidR="3EA717CF" w:rsidP="3EA717CF" w:rsidRDefault="3EA717CF" w14:paraId="1857FFA3" w14:textId="3EBDA3D1">
      <w:pPr>
        <w:pStyle w:val="Normal"/>
        <w:jc w:val="both"/>
        <w:rPr>
          <w:rFonts w:ascii="Calibri" w:hAnsi="Calibri" w:eastAsia="Calibri" w:cs="Calibri" w:asciiTheme="minorAscii" w:hAnsiTheme="minorAscii" w:eastAsiaTheme="minorAscii" w:cstheme="minorAscii"/>
        </w:rPr>
      </w:pPr>
    </w:p>
    <w:p w:rsidR="40F6D58A" w:rsidP="3EA717CF" w:rsidRDefault="40F6D58A" w14:paraId="37FCEF47" w14:textId="755788C8">
      <w:pPr>
        <w:pStyle w:val="Normal"/>
        <w:jc w:val="both"/>
        <w:rPr>
          <w:rFonts w:ascii="Calibri" w:hAnsi="Calibri" w:eastAsia="Calibri" w:cs="Calibri" w:asciiTheme="minorAscii" w:hAnsiTheme="minorAscii" w:eastAsiaTheme="minorAscii" w:cstheme="minorAscii"/>
        </w:rPr>
      </w:pPr>
      <w:r w:rsidRPr="3EA717CF" w:rsidR="40F6D58A">
        <w:rPr>
          <w:rFonts w:ascii="Calibri" w:hAnsi="Calibri" w:eastAsia="Calibri" w:cs="Calibri" w:asciiTheme="minorAscii" w:hAnsiTheme="minorAscii" w:eastAsiaTheme="minorAscii" w:cstheme="minorAscii"/>
        </w:rPr>
        <w:t xml:space="preserve">Pye, K. &amp; Blott, S. J. (2014). ‘Neath Port Talbot County Borough Council Crymlyn Burrows &amp; </w:t>
      </w:r>
      <w:r w:rsidRPr="3EA717CF" w:rsidR="53A66694">
        <w:rPr>
          <w:rFonts w:ascii="Calibri" w:hAnsi="Calibri" w:eastAsia="Calibri" w:cs="Calibri" w:asciiTheme="minorAscii" w:hAnsiTheme="minorAscii" w:eastAsiaTheme="minorAscii" w:cstheme="minorAscii"/>
        </w:rPr>
        <w:t>Baglan Burrows: Geomorphological Assessment</w:t>
      </w:r>
      <w:bookmarkStart w:name="_Int_N3NN2OXw" w:id="318400912"/>
      <w:r w:rsidRPr="3EA717CF" w:rsidR="53A66694">
        <w:rPr>
          <w:rFonts w:ascii="Calibri" w:hAnsi="Calibri" w:eastAsia="Calibri" w:cs="Calibri" w:asciiTheme="minorAscii" w:hAnsiTheme="minorAscii" w:eastAsiaTheme="minorAscii" w:cstheme="minorAscii"/>
        </w:rPr>
        <w:t>’.</w:t>
      </w:r>
      <w:bookmarkEnd w:id="318400912"/>
      <w:r w:rsidRPr="3EA717CF" w:rsidR="53A66694">
        <w:rPr>
          <w:rFonts w:ascii="Calibri" w:hAnsi="Calibri" w:eastAsia="Calibri" w:cs="Calibri" w:asciiTheme="minorAscii" w:hAnsiTheme="minorAscii" w:eastAsiaTheme="minorAscii" w:cstheme="minorAscii"/>
        </w:rPr>
        <w:t xml:space="preserve"> Kenneth Pye Associates Ltd. Available at: https://www.npt.gov.uk/ldpexamination/ED031%20Baglanand%20Crymlyn%20Burrows%20Geomorphological%20Report%2006.02.14.pdf</w:t>
      </w:r>
    </w:p>
    <w:p w:rsidR="3EA717CF" w:rsidP="3EA717CF" w:rsidRDefault="3EA717CF" w14:paraId="5BAEF58E" w14:textId="115944DD">
      <w:pPr>
        <w:pStyle w:val="Normal"/>
        <w:jc w:val="both"/>
        <w:rPr>
          <w:rFonts w:ascii="Calibri" w:hAnsi="Calibri" w:eastAsia="Calibri" w:cs="Calibri" w:asciiTheme="minorAscii" w:hAnsiTheme="minorAscii" w:eastAsiaTheme="minorAscii" w:cstheme="minorAscii"/>
        </w:rPr>
      </w:pPr>
    </w:p>
    <w:p w:rsidR="137CAD0F" w:rsidP="3EA717CF" w:rsidRDefault="137CAD0F" w14:paraId="788565A6" w14:textId="33CB45A2">
      <w:pPr>
        <w:pStyle w:val="Normal"/>
        <w:jc w:val="both"/>
        <w:rPr>
          <w:rFonts w:ascii="Calibri" w:hAnsi="Calibri" w:eastAsia="Calibri" w:cs="Calibri" w:asciiTheme="minorAscii" w:hAnsiTheme="minorAscii" w:eastAsiaTheme="minorAscii" w:cstheme="minorAscii"/>
        </w:rPr>
      </w:pPr>
      <w:r w:rsidRPr="3EA717CF" w:rsidR="137CAD0F">
        <w:rPr>
          <w:rFonts w:ascii="Calibri" w:hAnsi="Calibri" w:eastAsia="Calibri" w:cs="Calibri" w:asciiTheme="minorAscii" w:hAnsiTheme="minorAscii" w:eastAsiaTheme="minorAscii" w:cstheme="minorAscii"/>
        </w:rPr>
        <w:t>Rollins, M. B.; Banner, F. T.; Tyler, P. A; Wakefield, S. J. &amp; James, A. E. (</w:t>
      </w:r>
      <w:r w:rsidRPr="3EA717CF" w:rsidR="3F876AAE">
        <w:rPr>
          <w:rFonts w:ascii="Calibri" w:hAnsi="Calibri" w:eastAsia="Calibri" w:cs="Calibri" w:asciiTheme="minorAscii" w:hAnsiTheme="minorAscii" w:eastAsiaTheme="minorAscii" w:cstheme="minorAscii"/>
        </w:rPr>
        <w:t xml:space="preserve">1980). ‘Industrialised </w:t>
      </w:r>
      <w:r w:rsidRPr="3EA717CF" w:rsidR="3F876AAE">
        <w:rPr>
          <w:rFonts w:ascii="Calibri" w:hAnsi="Calibri" w:eastAsia="Calibri" w:cs="Calibri" w:asciiTheme="minorAscii" w:hAnsiTheme="minorAscii" w:eastAsiaTheme="minorAscii" w:cstheme="minorAscii"/>
        </w:rPr>
        <w:t>embayments</w:t>
      </w:r>
      <w:r w:rsidRPr="3EA717CF" w:rsidR="3F876AAE">
        <w:rPr>
          <w:rFonts w:ascii="Calibri" w:hAnsi="Calibri" w:eastAsia="Calibri" w:cs="Calibri" w:asciiTheme="minorAscii" w:hAnsiTheme="minorAscii" w:eastAsiaTheme="minorAscii" w:cstheme="minorAscii"/>
        </w:rPr>
        <w:t xml:space="preserve"> and their environmental problems</w:t>
      </w:r>
      <w:bookmarkStart w:name="_Int_bwMKhTuI" w:id="1510215466"/>
      <w:r w:rsidRPr="3EA717CF" w:rsidR="3F876AAE">
        <w:rPr>
          <w:rFonts w:ascii="Calibri" w:hAnsi="Calibri" w:eastAsia="Calibri" w:cs="Calibri" w:asciiTheme="minorAscii" w:hAnsiTheme="minorAscii" w:eastAsiaTheme="minorAscii" w:cstheme="minorAscii"/>
        </w:rPr>
        <w:t>’.</w:t>
      </w:r>
      <w:bookmarkEnd w:id="1510215466"/>
      <w:r w:rsidRPr="3EA717CF" w:rsidR="3F876AAE">
        <w:rPr>
          <w:rFonts w:ascii="Calibri" w:hAnsi="Calibri" w:eastAsia="Calibri" w:cs="Calibri" w:asciiTheme="minorAscii" w:hAnsiTheme="minorAscii" w:eastAsiaTheme="minorAscii" w:cstheme="minorAscii"/>
        </w:rPr>
        <w:t xml:space="preserve"> A case </w:t>
      </w:r>
      <w:r w:rsidRPr="3EA717CF" w:rsidR="040EB422">
        <w:rPr>
          <w:rFonts w:ascii="Calibri" w:hAnsi="Calibri" w:eastAsia="Calibri" w:cs="Calibri" w:asciiTheme="minorAscii" w:hAnsiTheme="minorAscii" w:eastAsiaTheme="minorAscii" w:cstheme="minorAscii"/>
        </w:rPr>
        <w:t>study of Swansea Bay: proceedings of an interdisciplinary symposium held at University College, Swansea</w:t>
      </w:r>
      <w:r w:rsidRPr="3EA717CF" w:rsidR="69C7BD1E">
        <w:rPr>
          <w:rFonts w:ascii="Calibri" w:hAnsi="Calibri" w:eastAsia="Calibri" w:cs="Calibri" w:asciiTheme="minorAscii" w:hAnsiTheme="minorAscii" w:eastAsiaTheme="minorAscii" w:cstheme="minorAscii"/>
        </w:rPr>
        <w:t>,</w:t>
      </w:r>
      <w:r w:rsidRPr="3EA717CF" w:rsidR="040EB422">
        <w:rPr>
          <w:rFonts w:ascii="Calibri" w:hAnsi="Calibri" w:eastAsia="Calibri" w:cs="Calibri" w:asciiTheme="minorAscii" w:hAnsiTheme="minorAscii" w:eastAsiaTheme="minorAscii" w:cstheme="minorAscii"/>
        </w:rPr>
        <w:t xml:space="preserve"> </w:t>
      </w:r>
      <w:r w:rsidRPr="3EA717CF" w:rsidR="33E9ED7F">
        <w:rPr>
          <w:rFonts w:ascii="Calibri" w:hAnsi="Calibri" w:eastAsia="Calibri" w:cs="Calibri" w:asciiTheme="minorAscii" w:hAnsiTheme="minorAscii" w:eastAsiaTheme="minorAscii" w:cstheme="minorAscii"/>
        </w:rPr>
        <w:t>pp. 632</w:t>
      </w:r>
      <w:r w:rsidRPr="3EA717CF" w:rsidR="51B4567C">
        <w:rPr>
          <w:rFonts w:ascii="Calibri" w:hAnsi="Calibri" w:eastAsia="Calibri" w:cs="Calibri" w:asciiTheme="minorAscii" w:hAnsiTheme="minorAscii" w:eastAsiaTheme="minorAscii" w:cstheme="minorAscii"/>
        </w:rPr>
        <w:t xml:space="preserve">. Available at: </w:t>
      </w:r>
      <w:hyperlink r:id="R882463ce27e94096">
        <w:r w:rsidRPr="3EA717CF" w:rsidR="51B4567C">
          <w:rPr>
            <w:rStyle w:val="Hyperlink"/>
            <w:rFonts w:ascii="Calibri" w:hAnsi="Calibri" w:eastAsia="Calibri" w:cs="Calibri" w:asciiTheme="minorAscii" w:hAnsiTheme="minorAscii" w:eastAsiaTheme="minorAscii" w:cstheme="minorAscii"/>
          </w:rPr>
          <w:t>https://doi.org/10.2307/634275</w:t>
        </w:r>
      </w:hyperlink>
    </w:p>
    <w:p w:rsidR="3EA717CF" w:rsidP="3EA717CF" w:rsidRDefault="3EA717CF" w14:paraId="114D0A32" w14:textId="6D500BC6">
      <w:pPr>
        <w:pStyle w:val="Normal"/>
        <w:jc w:val="both"/>
        <w:rPr>
          <w:rFonts w:ascii="Calibri" w:hAnsi="Calibri" w:eastAsia="Calibri" w:cs="Calibri" w:asciiTheme="minorAscii" w:hAnsiTheme="minorAscii" w:eastAsiaTheme="minorAscii" w:cstheme="minorAscii"/>
        </w:rPr>
      </w:pPr>
    </w:p>
    <w:p w:rsidR="018E3C75" w:rsidP="3EA717CF" w:rsidRDefault="018E3C75" w14:paraId="35880D97" w14:textId="3B06A993">
      <w:pPr>
        <w:pStyle w:val="Normal"/>
        <w:jc w:val="both"/>
        <w:rPr>
          <w:rFonts w:ascii="Calibri" w:hAnsi="Calibri" w:eastAsia="Calibri" w:cs="Calibri" w:asciiTheme="minorAscii" w:hAnsiTheme="minorAscii" w:eastAsiaTheme="minorAscii" w:cstheme="minorAscii"/>
        </w:rPr>
      </w:pPr>
      <w:r w:rsidRPr="3EA717CF" w:rsidR="018E3C75">
        <w:rPr>
          <w:rFonts w:ascii="Calibri" w:hAnsi="Calibri" w:eastAsia="Calibri" w:cs="Calibri" w:asciiTheme="minorAscii" w:hAnsiTheme="minorAscii" w:eastAsiaTheme="minorAscii" w:cstheme="minorAscii"/>
        </w:rPr>
        <w:t xml:space="preserve"> </w:t>
      </w:r>
    </w:p>
    <w:p w:rsidR="5F8C5D9C" w:rsidP="3EA717CF" w:rsidRDefault="5F8C5D9C" w14:paraId="7FA98562" w14:textId="471561D8">
      <w:pPr>
        <w:pStyle w:val="Normal"/>
        <w:jc w:val="both"/>
        <w:rPr>
          <w:rFonts w:ascii="Calibri" w:hAnsi="Calibri" w:eastAsia="Calibri" w:cs="Calibri" w:asciiTheme="minorAscii" w:hAnsiTheme="minorAscii" w:eastAsiaTheme="minorAscii" w:cstheme="minorAscii"/>
        </w:rPr>
      </w:pPr>
      <w:r w:rsidRPr="3EA717CF" w:rsidR="5F8C5D9C">
        <w:rPr>
          <w:rFonts w:ascii="Calibri" w:hAnsi="Calibri" w:eastAsia="Calibri" w:cs="Calibri" w:asciiTheme="minorAscii" w:hAnsiTheme="minorAscii" w:eastAsiaTheme="minorAscii" w:cstheme="minorAscii"/>
        </w:rPr>
        <w:t>Sampson</w:t>
      </w:r>
      <w:r w:rsidRPr="3EA717CF" w:rsidR="5F8C5D9C">
        <w:rPr>
          <w:rFonts w:ascii="Calibri" w:hAnsi="Calibri" w:eastAsia="Calibri" w:cs="Calibri" w:asciiTheme="minorAscii" w:hAnsiTheme="minorAscii" w:eastAsiaTheme="minorAscii" w:cstheme="minorAscii"/>
        </w:rPr>
        <w:t xml:space="preserve"> B. (2018). ‘Crymlyn Burrows SSI Management Plan 2018-2023'. Swansea University. Avai</w:t>
      </w:r>
      <w:r w:rsidRPr="3EA717CF" w:rsidR="260252F4">
        <w:rPr>
          <w:rFonts w:ascii="Calibri" w:hAnsi="Calibri" w:eastAsia="Calibri" w:cs="Calibri" w:asciiTheme="minorAscii" w:hAnsiTheme="minorAscii" w:eastAsiaTheme="minorAscii" w:cstheme="minorAscii"/>
        </w:rPr>
        <w:t xml:space="preserve">lable at: </w:t>
      </w:r>
      <w:hyperlink r:id="Rd3aca88e6e984296">
        <w:r w:rsidRPr="3EA717CF" w:rsidR="260252F4">
          <w:rPr>
            <w:rStyle w:val="Hyperlink"/>
            <w:rFonts w:ascii="Calibri" w:hAnsi="Calibri" w:eastAsia="Calibri" w:cs="Calibri" w:asciiTheme="minorAscii" w:hAnsiTheme="minorAscii" w:eastAsiaTheme="minorAscii" w:cstheme="minorAscii"/>
          </w:rPr>
          <w:t>https://swansea.ac.uk/media/Crymlyn-Burrows-SSI-Management-Plan-2018</w:t>
        </w:r>
        <w:r w:rsidRPr="3EA717CF" w:rsidR="38B1E3FE">
          <w:rPr>
            <w:rStyle w:val="Hyperlink"/>
            <w:rFonts w:ascii="Calibri" w:hAnsi="Calibri" w:eastAsia="Calibri" w:cs="Calibri" w:asciiTheme="minorAscii" w:hAnsiTheme="minorAscii" w:eastAsiaTheme="minorAscii" w:cstheme="minorAscii"/>
          </w:rPr>
          <w:t>-2023.pdf</w:t>
        </w:r>
      </w:hyperlink>
      <w:r w:rsidRPr="3EA717CF" w:rsidR="38B1E3FE">
        <w:rPr>
          <w:rFonts w:ascii="Calibri" w:hAnsi="Calibri" w:eastAsia="Calibri" w:cs="Calibri" w:asciiTheme="minorAscii" w:hAnsiTheme="minorAscii" w:eastAsiaTheme="minorAscii" w:cstheme="minorAscii"/>
        </w:rPr>
        <w:t>. [Online]. Accessed: 10.03.2024</w:t>
      </w:r>
    </w:p>
    <w:p w:rsidR="3EA717CF" w:rsidP="3EA717CF" w:rsidRDefault="3EA717CF" w14:paraId="5B6028C3" w14:textId="35EB164B">
      <w:pPr>
        <w:pStyle w:val="Normal"/>
        <w:jc w:val="both"/>
        <w:rPr>
          <w:rFonts w:ascii="Calibri" w:hAnsi="Calibri" w:eastAsia="Calibri" w:cs="Calibri" w:asciiTheme="minorAscii" w:hAnsiTheme="minorAscii" w:eastAsiaTheme="minorAscii" w:cstheme="minorAscii"/>
        </w:rPr>
      </w:pPr>
    </w:p>
    <w:p w:rsidR="37BDA47D" w:rsidP="3EA717CF" w:rsidRDefault="37BDA47D" w14:paraId="00726E3B" w14:textId="68F11072">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EA717CF" w:rsidR="37BDA4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Tiefenbacher</w:t>
      </w:r>
      <w:r w:rsidRPr="3EA717CF" w:rsidR="37BDA4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J. P. (ed.) (2022). ‘Environmental Management - Pollution, Habitat, Ecology, and Sustainability</w:t>
      </w:r>
      <w:bookmarkStart w:name="_Int_LjITVihq" w:id="1498515094"/>
      <w:r w:rsidRPr="3EA717CF" w:rsidR="37BDA4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bookmarkEnd w:id="1498515094"/>
      <w:r w:rsidRPr="3EA717CF" w:rsidR="37BDA4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EA717CF" w:rsidR="37BDA4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IntechOpen</w:t>
      </w:r>
      <w:r w:rsidRPr="3EA717CF" w:rsidR="37BDA4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4270243c10e0403f">
        <w:r w:rsidRPr="3EA717CF" w:rsidR="37BDA47D">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http://dx.doi.org/10.5772/intechopen.94788</w:t>
        </w:r>
      </w:hyperlink>
      <w:r w:rsidRPr="3EA717CF" w:rsidR="37BDA4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EA717CF" w:rsidR="0AC71C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Accessed: 12/03/2024.</w:t>
      </w:r>
    </w:p>
    <w:p w:rsidR="02FB83AA" w:rsidP="589E39C2" w:rsidRDefault="02FB83AA" w14:paraId="077348D2" w14:textId="4C907B7F"/>
    <w:p w:rsidR="02FB83AA" w:rsidP="589E39C2" w:rsidRDefault="02FB83AA" w14:paraId="165DB54F" w14:textId="49EC61A7"/>
    <w:p w:rsidR="02FB83AA" w:rsidP="589E39C2" w:rsidRDefault="02FB83AA" w14:paraId="52B04200" w14:textId="2FA05752"/>
    <w:p w:rsidR="02FB83AA" w:rsidP="589E39C2" w:rsidRDefault="02FB83AA" w14:paraId="03F395DE" w14:textId="5A49A03C"/>
    <w:p w:rsidR="02FB83AA" w:rsidP="589E39C2" w:rsidRDefault="02FB83AA" w14:paraId="6C03E719" w14:textId="0CAF509D"/>
    <w:sectPr w:rsidR="02FB83AA" w:rsidSect="005F68D9">
      <w:headerReference w:type="default" r:id="rId8"/>
      <w:footerReference w:type="even" r:id="rId9"/>
      <w:footerReference w:type="default" r:id="rId10"/>
      <w:headerReference w:type="first" r:id="rId11"/>
      <w:pgSz w:w="11906" w:h="16838" w:orient="portrait"/>
      <w:pgMar w:top="1440" w:right="1440" w:bottom="1440" w:left="1440" w:header="720" w:footer="720" w:gutter="0"/>
      <w:cols w:space="720"/>
      <w:titlePg/>
      <w:docGrid w:linePitch="360"/>
      <w:footerReference w:type="first" r:id="Rb06df1679427441b"/>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10E33" w:rsidRDefault="00B10E33" w14:paraId="02D0F261" w14:textId="77777777">
      <w:pPr>
        <w:spacing w:after="0" w:line="240" w:lineRule="auto"/>
      </w:pPr>
      <w:r>
        <w:separator/>
      </w:r>
    </w:p>
  </w:endnote>
  <w:endnote w:type="continuationSeparator" w:id="0">
    <w:p w:rsidR="00B10E33" w:rsidRDefault="00B10E33" w14:paraId="02D5CCE1" w14:textId="77777777">
      <w:pPr>
        <w:spacing w:after="0" w:line="240" w:lineRule="auto"/>
      </w:pPr>
      <w:r>
        <w:continuationSeparator/>
      </w:r>
    </w:p>
  </w:endnote>
  <w:endnote w:type="continuationNotice" w:id="1">
    <w:p w:rsidR="005E5937" w:rsidRDefault="005E5937" w14:paraId="22F42A2D"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 Next LT Pro">
    <w:panose1 w:val="020B0504020202020204"/>
    <w:charset w:val="00"/>
    <w:family w:val="swiss"/>
    <w:pitch w:val="variable"/>
    <w:sig w:usb0="800000EF" w:usb1="5000204A" w:usb2="00000000" w:usb3="00000000" w:csb0="00000093" w:csb1="00000000"/>
  </w:font>
  <w:font w:name="Times New Roman">
    <w:panose1 w:val="02020603050405020304"/>
    <w:charset w:val="00"/>
    <w:family w:val="roman"/>
    <w:pitch w:val="variable"/>
    <w:sig w:usb0="E0002EFF" w:usb1="C000785B" w:usb2="00000009" w:usb3="00000000" w:csb0="000001FF" w:csb1="00000000"/>
  </w:font>
  <w:font w:name="Modern Love">
    <w:panose1 w:val="04090805081005020601"/>
    <w:charset w:val="00"/>
    <w:family w:val="decorative"/>
    <w:pitch w:val="variable"/>
    <w:sig w:usb0="8000002F" w:usb1="0000000A" w:usb2="00000000" w:usb3="00000000" w:csb0="00000001" w:csb1="00000000"/>
  </w:font>
  <w:font w:name="Modern Love Caps">
    <w:panose1 w:val="04070805081001020A01"/>
    <w:charset w:val="00"/>
    <w:family w:val="decorative"/>
    <w:pitch w:val="variable"/>
    <w:sig w:usb0="8000002F" w:usb1="0000000A"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4297197"/>
      <w:docPartObj>
        <w:docPartGallery w:val="Page Numbers (Bottom of Page)"/>
        <w:docPartUnique/>
      </w:docPartObj>
    </w:sdtPr>
    <w:sdtContent>
      <w:p w:rsidR="005F68D9" w:rsidP="00EA3152" w:rsidRDefault="005F68D9" w14:paraId="034CBF8F" w14:textId="4683543B">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EndPr>
      <w:rPr>
        <w:rStyle w:val="PageNumber"/>
      </w:rPr>
    </w:sdtEndPr>
  </w:sdt>
  <w:p w:rsidR="005F68D9" w:rsidP="005F68D9" w:rsidRDefault="005F68D9" w14:paraId="1F89C4B9"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6C283F48" w:rsidP="6C283F48" w:rsidRDefault="6C283F48" w14:paraId="3F3B2A59" w14:textId="58C8E11B">
    <w:pPr>
      <w:pStyle w:val="Footer"/>
      <w:jc w:val="right"/>
      <w:rPr/>
    </w:pPr>
    <w:r>
      <w:fldChar w:fldCharType="begin"/>
    </w:r>
    <w:r>
      <w:instrText xml:space="preserve">PAGE</w:instrText>
    </w:r>
    <w:r>
      <w:fldChar w:fldCharType="separate"/>
    </w:r>
    <w:r>
      <w:fldChar w:fldCharType="end"/>
    </w:r>
  </w:p>
  <w:sdt>
    <w:sdtPr>
      <w:rPr>
        <w:rStyle w:val="PageNumber"/>
      </w:rPr>
      <w:id w:val="2106914473"/>
      <w:docPartObj>
        <w:docPartGallery w:val="Page Numbers (Bottom of Page)"/>
        <w:docPartUnique/>
      </w:docPartObj>
    </w:sdtPr>
    <w:sdtContent>
      <w:p w:rsidR="005F68D9" w:rsidP="00EA3152" w:rsidRDefault="005F68D9" w14:paraId="1A43E4E8" w14:textId="7F1B8C4A">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EndPr>
      <w:rPr>
        <w:rStyle w:val="PageNumber"/>
      </w:rPr>
    </w:sdtEndPr>
  </w:sdt>
  <w:tbl>
    <w:tblPr>
      <w:tblW w:w="0" w:type="auto"/>
      <w:tblLayout w:type="fixed"/>
      <w:tblLook w:val="06A0" w:firstRow="1" w:lastRow="0" w:firstColumn="1" w:lastColumn="0" w:noHBand="1" w:noVBand="1"/>
    </w:tblPr>
    <w:tblGrid>
      <w:gridCol w:w="3005"/>
      <w:gridCol w:w="3005"/>
      <w:gridCol w:w="3005"/>
    </w:tblGrid>
    <w:tr w:rsidR="02FB83AA" w:rsidTr="589E39C2" w14:paraId="64C5CE92" w14:textId="77777777">
      <w:trPr>
        <w:trHeight w:val="300"/>
      </w:trPr>
      <w:tc>
        <w:tcPr>
          <w:tcW w:w="3005" w:type="dxa"/>
        </w:tcPr>
        <w:p w:rsidR="02FB83AA" w:rsidP="005F68D9" w:rsidRDefault="02FB83AA" w14:paraId="1C4542A9" w14:textId="587A2B42">
          <w:pPr>
            <w:pStyle w:val="Header"/>
            <w:ind w:left="-115" w:right="360"/>
          </w:pPr>
        </w:p>
      </w:tc>
      <w:tc>
        <w:tcPr>
          <w:tcW w:w="3005" w:type="dxa"/>
        </w:tcPr>
        <w:p w:rsidR="02FB83AA" w:rsidP="02FB83AA" w:rsidRDefault="02FB83AA" w14:paraId="18C3C784" w14:textId="30E48953">
          <w:pPr>
            <w:pStyle w:val="Header"/>
            <w:jc w:val="center"/>
          </w:pPr>
        </w:p>
      </w:tc>
      <w:tc>
        <w:tcPr>
          <w:tcW w:w="3005" w:type="dxa"/>
        </w:tcPr>
        <w:p w:rsidR="02FB83AA" w:rsidP="02FB83AA" w:rsidRDefault="02FB83AA" w14:paraId="6BA673E1" w14:textId="23D795C8">
          <w:pPr>
            <w:pStyle w:val="Header"/>
            <w:ind w:right="-115"/>
            <w:jc w:val="right"/>
          </w:pPr>
        </w:p>
      </w:tc>
    </w:tr>
  </w:tbl>
  <w:p w:rsidR="02FB83AA" w:rsidP="02FB83AA" w:rsidRDefault="02FB83AA" w14:paraId="31B5FCA2" w14:textId="0898B0F5">
    <w:pPr>
      <w:pStyle w:val="Footer"/>
    </w:pPr>
  </w:p>
</w:ftr>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C283F48" w:rsidTr="6C283F48" w14:paraId="515AB892">
      <w:trPr>
        <w:trHeight w:val="300"/>
      </w:trPr>
      <w:tc>
        <w:tcPr>
          <w:tcW w:w="3005" w:type="dxa"/>
          <w:tcMar/>
        </w:tcPr>
        <w:p w:rsidR="6C283F48" w:rsidP="6C283F48" w:rsidRDefault="6C283F48" w14:paraId="11B78CA7" w14:textId="2CB487D9">
          <w:pPr>
            <w:pStyle w:val="Header"/>
            <w:bidi w:val="0"/>
            <w:ind w:left="-115"/>
            <w:jc w:val="left"/>
            <w:rPr/>
          </w:pPr>
        </w:p>
      </w:tc>
      <w:tc>
        <w:tcPr>
          <w:tcW w:w="3005" w:type="dxa"/>
          <w:tcMar/>
        </w:tcPr>
        <w:p w:rsidR="6C283F48" w:rsidP="6C283F48" w:rsidRDefault="6C283F48" w14:paraId="7050C2A6" w14:textId="3A25232C">
          <w:pPr>
            <w:pStyle w:val="Header"/>
            <w:bidi w:val="0"/>
            <w:jc w:val="center"/>
            <w:rPr/>
          </w:pPr>
        </w:p>
      </w:tc>
      <w:tc>
        <w:tcPr>
          <w:tcW w:w="3005" w:type="dxa"/>
          <w:tcMar/>
        </w:tcPr>
        <w:p w:rsidR="6C283F48" w:rsidP="6C283F48" w:rsidRDefault="6C283F48" w14:paraId="070606EA" w14:textId="64C11654">
          <w:pPr>
            <w:pStyle w:val="Header"/>
            <w:bidi w:val="0"/>
            <w:ind w:right="-115"/>
            <w:jc w:val="right"/>
            <w:rPr/>
          </w:pPr>
        </w:p>
      </w:tc>
    </w:tr>
  </w:tbl>
  <w:p w:rsidR="6C283F48" w:rsidP="6C283F48" w:rsidRDefault="6C283F48" w14:paraId="4F46F93B" w14:textId="5F92964C">
    <w:pPr>
      <w:pStyle w:val="Footer"/>
      <w:bidi w:val="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10E33" w:rsidRDefault="00B10E33" w14:paraId="3E2FCD76" w14:textId="77777777">
      <w:pPr>
        <w:spacing w:after="0" w:line="240" w:lineRule="auto"/>
      </w:pPr>
      <w:r>
        <w:separator/>
      </w:r>
    </w:p>
  </w:footnote>
  <w:footnote w:type="continuationSeparator" w:id="0">
    <w:p w:rsidR="00B10E33" w:rsidRDefault="00B10E33" w14:paraId="0F89A055" w14:textId="77777777">
      <w:pPr>
        <w:spacing w:after="0" w:line="240" w:lineRule="auto"/>
      </w:pPr>
      <w:r>
        <w:continuationSeparator/>
      </w:r>
    </w:p>
  </w:footnote>
  <w:footnote w:type="continuationNotice" w:id="1">
    <w:p w:rsidR="005E5937" w:rsidRDefault="005E5937" w14:paraId="69C1D23C"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2FB83AA" w:rsidTr="589E39C2" w14:paraId="5F1899DF" w14:textId="77777777">
      <w:trPr>
        <w:trHeight w:val="300"/>
      </w:trPr>
      <w:tc>
        <w:tcPr>
          <w:tcW w:w="3005" w:type="dxa"/>
        </w:tcPr>
        <w:p w:rsidR="02FB83AA" w:rsidP="02FB83AA" w:rsidRDefault="02FB83AA" w14:paraId="1CD2CE0F" w14:textId="43D26D57">
          <w:pPr>
            <w:pStyle w:val="Header"/>
            <w:ind w:left="-115"/>
          </w:pPr>
        </w:p>
      </w:tc>
      <w:tc>
        <w:tcPr>
          <w:tcW w:w="3005" w:type="dxa"/>
        </w:tcPr>
        <w:p w:rsidR="02FB83AA" w:rsidP="02FB83AA" w:rsidRDefault="02FB83AA" w14:paraId="6F50978A" w14:textId="192FC292">
          <w:pPr>
            <w:pStyle w:val="Header"/>
            <w:jc w:val="center"/>
          </w:pPr>
        </w:p>
      </w:tc>
      <w:tc>
        <w:tcPr>
          <w:tcW w:w="3005" w:type="dxa"/>
        </w:tcPr>
        <w:p w:rsidR="02FB83AA" w:rsidP="02FB83AA" w:rsidRDefault="02FB83AA" w14:paraId="32E502A0" w14:textId="6BEC6145">
          <w:pPr>
            <w:pStyle w:val="Header"/>
            <w:ind w:right="-115"/>
            <w:jc w:val="right"/>
          </w:pPr>
        </w:p>
      </w:tc>
    </w:tr>
  </w:tbl>
  <w:p w:rsidR="02FB83AA" w:rsidP="02FB83AA" w:rsidRDefault="02FB83AA" w14:paraId="3B40A296" w14:textId="01D3BC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A9439F" w:rsidRDefault="006F1116" w14:paraId="0CB3EDA5" w14:textId="176E8DDA">
    <w:pPr>
      <w:pStyle w:val="Header"/>
    </w:pPr>
    <w:r w:rsidRPr="00A406E5">
      <w:rPr>
        <w:rFonts w:ascii="Arial" w:hAnsi="Arial" w:cs="Arial"/>
        <w:noProof/>
      </w:rPr>
      <w:drawing>
        <wp:anchor distT="0" distB="0" distL="114300" distR="114300" simplePos="0" relativeHeight="251658240" behindDoc="0" locked="0" layoutInCell="1" allowOverlap="1" wp14:anchorId="7D99893B" wp14:editId="6519BD3E">
          <wp:simplePos x="0" y="0"/>
          <wp:positionH relativeFrom="column">
            <wp:posOffset>-349624</wp:posOffset>
          </wp:positionH>
          <wp:positionV relativeFrom="paragraph">
            <wp:posOffset>134434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A9439F" w:rsidRDefault="00A9439F" w14:paraId="2FA65780" w14:textId="132BEEA3">
    <w:pPr>
      <w:pStyle w:val="Header"/>
    </w:pPr>
  </w:p>
</w:hdr>
</file>

<file path=word/intelligence2.xml><?xml version="1.0" encoding="utf-8"?>
<int2:intelligence xmlns:int2="http://schemas.microsoft.com/office/intelligence/2020/intelligence" xmlns:oel="http://schemas.microsoft.com/office/2019/extlst">
  <int2:observations>
    <int2:textHash int2:hashCode="mhXHMf4k9x3VEs" int2:id="kd6pBsE1">
      <int2:state int2:type="AugLoop_Text_Critique" int2:value="Rejected"/>
    </int2:textHash>
    <int2:textHash int2:hashCode="/JsNamSLbqut0R" int2:id="u2pm2T86">
      <int2:state int2:type="AugLoop_Text_Critique" int2:value="Rejected"/>
    </int2:textHash>
    <int2:textHash int2:hashCode="MRnxeztQwh0oWs" int2:id="dxPhfK3Q">
      <int2:state int2:type="AugLoop_Text_Critique" int2:value="Rejected"/>
    </int2:textHash>
    <int2:textHash int2:hashCode="rBTlYvdhWhOGwE" int2:id="Je18Xf0Q">
      <int2:state int2:type="AugLoop_Text_Critique" int2:value="Rejected"/>
    </int2:textHash>
    <int2:textHash int2:hashCode="FuYTT7tMl86aAD" int2:id="9tTEfOIM">
      <int2:state int2:type="AugLoop_Text_Critique" int2:value="Rejected"/>
    </int2:textHash>
    <int2:textHash int2:hashCode="hemfqUv4GjqL63" int2:id="nd5HUul1">
      <int2:state int2:type="AugLoop_Text_Critique" int2:value="Rejected"/>
    </int2:textHash>
    <int2:textHash int2:hashCode="lyWhFPRh7R0WS/" int2:id="6pXi0fiJ">
      <int2:state int2:type="AugLoop_Text_Critique" int2:value="Rejected"/>
    </int2:textHash>
    <int2:textHash int2:hashCode="5C4LICJ4ZLjTDB" int2:id="M7kMFBdS">
      <int2:state int2:type="AugLoop_Text_Critique" int2:value="Rejected"/>
    </int2:textHash>
    <int2:textHash int2:hashCode="0NvAEvw//nn/+d" int2:id="v6k9DfmK">
      <int2:state int2:type="AugLoop_Text_Critique" int2:value="Rejected"/>
    </int2:textHash>
    <int2:textHash int2:hashCode="Rx5NpKiW7w3W8F" int2:id="3e1mJ8Gl">
      <int2:state int2:type="AugLoop_Text_Critique" int2:value="Rejected"/>
    </int2:textHash>
    <int2:bookmark int2:bookmarkName="_Int_u5MVY0gS" int2:invalidationBookmarkName="" int2:hashCode="3gGakB0a6JbTnX" int2:id="eDvcBAPS">
      <int2:state int2:type="AugLoop_Text_Critique" int2:value="Rejected"/>
    </int2:bookmark>
    <int2:bookmark int2:bookmarkName="_Int_AWN15UsQ" int2:invalidationBookmarkName="" int2:hashCode="/4fOpKSLdzQqLb" int2:id="DcxvxCdN">
      <int2:state int2:type="AugLoop_Text_Critique" int2:value="Rejected"/>
    </int2:bookmark>
    <int2:bookmark int2:bookmarkName="_Int_KJ3SSBDv" int2:invalidationBookmarkName="" int2:hashCode="bwOKig3H4A03Rk" int2:id="zBjX5vkP">
      <int2:state int2:type="AugLoop_Text_Critique" int2:value="Rejected"/>
    </int2:bookmark>
    <int2:bookmark int2:bookmarkName="_Int_sfcRRao7" int2:invalidationBookmarkName="" int2:hashCode="3i4/duTJ0R+q/h" int2:id="bkiRAz12">
      <int2:state int2:type="AugLoop_Text_Critique" int2:value="Rejected"/>
    </int2:bookmark>
    <int2:bookmark int2:bookmarkName="_Int_NvjplnzF" int2:invalidationBookmarkName="" int2:hashCode="2i+nRVfs0n2Mwv" int2:id="l4X4VXMj">
      <int2:state int2:type="AugLoop_Text_Critique" int2:value="Rejected"/>
    </int2:bookmark>
    <int2:bookmark int2:bookmarkName="_Int_t4LXVftm" int2:invalidationBookmarkName="" int2:hashCode="2YEYFHdYwUs3ma" int2:id="mcuYGXO2">
      <int2:state int2:type="AugLoop_Text_Critique" int2:value="Rejected"/>
    </int2:bookmark>
    <int2:bookmark int2:bookmarkName="_Int_uLeWgyHR" int2:invalidationBookmarkName="" int2:hashCode="xgDzA50uAYUN6A" int2:id="Uj3jsGne">
      <int2:state int2:type="AugLoop_Text_Critique" int2:value="Rejected"/>
    </int2:bookmark>
    <int2:bookmark int2:bookmarkName="_Int_LjITVihq" int2:invalidationBookmarkName="" int2:hashCode="xgDzA50uAYUN6A" int2:id="LeVHZ3fw">
      <int2:state int2:type="AugLoop_Text_Critique" int2:value="Rejected"/>
    </int2:bookmark>
    <int2:bookmark int2:bookmarkName="_Int_bwMKhTuI" int2:invalidationBookmarkName="" int2:hashCode="xgDzA50uAYUN6A" int2:id="aqVNuh4x">
      <int2:state int2:type="AugLoop_Text_Critique" int2:value="Rejected"/>
    </int2:bookmark>
    <int2:bookmark int2:bookmarkName="_Int_N3NN2OXw" int2:invalidationBookmarkName="" int2:hashCode="xgDzA50uAYUN6A" int2:id="xcOdjjpA">
      <int2:state int2:type="AugLoop_Text_Critique" int2:value="Rejected"/>
    </int2:bookmark>
    <int2:bookmark int2:bookmarkName="_Int_tfz846v7" int2:invalidationBookmarkName="" int2:hashCode="xgDzA50uAYUN6A" int2:id="hMwL5Vrk">
      <int2:state int2:type="AugLoop_Text_Critique" int2:value="Rejected"/>
    </int2:bookmark>
    <int2:bookmark int2:bookmarkName="_Int_At3P6PAi" int2:invalidationBookmarkName="" int2:hashCode="xgDzA50uAYUN6A" int2:id="rlOCeg3S">
      <int2:state int2:type="AugLoop_Text_Critique" int2:value="Rejected"/>
    </int2:bookmark>
    <int2:bookmark int2:bookmarkName="_Int_Pt0HxjpB" int2:invalidationBookmarkName="" int2:hashCode="xgDzA50uAYUN6A" int2:id="dvqe9neX">
      <int2:state int2:type="AugLoop_Text_Critique" int2:value="Rejected"/>
    </int2:bookmark>
    <int2:bookmark int2:bookmarkName="_Int_eZBwgEED" int2:invalidationBookmarkName="" int2:hashCode="3gGakB0a6JbTnX" int2:id="09STBgwu">
      <int2:state int2:type="AugLoop_Text_Critique" int2:value="Rejected"/>
    </int2:bookmark>
    <int2:bookmark int2:bookmarkName="_Int_WSrzEnmn" int2:invalidationBookmarkName="" int2:hashCode="Ee2mf5sVp2A0L4" int2:id="BI5EWvKd">
      <int2:state int2:type="AugLoop_Text_Critique" int2:value="Rejected"/>
    </int2:bookmark>
    <int2:bookmark int2:bookmarkName="_Int_cq10HH98" int2:invalidationBookmarkName="" int2:hashCode="FiNCzSReCiV7Qq" int2:id="sGVPTNqz">
      <int2:state int2:type="AugLoop_Text_Critique" int2:value="Rejected"/>
    </int2:bookmark>
    <int2:bookmark int2:bookmarkName="_Int_xusOkk2O" int2:invalidationBookmarkName="" int2:hashCode="Bf+vnxxQBHNF72" int2:id="FF0jhWHe">
      <int2:state int2:type="WordDesignerComplexDecoratorAnnotationType" int2:value="Reviewed"/>
    </int2:bookmark>
    <int2:bookmark int2:bookmarkName="_Int_7tB2TuwJ" int2:invalidationBookmarkName="" int2:hashCode="Uu3zE5w9fVhNZL" int2:id="HyrFfan9">
      <int2:state int2:type="WordDesignerComplexDecoratorAnnotationType" int2:value="Reviewed"/>
    </int2:bookmark>
  </int2:observations>
  <int2:intelligenceSettings/>
  <int2:onDemandWorkflows/>
</int2:intelligence>
</file>

<file path=word/numbering.xml><?xml version="1.0" encoding="utf-8"?>
<w:numbering xmlns:w="http://schemas.openxmlformats.org/wordprocessingml/2006/main">
  <w:abstractNum xmlns:w="http://schemas.openxmlformats.org/wordprocessingml/2006/main" w:abstractNumId="1">
    <w:nsid w:val="414c9b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CCC1E3"/>
    <w:rsid w:val="002F3EED"/>
    <w:rsid w:val="003C4F6D"/>
    <w:rsid w:val="0040592F"/>
    <w:rsid w:val="005E5937"/>
    <w:rsid w:val="005F68D9"/>
    <w:rsid w:val="00682B03"/>
    <w:rsid w:val="006F1116"/>
    <w:rsid w:val="00775A05"/>
    <w:rsid w:val="00974700"/>
    <w:rsid w:val="00A12067"/>
    <w:rsid w:val="00A9439F"/>
    <w:rsid w:val="00AA2BF4"/>
    <w:rsid w:val="00B10E33"/>
    <w:rsid w:val="00D65AE7"/>
    <w:rsid w:val="00EA3152"/>
    <w:rsid w:val="00F434A6"/>
    <w:rsid w:val="00FA4E2A"/>
    <w:rsid w:val="018E3C75"/>
    <w:rsid w:val="01FF3249"/>
    <w:rsid w:val="02064473"/>
    <w:rsid w:val="028F10C1"/>
    <w:rsid w:val="02A96FDE"/>
    <w:rsid w:val="02C7E961"/>
    <w:rsid w:val="02FB83AA"/>
    <w:rsid w:val="031B644F"/>
    <w:rsid w:val="03523355"/>
    <w:rsid w:val="035B4CE5"/>
    <w:rsid w:val="03FEE12D"/>
    <w:rsid w:val="040EB422"/>
    <w:rsid w:val="043B39B8"/>
    <w:rsid w:val="047D6302"/>
    <w:rsid w:val="05E0C142"/>
    <w:rsid w:val="0642466F"/>
    <w:rsid w:val="06559B42"/>
    <w:rsid w:val="06DEF276"/>
    <w:rsid w:val="06E5FE60"/>
    <w:rsid w:val="075A39FF"/>
    <w:rsid w:val="07857C20"/>
    <w:rsid w:val="07B940F0"/>
    <w:rsid w:val="080E5D3E"/>
    <w:rsid w:val="082DE2AC"/>
    <w:rsid w:val="086E7F60"/>
    <w:rsid w:val="092E7AA8"/>
    <w:rsid w:val="09E593C1"/>
    <w:rsid w:val="0ABDA7EF"/>
    <w:rsid w:val="0AC71C70"/>
    <w:rsid w:val="0B371724"/>
    <w:rsid w:val="0BABDCC2"/>
    <w:rsid w:val="0BF725DB"/>
    <w:rsid w:val="0C1BCBC3"/>
    <w:rsid w:val="0C32646A"/>
    <w:rsid w:val="0C61D059"/>
    <w:rsid w:val="0CAE56BD"/>
    <w:rsid w:val="0D1D3483"/>
    <w:rsid w:val="0D7A0197"/>
    <w:rsid w:val="0D8D3E8F"/>
    <w:rsid w:val="0DB79C24"/>
    <w:rsid w:val="0DEFBF40"/>
    <w:rsid w:val="0E71918E"/>
    <w:rsid w:val="0EA8AE18"/>
    <w:rsid w:val="0F031D17"/>
    <w:rsid w:val="0F536C85"/>
    <w:rsid w:val="105B12D5"/>
    <w:rsid w:val="106068E8"/>
    <w:rsid w:val="108D40FC"/>
    <w:rsid w:val="11009463"/>
    <w:rsid w:val="110B6BAE"/>
    <w:rsid w:val="11276002"/>
    <w:rsid w:val="125EF19C"/>
    <w:rsid w:val="12A73C0F"/>
    <w:rsid w:val="133BFC20"/>
    <w:rsid w:val="137CAD0F"/>
    <w:rsid w:val="13B913FA"/>
    <w:rsid w:val="13C54B10"/>
    <w:rsid w:val="14393144"/>
    <w:rsid w:val="14B01759"/>
    <w:rsid w:val="14E54654"/>
    <w:rsid w:val="150B9331"/>
    <w:rsid w:val="15A24F26"/>
    <w:rsid w:val="160B7C27"/>
    <w:rsid w:val="168116B5"/>
    <w:rsid w:val="16D10BBC"/>
    <w:rsid w:val="172E5C95"/>
    <w:rsid w:val="174F99C4"/>
    <w:rsid w:val="18045697"/>
    <w:rsid w:val="1827DC8E"/>
    <w:rsid w:val="184803E0"/>
    <w:rsid w:val="188245A3"/>
    <w:rsid w:val="18A23D50"/>
    <w:rsid w:val="192AC26C"/>
    <w:rsid w:val="199207DE"/>
    <w:rsid w:val="19C375D3"/>
    <w:rsid w:val="19E8101E"/>
    <w:rsid w:val="1AA596F4"/>
    <w:rsid w:val="1AC115E7"/>
    <w:rsid w:val="1ADF23B2"/>
    <w:rsid w:val="1B224985"/>
    <w:rsid w:val="1BA31B8F"/>
    <w:rsid w:val="1C02CA9D"/>
    <w:rsid w:val="1C416755"/>
    <w:rsid w:val="1CF62FF9"/>
    <w:rsid w:val="1D3E1009"/>
    <w:rsid w:val="1DD5AD74"/>
    <w:rsid w:val="1DDFB21D"/>
    <w:rsid w:val="1E075A28"/>
    <w:rsid w:val="1F6C96BA"/>
    <w:rsid w:val="1FD4C0EE"/>
    <w:rsid w:val="1FDF6D02"/>
    <w:rsid w:val="202DA50B"/>
    <w:rsid w:val="2072E695"/>
    <w:rsid w:val="207E398F"/>
    <w:rsid w:val="2091EE3F"/>
    <w:rsid w:val="20BB3FBD"/>
    <w:rsid w:val="20FB53AE"/>
    <w:rsid w:val="21C9A11C"/>
    <w:rsid w:val="22696101"/>
    <w:rsid w:val="234C1D57"/>
    <w:rsid w:val="24BAB2F5"/>
    <w:rsid w:val="252BEB2B"/>
    <w:rsid w:val="254155CF"/>
    <w:rsid w:val="256797FB"/>
    <w:rsid w:val="259CA7DB"/>
    <w:rsid w:val="25CE71DC"/>
    <w:rsid w:val="260252F4"/>
    <w:rsid w:val="26071F21"/>
    <w:rsid w:val="262ED8DE"/>
    <w:rsid w:val="270738CB"/>
    <w:rsid w:val="27140BF3"/>
    <w:rsid w:val="27CCC1E3"/>
    <w:rsid w:val="280DD360"/>
    <w:rsid w:val="28B88891"/>
    <w:rsid w:val="28BE9990"/>
    <w:rsid w:val="29404EBE"/>
    <w:rsid w:val="29661EF1"/>
    <w:rsid w:val="297D1F01"/>
    <w:rsid w:val="29B86F09"/>
    <w:rsid w:val="2A5E3E7D"/>
    <w:rsid w:val="2A7974B3"/>
    <w:rsid w:val="2ACD4A41"/>
    <w:rsid w:val="2ADC1B41"/>
    <w:rsid w:val="2AE557C6"/>
    <w:rsid w:val="2B27DBA5"/>
    <w:rsid w:val="2B651E5A"/>
    <w:rsid w:val="2CEC74CF"/>
    <w:rsid w:val="2D00EEBB"/>
    <w:rsid w:val="2D75F009"/>
    <w:rsid w:val="2DCEB34D"/>
    <w:rsid w:val="2DCF882E"/>
    <w:rsid w:val="2E02AD27"/>
    <w:rsid w:val="2E26ED1A"/>
    <w:rsid w:val="2E61CD22"/>
    <w:rsid w:val="2E8231FA"/>
    <w:rsid w:val="2F11EE75"/>
    <w:rsid w:val="2F2D84B0"/>
    <w:rsid w:val="2FBA3FDA"/>
    <w:rsid w:val="30675D5E"/>
    <w:rsid w:val="30C95511"/>
    <w:rsid w:val="311964FE"/>
    <w:rsid w:val="311964FE"/>
    <w:rsid w:val="31596804"/>
    <w:rsid w:val="31910604"/>
    <w:rsid w:val="31A174E3"/>
    <w:rsid w:val="31C50A44"/>
    <w:rsid w:val="32B5355F"/>
    <w:rsid w:val="334365C2"/>
    <w:rsid w:val="334578C4"/>
    <w:rsid w:val="337025D1"/>
    <w:rsid w:val="33E9ED7F"/>
    <w:rsid w:val="33F71BCF"/>
    <w:rsid w:val="347260EA"/>
    <w:rsid w:val="34A6D95A"/>
    <w:rsid w:val="355DA4C0"/>
    <w:rsid w:val="35A0D5B0"/>
    <w:rsid w:val="35B9EA2B"/>
    <w:rsid w:val="35F9E98E"/>
    <w:rsid w:val="36264650"/>
    <w:rsid w:val="366EE5D0"/>
    <w:rsid w:val="373BDE2D"/>
    <w:rsid w:val="3755BA8C"/>
    <w:rsid w:val="37BA3273"/>
    <w:rsid w:val="37BDA47D"/>
    <w:rsid w:val="37C551BF"/>
    <w:rsid w:val="37D39775"/>
    <w:rsid w:val="382D7697"/>
    <w:rsid w:val="386D4E1A"/>
    <w:rsid w:val="388D717B"/>
    <w:rsid w:val="38B1E3FE"/>
    <w:rsid w:val="38D3AE59"/>
    <w:rsid w:val="39431CCC"/>
    <w:rsid w:val="396F55BE"/>
    <w:rsid w:val="3974322D"/>
    <w:rsid w:val="399964E0"/>
    <w:rsid w:val="3AABB4CC"/>
    <w:rsid w:val="3ABCBA8D"/>
    <w:rsid w:val="3BCEA8A3"/>
    <w:rsid w:val="3C8D3902"/>
    <w:rsid w:val="3C98C2E2"/>
    <w:rsid w:val="3CABD2EF"/>
    <w:rsid w:val="3D0B476E"/>
    <w:rsid w:val="3D1D1B52"/>
    <w:rsid w:val="3D22F087"/>
    <w:rsid w:val="3D61E96E"/>
    <w:rsid w:val="3D78E259"/>
    <w:rsid w:val="3E349343"/>
    <w:rsid w:val="3EA717CF"/>
    <w:rsid w:val="3EFDB9CF"/>
    <w:rsid w:val="3F2F5235"/>
    <w:rsid w:val="3F52E61F"/>
    <w:rsid w:val="3F876AAE"/>
    <w:rsid w:val="3FD6BCF1"/>
    <w:rsid w:val="3FD8512A"/>
    <w:rsid w:val="40226E00"/>
    <w:rsid w:val="4089B77C"/>
    <w:rsid w:val="40A53C38"/>
    <w:rsid w:val="40F6D58A"/>
    <w:rsid w:val="41562D8D"/>
    <w:rsid w:val="419659D0"/>
    <w:rsid w:val="41BC243A"/>
    <w:rsid w:val="422587DD"/>
    <w:rsid w:val="42410C99"/>
    <w:rsid w:val="43080466"/>
    <w:rsid w:val="436FCB12"/>
    <w:rsid w:val="437C6EAD"/>
    <w:rsid w:val="43C1583E"/>
    <w:rsid w:val="43DCDCFA"/>
    <w:rsid w:val="44532B4A"/>
    <w:rsid w:val="45709AAF"/>
    <w:rsid w:val="457C44C3"/>
    <w:rsid w:val="457CF86C"/>
    <w:rsid w:val="463D5906"/>
    <w:rsid w:val="47443D23"/>
    <w:rsid w:val="478ACC0C"/>
    <w:rsid w:val="478F8856"/>
    <w:rsid w:val="47988F61"/>
    <w:rsid w:val="479E0A95"/>
    <w:rsid w:val="47DB7589"/>
    <w:rsid w:val="4856F529"/>
    <w:rsid w:val="487964E2"/>
    <w:rsid w:val="48CA8432"/>
    <w:rsid w:val="48F70C2E"/>
    <w:rsid w:val="49301FCF"/>
    <w:rsid w:val="49CE4C91"/>
    <w:rsid w:val="4B13164B"/>
    <w:rsid w:val="4CA5D827"/>
    <w:rsid w:val="4CA62976"/>
    <w:rsid w:val="4CE7C8AB"/>
    <w:rsid w:val="4D1C48EA"/>
    <w:rsid w:val="4D4CD605"/>
    <w:rsid w:val="4D898142"/>
    <w:rsid w:val="4E1FF5E4"/>
    <w:rsid w:val="4EA0A3A8"/>
    <w:rsid w:val="4EAE41FC"/>
    <w:rsid w:val="4F2551A3"/>
    <w:rsid w:val="50BE66F3"/>
    <w:rsid w:val="511762DC"/>
    <w:rsid w:val="511B709C"/>
    <w:rsid w:val="51911165"/>
    <w:rsid w:val="51B3D7C5"/>
    <w:rsid w:val="51B4567C"/>
    <w:rsid w:val="51D3DE37"/>
    <w:rsid w:val="52EA33C7"/>
    <w:rsid w:val="52EF6FFF"/>
    <w:rsid w:val="5316CBD3"/>
    <w:rsid w:val="531E2830"/>
    <w:rsid w:val="53327EC0"/>
    <w:rsid w:val="534FA826"/>
    <w:rsid w:val="53531210"/>
    <w:rsid w:val="53A66694"/>
    <w:rsid w:val="53AB8712"/>
    <w:rsid w:val="53B00299"/>
    <w:rsid w:val="53EA5365"/>
    <w:rsid w:val="5531A81C"/>
    <w:rsid w:val="553AD094"/>
    <w:rsid w:val="5655C8F2"/>
    <w:rsid w:val="5699BC99"/>
    <w:rsid w:val="56D29539"/>
    <w:rsid w:val="571141BE"/>
    <w:rsid w:val="57A8DD5C"/>
    <w:rsid w:val="583A749B"/>
    <w:rsid w:val="589E39C2"/>
    <w:rsid w:val="59955A75"/>
    <w:rsid w:val="59BCFE62"/>
    <w:rsid w:val="5A171B35"/>
    <w:rsid w:val="5A68044A"/>
    <w:rsid w:val="5A6FF1D0"/>
    <w:rsid w:val="5A921A65"/>
    <w:rsid w:val="5AED22AC"/>
    <w:rsid w:val="5B3484D5"/>
    <w:rsid w:val="5C0A4B40"/>
    <w:rsid w:val="5C0BC231"/>
    <w:rsid w:val="5C4EBEFE"/>
    <w:rsid w:val="5C8CA8A4"/>
    <w:rsid w:val="5CA94150"/>
    <w:rsid w:val="5D90868F"/>
    <w:rsid w:val="5D9FA50C"/>
    <w:rsid w:val="5DCE33EA"/>
    <w:rsid w:val="5E756776"/>
    <w:rsid w:val="5EC29F5E"/>
    <w:rsid w:val="5EE5A8E1"/>
    <w:rsid w:val="5F4362F3"/>
    <w:rsid w:val="5F8C5D9C"/>
    <w:rsid w:val="5FAB7D33"/>
    <w:rsid w:val="60DF3354"/>
    <w:rsid w:val="60E0AF0D"/>
    <w:rsid w:val="610E4632"/>
    <w:rsid w:val="61A892FF"/>
    <w:rsid w:val="62032172"/>
    <w:rsid w:val="624D2C44"/>
    <w:rsid w:val="62CF3168"/>
    <w:rsid w:val="62EDE3C3"/>
    <w:rsid w:val="63A2532A"/>
    <w:rsid w:val="646BD6EC"/>
    <w:rsid w:val="65932A35"/>
    <w:rsid w:val="65F22B3F"/>
    <w:rsid w:val="6682590D"/>
    <w:rsid w:val="66CA13F0"/>
    <w:rsid w:val="6705B4AB"/>
    <w:rsid w:val="670DF57D"/>
    <w:rsid w:val="674E74D8"/>
    <w:rsid w:val="676791A2"/>
    <w:rsid w:val="6840AAAF"/>
    <w:rsid w:val="68554A89"/>
    <w:rsid w:val="685798EC"/>
    <w:rsid w:val="689E2B66"/>
    <w:rsid w:val="68CD91F4"/>
    <w:rsid w:val="69C7BD1E"/>
    <w:rsid w:val="69F49E6B"/>
    <w:rsid w:val="6A2BF4BB"/>
    <w:rsid w:val="6A7BA3EF"/>
    <w:rsid w:val="6A7E2814"/>
    <w:rsid w:val="6A816150"/>
    <w:rsid w:val="6ABEBE4D"/>
    <w:rsid w:val="6AFE4F5A"/>
    <w:rsid w:val="6B1E2C00"/>
    <w:rsid w:val="6B808FC6"/>
    <w:rsid w:val="6B8FE7C2"/>
    <w:rsid w:val="6B9F5F10"/>
    <w:rsid w:val="6BD48F81"/>
    <w:rsid w:val="6C1C1D09"/>
    <w:rsid w:val="6C1D31B1"/>
    <w:rsid w:val="6C283F48"/>
    <w:rsid w:val="6C30C34B"/>
    <w:rsid w:val="6C82E875"/>
    <w:rsid w:val="6D793B76"/>
    <w:rsid w:val="6EB09260"/>
    <w:rsid w:val="6EF59B5D"/>
    <w:rsid w:val="6F009270"/>
    <w:rsid w:val="6FD68341"/>
    <w:rsid w:val="700B9D10"/>
    <w:rsid w:val="7022AD49"/>
    <w:rsid w:val="70342153"/>
    <w:rsid w:val="70916BBE"/>
    <w:rsid w:val="70B9E4F5"/>
    <w:rsid w:val="70ED6998"/>
    <w:rsid w:val="71A76D71"/>
    <w:rsid w:val="71EA5DF5"/>
    <w:rsid w:val="72705E5D"/>
    <w:rsid w:val="729484B9"/>
    <w:rsid w:val="73F0279C"/>
    <w:rsid w:val="741AF51E"/>
    <w:rsid w:val="7426DF90"/>
    <w:rsid w:val="742CF7E0"/>
    <w:rsid w:val="74B324D7"/>
    <w:rsid w:val="74CAE739"/>
    <w:rsid w:val="757CA5E4"/>
    <w:rsid w:val="759F4C32"/>
    <w:rsid w:val="765C9E05"/>
    <w:rsid w:val="766438F7"/>
    <w:rsid w:val="76938312"/>
    <w:rsid w:val="76F5B7BF"/>
    <w:rsid w:val="7767F5DC"/>
    <w:rsid w:val="7879E3F2"/>
    <w:rsid w:val="7910D316"/>
    <w:rsid w:val="793AE931"/>
    <w:rsid w:val="7A15B453"/>
    <w:rsid w:val="7A7BEF18"/>
    <w:rsid w:val="7AC6D906"/>
    <w:rsid w:val="7B972BB5"/>
    <w:rsid w:val="7C3809C5"/>
    <w:rsid w:val="7F22F4DD"/>
    <w:rsid w:val="7F50800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CC1E3"/>
  <w15:chartTrackingRefBased/>
  <w15:docId w15:val="{F0863CD8-61AA-45FA-8617-11AA1AA0B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589E39C2"/>
    <w:pPr>
      <w:spacing w:after="240"/>
    </w:pPr>
    <w:rPr>
      <w:rFonts w:ascii="Avenir Next LT Pro"/>
      <w:sz w:val="24"/>
      <w:szCs w:val="24"/>
    </w:rPr>
  </w:style>
  <w:style w:type="paragraph" w:styleId="Heading1">
    <w:name w:val="heading 1"/>
    <w:basedOn w:val="Normal"/>
    <w:next w:val="Normal"/>
    <w:link w:val="Heading1Char"/>
    <w:uiPriority w:val="9"/>
    <w:qFormat/>
    <w:rsid w:val="589E39C2"/>
    <w:pPr>
      <w:keepNext/>
      <w:keepLines/>
      <w:spacing w:before="480" w:after="80"/>
      <w:outlineLvl w:val="0"/>
    </w:pPr>
    <w:rPr>
      <w:color w:val="1C9394"/>
      <w:sz w:val="48"/>
      <w:szCs w:val="48"/>
    </w:rPr>
  </w:style>
  <w:style w:type="paragraph" w:styleId="Heading2">
    <w:name w:val="heading 2"/>
    <w:basedOn w:val="Normal"/>
    <w:next w:val="Normal"/>
    <w:link w:val="Heading2Char"/>
    <w:uiPriority w:val="9"/>
    <w:unhideWhenUsed/>
    <w:qFormat/>
    <w:rsid w:val="589E39C2"/>
    <w:pPr>
      <w:keepNext/>
      <w:keepLines/>
      <w:spacing w:before="240" w:after="80"/>
      <w:outlineLvl w:val="1"/>
    </w:pPr>
    <w:rPr>
      <w:color w:val="1C9394"/>
      <w:sz w:val="34"/>
      <w:szCs w:val="34"/>
    </w:rPr>
  </w:style>
  <w:style w:type="paragraph" w:styleId="Heading3">
    <w:name w:val="heading 3"/>
    <w:basedOn w:val="Normal"/>
    <w:next w:val="Normal"/>
    <w:link w:val="Heading3Char"/>
    <w:uiPriority w:val="9"/>
    <w:unhideWhenUsed/>
    <w:qFormat/>
    <w:rsid w:val="589E39C2"/>
    <w:pPr>
      <w:keepNext/>
      <w:keepLines/>
      <w:spacing w:before="240" w:after="80"/>
      <w:outlineLvl w:val="2"/>
    </w:pPr>
    <w:rPr>
      <w:color w:val="1C9394"/>
      <w:sz w:val="32"/>
      <w:szCs w:val="32"/>
    </w:rPr>
  </w:style>
  <w:style w:type="paragraph" w:styleId="Heading4">
    <w:name w:val="heading 4"/>
    <w:basedOn w:val="Normal"/>
    <w:next w:val="Normal"/>
    <w:link w:val="Heading4Char"/>
    <w:uiPriority w:val="9"/>
    <w:unhideWhenUsed/>
    <w:qFormat/>
    <w:rsid w:val="589E39C2"/>
    <w:pPr>
      <w:keepNext/>
      <w:keepLines/>
      <w:spacing w:before="240" w:after="80"/>
      <w:outlineLvl w:val="3"/>
    </w:pPr>
    <w:rPr>
      <w:color w:val="1C9394"/>
      <w:sz w:val="30"/>
      <w:szCs w:val="30"/>
    </w:rPr>
  </w:style>
  <w:style w:type="paragraph" w:styleId="Heading5">
    <w:name w:val="heading 5"/>
    <w:basedOn w:val="Normal"/>
    <w:next w:val="Normal"/>
    <w:link w:val="Heading5Char"/>
    <w:uiPriority w:val="9"/>
    <w:unhideWhenUsed/>
    <w:qFormat/>
    <w:rsid w:val="589E39C2"/>
    <w:pPr>
      <w:keepNext/>
      <w:keepLines/>
      <w:spacing w:before="240" w:after="80"/>
      <w:outlineLvl w:val="4"/>
    </w:pPr>
    <w:rPr>
      <w:color w:val="1C9394"/>
      <w:sz w:val="29"/>
      <w:szCs w:val="29"/>
    </w:rPr>
  </w:style>
  <w:style w:type="paragraph" w:styleId="Heading6">
    <w:name w:val="heading 6"/>
    <w:basedOn w:val="Normal"/>
    <w:next w:val="Normal"/>
    <w:link w:val="Heading6Char"/>
    <w:uiPriority w:val="9"/>
    <w:unhideWhenUsed/>
    <w:qFormat/>
    <w:rsid w:val="589E39C2"/>
    <w:pPr>
      <w:keepNext/>
      <w:keepLines/>
      <w:spacing w:before="240" w:after="80"/>
      <w:outlineLvl w:val="5"/>
    </w:pPr>
    <w:rPr>
      <w:color w:val="1C9394"/>
      <w:sz w:val="28"/>
      <w:szCs w:val="28"/>
    </w:rPr>
  </w:style>
  <w:style w:type="paragraph" w:styleId="Heading7">
    <w:name w:val="heading 7"/>
    <w:basedOn w:val="Normal"/>
    <w:next w:val="Normal"/>
    <w:link w:val="Heading7Char"/>
    <w:uiPriority w:val="9"/>
    <w:unhideWhenUsed/>
    <w:qFormat/>
    <w:rsid w:val="589E39C2"/>
    <w:pPr>
      <w:keepNext/>
      <w:keepLines/>
      <w:spacing w:before="240" w:after="80"/>
      <w:outlineLvl w:val="6"/>
    </w:pPr>
    <w:rPr>
      <w:color w:val="1C9394"/>
      <w:sz w:val="27"/>
      <w:szCs w:val="27"/>
    </w:rPr>
  </w:style>
  <w:style w:type="paragraph" w:styleId="Heading8">
    <w:name w:val="heading 8"/>
    <w:basedOn w:val="Normal"/>
    <w:next w:val="Normal"/>
    <w:link w:val="Heading8Char"/>
    <w:uiPriority w:val="9"/>
    <w:unhideWhenUsed/>
    <w:qFormat/>
    <w:rsid w:val="589E39C2"/>
    <w:pPr>
      <w:keepNext/>
      <w:keepLines/>
      <w:spacing w:before="240" w:after="80"/>
      <w:outlineLvl w:val="7"/>
    </w:pPr>
    <w:rPr>
      <w:color w:val="1C9394"/>
      <w:sz w:val="25"/>
      <w:szCs w:val="25"/>
    </w:rPr>
  </w:style>
  <w:style w:type="paragraph" w:styleId="Heading9">
    <w:name w:val="heading 9"/>
    <w:basedOn w:val="Normal"/>
    <w:next w:val="Normal"/>
    <w:link w:val="Heading9Char"/>
    <w:uiPriority w:val="9"/>
    <w:unhideWhenUsed/>
    <w:qFormat/>
    <w:rsid w:val="589E39C2"/>
    <w:pPr>
      <w:keepNext/>
      <w:keepLines/>
      <w:spacing w:before="240" w:after="80"/>
      <w:outlineLvl w:val="8"/>
    </w:pPr>
    <w:rPr>
      <w:color w:val="1C939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589E39C2"/>
    <w:pPr>
      <w:spacing w:after="200"/>
      <w:jc w:val="center"/>
    </w:pPr>
    <w:rPr>
      <w:rFonts w:ascii="Modern Love"/>
      <w:color w:val="262626" w:themeColor="text1" w:themeTint="D9"/>
      <w:sz w:val="92"/>
      <w:szCs w:val="92"/>
    </w:rPr>
  </w:style>
  <w:style w:type="paragraph" w:styleId="Subtitle">
    <w:name w:val="Subtitle"/>
    <w:basedOn w:val="Normal"/>
    <w:next w:val="Normal"/>
    <w:link w:val="SubtitleChar"/>
    <w:uiPriority w:val="11"/>
    <w:qFormat/>
    <w:rsid w:val="589E39C2"/>
    <w:pPr>
      <w:spacing w:after="480"/>
      <w:jc w:val="center"/>
    </w:pPr>
    <w:rPr>
      <w:rFonts w:ascii="Modern Love Caps"/>
      <w:color w:val="1C9394"/>
      <w:sz w:val="46"/>
      <w:szCs w:val="46"/>
    </w:rPr>
  </w:style>
  <w:style w:type="paragraph" w:styleId="Quote">
    <w:name w:val="Quote"/>
    <w:basedOn w:val="Normal"/>
    <w:next w:val="Normal"/>
    <w:link w:val="QuoteChar"/>
    <w:uiPriority w:val="29"/>
    <w:qFormat/>
    <w:rsid w:val="589E39C2"/>
    <w:pPr>
      <w:spacing w:before="200"/>
      <w:ind w:left="864" w:right="864"/>
      <w:jc w:val="center"/>
    </w:pPr>
    <w:rPr>
      <w:i/>
      <w:iCs/>
      <w:color w:val="000000" w:themeColor="text1"/>
    </w:rPr>
  </w:style>
  <w:style w:type="paragraph" w:styleId="IntenseQuote">
    <w:name w:val="Intense Quote"/>
    <w:basedOn w:val="Normal"/>
    <w:next w:val="Normal"/>
    <w:link w:val="IntenseQuoteChar"/>
    <w:uiPriority w:val="30"/>
    <w:qFormat/>
    <w:rsid w:val="589E39C2"/>
    <w:pPr>
      <w:spacing w:before="360" w:after="360"/>
      <w:ind w:left="864" w:right="864"/>
      <w:jc w:val="center"/>
    </w:pPr>
    <w:rPr>
      <w:i/>
      <w:iCs/>
      <w:color w:val="4471C4"/>
    </w:rPr>
  </w:style>
  <w:style w:type="paragraph" w:styleId="ListParagraph">
    <w:name w:val="List Paragraph"/>
    <w:basedOn w:val="Normal"/>
    <w:uiPriority w:val="34"/>
    <w:qFormat/>
    <w:rsid w:val="589E39C2"/>
    <w:pPr>
      <w:ind w:hanging="360"/>
      <w:contextualSpacing/>
    </w:pPr>
  </w:style>
  <w:style w:type="character" w:styleId="Heading1Char" w:customStyle="1">
    <w:name w:val="Heading 1 Char"/>
    <w:basedOn w:val="DefaultParagraphFont"/>
    <w:link w:val="Heading1"/>
    <w:uiPriority w:val="9"/>
    <w:rsid w:val="589E39C2"/>
    <w:rPr>
      <w:rFonts w:ascii="Avenir Next LT Pro"/>
      <w:b w:val="0"/>
      <w:bCs w:val="0"/>
      <w:i w:val="0"/>
      <w:iCs w:val="0"/>
      <w:color w:val="1C9394"/>
      <w:sz w:val="48"/>
      <w:szCs w:val="48"/>
      <w:u w:val="none"/>
    </w:rPr>
  </w:style>
  <w:style w:type="character" w:styleId="Heading2Char" w:customStyle="1">
    <w:name w:val="Heading 2 Char"/>
    <w:basedOn w:val="DefaultParagraphFont"/>
    <w:link w:val="Heading2"/>
    <w:uiPriority w:val="9"/>
    <w:rsid w:val="589E39C2"/>
    <w:rPr>
      <w:rFonts w:ascii="Avenir Next LT Pro"/>
      <w:b w:val="0"/>
      <w:bCs w:val="0"/>
      <w:i w:val="0"/>
      <w:iCs w:val="0"/>
      <w:color w:val="1C9394"/>
      <w:sz w:val="34"/>
      <w:szCs w:val="34"/>
      <w:u w:val="none"/>
    </w:rPr>
  </w:style>
  <w:style w:type="character" w:styleId="Heading3Char" w:customStyle="1">
    <w:name w:val="Heading 3 Char"/>
    <w:basedOn w:val="DefaultParagraphFont"/>
    <w:link w:val="Heading3"/>
    <w:uiPriority w:val="9"/>
    <w:rsid w:val="589E39C2"/>
    <w:rPr>
      <w:rFonts w:ascii="Avenir Next LT Pro"/>
      <w:b w:val="0"/>
      <w:bCs w:val="0"/>
      <w:i w:val="0"/>
      <w:iCs w:val="0"/>
      <w:color w:val="1C9394"/>
      <w:sz w:val="32"/>
      <w:szCs w:val="32"/>
      <w:u w:val="none"/>
    </w:rPr>
  </w:style>
  <w:style w:type="character" w:styleId="Heading4Char" w:customStyle="1">
    <w:name w:val="Heading 4 Char"/>
    <w:basedOn w:val="DefaultParagraphFont"/>
    <w:link w:val="Heading4"/>
    <w:uiPriority w:val="9"/>
    <w:rsid w:val="589E39C2"/>
    <w:rPr>
      <w:rFonts w:ascii="Avenir Next LT Pro"/>
      <w:b w:val="0"/>
      <w:bCs w:val="0"/>
      <w:i w:val="0"/>
      <w:iCs w:val="0"/>
      <w:color w:val="1C9394"/>
      <w:sz w:val="30"/>
      <w:szCs w:val="30"/>
      <w:u w:val="none"/>
    </w:rPr>
  </w:style>
  <w:style w:type="character" w:styleId="Heading5Char" w:customStyle="1">
    <w:name w:val="Heading 5 Char"/>
    <w:basedOn w:val="DefaultParagraphFont"/>
    <w:link w:val="Heading5"/>
    <w:uiPriority w:val="9"/>
    <w:rsid w:val="589E39C2"/>
    <w:rPr>
      <w:rFonts w:ascii="Avenir Next LT Pro"/>
      <w:b w:val="0"/>
      <w:bCs w:val="0"/>
      <w:i w:val="0"/>
      <w:iCs w:val="0"/>
      <w:color w:val="1C9394"/>
      <w:sz w:val="29"/>
      <w:szCs w:val="29"/>
      <w:u w:val="none"/>
    </w:rPr>
  </w:style>
  <w:style w:type="character" w:styleId="Heading6Char" w:customStyle="1">
    <w:name w:val="Heading 6 Char"/>
    <w:basedOn w:val="DefaultParagraphFont"/>
    <w:link w:val="Heading6"/>
    <w:uiPriority w:val="9"/>
    <w:rsid w:val="589E39C2"/>
    <w:rPr>
      <w:rFonts w:ascii="Avenir Next LT Pro"/>
      <w:b w:val="0"/>
      <w:bCs w:val="0"/>
      <w:i w:val="0"/>
      <w:iCs w:val="0"/>
      <w:color w:val="1C9394"/>
      <w:sz w:val="28"/>
      <w:szCs w:val="28"/>
      <w:u w:val="none"/>
    </w:rPr>
  </w:style>
  <w:style w:type="character" w:styleId="Heading7Char" w:customStyle="1">
    <w:name w:val="Heading 7 Char"/>
    <w:basedOn w:val="DefaultParagraphFont"/>
    <w:link w:val="Heading7"/>
    <w:uiPriority w:val="9"/>
    <w:rsid w:val="589E39C2"/>
    <w:rPr>
      <w:rFonts w:ascii="Avenir Next LT Pro"/>
      <w:b w:val="0"/>
      <w:bCs w:val="0"/>
      <w:i w:val="0"/>
      <w:iCs w:val="0"/>
      <w:color w:val="1C9394"/>
      <w:sz w:val="27"/>
      <w:szCs w:val="27"/>
      <w:u w:val="none"/>
    </w:rPr>
  </w:style>
  <w:style w:type="character" w:styleId="Heading8Char" w:customStyle="1">
    <w:name w:val="Heading 8 Char"/>
    <w:basedOn w:val="DefaultParagraphFont"/>
    <w:link w:val="Heading8"/>
    <w:uiPriority w:val="9"/>
    <w:rsid w:val="589E39C2"/>
    <w:rPr>
      <w:rFonts w:ascii="Avenir Next LT Pro"/>
      <w:b w:val="0"/>
      <w:bCs w:val="0"/>
      <w:i w:val="0"/>
      <w:iCs w:val="0"/>
      <w:color w:val="1C9394"/>
      <w:sz w:val="25"/>
      <w:szCs w:val="25"/>
      <w:u w:val="none"/>
    </w:rPr>
  </w:style>
  <w:style w:type="character" w:styleId="Heading9Char" w:customStyle="1">
    <w:name w:val="Heading 9 Char"/>
    <w:basedOn w:val="DefaultParagraphFont"/>
    <w:link w:val="Heading9"/>
    <w:uiPriority w:val="9"/>
    <w:rsid w:val="589E39C2"/>
    <w:rPr>
      <w:rFonts w:ascii="Avenir Next LT Pro"/>
      <w:b w:val="0"/>
      <w:bCs w:val="0"/>
      <w:i w:val="0"/>
      <w:iCs w:val="0"/>
      <w:color w:val="1C9394"/>
      <w:sz w:val="24"/>
      <w:szCs w:val="24"/>
      <w:u w:val="none"/>
    </w:rPr>
  </w:style>
  <w:style w:type="character" w:styleId="TitleChar" w:customStyle="1">
    <w:name w:val="Title Char"/>
    <w:basedOn w:val="DefaultParagraphFont"/>
    <w:link w:val="Title"/>
    <w:uiPriority w:val="10"/>
    <w:rsid w:val="589E39C2"/>
    <w:rPr>
      <w:rFonts w:ascii="Modern Love"/>
      <w:b w:val="0"/>
      <w:bCs w:val="0"/>
      <w:i w:val="0"/>
      <w:iCs w:val="0"/>
      <w:color w:val="262626" w:themeColor="text1" w:themeTint="D9"/>
      <w:sz w:val="92"/>
      <w:szCs w:val="92"/>
      <w:u w:val="none"/>
    </w:rPr>
  </w:style>
  <w:style w:type="character" w:styleId="SubtitleChar" w:customStyle="1">
    <w:name w:val="Subtitle Char"/>
    <w:basedOn w:val="DefaultParagraphFont"/>
    <w:link w:val="Subtitle"/>
    <w:uiPriority w:val="11"/>
    <w:rsid w:val="589E39C2"/>
    <w:rPr>
      <w:rFonts w:ascii="Modern Love Caps"/>
      <w:b w:val="0"/>
      <w:bCs w:val="0"/>
      <w:i w:val="0"/>
      <w:iCs w:val="0"/>
      <w:color w:val="1C9394"/>
      <w:sz w:val="46"/>
      <w:szCs w:val="46"/>
      <w:u w:val="none"/>
    </w:rPr>
  </w:style>
  <w:style w:type="character" w:styleId="QuoteChar" w:customStyle="1">
    <w:name w:val="Quote Char"/>
    <w:basedOn w:val="DefaultParagraphFont"/>
    <w:link w:val="Quote"/>
    <w:uiPriority w:val="29"/>
    <w:rsid w:val="589E39C2"/>
    <w:rPr>
      <w:rFonts w:ascii="Avenir Next LT Pro"/>
      <w:b w:val="0"/>
      <w:bCs w:val="0"/>
      <w:i/>
      <w:iCs/>
      <w:color w:val="000000" w:themeColor="text1"/>
      <w:sz w:val="24"/>
      <w:szCs w:val="24"/>
      <w:u w:val="none"/>
    </w:rPr>
  </w:style>
  <w:style w:type="character" w:styleId="IntenseQuoteChar" w:customStyle="1">
    <w:name w:val="Intense Quote Char"/>
    <w:basedOn w:val="DefaultParagraphFont"/>
    <w:link w:val="IntenseQuote"/>
    <w:uiPriority w:val="30"/>
    <w:rsid w:val="589E39C2"/>
    <w:rPr>
      <w:rFonts w:ascii="Avenir Next LT Pro"/>
      <w:b w:val="0"/>
      <w:bCs w:val="0"/>
      <w:i/>
      <w:iCs/>
      <w:color w:val="4471C4"/>
      <w:sz w:val="24"/>
      <w:szCs w:val="24"/>
      <w:u w:val="none"/>
    </w:rPr>
  </w:style>
  <w:style w:type="paragraph" w:styleId="TOC1">
    <w:name w:val="toc 1"/>
    <w:basedOn w:val="Normal"/>
    <w:next w:val="Normal"/>
    <w:uiPriority w:val="39"/>
    <w:unhideWhenUsed/>
    <w:rsid w:val="589E39C2"/>
    <w:pPr>
      <w:spacing w:before="120" w:after="0"/>
    </w:pPr>
    <w:rPr>
      <w:rFonts w:asciiTheme="minorHAnsi" w:cstheme="minorHAnsi"/>
      <w:b/>
      <w:bCs/>
      <w:i/>
      <w:iCs/>
    </w:rPr>
  </w:style>
  <w:style w:type="paragraph" w:styleId="TOC2">
    <w:name w:val="toc 2"/>
    <w:basedOn w:val="Normal"/>
    <w:next w:val="Normal"/>
    <w:uiPriority w:val="39"/>
    <w:unhideWhenUsed/>
    <w:rsid w:val="589E39C2"/>
    <w:pPr>
      <w:spacing w:before="120" w:after="0"/>
      <w:ind w:left="240"/>
    </w:pPr>
    <w:rPr>
      <w:rFonts w:asciiTheme="minorHAnsi" w:cstheme="minorHAnsi"/>
      <w:b/>
      <w:bCs/>
      <w:sz w:val="22"/>
      <w:szCs w:val="22"/>
    </w:rPr>
  </w:style>
  <w:style w:type="paragraph" w:styleId="TOC3">
    <w:name w:val="toc 3"/>
    <w:basedOn w:val="Normal"/>
    <w:next w:val="Normal"/>
    <w:uiPriority w:val="39"/>
    <w:unhideWhenUsed/>
    <w:rsid w:val="589E39C2"/>
    <w:pPr>
      <w:spacing w:after="0"/>
      <w:ind w:left="480"/>
    </w:pPr>
    <w:rPr>
      <w:rFonts w:asciiTheme="minorHAnsi" w:cstheme="minorHAnsi"/>
      <w:sz w:val="20"/>
      <w:szCs w:val="20"/>
    </w:rPr>
  </w:style>
  <w:style w:type="paragraph" w:styleId="TOC4">
    <w:name w:val="toc 4"/>
    <w:basedOn w:val="Normal"/>
    <w:next w:val="Normal"/>
    <w:uiPriority w:val="39"/>
    <w:unhideWhenUsed/>
    <w:rsid w:val="589E39C2"/>
    <w:pPr>
      <w:spacing w:after="0"/>
      <w:ind w:left="720"/>
    </w:pPr>
    <w:rPr>
      <w:rFonts w:asciiTheme="minorHAnsi" w:cstheme="minorHAnsi"/>
      <w:sz w:val="20"/>
      <w:szCs w:val="20"/>
    </w:rPr>
  </w:style>
  <w:style w:type="paragraph" w:styleId="TOC5">
    <w:name w:val="toc 5"/>
    <w:basedOn w:val="Normal"/>
    <w:next w:val="Normal"/>
    <w:uiPriority w:val="39"/>
    <w:unhideWhenUsed/>
    <w:rsid w:val="589E39C2"/>
    <w:pPr>
      <w:spacing w:after="0"/>
      <w:ind w:left="960"/>
    </w:pPr>
    <w:rPr>
      <w:rFonts w:asciiTheme="minorHAnsi" w:cstheme="minorHAnsi"/>
      <w:sz w:val="20"/>
      <w:szCs w:val="20"/>
    </w:rPr>
  </w:style>
  <w:style w:type="paragraph" w:styleId="TOC6">
    <w:name w:val="toc 6"/>
    <w:basedOn w:val="Normal"/>
    <w:next w:val="Normal"/>
    <w:uiPriority w:val="39"/>
    <w:unhideWhenUsed/>
    <w:rsid w:val="589E39C2"/>
    <w:pPr>
      <w:spacing w:after="0"/>
      <w:ind w:left="1200"/>
    </w:pPr>
    <w:rPr>
      <w:rFonts w:asciiTheme="minorHAnsi" w:cstheme="minorHAnsi"/>
      <w:sz w:val="20"/>
      <w:szCs w:val="20"/>
    </w:rPr>
  </w:style>
  <w:style w:type="paragraph" w:styleId="TOC7">
    <w:name w:val="toc 7"/>
    <w:basedOn w:val="Normal"/>
    <w:next w:val="Normal"/>
    <w:uiPriority w:val="39"/>
    <w:unhideWhenUsed/>
    <w:rsid w:val="589E39C2"/>
    <w:pPr>
      <w:spacing w:after="0"/>
      <w:ind w:left="1440"/>
    </w:pPr>
    <w:rPr>
      <w:rFonts w:asciiTheme="minorHAnsi" w:cstheme="minorHAnsi"/>
      <w:sz w:val="20"/>
      <w:szCs w:val="20"/>
    </w:rPr>
  </w:style>
  <w:style w:type="paragraph" w:styleId="TOC8">
    <w:name w:val="toc 8"/>
    <w:basedOn w:val="Normal"/>
    <w:next w:val="Normal"/>
    <w:uiPriority w:val="39"/>
    <w:unhideWhenUsed/>
    <w:rsid w:val="589E39C2"/>
    <w:pPr>
      <w:spacing w:after="0"/>
      <w:ind w:left="1680"/>
    </w:pPr>
    <w:rPr>
      <w:rFonts w:asciiTheme="minorHAnsi" w:cstheme="minorHAnsi"/>
      <w:sz w:val="20"/>
      <w:szCs w:val="20"/>
    </w:rPr>
  </w:style>
  <w:style w:type="paragraph" w:styleId="TOC9">
    <w:name w:val="toc 9"/>
    <w:basedOn w:val="Normal"/>
    <w:next w:val="Normal"/>
    <w:uiPriority w:val="39"/>
    <w:unhideWhenUsed/>
    <w:rsid w:val="589E39C2"/>
    <w:pPr>
      <w:spacing w:after="0"/>
      <w:ind w:left="1920"/>
    </w:pPr>
    <w:rPr>
      <w:rFonts w:asciiTheme="minorHAnsi" w:cstheme="minorHAnsi"/>
      <w:sz w:val="20"/>
      <w:szCs w:val="20"/>
    </w:rPr>
  </w:style>
  <w:style w:type="paragraph" w:styleId="EndnoteText">
    <w:name w:val="endnote text"/>
    <w:basedOn w:val="Normal"/>
    <w:link w:val="EndnoteTextChar"/>
    <w:uiPriority w:val="99"/>
    <w:semiHidden/>
    <w:unhideWhenUsed/>
    <w:rsid w:val="589E39C2"/>
    <w:pPr>
      <w:spacing w:after="0"/>
    </w:pPr>
  </w:style>
  <w:style w:type="character" w:styleId="EndnoteTextChar" w:customStyle="1">
    <w:name w:val="Endnote Text Char"/>
    <w:basedOn w:val="DefaultParagraphFont"/>
    <w:link w:val="EndnoteText"/>
    <w:uiPriority w:val="99"/>
    <w:semiHidden/>
    <w:rsid w:val="589E39C2"/>
    <w:rPr>
      <w:rFonts w:ascii="Avenir Next LT Pro"/>
      <w:b w:val="0"/>
      <w:bCs w:val="0"/>
      <w:i w:val="0"/>
      <w:iCs w:val="0"/>
      <w:color w:val="auto"/>
      <w:sz w:val="24"/>
      <w:szCs w:val="24"/>
      <w:u w:val="none"/>
    </w:rPr>
  </w:style>
  <w:style w:type="paragraph" w:styleId="Footer">
    <w:name w:val="footer"/>
    <w:basedOn w:val="Normal"/>
    <w:link w:val="FooterChar"/>
    <w:uiPriority w:val="99"/>
    <w:unhideWhenUsed/>
    <w:rsid w:val="589E39C2"/>
    <w:pPr>
      <w:tabs>
        <w:tab w:val="center" w:pos="4680"/>
        <w:tab w:val="right" w:pos="9360"/>
      </w:tabs>
      <w:spacing w:after="0"/>
    </w:pPr>
  </w:style>
  <w:style w:type="character" w:styleId="FooterChar" w:customStyle="1">
    <w:name w:val="Footer Char"/>
    <w:basedOn w:val="DefaultParagraphFont"/>
    <w:link w:val="Footer"/>
    <w:uiPriority w:val="99"/>
    <w:rsid w:val="589E39C2"/>
    <w:rPr>
      <w:rFonts w:ascii="Avenir Next LT Pro"/>
      <w:b w:val="0"/>
      <w:bCs w:val="0"/>
      <w:i w:val="0"/>
      <w:iCs w:val="0"/>
      <w:color w:val="auto"/>
      <w:sz w:val="24"/>
      <w:szCs w:val="24"/>
      <w:u w:val="none"/>
    </w:rPr>
  </w:style>
  <w:style w:type="paragraph" w:styleId="FootnoteText">
    <w:name w:val="footnote text"/>
    <w:basedOn w:val="Normal"/>
    <w:link w:val="FootnoteTextChar"/>
    <w:uiPriority w:val="99"/>
    <w:semiHidden/>
    <w:unhideWhenUsed/>
    <w:rsid w:val="589E39C2"/>
    <w:pPr>
      <w:spacing w:after="0"/>
    </w:pPr>
  </w:style>
  <w:style w:type="character" w:styleId="FootnoteTextChar" w:customStyle="1">
    <w:name w:val="Footnote Text Char"/>
    <w:basedOn w:val="DefaultParagraphFont"/>
    <w:link w:val="FootnoteText"/>
    <w:uiPriority w:val="99"/>
    <w:semiHidden/>
    <w:rsid w:val="589E39C2"/>
    <w:rPr>
      <w:rFonts w:ascii="Avenir Next LT Pro"/>
      <w:b w:val="0"/>
      <w:bCs w:val="0"/>
      <w:i w:val="0"/>
      <w:iCs w:val="0"/>
      <w:color w:val="auto"/>
      <w:sz w:val="24"/>
      <w:szCs w:val="24"/>
      <w:u w:val="none"/>
    </w:rPr>
  </w:style>
  <w:style w:type="paragraph" w:styleId="Header">
    <w:name w:val="header"/>
    <w:basedOn w:val="Normal"/>
    <w:link w:val="HeaderChar"/>
    <w:uiPriority w:val="99"/>
    <w:unhideWhenUsed/>
    <w:rsid w:val="589E39C2"/>
    <w:pPr>
      <w:tabs>
        <w:tab w:val="center" w:pos="4680"/>
        <w:tab w:val="right" w:pos="9360"/>
      </w:tabs>
      <w:spacing w:after="0"/>
    </w:pPr>
  </w:style>
  <w:style w:type="character" w:styleId="HeaderChar" w:customStyle="1">
    <w:name w:val="Header Char"/>
    <w:basedOn w:val="DefaultParagraphFont"/>
    <w:link w:val="Header"/>
    <w:uiPriority w:val="99"/>
    <w:rsid w:val="589E39C2"/>
    <w:rPr>
      <w:rFonts w:ascii="Avenir Next LT Pro"/>
      <w:b w:val="0"/>
      <w:bCs w:val="0"/>
      <w:i w:val="0"/>
      <w:iCs w:val="0"/>
      <w:color w:val="auto"/>
      <w:sz w:val="24"/>
      <w:szCs w:val="24"/>
      <w:u w:val="none"/>
    </w:rPr>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Heading">
    <w:name w:val="TOC Heading"/>
    <w:basedOn w:val="Heading1"/>
    <w:next w:val="Normal"/>
    <w:uiPriority w:val="39"/>
    <w:unhideWhenUsed/>
    <w:qFormat/>
    <w:rsid w:val="003C4F6D"/>
    <w:pPr>
      <w:spacing w:after="0" w:line="276" w:lineRule="auto"/>
      <w:outlineLvl w:val="9"/>
    </w:pPr>
    <w:rPr>
      <w:rFonts w:asciiTheme="majorHAnsi" w:hAnsiTheme="majorHAnsi" w:eastAsiaTheme="majorEastAsia" w:cstheme="majorBidi"/>
      <w:b/>
      <w:bCs/>
      <w:color w:val="2F5496" w:themeColor="accent1" w:themeShade="BF"/>
      <w:sz w:val="28"/>
      <w:szCs w:val="28"/>
      <w:lang w:val="en-US"/>
    </w:rPr>
  </w:style>
  <w:style w:type="character" w:styleId="Hyperlink">
    <w:name w:val="Hyperlink"/>
    <w:basedOn w:val="DefaultParagraphFont"/>
    <w:uiPriority w:val="99"/>
    <w:unhideWhenUsed/>
    <w:rsid w:val="003C4F6D"/>
    <w:rPr>
      <w:color w:val="0563C1" w:themeColor="hyperlink"/>
      <w:u w:val="single"/>
    </w:rPr>
  </w:style>
  <w:style w:type="character" w:styleId="PageNumber">
    <w:name w:val="page number"/>
    <w:basedOn w:val="DefaultParagraphFont"/>
    <w:uiPriority w:val="99"/>
    <w:semiHidden/>
    <w:unhideWhenUsed/>
    <w:rsid w:val="005F68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eader" Target="header2.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microsoft.com/office/2020/10/relationships/intelligence" Target="intelligence2.xml" Id="rId14" /><Relationship Type="http://schemas.openxmlformats.org/officeDocument/2006/relationships/glossaryDocument" Target="glossary/document.xml" Id="R2fa7f618da4d4d5c" /><Relationship Type="http://schemas.openxmlformats.org/officeDocument/2006/relationships/footer" Target="footer3.xml" Id="Rb06df1679427441b" /><Relationship Type="http://schemas.openxmlformats.org/officeDocument/2006/relationships/hyperlink" Target="https://lizbarryphotos.co.uk/a-walk-along-crymlyn-burrows/" TargetMode="External" Id="Rf5528c0882124eea" /><Relationship Type="http://schemas.openxmlformats.org/officeDocument/2006/relationships/hyperlink" Target="https://hams.online/de/blog/the-fundamental-role-of-habitat-management-in-wildlife-conservation" TargetMode="External" Id="Rb9a5b4ebdb4442b1" /><Relationship Type="http://schemas.openxmlformats.org/officeDocument/2006/relationships/hyperlink" Target="https://nora.nera.ac.uk/id/eprint/114323" TargetMode="External" Id="R7a6b7572db914fc6" /><Relationship Type="http://schemas.openxmlformats.org/officeDocument/2006/relationships/hyperlink" Target="https://doi.org/10.1007/s10841-008-9131-z" TargetMode="External" Id="R245312d67b504e17" /><Relationship Type="http://schemas.openxmlformats.org/officeDocument/2006/relationships/hyperlink" Target="https://www.norfolkwildlifetrust.org.uk/wildlife-in-norfolk/a-living-landscape/supporting-nature-s-recovery/introduction-to-habitat-management" TargetMode="External" Id="R6854b82adc204147" /><Relationship Type="http://schemas.openxmlformats.org/officeDocument/2006/relationships/hyperlink" Target="https://doi.org/10.2307/634275" TargetMode="External" Id="R882463ce27e94096" /><Relationship Type="http://schemas.openxmlformats.org/officeDocument/2006/relationships/hyperlink" Target="https://swansea.ac.uk/media/Crymlyn-Burrows-SSI-Management-Plan-2018-2023.pdf" TargetMode="External" Id="Rd3aca88e6e984296" /><Relationship Type="http://schemas.openxmlformats.org/officeDocument/2006/relationships/hyperlink" Target="http://dx.doi.org/10.5772/intechopen.94788" TargetMode="External" Id="R4270243c10e0403f" /><Relationship Type="http://schemas.openxmlformats.org/officeDocument/2006/relationships/numbering" Target="numbering.xml" Id="Rc4ee7398a81c4a24" /></Relationships>
</file>

<file path=word/_rels/header2.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2.pn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a95eb3b-6e88-4956-af75-2ad0b7c8748f}"/>
      </w:docPartPr>
      <w:docPartBody>
        <w:p w14:paraId="57D2A34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961bf5bd8ca44b2e"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961bf5bd8ca44b2e"/>
  </wetp:taskpane>
</wetp:taskpanes>
</file>

<file path=word/webextensions/webextension.xml><?xml version="1.0" encoding="utf-8"?>
<we:webextension xmlns:we="http://schemas.microsoft.com/office/webextensions/webextension/2010/11" id="ff7189f2-18ff-4f99-ac8a-baa190956af2">
  <we:reference id="wa200004996" version="1.0.0.0" store="en-US" storeType="omex"/>
  <we:alternateReferences>
    <we:reference id="wa200004996" version="1.0.0.0" store="omex"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FB691F8-0BB6-FA42-995E-48A1B427FBC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Lia Silva (2015055)</dc:creator>
  <keywords/>
  <dc:description/>
  <lastModifiedBy>Lia Silva (2015055)</lastModifiedBy>
  <revision>12</revision>
  <dcterms:created xsi:type="dcterms:W3CDTF">2024-03-08T11:58:00.0000000Z</dcterms:created>
  <dcterms:modified xsi:type="dcterms:W3CDTF">2024-03-20T06:27:06.5752191Z</dcterms:modified>
</coreProperties>
</file>