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B1ABF" w14:textId="6B93C127" w:rsidR="00674E59" w:rsidRPr="00BD2EBF" w:rsidRDefault="00C64E8D">
      <w:pPr>
        <w:rPr>
          <w:b/>
        </w:rPr>
      </w:pPr>
      <w:r w:rsidRPr="00BD2EBF">
        <w:rPr>
          <w:b/>
        </w:rPr>
        <w:t>Russel argues that it is rational to believe that our sense data are really signs of the existence of</w:t>
      </w:r>
      <w:r>
        <w:t xml:space="preserve"> </w:t>
      </w:r>
      <w:r w:rsidRPr="00BD2EBF">
        <w:rPr>
          <w:b/>
        </w:rPr>
        <w:t>something independent of us and our perceptions. Examine this claim.</w:t>
      </w:r>
    </w:p>
    <w:p w14:paraId="1E65DA40" w14:textId="77777777" w:rsidR="007E4F40" w:rsidRDefault="007E4F40"/>
    <w:p w14:paraId="3D16EF25" w14:textId="49F03814" w:rsidR="00C234D7" w:rsidRDefault="00C234D7">
      <w:r>
        <w:t>In “The Problems of Philosophy”, Russel attempts to examine the metaphysical and epistemological ideas that he had previously contemplated in a less detailed manner than in the writings h</w:t>
      </w:r>
      <w:r w:rsidR="00E16015">
        <w:t>a</w:t>
      </w:r>
      <w:r>
        <w:t>s put forward later which elaborated and even refined these views.</w:t>
      </w:r>
      <w:r w:rsidR="00F33E12">
        <w:rPr>
          <w:rStyle w:val="FootnoteReference"/>
        </w:rPr>
        <w:footnoteReference w:id="1"/>
      </w:r>
      <w:r w:rsidR="00890FE6">
        <w:t xml:space="preserve"> </w:t>
      </w:r>
      <w:r w:rsidR="004C30D8">
        <w:t xml:space="preserve">I will be examining his views regarding sense, perception and the extent to which these give us reason, or in this case, lack of any reasonable doubt for </w:t>
      </w:r>
      <w:r w:rsidR="00D75C92">
        <w:t>certainty</w:t>
      </w:r>
      <w:r w:rsidR="004C30D8">
        <w:t xml:space="preserve"> in the existence of an independent reality.</w:t>
      </w:r>
      <w:r w:rsidR="001B337E">
        <w:t xml:space="preserve"> - </w:t>
      </w:r>
    </w:p>
    <w:p w14:paraId="3EDCDBCB" w14:textId="6835465F" w:rsidR="00B7221A" w:rsidRDefault="00B7221A" w:rsidP="00B7221A">
      <w:r>
        <w:t xml:space="preserve">Russel observes in his original work </w:t>
      </w:r>
      <w:r w:rsidR="00F753E2">
        <w:t xml:space="preserve">“The Problems of Philosophy” </w:t>
      </w:r>
      <w:r>
        <w:t>that it is only when we begin to reflect upon our sensory experience that we realise the instinctive beliefs in which we hold regarding this experience. Instinctive belief tells us that there is no distinction between the sense datum and the independent object.</w:t>
      </w:r>
      <w:r w:rsidR="00F33E12">
        <w:rPr>
          <w:rStyle w:val="FootnoteReference"/>
        </w:rPr>
        <w:footnoteReference w:id="2"/>
      </w:r>
      <w:r>
        <w:t xml:space="preserve"> It is only by logical argument that we move past this instinctive belief and realise that there absolutely is a distinction.</w:t>
      </w:r>
      <w:r w:rsidR="00F33E12">
        <w:rPr>
          <w:rStyle w:val="FootnoteReference"/>
        </w:rPr>
        <w:footnoteReference w:id="3"/>
      </w:r>
      <w:r>
        <w:t xml:space="preserve"> Russel concludes that there is an external world and we do not have to necessarily perceive it </w:t>
      </w:r>
      <w:proofErr w:type="gramStart"/>
      <w:r>
        <w:t>in order to</w:t>
      </w:r>
      <w:proofErr w:type="gramEnd"/>
      <w:r>
        <w:t xml:space="preserve"> for it to exist contingently.  It is because to hold this belief holds no difficulties for us – it simplifies and systemizes our own account of experiences.</w:t>
      </w:r>
      <w:r w:rsidR="00F33E12">
        <w:rPr>
          <w:rStyle w:val="FootnoteReference"/>
        </w:rPr>
        <w:footnoteReference w:id="4"/>
      </w:r>
      <w:r w:rsidR="00C35997">
        <w:t xml:space="preserve"> Russel seems to be approaching his logical, mathem</w:t>
      </w:r>
      <w:r w:rsidR="00157758">
        <w:t>atical approach to truth with the</w:t>
      </w:r>
      <w:r w:rsidR="00C35997">
        <w:t xml:space="preserve"> Ockham’s Razor</w:t>
      </w:r>
      <w:r w:rsidR="00B57B03">
        <w:t xml:space="preserve"> </w:t>
      </w:r>
      <w:r w:rsidR="00157758">
        <w:t>principle, with the idea that the simplest answer is the sensible and preferable answer.</w:t>
      </w:r>
      <w:r w:rsidR="00C35997">
        <w:t xml:space="preserve"> </w:t>
      </w:r>
      <w:r>
        <w:t xml:space="preserve"> What good reason is there for rejecting what is instinctive for us? If we are to reject a belief, there has to be a good reason such as it </w:t>
      </w:r>
      <w:proofErr w:type="gramStart"/>
      <w:r>
        <w:t>contradicting</w:t>
      </w:r>
      <w:proofErr w:type="gramEnd"/>
      <w:r>
        <w:t xml:space="preserve"> another belief.</w:t>
      </w:r>
      <w:r w:rsidR="00F33E12">
        <w:rPr>
          <w:rStyle w:val="FootnoteReference"/>
        </w:rPr>
        <w:footnoteReference w:id="5"/>
      </w:r>
      <w:r>
        <w:t xml:space="preserve"> It is only at an orderly systematic organization of knowledge consisting of an organization of instinctive beliefs and consequences that we can accept our in</w:t>
      </w:r>
      <w:r w:rsidR="007E4F40">
        <w:t>stincts</w:t>
      </w:r>
      <w:r>
        <w:t xml:space="preserve"> as our sole data. We achieve this by considering among these instinctive beliefs which are the most possible to accept, reject or perhaps even simply modify.</w:t>
      </w:r>
      <w:r w:rsidR="00F33E12">
        <w:rPr>
          <w:rStyle w:val="FootnoteReference"/>
        </w:rPr>
        <w:footnoteReference w:id="6"/>
      </w:r>
      <w:r w:rsidR="00511293">
        <w:t xml:space="preserve"> </w:t>
      </w:r>
      <w:r w:rsidR="00823F0B">
        <w:t>However,</w:t>
      </w:r>
      <w:r w:rsidR="00511293">
        <w:t xml:space="preserve"> we can reasonably find an issue here. It seems that most instincts are made up of various types of </w:t>
      </w:r>
      <w:r w:rsidR="006149E9">
        <w:t xml:space="preserve">“truths”, for example mathematical truths can easily be seen as intuitive in the same way that we can consider general principles of induction. How we </w:t>
      </w:r>
      <w:r w:rsidR="00823F0B">
        <w:t>hierarchise</w:t>
      </w:r>
      <w:r w:rsidR="006149E9">
        <w:t xml:space="preserve"> these intuitive beliefs </w:t>
      </w:r>
      <w:proofErr w:type="gramStart"/>
      <w:r w:rsidR="006149E9">
        <w:t>is</w:t>
      </w:r>
      <w:proofErr w:type="gramEnd"/>
      <w:r w:rsidR="006149E9">
        <w:t xml:space="preserve"> unclear and unclarified by Russel and this leads us to doubt the “orderly systematic organisation of knowledge” that Russel was intent on justifying as data for acceptation of such instincts. </w:t>
      </w:r>
      <w:r w:rsidR="003F76ED">
        <w:t>Many such intuitions are generally seen as self-evident, even in empiricism because we can intuit clearly and accurately. It is at this point that there is a critical question to be posed about the overlap between intu</w:t>
      </w:r>
      <w:r w:rsidR="00D75C92">
        <w:t>i</w:t>
      </w:r>
      <w:r w:rsidR="003F76ED">
        <w:t>tion and simply seeing. So if these intu</w:t>
      </w:r>
      <w:r w:rsidR="00D75C92">
        <w:t>i</w:t>
      </w:r>
      <w:r w:rsidR="003F76ED">
        <w:t xml:space="preserve">tions are indeed </w:t>
      </w:r>
      <w:proofErr w:type="spellStart"/>
      <w:r w:rsidR="003F76ED">
        <w:t>self evident</w:t>
      </w:r>
      <w:proofErr w:type="spellEnd"/>
      <w:r w:rsidR="003F76ED">
        <w:t xml:space="preserve">, we should not have to resort to the idea of degrees of </w:t>
      </w:r>
      <w:proofErr w:type="spellStart"/>
      <w:r w:rsidR="003F76ED">
        <w:t>self evidence</w:t>
      </w:r>
      <w:proofErr w:type="spellEnd"/>
      <w:r w:rsidR="003F76ED">
        <w:t xml:space="preserve"> that </w:t>
      </w:r>
      <w:proofErr w:type="gramStart"/>
      <w:r w:rsidR="003F76ED">
        <w:t>Russel  proposes</w:t>
      </w:r>
      <w:proofErr w:type="gramEnd"/>
      <w:r w:rsidR="003F76ED">
        <w:t xml:space="preserve">. There is a contradiction here. For these degrees of </w:t>
      </w:r>
      <w:proofErr w:type="spellStart"/>
      <w:r w:rsidR="003F76ED">
        <w:t>self evidence</w:t>
      </w:r>
      <w:proofErr w:type="spellEnd"/>
      <w:r w:rsidR="003F76ED">
        <w:t xml:space="preserve">, we </w:t>
      </w:r>
      <w:proofErr w:type="gramStart"/>
      <w:r w:rsidR="003F76ED">
        <w:t>have to</w:t>
      </w:r>
      <w:proofErr w:type="gramEnd"/>
      <w:r w:rsidR="003F76ED">
        <w:t xml:space="preserve"> appeal to different kinds of criteria. Furthermore, this kind of criteria is potentially composed of both a priori and a poste</w:t>
      </w:r>
      <w:r w:rsidR="008D7CF0">
        <w:t>ri</w:t>
      </w:r>
      <w:r w:rsidR="003F76ED">
        <w:t>ori cases,</w:t>
      </w:r>
      <w:r w:rsidR="00F753E2">
        <w:t xml:space="preserve"> </w:t>
      </w:r>
      <w:proofErr w:type="gramStart"/>
      <w:r w:rsidR="003F76ED">
        <w:t xml:space="preserve">a </w:t>
      </w:r>
      <w:r w:rsidR="00F753E2">
        <w:t>criteria</w:t>
      </w:r>
      <w:proofErr w:type="gramEnd"/>
      <w:r w:rsidR="00F753E2">
        <w:t xml:space="preserve"> leading to evidence</w:t>
      </w:r>
      <w:r w:rsidR="003F76ED">
        <w:t xml:space="preserve"> </w:t>
      </w:r>
      <w:r w:rsidR="00F753E2">
        <w:t xml:space="preserve">existing </w:t>
      </w:r>
      <w:r w:rsidR="003F76ED">
        <w:t>outside of this “</w:t>
      </w:r>
      <w:proofErr w:type="spellStart"/>
      <w:r w:rsidR="003F76ED">
        <w:t>self evidence</w:t>
      </w:r>
      <w:proofErr w:type="spellEnd"/>
      <w:r w:rsidR="003F76ED">
        <w:t>”</w:t>
      </w:r>
      <w:r w:rsidR="00F753E2">
        <w:t xml:space="preserve"> which simply cannot be necessary by definition. </w:t>
      </w:r>
      <w:r>
        <w:t xml:space="preserve">Russel still nevertheless acknowledges the chance of error, just as he accepts that the experience of dreams </w:t>
      </w:r>
      <w:proofErr w:type="gramStart"/>
      <w:r>
        <w:t>do</w:t>
      </w:r>
      <w:proofErr w:type="gramEnd"/>
      <w:r>
        <w:t xml:space="preserve"> give us reason to doubt, because of the critical scrutiny which it appears he considers necessary to hold a reasonable account of belief in the external world. This </w:t>
      </w:r>
      <w:r w:rsidR="00C35997">
        <w:t>scrutiny precedes acquiescence f</w:t>
      </w:r>
      <w:r w:rsidR="007C4CB2">
        <w:t xml:space="preserve">or </w:t>
      </w:r>
      <w:r w:rsidR="007C4CB2">
        <w:lastRenderedPageBreak/>
        <w:t>Russel</w:t>
      </w:r>
      <w:r w:rsidR="00F33E12">
        <w:rPr>
          <w:rStyle w:val="FootnoteReference"/>
        </w:rPr>
        <w:footnoteReference w:id="7"/>
      </w:r>
      <w:r w:rsidR="007C4CB2">
        <w:t xml:space="preserve">. In other </w:t>
      </w:r>
      <w:proofErr w:type="gramStart"/>
      <w:r w:rsidR="007C4CB2">
        <w:t>words</w:t>
      </w:r>
      <w:proofErr w:type="gramEnd"/>
      <w:r w:rsidR="007C4CB2">
        <w:t xml:space="preserve"> we must be critical before we </w:t>
      </w:r>
      <w:r w:rsidR="00823F0B">
        <w:t>reluctantly accept such an account of knowledge.</w:t>
      </w:r>
    </w:p>
    <w:p w14:paraId="0BA15CF5" w14:textId="512C337E" w:rsidR="00097577" w:rsidRDefault="00097577" w:rsidP="00B7221A">
      <w:r>
        <w:t>There seems to be some inevitable overlap with the views of GE Moore in the sense that both believe there is no value or pragmatic purpose in attempting to be sceptical</w:t>
      </w:r>
      <w:r w:rsidRPr="00A01DB4">
        <w:rPr>
          <w:b/>
        </w:rPr>
        <w:t>.</w:t>
      </w:r>
      <w:r w:rsidR="009C601F" w:rsidRPr="00A01DB4">
        <w:rPr>
          <w:b/>
        </w:rPr>
        <w:t xml:space="preserve"> </w:t>
      </w:r>
      <w:r w:rsidR="009C601F" w:rsidRPr="00A01DB4">
        <w:t>He agrees with Moore that it is not physical objects we are immediately acquainted with, it is sense data itself. He believed we do not immediately come to know physical objects in the sense that G E Moore did, which is much more consistent with science in the sense that science does acknowledge the nature of perception being separate from the direct perception of objects</w:t>
      </w:r>
      <w:r w:rsidR="00F33E12">
        <w:rPr>
          <w:rStyle w:val="FootnoteReference"/>
          <w:b/>
        </w:rPr>
        <w:footnoteReference w:id="8"/>
      </w:r>
      <w:r w:rsidR="009C601F">
        <w:t>.</w:t>
      </w:r>
      <w:r>
        <w:t xml:space="preserve"> </w:t>
      </w:r>
      <w:proofErr w:type="gramStart"/>
      <w:r>
        <w:t>However</w:t>
      </w:r>
      <w:proofErr w:type="gramEnd"/>
      <w:r>
        <w:t xml:space="preserve"> Russe</w:t>
      </w:r>
      <w:r w:rsidR="00A01DB4">
        <w:t>l</w:t>
      </w:r>
      <w:r>
        <w:t xml:space="preserve">l was clearly much more nuanced in his views and allows room for doubt, acknowledging </w:t>
      </w:r>
      <w:r w:rsidR="006B5B0F">
        <w:t>the critical scrutiny necessary to hold reasonable views.</w:t>
      </w:r>
      <w:r w:rsidR="009035D3">
        <w:t xml:space="preserve"> He clearly </w:t>
      </w:r>
      <w:r w:rsidR="000F4E24">
        <w:t>criticises</w:t>
      </w:r>
      <w:r w:rsidR="009035D3">
        <w:t xml:space="preserve"> Moore, despite being influenced by</w:t>
      </w:r>
      <w:r w:rsidR="000F4E24">
        <w:t xml:space="preserve"> him, for his loose structure in “A </w:t>
      </w:r>
      <w:proofErr w:type="spellStart"/>
      <w:r w:rsidR="006F0B8F">
        <w:t>D</w:t>
      </w:r>
      <w:r w:rsidR="000F4E24">
        <w:t>efense</w:t>
      </w:r>
      <w:proofErr w:type="spellEnd"/>
      <w:r w:rsidR="000F4E24">
        <w:t xml:space="preserve"> of Common sense” that does not satisfyingly engage with the nature of perception and knowledge</w:t>
      </w:r>
      <w:r w:rsidR="00F33E12">
        <w:rPr>
          <w:rStyle w:val="FootnoteReference"/>
        </w:rPr>
        <w:footnoteReference w:id="9"/>
      </w:r>
      <w:r w:rsidR="000F4E24">
        <w:t xml:space="preserve">. Russel was much more logical in his method, he set out to deliberately find what we cannot possibly doubt – this he called the </w:t>
      </w:r>
      <w:proofErr w:type="spellStart"/>
      <w:r w:rsidR="000F4E24">
        <w:t>indupitable</w:t>
      </w:r>
      <w:proofErr w:type="spellEnd"/>
      <w:r w:rsidR="00342743">
        <w:t>, meaning</w:t>
      </w:r>
      <w:r w:rsidR="00994DD0">
        <w:t xml:space="preserve"> impossible to </w:t>
      </w:r>
      <w:proofErr w:type="gramStart"/>
      <w:r w:rsidR="00994DD0">
        <w:t>doubt</w:t>
      </w:r>
      <w:r w:rsidR="000F4E24">
        <w:t xml:space="preserve">  whereas</w:t>
      </w:r>
      <w:proofErr w:type="gramEnd"/>
      <w:r w:rsidR="000F4E24">
        <w:t xml:space="preserve"> Moore </w:t>
      </w:r>
      <w:r w:rsidR="00F7394C">
        <w:t>seemed to analyse without the same level of careful scrutiny and conclusiveness – Metz described as being better at asking questions than finding answers.</w:t>
      </w:r>
      <w:r w:rsidR="00F33E12">
        <w:rPr>
          <w:rStyle w:val="FootnoteReference"/>
        </w:rPr>
        <w:footnoteReference w:id="10"/>
      </w:r>
      <w:r w:rsidR="000F4E24">
        <w:t xml:space="preserve"> </w:t>
      </w:r>
    </w:p>
    <w:p w14:paraId="14A6AF49" w14:textId="27C0581E" w:rsidR="003E10D2" w:rsidRDefault="003E10D2" w:rsidP="00B7221A">
      <w:proofErr w:type="gramStart"/>
      <w:r>
        <w:t>In order to</w:t>
      </w:r>
      <w:proofErr w:type="gramEnd"/>
      <w:r>
        <w:t xml:space="preserve"> conceive of physical continuants persisting through time, we must use description This concept of description which Russel is known for and elaborated through in his “Problems of Philosophy” is derived from the data of sensory experience</w:t>
      </w:r>
      <w:r w:rsidR="00785BEC">
        <w:rPr>
          <w:rStyle w:val="FootnoteReference"/>
        </w:rPr>
        <w:footnoteReference w:id="11"/>
      </w:r>
      <w:r>
        <w:t>.</w:t>
      </w:r>
      <w:r w:rsidR="003619EA">
        <w:t xml:space="preserve"> He uses the example of a table to illustrate this. The table is a physical continuant and our sense data provides us with the entirety of the knowledge about this table. When the table exists in front of us, it becomes known through definitive description</w:t>
      </w:r>
      <w:r w:rsidR="00A72BFC">
        <w:t xml:space="preserve"> such as </w:t>
      </w:r>
      <w:r w:rsidR="00785BEC">
        <w:t>“</w:t>
      </w:r>
      <w:r w:rsidR="00A72BFC" w:rsidRPr="00785BEC">
        <w:rPr>
          <w:i/>
        </w:rPr>
        <w:t>physical continuant which has a very high probability of being causally responsible for the present and remembered sense experiences presented</w:t>
      </w:r>
      <w:r w:rsidR="003A41E9">
        <w:t>”</w:t>
      </w:r>
      <w:r w:rsidR="00785BEC">
        <w:rPr>
          <w:rStyle w:val="FootnoteReference"/>
        </w:rPr>
        <w:footnoteReference w:id="12"/>
      </w:r>
      <w:r w:rsidR="003A41E9">
        <w:t>. It is therefore through acquaintance with sense-data in combination with their inherent universals and logical structures that Russel assures us we can gain knowledge through this description of physical continuants</w:t>
      </w:r>
      <w:r w:rsidR="00785BEC">
        <w:rPr>
          <w:rStyle w:val="FootnoteReference"/>
        </w:rPr>
        <w:footnoteReference w:id="13"/>
      </w:r>
      <w:r w:rsidR="003A41E9">
        <w:t>.</w:t>
      </w:r>
      <w:r w:rsidR="00C74818">
        <w:t xml:space="preserve"> It is because </w:t>
      </w:r>
      <w:r w:rsidR="005424F0">
        <w:t xml:space="preserve">universals and sense-data exist outside of the mind that Russel allows himself to readily admit that empirical knowledge does not begin from one’s mental states. He does not however acknowledge in his work that sense-data is physical even though he was much clearer about this in his later work. Still </w:t>
      </w:r>
      <w:r w:rsidR="00F753E2">
        <w:t xml:space="preserve">sense data is </w:t>
      </w:r>
      <w:r w:rsidR="005424F0">
        <w:t xml:space="preserve">simultaneously subjective because our position in space allows us to be highly sensitive them. This is how he concludes that </w:t>
      </w:r>
      <w:r w:rsidR="002B5BE9">
        <w:t>acquaintance</w:t>
      </w:r>
      <w:r w:rsidR="005424F0">
        <w:t xml:space="preserve"> with this sense data is what allows for the foundation for the </w:t>
      </w:r>
      <w:r w:rsidR="002B5BE9">
        <w:t>empirical</w:t>
      </w:r>
      <w:r w:rsidR="005424F0">
        <w:t xml:space="preserve"> knowledge of matter in the form of physical continuants</w:t>
      </w:r>
      <w:r w:rsidR="00785BEC">
        <w:rPr>
          <w:rStyle w:val="FootnoteReference"/>
        </w:rPr>
        <w:footnoteReference w:id="14"/>
      </w:r>
      <w:r w:rsidR="005424F0">
        <w:t xml:space="preserve">. He specifically appeals to how we consider and think of perception from </w:t>
      </w:r>
      <w:proofErr w:type="gramStart"/>
      <w:r w:rsidR="005424F0">
        <w:t xml:space="preserve">“ </w:t>
      </w:r>
      <w:r w:rsidR="005424F0" w:rsidRPr="00785BEC">
        <w:rPr>
          <w:i/>
        </w:rPr>
        <w:t>a</w:t>
      </w:r>
      <w:proofErr w:type="gramEnd"/>
      <w:r w:rsidR="005424F0" w:rsidRPr="00785BEC">
        <w:rPr>
          <w:i/>
        </w:rPr>
        <w:t xml:space="preserve"> physical and psychological point of view</w:t>
      </w:r>
      <w:r w:rsidR="005424F0">
        <w:t>”</w:t>
      </w:r>
      <w:r w:rsidR="00785BEC">
        <w:rPr>
          <w:rStyle w:val="FootnoteReference"/>
        </w:rPr>
        <w:footnoteReference w:id="15"/>
      </w:r>
      <w:r w:rsidR="00F753E2">
        <w:t>. He acknowledges the subjectivity in sense data, clearly understanding there is need to be able to begin with the perspective of the person in question receiving the data because of how we come to derive knowledge but also recognising the physical in the sense that universals and certain logical structures exist a mathematical framework. This may be a</w:t>
      </w:r>
      <w:r w:rsidR="00785BEC">
        <w:t xml:space="preserve"> </w:t>
      </w:r>
      <w:r w:rsidR="00F753E2">
        <w:t>some</w:t>
      </w:r>
      <w:r w:rsidR="00785BEC">
        <w:t>what</w:t>
      </w:r>
      <w:r w:rsidR="00F753E2">
        <w:t xml:space="preserve"> compatibilist approach and it much more nuanced than what G E Moore put forward in </w:t>
      </w:r>
      <w:r w:rsidR="00F753E2">
        <w:lastRenderedPageBreak/>
        <w:t xml:space="preserve">“A </w:t>
      </w:r>
      <w:proofErr w:type="spellStart"/>
      <w:r w:rsidR="00F753E2">
        <w:t>Defense</w:t>
      </w:r>
      <w:proofErr w:type="spellEnd"/>
      <w:r w:rsidR="00F753E2">
        <w:t xml:space="preserve"> of Common Sense”. Russel may be at risk of contradicting himself because of his appeal to</w:t>
      </w:r>
      <w:r w:rsidR="00EB5118">
        <w:t xml:space="preserve"> perception from </w:t>
      </w:r>
      <w:proofErr w:type="gramStart"/>
      <w:r w:rsidR="00EB5118">
        <w:t>“ a</w:t>
      </w:r>
      <w:proofErr w:type="gramEnd"/>
      <w:r w:rsidR="00EB5118">
        <w:t xml:space="preserve"> physical and psychological point of view” but he is very careful through</w:t>
      </w:r>
      <w:r w:rsidR="00785BEC">
        <w:t>out</w:t>
      </w:r>
      <w:r w:rsidR="00EB5118">
        <w:t xml:space="preserve"> his rigorous writing to not do this. It may be because as </w:t>
      </w:r>
      <w:proofErr w:type="spellStart"/>
      <w:r w:rsidR="00A368C7">
        <w:t>Passamore</w:t>
      </w:r>
      <w:proofErr w:type="spellEnd"/>
      <w:r w:rsidR="00EB5118">
        <w:t xml:space="preserve"> writes in </w:t>
      </w:r>
      <w:r w:rsidR="00A368C7">
        <w:t xml:space="preserve">“A Hundred Years of Philosophy”, </w:t>
      </w:r>
      <w:r w:rsidR="00EB5118">
        <w:t>he is keen to make a clear distinction between logic and psychology</w:t>
      </w:r>
      <w:r w:rsidR="00A01DB4">
        <w:rPr>
          <w:rStyle w:val="FootnoteReference"/>
        </w:rPr>
        <w:footnoteReference w:id="16"/>
      </w:r>
      <w:r w:rsidR="00EB5118">
        <w:t>.</w:t>
      </w:r>
    </w:p>
    <w:p w14:paraId="720F5A15" w14:textId="19014D98" w:rsidR="00A01DB4" w:rsidRDefault="00B7221A" w:rsidP="00B7221A">
      <w:pPr>
        <w:rPr>
          <w:rFonts w:ascii="Candara" w:hAnsi="Candara"/>
        </w:rPr>
      </w:pPr>
      <w:r>
        <w:rPr>
          <w:rFonts w:ascii="Candara" w:hAnsi="Candara"/>
        </w:rPr>
        <w:t xml:space="preserve">Bernard </w:t>
      </w:r>
      <w:proofErr w:type="spellStart"/>
      <w:r>
        <w:rPr>
          <w:rFonts w:ascii="Candara" w:hAnsi="Candara"/>
        </w:rPr>
        <w:t>Bosanquet</w:t>
      </w:r>
      <w:proofErr w:type="spellEnd"/>
      <w:r>
        <w:rPr>
          <w:rFonts w:ascii="Candara" w:hAnsi="Candara"/>
        </w:rPr>
        <w:t xml:space="preserve"> in his review of Russel’s “Problems of Philosophy” argues against Russel’s early account of sense </w:t>
      </w:r>
      <w:proofErr w:type="gramStart"/>
      <w:r>
        <w:rPr>
          <w:rFonts w:ascii="Candara" w:hAnsi="Candara"/>
        </w:rPr>
        <w:t>data ,</w:t>
      </w:r>
      <w:proofErr w:type="gramEnd"/>
      <w:r>
        <w:rPr>
          <w:rFonts w:ascii="Candara" w:hAnsi="Candara"/>
        </w:rPr>
        <w:t xml:space="preserve"> emphasising that objects have only their true shapes in physical space but present themselves in varied </w:t>
      </w:r>
      <w:r w:rsidR="00097577">
        <w:rPr>
          <w:rFonts w:ascii="Candara" w:hAnsi="Candara"/>
        </w:rPr>
        <w:t>appearances</w:t>
      </w:r>
      <w:r>
        <w:rPr>
          <w:rFonts w:ascii="Candara" w:hAnsi="Candara"/>
        </w:rPr>
        <w:t xml:space="preserve"> according to our sense perception</w:t>
      </w:r>
      <w:r w:rsidR="00A01DB4">
        <w:rPr>
          <w:rStyle w:val="FootnoteReference"/>
          <w:rFonts w:ascii="Candara" w:hAnsi="Candara"/>
        </w:rPr>
        <w:footnoteReference w:id="17"/>
      </w:r>
      <w:r>
        <w:rPr>
          <w:rFonts w:ascii="Candara" w:hAnsi="Candara"/>
        </w:rPr>
        <w:t xml:space="preserve">. </w:t>
      </w:r>
      <w:r w:rsidR="00097577">
        <w:rPr>
          <w:rFonts w:ascii="Candara" w:hAnsi="Candara"/>
        </w:rPr>
        <w:t>Therefore,</w:t>
      </w:r>
      <w:r>
        <w:rPr>
          <w:rFonts w:ascii="Candara" w:hAnsi="Candara"/>
        </w:rPr>
        <w:t xml:space="preserve"> it is within the concept of relations in which we can find our relationship, our correspondence to the physical world.</w:t>
      </w:r>
      <w:r w:rsidR="003619EA">
        <w:rPr>
          <w:rFonts w:ascii="Candara" w:hAnsi="Candara"/>
        </w:rPr>
        <w:t xml:space="preserve"> </w:t>
      </w:r>
      <w:r w:rsidR="00C05869">
        <w:rPr>
          <w:rFonts w:ascii="Candara" w:hAnsi="Candara"/>
        </w:rPr>
        <w:t xml:space="preserve">It appears that </w:t>
      </w:r>
      <w:proofErr w:type="spellStart"/>
      <w:r w:rsidR="00C05869">
        <w:rPr>
          <w:rFonts w:ascii="Candara" w:hAnsi="Candara"/>
        </w:rPr>
        <w:t>Bosanquet</w:t>
      </w:r>
      <w:proofErr w:type="spellEnd"/>
      <w:r w:rsidR="00C05869">
        <w:rPr>
          <w:rFonts w:ascii="Candara" w:hAnsi="Candara"/>
        </w:rPr>
        <w:t xml:space="preserve"> believes Russel</w:t>
      </w:r>
      <w:r w:rsidR="006633B9">
        <w:rPr>
          <w:rFonts w:ascii="Candara" w:hAnsi="Candara"/>
        </w:rPr>
        <w:t xml:space="preserve"> does not emphasise the extent to which </w:t>
      </w:r>
      <w:r w:rsidR="003302C0">
        <w:rPr>
          <w:rFonts w:ascii="Candara" w:hAnsi="Candara"/>
        </w:rPr>
        <w:t>our relationship to the world is influenced by what we are only able to perceive</w:t>
      </w:r>
      <w:r w:rsidR="00157758">
        <w:rPr>
          <w:rFonts w:ascii="Candara" w:hAnsi="Candara"/>
        </w:rPr>
        <w:t>.</w:t>
      </w:r>
      <w:r w:rsidR="00331BEE">
        <w:rPr>
          <w:rFonts w:ascii="Candara" w:hAnsi="Candara"/>
        </w:rPr>
        <w:t xml:space="preserve"> And yet in his first chapter of “The Problems of Philosophy”, Russel does clearly set out the example of a table and the various ways in which light and angle have a way of distorting or manipulating the image</w:t>
      </w:r>
      <w:r w:rsidR="00AF3855">
        <w:rPr>
          <w:rFonts w:ascii="Candara" w:hAnsi="Candara"/>
        </w:rPr>
        <w:t>, concluding that “we construct the real shape from the apparent shape”</w:t>
      </w:r>
      <w:r w:rsidR="00A01DB4">
        <w:rPr>
          <w:rStyle w:val="FootnoteReference"/>
          <w:rFonts w:ascii="Candara" w:hAnsi="Candara"/>
        </w:rPr>
        <w:footnoteReference w:id="18"/>
      </w:r>
      <w:r w:rsidR="00AF3855">
        <w:rPr>
          <w:rFonts w:ascii="Candara" w:hAnsi="Candara"/>
        </w:rPr>
        <w:t xml:space="preserve">. </w:t>
      </w:r>
      <w:proofErr w:type="spellStart"/>
      <w:r w:rsidR="00AF3855">
        <w:rPr>
          <w:rFonts w:ascii="Candara" w:hAnsi="Candara"/>
        </w:rPr>
        <w:t>Bosanquet</w:t>
      </w:r>
      <w:proofErr w:type="spellEnd"/>
      <w:r w:rsidR="00AF3855">
        <w:rPr>
          <w:rFonts w:ascii="Candara" w:hAnsi="Candara"/>
        </w:rPr>
        <w:t xml:space="preserve"> may instead be implying that</w:t>
      </w:r>
      <w:r w:rsidR="00157758">
        <w:rPr>
          <w:rFonts w:ascii="Candara" w:hAnsi="Candara"/>
        </w:rPr>
        <w:t xml:space="preserve"> Russel</w:t>
      </w:r>
      <w:r w:rsidR="00AF3855">
        <w:rPr>
          <w:rFonts w:ascii="Candara" w:hAnsi="Candara"/>
        </w:rPr>
        <w:t xml:space="preserve"> is </w:t>
      </w:r>
      <w:r w:rsidR="00157758">
        <w:rPr>
          <w:rFonts w:ascii="Candara" w:hAnsi="Candara"/>
        </w:rPr>
        <w:t xml:space="preserve">presuming that </w:t>
      </w:r>
      <w:r w:rsidR="00C7522D">
        <w:rPr>
          <w:rFonts w:ascii="Candara" w:hAnsi="Candara"/>
        </w:rPr>
        <w:t>the sense data we experienc</w:t>
      </w:r>
      <w:r w:rsidR="000747E0">
        <w:rPr>
          <w:rFonts w:ascii="Candara" w:hAnsi="Candara"/>
        </w:rPr>
        <w:t>e comes from ou</w:t>
      </w:r>
      <w:r w:rsidR="00C7522D">
        <w:rPr>
          <w:rFonts w:ascii="Candara" w:hAnsi="Candara"/>
        </w:rPr>
        <w:t>tside</w:t>
      </w:r>
      <w:r w:rsidR="00A01DB4">
        <w:rPr>
          <w:rStyle w:val="FootnoteReference"/>
          <w:rFonts w:ascii="Candara" w:hAnsi="Candara"/>
        </w:rPr>
        <w:footnoteReference w:id="19"/>
      </w:r>
      <w:r w:rsidR="00C7522D">
        <w:rPr>
          <w:rFonts w:ascii="Candara" w:hAnsi="Candara"/>
        </w:rPr>
        <w:t xml:space="preserve">. Russel </w:t>
      </w:r>
      <w:proofErr w:type="gramStart"/>
      <w:r w:rsidR="00C7522D">
        <w:rPr>
          <w:rFonts w:ascii="Candara" w:hAnsi="Candara"/>
        </w:rPr>
        <w:t>has to</w:t>
      </w:r>
      <w:proofErr w:type="gramEnd"/>
      <w:r w:rsidR="00C7522D">
        <w:rPr>
          <w:rFonts w:ascii="Candara" w:hAnsi="Candara"/>
        </w:rPr>
        <w:t xml:space="preserve"> prove that sense dat</w:t>
      </w:r>
      <w:r w:rsidR="00914453">
        <w:rPr>
          <w:rFonts w:ascii="Candara" w:hAnsi="Candara"/>
        </w:rPr>
        <w:t>a does not come from inside us and it is not clear that he achieves this in his original work.</w:t>
      </w:r>
      <w:r w:rsidR="00F14D41">
        <w:rPr>
          <w:rFonts w:ascii="Candara" w:hAnsi="Candara"/>
        </w:rPr>
        <w:t xml:space="preserve"> How the real table relates to our sense data is unclear in his “Problems of Philosophy”. How does the “real table” relate exactly to our sense data?</w:t>
      </w:r>
      <w:r w:rsidR="00F0416B">
        <w:rPr>
          <w:rFonts w:ascii="Candara" w:hAnsi="Candara"/>
        </w:rPr>
        <w:t xml:space="preserve"> Russel attempts to clarify this issue in Chapter 1 of “The Problems of Philosophy”.</w:t>
      </w:r>
      <w:r w:rsidR="0093072E">
        <w:rPr>
          <w:rFonts w:ascii="Candara" w:hAnsi="Candara"/>
        </w:rPr>
        <w:t xml:space="preserve"> </w:t>
      </w:r>
      <w:r w:rsidR="00AF3855">
        <w:rPr>
          <w:rFonts w:ascii="Candara" w:hAnsi="Candara"/>
        </w:rPr>
        <w:t>As he states in Chapter 1, sense data are “signs of some property which perhaps causes all the sensations”</w:t>
      </w:r>
      <w:r w:rsidR="00A01DB4">
        <w:rPr>
          <w:rStyle w:val="FootnoteReference"/>
          <w:rFonts w:ascii="Candara" w:hAnsi="Candara"/>
        </w:rPr>
        <w:footnoteReference w:id="20"/>
      </w:r>
      <w:r w:rsidR="00AF3855">
        <w:rPr>
          <w:rFonts w:ascii="Candara" w:hAnsi="Candara"/>
        </w:rPr>
        <w:t xml:space="preserve">. </w:t>
      </w:r>
      <w:r w:rsidR="00F0416B">
        <w:rPr>
          <w:rFonts w:ascii="Candara" w:hAnsi="Candara"/>
        </w:rPr>
        <w:t xml:space="preserve">What Russel is attending to in this quote is that because we can experience </w:t>
      </w:r>
      <w:proofErr w:type="gramStart"/>
      <w:r w:rsidR="00F0416B">
        <w:rPr>
          <w:rFonts w:ascii="Candara" w:hAnsi="Candara"/>
        </w:rPr>
        <w:t>sensation  in</w:t>
      </w:r>
      <w:proofErr w:type="gramEnd"/>
      <w:r w:rsidR="00F0416B">
        <w:rPr>
          <w:rFonts w:ascii="Candara" w:hAnsi="Candara"/>
        </w:rPr>
        <w:t xml:space="preserve"> different way, it would seem to make perfect sense to</w:t>
      </w:r>
      <w:r w:rsidR="00B105A5">
        <w:rPr>
          <w:rFonts w:ascii="Candara" w:hAnsi="Candara"/>
        </w:rPr>
        <w:t xml:space="preserve"> ass</w:t>
      </w:r>
      <w:r w:rsidR="002B392A">
        <w:rPr>
          <w:rFonts w:ascii="Candara" w:hAnsi="Candara"/>
        </w:rPr>
        <w:t>ume that sensations in all their varieties are derived from something external to be experienced through senses in terms of direct empirical experience. If we were to experience sensations in the same way, it would be more plausible to consider this property as not necessarily being external.</w:t>
      </w:r>
      <w:r w:rsidR="00F0416B">
        <w:rPr>
          <w:rFonts w:ascii="Candara" w:hAnsi="Candara"/>
        </w:rPr>
        <w:t xml:space="preserve"> After all, it cannot be that a single sensation instantly proves the reality of the object in question. </w:t>
      </w:r>
      <w:r w:rsidR="00AF3855">
        <w:rPr>
          <w:rFonts w:ascii="Candara" w:hAnsi="Candara"/>
        </w:rPr>
        <w:t xml:space="preserve">It is because it is difficult to doubt our aware ness of our sensations, we can have confidence in our sense data, which Russel clarifies as distinct from sensation itself. </w:t>
      </w:r>
      <w:r w:rsidR="008E26D2">
        <w:rPr>
          <w:rFonts w:ascii="Candara" w:hAnsi="Candara"/>
        </w:rPr>
        <w:t xml:space="preserve">Yet Russel did strongly believe in the </w:t>
      </w:r>
      <w:r w:rsidR="00587C39">
        <w:rPr>
          <w:rFonts w:ascii="Candara" w:hAnsi="Candara"/>
        </w:rPr>
        <w:t>trust that we derive from sensation itself simultaneously as he acknowledged that sense do</w:t>
      </w:r>
      <w:r w:rsidR="00F7394C">
        <w:rPr>
          <w:rFonts w:ascii="Candara" w:hAnsi="Candara"/>
        </w:rPr>
        <w:t>es</w:t>
      </w:r>
      <w:r w:rsidR="00587C39">
        <w:rPr>
          <w:rFonts w:ascii="Candara" w:hAnsi="Candara"/>
        </w:rPr>
        <w:t xml:space="preserve"> not reveal to us the reality of any external object, of any external world. </w:t>
      </w:r>
    </w:p>
    <w:p w14:paraId="1F695CDF" w14:textId="57D58FF3" w:rsidR="003302C0" w:rsidRDefault="00F7394C" w:rsidP="00B7221A">
      <w:pPr>
        <w:rPr>
          <w:rFonts w:ascii="Candara" w:hAnsi="Candara"/>
        </w:rPr>
      </w:pPr>
      <w:r>
        <w:rPr>
          <w:rFonts w:ascii="Candara" w:hAnsi="Candara"/>
        </w:rPr>
        <w:t xml:space="preserve">It could be argued that because Russel was still in his relative early stages, his work being developed and refined </w:t>
      </w:r>
      <w:proofErr w:type="gramStart"/>
      <w:r>
        <w:rPr>
          <w:rFonts w:ascii="Candara" w:hAnsi="Candara"/>
        </w:rPr>
        <w:t>later on</w:t>
      </w:r>
      <w:proofErr w:type="gramEnd"/>
      <w:r>
        <w:rPr>
          <w:rFonts w:ascii="Candara" w:hAnsi="Candara"/>
        </w:rPr>
        <w:t xml:space="preserve">, that his work regarding “The Problem of Philosophy” cannot be viewed as the definitive summary of his logical and analytic wisdom. Nevertheless, he does recognise sense data as subjective to the individual and therefore instinctual whilst simultaneously going as far as to separate it from sensation itself, and therefore attempting </w:t>
      </w:r>
      <w:proofErr w:type="gramStart"/>
      <w:r>
        <w:rPr>
          <w:rFonts w:ascii="Candara" w:hAnsi="Candara"/>
        </w:rPr>
        <w:t>to</w:t>
      </w:r>
      <w:r w:rsidR="006F0B8F">
        <w:rPr>
          <w:rFonts w:ascii="Candara" w:hAnsi="Candara"/>
        </w:rPr>
        <w:t xml:space="preserve"> </w:t>
      </w:r>
      <w:r>
        <w:rPr>
          <w:rFonts w:ascii="Candara" w:hAnsi="Candara"/>
        </w:rPr>
        <w:t xml:space="preserve"> clarify</w:t>
      </w:r>
      <w:proofErr w:type="gramEnd"/>
      <w:r>
        <w:rPr>
          <w:rFonts w:ascii="Candara" w:hAnsi="Candara"/>
        </w:rPr>
        <w:t xml:space="preserve"> a nuanced, carefully considered view of knowledge and perception and the relationship between the two. </w:t>
      </w:r>
      <w:r w:rsidR="006F0B8F">
        <w:rPr>
          <w:rFonts w:ascii="Candara" w:hAnsi="Candara"/>
        </w:rPr>
        <w:t xml:space="preserve">He is pragmatic in the sense that he understands there is no good reason to </w:t>
      </w:r>
      <w:r w:rsidR="006F0B8F">
        <w:rPr>
          <w:rFonts w:ascii="Candara" w:hAnsi="Candara"/>
        </w:rPr>
        <w:lastRenderedPageBreak/>
        <w:t>doubt our sense data and yetis careful to clarify that this does not prove an external world in the sense that it is not indubitable knowledge that there is a world independent of us.</w:t>
      </w:r>
      <w:r w:rsidR="00354578">
        <w:rPr>
          <w:rFonts w:ascii="Candara" w:hAnsi="Candara"/>
        </w:rPr>
        <w:t xml:space="preserve"> This does appear to make his work somewhat rational – he shows he can delve deep into the implications of </w:t>
      </w:r>
      <w:r w:rsidR="00067ECA">
        <w:rPr>
          <w:rFonts w:ascii="Candara" w:hAnsi="Candara"/>
        </w:rPr>
        <w:t>indubitability</w:t>
      </w:r>
      <w:r w:rsidR="00354578">
        <w:rPr>
          <w:rFonts w:ascii="Candara" w:hAnsi="Candara"/>
        </w:rPr>
        <w:t xml:space="preserve"> whilst being aware of the practical need to exist in the real world as we know it.</w:t>
      </w:r>
      <w:bookmarkStart w:id="2" w:name="_GoBack"/>
      <w:bookmarkEnd w:id="2"/>
    </w:p>
    <w:p w14:paraId="35FE4A3E" w14:textId="620A79C3" w:rsidR="00BD2EBF" w:rsidRDefault="00BD2EBF">
      <w:pPr>
        <w:rPr>
          <w:rFonts w:ascii="Candara" w:hAnsi="Candara"/>
        </w:rPr>
      </w:pPr>
    </w:p>
    <w:p w14:paraId="46EE1ADC" w14:textId="37894EC7" w:rsidR="006F0B8F" w:rsidRDefault="006F0B8F">
      <w:pPr>
        <w:rPr>
          <w:rFonts w:ascii="Candara" w:hAnsi="Candara"/>
        </w:rPr>
      </w:pPr>
    </w:p>
    <w:p w14:paraId="299FEE81" w14:textId="778D85E7" w:rsidR="006F0B8F" w:rsidRDefault="006F0B8F">
      <w:pPr>
        <w:rPr>
          <w:rFonts w:ascii="Candara" w:hAnsi="Candara"/>
        </w:rPr>
      </w:pPr>
    </w:p>
    <w:p w14:paraId="0B56F438" w14:textId="21E3C137" w:rsidR="006F0B8F" w:rsidRDefault="006F0B8F">
      <w:pPr>
        <w:rPr>
          <w:rFonts w:ascii="Candara" w:hAnsi="Candara"/>
        </w:rPr>
      </w:pPr>
    </w:p>
    <w:p w14:paraId="39782FA6" w14:textId="52C8D6E2" w:rsidR="006F0B8F" w:rsidRDefault="006F0B8F">
      <w:pPr>
        <w:rPr>
          <w:rFonts w:ascii="Candara" w:hAnsi="Candara"/>
        </w:rPr>
      </w:pPr>
    </w:p>
    <w:p w14:paraId="7DE8854C" w14:textId="5C4EB5B6" w:rsidR="006F0B8F" w:rsidRDefault="006F0B8F">
      <w:pPr>
        <w:rPr>
          <w:rFonts w:ascii="Candara" w:hAnsi="Candara"/>
        </w:rPr>
      </w:pPr>
    </w:p>
    <w:p w14:paraId="529DDFC2" w14:textId="0D9DEAC0" w:rsidR="006F0B8F" w:rsidRDefault="006F0B8F">
      <w:pPr>
        <w:rPr>
          <w:rFonts w:ascii="Candara" w:hAnsi="Candara"/>
        </w:rPr>
      </w:pPr>
    </w:p>
    <w:p w14:paraId="7E436FFC" w14:textId="7C2C0523" w:rsidR="006F0B8F" w:rsidRDefault="006F0B8F">
      <w:pPr>
        <w:rPr>
          <w:rFonts w:ascii="Candara" w:hAnsi="Candara"/>
        </w:rPr>
      </w:pPr>
    </w:p>
    <w:p w14:paraId="3FCE13D0" w14:textId="5FDAF564" w:rsidR="006F0B8F" w:rsidRDefault="006F0B8F">
      <w:pPr>
        <w:rPr>
          <w:rFonts w:ascii="Candara" w:hAnsi="Candara"/>
        </w:rPr>
      </w:pPr>
    </w:p>
    <w:p w14:paraId="6E04ED91" w14:textId="4E1AD7A0" w:rsidR="006F0B8F" w:rsidRDefault="006F0B8F">
      <w:pPr>
        <w:rPr>
          <w:rFonts w:ascii="Candara" w:hAnsi="Candara"/>
        </w:rPr>
      </w:pPr>
    </w:p>
    <w:p w14:paraId="76CEEA04" w14:textId="7AF493EF" w:rsidR="006F0B8F" w:rsidRDefault="006F0B8F">
      <w:pPr>
        <w:rPr>
          <w:rFonts w:ascii="Candara" w:hAnsi="Candara"/>
        </w:rPr>
      </w:pPr>
    </w:p>
    <w:p w14:paraId="13DC3B07" w14:textId="02D1311F" w:rsidR="006F0B8F" w:rsidRDefault="006F0B8F">
      <w:pPr>
        <w:rPr>
          <w:rFonts w:ascii="Candara" w:hAnsi="Candara"/>
        </w:rPr>
      </w:pPr>
    </w:p>
    <w:p w14:paraId="2E5620DE" w14:textId="3937BDBE" w:rsidR="006F0B8F" w:rsidRDefault="006F0B8F">
      <w:pPr>
        <w:rPr>
          <w:rFonts w:ascii="Candara" w:hAnsi="Candara"/>
        </w:rPr>
      </w:pPr>
    </w:p>
    <w:p w14:paraId="2A76EB61" w14:textId="2F30BB69" w:rsidR="006F0B8F" w:rsidRDefault="006F0B8F">
      <w:pPr>
        <w:rPr>
          <w:rFonts w:ascii="Candara" w:hAnsi="Candara"/>
        </w:rPr>
      </w:pPr>
    </w:p>
    <w:p w14:paraId="7B927672" w14:textId="3CD6E24F" w:rsidR="006F0B8F" w:rsidRDefault="006F0B8F">
      <w:pPr>
        <w:rPr>
          <w:rFonts w:ascii="Candara" w:hAnsi="Candara"/>
        </w:rPr>
      </w:pPr>
    </w:p>
    <w:p w14:paraId="1AB4C3F2" w14:textId="23CDED30" w:rsidR="006F0B8F" w:rsidRDefault="006F0B8F">
      <w:pPr>
        <w:rPr>
          <w:rFonts w:ascii="Candara" w:hAnsi="Candara"/>
        </w:rPr>
      </w:pPr>
    </w:p>
    <w:p w14:paraId="2E110ED9" w14:textId="5F736E73" w:rsidR="006F0B8F" w:rsidRDefault="006F0B8F">
      <w:pPr>
        <w:rPr>
          <w:rFonts w:ascii="Candara" w:hAnsi="Candara"/>
        </w:rPr>
      </w:pPr>
    </w:p>
    <w:p w14:paraId="6A6126E3" w14:textId="2C1DCEFF" w:rsidR="006F0B8F" w:rsidRDefault="006F0B8F">
      <w:pPr>
        <w:rPr>
          <w:rFonts w:ascii="Candara" w:hAnsi="Candara"/>
        </w:rPr>
      </w:pPr>
    </w:p>
    <w:p w14:paraId="0E9AE222" w14:textId="66E1EF7E" w:rsidR="006F0B8F" w:rsidRDefault="006F0B8F">
      <w:pPr>
        <w:rPr>
          <w:rFonts w:ascii="Candara" w:hAnsi="Candara"/>
        </w:rPr>
      </w:pPr>
    </w:p>
    <w:p w14:paraId="04AD9702" w14:textId="1286E03A" w:rsidR="006F0B8F" w:rsidRDefault="006F0B8F">
      <w:pPr>
        <w:rPr>
          <w:rFonts w:ascii="Candara" w:hAnsi="Candara"/>
        </w:rPr>
      </w:pPr>
    </w:p>
    <w:p w14:paraId="5B54C2E5" w14:textId="5DC5C360" w:rsidR="006F0B8F" w:rsidRDefault="006F0B8F">
      <w:pPr>
        <w:rPr>
          <w:rFonts w:ascii="Candara" w:hAnsi="Candara"/>
        </w:rPr>
      </w:pPr>
    </w:p>
    <w:p w14:paraId="06E52134" w14:textId="1F378DE0" w:rsidR="006F0B8F" w:rsidRDefault="006F0B8F">
      <w:pPr>
        <w:rPr>
          <w:rFonts w:ascii="Candara" w:hAnsi="Candara"/>
        </w:rPr>
      </w:pPr>
    </w:p>
    <w:p w14:paraId="314A96E1" w14:textId="158AFAAD" w:rsidR="006F0B8F" w:rsidRDefault="006F0B8F">
      <w:pPr>
        <w:rPr>
          <w:rFonts w:ascii="Candara" w:hAnsi="Candara"/>
        </w:rPr>
      </w:pPr>
    </w:p>
    <w:p w14:paraId="0FBF7686" w14:textId="3F32A495" w:rsidR="006F0B8F" w:rsidRDefault="006F0B8F">
      <w:pPr>
        <w:rPr>
          <w:rFonts w:ascii="Candara" w:hAnsi="Candara"/>
        </w:rPr>
      </w:pPr>
    </w:p>
    <w:p w14:paraId="14E0C0EC" w14:textId="0D55DA94" w:rsidR="006F0B8F" w:rsidRDefault="006F0B8F">
      <w:pPr>
        <w:rPr>
          <w:rFonts w:ascii="Candara" w:hAnsi="Candara"/>
        </w:rPr>
      </w:pPr>
    </w:p>
    <w:p w14:paraId="31AF2620" w14:textId="2756629B" w:rsidR="006F0B8F" w:rsidRDefault="006F0B8F">
      <w:pPr>
        <w:rPr>
          <w:rFonts w:ascii="Candara" w:hAnsi="Candara"/>
        </w:rPr>
      </w:pPr>
    </w:p>
    <w:p w14:paraId="3811AB00" w14:textId="18D9FEE9" w:rsidR="006F0B8F" w:rsidRDefault="006F0B8F">
      <w:pPr>
        <w:rPr>
          <w:rFonts w:ascii="Candara" w:hAnsi="Candara"/>
        </w:rPr>
      </w:pPr>
    </w:p>
    <w:p w14:paraId="7E14F74C" w14:textId="056029D4" w:rsidR="006F0B8F" w:rsidRDefault="006F0B8F">
      <w:pPr>
        <w:rPr>
          <w:rFonts w:ascii="Candara" w:hAnsi="Candara"/>
        </w:rPr>
      </w:pPr>
    </w:p>
    <w:p w14:paraId="6FEF373F" w14:textId="77777777" w:rsidR="006F0B8F" w:rsidRDefault="006F0B8F">
      <w:pPr>
        <w:rPr>
          <w:rFonts w:ascii="Candara" w:hAnsi="Candara"/>
        </w:rPr>
      </w:pPr>
    </w:p>
    <w:p w14:paraId="2CE2F944" w14:textId="6AE03280" w:rsidR="00F77483" w:rsidRDefault="00F77483">
      <w:pPr>
        <w:rPr>
          <w:rFonts w:ascii="Candara" w:hAnsi="Candara"/>
        </w:rPr>
      </w:pPr>
      <w:r>
        <w:rPr>
          <w:rFonts w:ascii="Candara" w:hAnsi="Candara"/>
        </w:rPr>
        <w:t>Bibliography</w:t>
      </w:r>
    </w:p>
    <w:p w14:paraId="33E96BCA" w14:textId="16D731E4" w:rsidR="00F77483" w:rsidRDefault="00F77483">
      <w:pPr>
        <w:rPr>
          <w:rFonts w:ascii="Candara" w:hAnsi="Candara"/>
        </w:rPr>
      </w:pPr>
      <w:r>
        <w:rPr>
          <w:rFonts w:ascii="Candara" w:hAnsi="Candara"/>
        </w:rPr>
        <w:t>Grayling, AC Russel: A Very Short Introduction (Oxford: Routledge, 2011)</w:t>
      </w:r>
    </w:p>
    <w:p w14:paraId="432F1894" w14:textId="3C4B0EA4" w:rsidR="00F77483" w:rsidRDefault="00F77483">
      <w:pPr>
        <w:rPr>
          <w:rFonts w:ascii="Candara" w:hAnsi="Candara"/>
        </w:rPr>
      </w:pPr>
      <w:proofErr w:type="spellStart"/>
      <w:r>
        <w:rPr>
          <w:rFonts w:ascii="Candara" w:hAnsi="Candara"/>
        </w:rPr>
        <w:t>Landini</w:t>
      </w:r>
      <w:proofErr w:type="spellEnd"/>
      <w:r>
        <w:rPr>
          <w:rFonts w:ascii="Candara" w:hAnsi="Candara"/>
        </w:rPr>
        <w:t>, Gregory Russel (Oxon: Routledge, 2011)</w:t>
      </w:r>
    </w:p>
    <w:p w14:paraId="55CE9ABD" w14:textId="643384BC" w:rsidR="00F77483" w:rsidRDefault="00F77483">
      <w:pPr>
        <w:rPr>
          <w:rFonts w:ascii="Candara" w:hAnsi="Candara"/>
        </w:rPr>
      </w:pPr>
      <w:proofErr w:type="spellStart"/>
      <w:r>
        <w:rPr>
          <w:rFonts w:ascii="Candara" w:hAnsi="Candara"/>
        </w:rPr>
        <w:t>Passamore</w:t>
      </w:r>
      <w:proofErr w:type="spellEnd"/>
      <w:r>
        <w:rPr>
          <w:rFonts w:ascii="Candara" w:hAnsi="Candara"/>
        </w:rPr>
        <w:t>, John A Hundred Years of Philosophy (Penguin Books: 1968)</w:t>
      </w:r>
    </w:p>
    <w:p w14:paraId="3E89FA7D" w14:textId="77777777" w:rsidR="00C86706" w:rsidRPr="00C1265A" w:rsidRDefault="00C86706">
      <w:pPr>
        <w:rPr>
          <w:rFonts w:ascii="Candara" w:hAnsi="Candara"/>
        </w:rPr>
      </w:pPr>
    </w:p>
    <w:sectPr w:rsidR="00C86706" w:rsidRPr="00C126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24419" w14:textId="77777777" w:rsidR="00CF5B56" w:rsidRDefault="00CF5B56" w:rsidP="00F33E12">
      <w:pPr>
        <w:spacing w:after="0" w:line="240" w:lineRule="auto"/>
      </w:pPr>
      <w:r>
        <w:separator/>
      </w:r>
    </w:p>
  </w:endnote>
  <w:endnote w:type="continuationSeparator" w:id="0">
    <w:p w14:paraId="35989773" w14:textId="77777777" w:rsidR="00CF5B56" w:rsidRDefault="00CF5B56" w:rsidP="00F33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7221E" w14:textId="77777777" w:rsidR="00CF5B56" w:rsidRDefault="00CF5B56" w:rsidP="00F33E12">
      <w:pPr>
        <w:spacing w:after="0" w:line="240" w:lineRule="auto"/>
      </w:pPr>
      <w:r>
        <w:separator/>
      </w:r>
    </w:p>
  </w:footnote>
  <w:footnote w:type="continuationSeparator" w:id="0">
    <w:p w14:paraId="3F5BE0F5" w14:textId="77777777" w:rsidR="00CF5B56" w:rsidRDefault="00CF5B56" w:rsidP="00F33E12">
      <w:pPr>
        <w:spacing w:after="0" w:line="240" w:lineRule="auto"/>
      </w:pPr>
      <w:r>
        <w:continuationSeparator/>
      </w:r>
    </w:p>
  </w:footnote>
  <w:footnote w:id="1">
    <w:p w14:paraId="2D6054A1" w14:textId="0B1F040C" w:rsidR="00F33E12" w:rsidRPr="00785BEC" w:rsidRDefault="00F33E12" w:rsidP="00BD2EBF">
      <w:pPr>
        <w:rPr>
          <w:rFonts w:ascii="Candara" w:hAnsi="Candara"/>
        </w:rPr>
      </w:pPr>
      <w:r w:rsidRPr="00785BEC">
        <w:rPr>
          <w:rStyle w:val="FootnoteReference"/>
        </w:rPr>
        <w:footnoteRef/>
      </w:r>
      <w:r w:rsidRPr="00785BEC">
        <w:t xml:space="preserve"> </w:t>
      </w:r>
      <w:r w:rsidR="00BD2EBF" w:rsidRPr="00785BEC">
        <w:rPr>
          <w:rFonts w:ascii="Candara" w:hAnsi="Candara"/>
        </w:rPr>
        <w:t xml:space="preserve">AC </w:t>
      </w:r>
      <w:r w:rsidR="00BD2EBF" w:rsidRPr="00785BEC">
        <w:rPr>
          <w:rFonts w:ascii="Candara" w:hAnsi="Candara"/>
        </w:rPr>
        <w:t>G</w:t>
      </w:r>
      <w:r w:rsidR="00BD2EBF" w:rsidRPr="00785BEC">
        <w:rPr>
          <w:rFonts w:ascii="Candara" w:hAnsi="Candara"/>
        </w:rPr>
        <w:t>rayling “Russel: A Very Short Introduction” (New York: Oxford University Press, 2002)</w:t>
      </w:r>
    </w:p>
  </w:footnote>
  <w:footnote w:id="2">
    <w:p w14:paraId="4FA3739C" w14:textId="52D9D627" w:rsidR="00F33E12" w:rsidRPr="00785BEC" w:rsidRDefault="00F33E12" w:rsidP="00BD2EBF">
      <w:pPr>
        <w:rPr>
          <w:rFonts w:ascii="Candara" w:hAnsi="Candara"/>
        </w:rPr>
      </w:pPr>
      <w:r w:rsidRPr="00785BEC">
        <w:rPr>
          <w:rStyle w:val="FootnoteReference"/>
        </w:rPr>
        <w:footnoteRef/>
      </w:r>
      <w:r w:rsidRPr="00785BEC">
        <w:t xml:space="preserve"> </w:t>
      </w:r>
      <w:r w:rsidR="00BD2EBF" w:rsidRPr="00785BEC">
        <w:rPr>
          <w:rFonts w:ascii="Candara" w:hAnsi="Candara"/>
        </w:rPr>
        <w:t xml:space="preserve">Gregory </w:t>
      </w:r>
      <w:proofErr w:type="spellStart"/>
      <w:r w:rsidR="00BD2EBF" w:rsidRPr="00785BEC">
        <w:rPr>
          <w:rFonts w:ascii="Candara" w:hAnsi="Candara"/>
        </w:rPr>
        <w:t>Landini</w:t>
      </w:r>
      <w:proofErr w:type="spellEnd"/>
      <w:r w:rsidR="00BD2EBF" w:rsidRPr="00785BEC">
        <w:rPr>
          <w:rFonts w:ascii="Candara" w:hAnsi="Candara"/>
        </w:rPr>
        <w:t xml:space="preserve"> “Russell” (Oxon: Routledge, 2011)</w:t>
      </w:r>
    </w:p>
  </w:footnote>
  <w:footnote w:id="3">
    <w:p w14:paraId="6220164A" w14:textId="18E78897" w:rsidR="00F33E12" w:rsidRPr="00785BEC" w:rsidRDefault="00F33E12">
      <w:pPr>
        <w:pStyle w:val="FootnoteText"/>
        <w:rPr>
          <w:sz w:val="22"/>
          <w:szCs w:val="22"/>
        </w:rPr>
      </w:pPr>
      <w:r w:rsidRPr="00785BEC">
        <w:rPr>
          <w:rStyle w:val="FootnoteReference"/>
          <w:sz w:val="22"/>
          <w:szCs w:val="22"/>
        </w:rPr>
        <w:footnoteRef/>
      </w:r>
      <w:r w:rsidRPr="00785BEC">
        <w:rPr>
          <w:sz w:val="22"/>
          <w:szCs w:val="22"/>
        </w:rPr>
        <w:t xml:space="preserve"> </w:t>
      </w:r>
      <w:r w:rsidR="00BD2EBF" w:rsidRPr="00785BEC">
        <w:rPr>
          <w:rFonts w:ascii="Candara" w:hAnsi="Candara"/>
          <w:sz w:val="22"/>
          <w:szCs w:val="22"/>
        </w:rPr>
        <w:t xml:space="preserve">Gregory </w:t>
      </w:r>
      <w:proofErr w:type="spellStart"/>
      <w:r w:rsidR="00BD2EBF" w:rsidRPr="00785BEC">
        <w:rPr>
          <w:rFonts w:ascii="Candara" w:hAnsi="Candara"/>
          <w:sz w:val="22"/>
          <w:szCs w:val="22"/>
        </w:rPr>
        <w:t>Landini</w:t>
      </w:r>
      <w:proofErr w:type="spellEnd"/>
      <w:r w:rsidR="00BD2EBF" w:rsidRPr="00785BEC">
        <w:rPr>
          <w:rFonts w:ascii="Candara" w:hAnsi="Candara"/>
          <w:sz w:val="22"/>
          <w:szCs w:val="22"/>
        </w:rPr>
        <w:t xml:space="preserve"> “Russell” (Oxon: Routledge, 2011)</w:t>
      </w:r>
    </w:p>
  </w:footnote>
  <w:footnote w:id="4">
    <w:p w14:paraId="6ED283FF" w14:textId="056FCB2C" w:rsidR="00F33E12" w:rsidRPr="00785BEC" w:rsidRDefault="00F33E12">
      <w:pPr>
        <w:pStyle w:val="FootnoteText"/>
        <w:rPr>
          <w:sz w:val="22"/>
          <w:szCs w:val="22"/>
        </w:rPr>
      </w:pPr>
      <w:r w:rsidRPr="00785BEC">
        <w:rPr>
          <w:rStyle w:val="FootnoteReference"/>
          <w:sz w:val="22"/>
          <w:szCs w:val="22"/>
        </w:rPr>
        <w:footnoteRef/>
      </w:r>
      <w:r w:rsidRPr="00785BEC">
        <w:rPr>
          <w:sz w:val="22"/>
          <w:szCs w:val="22"/>
        </w:rPr>
        <w:t xml:space="preserve"> </w:t>
      </w:r>
      <w:r w:rsidR="00BD2EBF" w:rsidRPr="00785BEC">
        <w:rPr>
          <w:rFonts w:ascii="Candara" w:hAnsi="Candara"/>
          <w:sz w:val="22"/>
          <w:szCs w:val="22"/>
        </w:rPr>
        <w:t xml:space="preserve">Gregory </w:t>
      </w:r>
      <w:proofErr w:type="spellStart"/>
      <w:r w:rsidR="00BD2EBF" w:rsidRPr="00785BEC">
        <w:rPr>
          <w:rFonts w:ascii="Candara" w:hAnsi="Candara"/>
          <w:sz w:val="22"/>
          <w:szCs w:val="22"/>
        </w:rPr>
        <w:t>Landini</w:t>
      </w:r>
      <w:proofErr w:type="spellEnd"/>
      <w:r w:rsidR="00BD2EBF" w:rsidRPr="00785BEC">
        <w:rPr>
          <w:rFonts w:ascii="Candara" w:hAnsi="Candara"/>
          <w:sz w:val="22"/>
          <w:szCs w:val="22"/>
        </w:rPr>
        <w:t xml:space="preserve"> “Russell” (Oxon: Routledge, 2011)</w:t>
      </w:r>
    </w:p>
  </w:footnote>
  <w:footnote w:id="5">
    <w:p w14:paraId="4EE95E8F" w14:textId="2CD200F2" w:rsidR="00F33E12" w:rsidRPr="00785BEC" w:rsidRDefault="00F33E12">
      <w:pPr>
        <w:pStyle w:val="FootnoteText"/>
        <w:rPr>
          <w:sz w:val="22"/>
          <w:szCs w:val="22"/>
        </w:rPr>
      </w:pPr>
      <w:r w:rsidRPr="00785BEC">
        <w:rPr>
          <w:rStyle w:val="FootnoteReference"/>
          <w:sz w:val="22"/>
          <w:szCs w:val="22"/>
        </w:rPr>
        <w:footnoteRef/>
      </w:r>
      <w:r w:rsidRPr="00785BEC">
        <w:rPr>
          <w:sz w:val="22"/>
          <w:szCs w:val="22"/>
        </w:rPr>
        <w:t xml:space="preserve"> </w:t>
      </w:r>
      <w:r w:rsidR="00BD2EBF" w:rsidRPr="00785BEC">
        <w:rPr>
          <w:rFonts w:ascii="Candara" w:hAnsi="Candara"/>
          <w:sz w:val="22"/>
          <w:szCs w:val="22"/>
        </w:rPr>
        <w:t xml:space="preserve">Gregory </w:t>
      </w:r>
      <w:proofErr w:type="spellStart"/>
      <w:r w:rsidR="00BD2EBF" w:rsidRPr="00785BEC">
        <w:rPr>
          <w:rFonts w:ascii="Candara" w:hAnsi="Candara"/>
          <w:sz w:val="22"/>
          <w:szCs w:val="22"/>
        </w:rPr>
        <w:t>Landini</w:t>
      </w:r>
      <w:proofErr w:type="spellEnd"/>
      <w:r w:rsidR="00BD2EBF" w:rsidRPr="00785BEC">
        <w:rPr>
          <w:rFonts w:ascii="Candara" w:hAnsi="Candara"/>
          <w:sz w:val="22"/>
          <w:szCs w:val="22"/>
        </w:rPr>
        <w:t xml:space="preserve"> “Russell” (Oxon: Routledge, 2011)</w:t>
      </w:r>
    </w:p>
  </w:footnote>
  <w:footnote w:id="6">
    <w:p w14:paraId="134A8351" w14:textId="0F7B12F7" w:rsidR="00F33E12" w:rsidRPr="00785BEC" w:rsidRDefault="00F33E12">
      <w:pPr>
        <w:pStyle w:val="FootnoteText"/>
        <w:rPr>
          <w:sz w:val="22"/>
          <w:szCs w:val="22"/>
        </w:rPr>
      </w:pPr>
      <w:r w:rsidRPr="00785BEC">
        <w:rPr>
          <w:rStyle w:val="FootnoteReference"/>
          <w:sz w:val="22"/>
          <w:szCs w:val="22"/>
        </w:rPr>
        <w:footnoteRef/>
      </w:r>
      <w:r w:rsidRPr="00785BEC">
        <w:rPr>
          <w:sz w:val="22"/>
          <w:szCs w:val="22"/>
        </w:rPr>
        <w:t xml:space="preserve"> </w:t>
      </w:r>
      <w:r w:rsidR="00BD2EBF" w:rsidRPr="00785BEC">
        <w:rPr>
          <w:rFonts w:ascii="Candara" w:hAnsi="Candara"/>
          <w:sz w:val="22"/>
          <w:szCs w:val="22"/>
        </w:rPr>
        <w:t xml:space="preserve">Gregory </w:t>
      </w:r>
      <w:proofErr w:type="spellStart"/>
      <w:r w:rsidR="00BD2EBF" w:rsidRPr="00785BEC">
        <w:rPr>
          <w:rFonts w:ascii="Candara" w:hAnsi="Candara"/>
          <w:sz w:val="22"/>
          <w:szCs w:val="22"/>
        </w:rPr>
        <w:t>Landini</w:t>
      </w:r>
      <w:proofErr w:type="spellEnd"/>
      <w:r w:rsidR="00BD2EBF" w:rsidRPr="00785BEC">
        <w:rPr>
          <w:rFonts w:ascii="Candara" w:hAnsi="Candara"/>
          <w:sz w:val="22"/>
          <w:szCs w:val="22"/>
        </w:rPr>
        <w:t xml:space="preserve"> “Russell” (Oxon: Routledge, 2011)</w:t>
      </w:r>
    </w:p>
  </w:footnote>
  <w:footnote w:id="7">
    <w:p w14:paraId="74378B52" w14:textId="7F42628D" w:rsidR="00F33E12" w:rsidRDefault="00F33E12">
      <w:pPr>
        <w:pStyle w:val="FootnoteText"/>
      </w:pPr>
      <w:r>
        <w:rPr>
          <w:rStyle w:val="FootnoteReference"/>
        </w:rPr>
        <w:footnoteRef/>
      </w:r>
      <w:r>
        <w:t xml:space="preserve"> </w:t>
      </w:r>
      <w:bookmarkStart w:id="0" w:name="_Hlk499757046"/>
      <w:r w:rsidR="00785BEC">
        <w:rPr>
          <w:rFonts w:ascii="Candara" w:hAnsi="Candara"/>
        </w:rPr>
        <w:t xml:space="preserve">Gregory </w:t>
      </w:r>
      <w:proofErr w:type="spellStart"/>
      <w:r w:rsidR="00785BEC">
        <w:rPr>
          <w:rFonts w:ascii="Candara" w:hAnsi="Candara"/>
        </w:rPr>
        <w:t>Landini</w:t>
      </w:r>
      <w:proofErr w:type="spellEnd"/>
      <w:r w:rsidR="00785BEC">
        <w:rPr>
          <w:rFonts w:ascii="Candara" w:hAnsi="Candara"/>
        </w:rPr>
        <w:t xml:space="preserve"> “Russell” (Oxon: Routledge, 2011)</w:t>
      </w:r>
      <w:bookmarkEnd w:id="0"/>
    </w:p>
  </w:footnote>
  <w:footnote w:id="8">
    <w:p w14:paraId="394BF57A" w14:textId="3301A170" w:rsidR="00F33E12" w:rsidRPr="00785BEC" w:rsidRDefault="00F33E12" w:rsidP="00785BEC">
      <w:pPr>
        <w:rPr>
          <w:rFonts w:ascii="Candara" w:hAnsi="Candara"/>
        </w:rPr>
      </w:pPr>
      <w:r>
        <w:rPr>
          <w:rStyle w:val="FootnoteReference"/>
        </w:rPr>
        <w:footnoteRef/>
      </w:r>
      <w:r>
        <w:t xml:space="preserve"> </w:t>
      </w:r>
      <w:bookmarkStart w:id="1" w:name="_Hlk499757226"/>
      <w:r w:rsidR="00785BEC">
        <w:rPr>
          <w:rFonts w:ascii="Candara" w:hAnsi="Candara"/>
        </w:rPr>
        <w:t xml:space="preserve">John </w:t>
      </w:r>
      <w:proofErr w:type="spellStart"/>
      <w:r w:rsidR="00785BEC">
        <w:rPr>
          <w:rFonts w:ascii="Candara" w:hAnsi="Candara"/>
        </w:rPr>
        <w:t>Passamore</w:t>
      </w:r>
      <w:proofErr w:type="spellEnd"/>
      <w:r w:rsidR="00785BEC">
        <w:rPr>
          <w:rFonts w:ascii="Candara" w:hAnsi="Candara"/>
        </w:rPr>
        <w:t>, “A Hundred Years of Philosophy” (Penguin Books:1968)</w:t>
      </w:r>
      <w:bookmarkEnd w:id="1"/>
    </w:p>
  </w:footnote>
  <w:footnote w:id="9">
    <w:p w14:paraId="0C389179" w14:textId="5B49A311" w:rsidR="00F33E12" w:rsidRPr="00785BEC" w:rsidRDefault="00F33E12" w:rsidP="00785BEC">
      <w:pPr>
        <w:rPr>
          <w:rFonts w:ascii="Candara" w:hAnsi="Candara"/>
        </w:rPr>
      </w:pPr>
      <w:r>
        <w:rPr>
          <w:rStyle w:val="FootnoteReference"/>
        </w:rPr>
        <w:footnoteRef/>
      </w:r>
      <w:r>
        <w:t xml:space="preserve"> </w:t>
      </w:r>
      <w:r w:rsidR="00785BEC">
        <w:rPr>
          <w:rFonts w:ascii="Candara" w:hAnsi="Candara"/>
        </w:rPr>
        <w:t xml:space="preserve">John </w:t>
      </w:r>
      <w:proofErr w:type="spellStart"/>
      <w:r w:rsidR="00785BEC">
        <w:rPr>
          <w:rFonts w:ascii="Candara" w:hAnsi="Candara"/>
        </w:rPr>
        <w:t>Passamore</w:t>
      </w:r>
      <w:proofErr w:type="spellEnd"/>
      <w:r w:rsidR="00785BEC">
        <w:rPr>
          <w:rFonts w:ascii="Candara" w:hAnsi="Candara"/>
        </w:rPr>
        <w:t>, “A Hundred Years of Philosophy” (Penguin Books:1968)</w:t>
      </w:r>
    </w:p>
  </w:footnote>
  <w:footnote w:id="10">
    <w:p w14:paraId="422A6D5F" w14:textId="3163C357" w:rsidR="00F33E12" w:rsidRPr="00785BEC" w:rsidRDefault="00F33E12" w:rsidP="00785BEC">
      <w:pPr>
        <w:rPr>
          <w:rFonts w:ascii="Candara" w:hAnsi="Candara"/>
        </w:rPr>
      </w:pPr>
      <w:r>
        <w:rPr>
          <w:rStyle w:val="FootnoteReference"/>
        </w:rPr>
        <w:footnoteRef/>
      </w:r>
      <w:r>
        <w:t xml:space="preserve"> </w:t>
      </w:r>
      <w:r w:rsidR="00785BEC">
        <w:rPr>
          <w:rFonts w:ascii="Candara" w:hAnsi="Candara"/>
        </w:rPr>
        <w:t xml:space="preserve">John </w:t>
      </w:r>
      <w:proofErr w:type="spellStart"/>
      <w:r w:rsidR="00785BEC">
        <w:rPr>
          <w:rFonts w:ascii="Candara" w:hAnsi="Candara"/>
        </w:rPr>
        <w:t>Passamore</w:t>
      </w:r>
      <w:proofErr w:type="spellEnd"/>
      <w:r w:rsidR="00785BEC">
        <w:rPr>
          <w:rFonts w:ascii="Candara" w:hAnsi="Candara"/>
        </w:rPr>
        <w:t>, “A Hundred Years of Philosophy” (Penguin Books:1968)</w:t>
      </w:r>
    </w:p>
  </w:footnote>
  <w:footnote w:id="11">
    <w:p w14:paraId="6A7C554F" w14:textId="2460C1F6" w:rsidR="00785BEC" w:rsidRDefault="00785BEC">
      <w:pPr>
        <w:pStyle w:val="FootnoteText"/>
      </w:pPr>
      <w:r>
        <w:rPr>
          <w:rStyle w:val="FootnoteReference"/>
        </w:rPr>
        <w:footnoteRef/>
      </w:r>
      <w:r>
        <w:t xml:space="preserve"> </w:t>
      </w:r>
      <w:r>
        <w:rPr>
          <w:rFonts w:ascii="Candara" w:hAnsi="Candara"/>
        </w:rPr>
        <w:t xml:space="preserve">Gregory </w:t>
      </w:r>
      <w:proofErr w:type="spellStart"/>
      <w:r>
        <w:rPr>
          <w:rFonts w:ascii="Candara" w:hAnsi="Candara"/>
        </w:rPr>
        <w:t>Landini</w:t>
      </w:r>
      <w:proofErr w:type="spellEnd"/>
      <w:r>
        <w:rPr>
          <w:rFonts w:ascii="Candara" w:hAnsi="Candara"/>
        </w:rPr>
        <w:t xml:space="preserve"> “Russell” (Oxon: Routledge, 2011)</w:t>
      </w:r>
    </w:p>
  </w:footnote>
  <w:footnote w:id="12">
    <w:p w14:paraId="1F031477" w14:textId="11EFAE85" w:rsidR="00785BEC" w:rsidRDefault="00785BEC">
      <w:pPr>
        <w:pStyle w:val="FootnoteText"/>
      </w:pPr>
      <w:r>
        <w:rPr>
          <w:rStyle w:val="FootnoteReference"/>
        </w:rPr>
        <w:footnoteRef/>
      </w:r>
      <w:r>
        <w:t xml:space="preserve"> </w:t>
      </w:r>
      <w:r>
        <w:rPr>
          <w:rFonts w:ascii="Candara" w:hAnsi="Candara"/>
        </w:rPr>
        <w:t xml:space="preserve">Gregory </w:t>
      </w:r>
      <w:proofErr w:type="spellStart"/>
      <w:r>
        <w:rPr>
          <w:rFonts w:ascii="Candara" w:hAnsi="Candara"/>
        </w:rPr>
        <w:t>Landini</w:t>
      </w:r>
      <w:proofErr w:type="spellEnd"/>
      <w:r>
        <w:rPr>
          <w:rFonts w:ascii="Candara" w:hAnsi="Candara"/>
        </w:rPr>
        <w:t xml:space="preserve"> “Russell” (Oxon: Routledge, 2011)</w:t>
      </w:r>
    </w:p>
  </w:footnote>
  <w:footnote w:id="13">
    <w:p w14:paraId="5BEE8D82" w14:textId="4D799472" w:rsidR="00785BEC" w:rsidRDefault="00785BEC">
      <w:pPr>
        <w:pStyle w:val="FootnoteText"/>
      </w:pPr>
      <w:r>
        <w:rPr>
          <w:rStyle w:val="FootnoteReference"/>
        </w:rPr>
        <w:footnoteRef/>
      </w:r>
      <w:r>
        <w:t xml:space="preserve"> </w:t>
      </w:r>
      <w:r>
        <w:rPr>
          <w:rFonts w:ascii="Candara" w:hAnsi="Candara"/>
        </w:rPr>
        <w:t xml:space="preserve">Gregory </w:t>
      </w:r>
      <w:proofErr w:type="spellStart"/>
      <w:r>
        <w:rPr>
          <w:rFonts w:ascii="Candara" w:hAnsi="Candara"/>
        </w:rPr>
        <w:t>Landini</w:t>
      </w:r>
      <w:proofErr w:type="spellEnd"/>
      <w:r>
        <w:rPr>
          <w:rFonts w:ascii="Candara" w:hAnsi="Candara"/>
        </w:rPr>
        <w:t xml:space="preserve"> “Russell” (Oxon: Routledge, 2011)</w:t>
      </w:r>
    </w:p>
  </w:footnote>
  <w:footnote w:id="14">
    <w:p w14:paraId="2D0B5140" w14:textId="4C40C682" w:rsidR="00785BEC" w:rsidRDefault="00785BEC">
      <w:pPr>
        <w:pStyle w:val="FootnoteText"/>
      </w:pPr>
      <w:r>
        <w:rPr>
          <w:rStyle w:val="FootnoteReference"/>
        </w:rPr>
        <w:footnoteRef/>
      </w:r>
      <w:r>
        <w:t xml:space="preserve"> </w:t>
      </w:r>
      <w:r>
        <w:rPr>
          <w:rFonts w:ascii="Candara" w:hAnsi="Candara"/>
        </w:rPr>
        <w:t xml:space="preserve">Gregory </w:t>
      </w:r>
      <w:proofErr w:type="spellStart"/>
      <w:r>
        <w:rPr>
          <w:rFonts w:ascii="Candara" w:hAnsi="Candara"/>
        </w:rPr>
        <w:t>Landini</w:t>
      </w:r>
      <w:proofErr w:type="spellEnd"/>
      <w:r>
        <w:rPr>
          <w:rFonts w:ascii="Candara" w:hAnsi="Candara"/>
        </w:rPr>
        <w:t xml:space="preserve"> “Russell” (Oxon: Routledge, 2011)</w:t>
      </w:r>
    </w:p>
  </w:footnote>
  <w:footnote w:id="15">
    <w:p w14:paraId="258BA5A0" w14:textId="79AB0821" w:rsidR="00785BEC" w:rsidRDefault="00785BEC">
      <w:pPr>
        <w:pStyle w:val="FootnoteText"/>
      </w:pPr>
      <w:r>
        <w:rPr>
          <w:rStyle w:val="FootnoteReference"/>
        </w:rPr>
        <w:footnoteRef/>
      </w:r>
      <w:r>
        <w:t xml:space="preserve"> </w:t>
      </w:r>
      <w:r>
        <w:rPr>
          <w:rFonts w:ascii="Candara" w:hAnsi="Candara"/>
        </w:rPr>
        <w:t xml:space="preserve">Gregory </w:t>
      </w:r>
      <w:proofErr w:type="spellStart"/>
      <w:r>
        <w:rPr>
          <w:rFonts w:ascii="Candara" w:hAnsi="Candara"/>
        </w:rPr>
        <w:t>Landini</w:t>
      </w:r>
      <w:proofErr w:type="spellEnd"/>
      <w:r>
        <w:rPr>
          <w:rFonts w:ascii="Candara" w:hAnsi="Candara"/>
        </w:rPr>
        <w:t xml:space="preserve"> “Russell” (Oxon: Routledge, 2011)</w:t>
      </w:r>
    </w:p>
  </w:footnote>
  <w:footnote w:id="16">
    <w:p w14:paraId="2FBD8BE0" w14:textId="7D084BB4" w:rsidR="00A01DB4" w:rsidRDefault="00A01DB4">
      <w:pPr>
        <w:pStyle w:val="FootnoteText"/>
      </w:pPr>
      <w:r>
        <w:rPr>
          <w:rStyle w:val="FootnoteReference"/>
        </w:rPr>
        <w:footnoteRef/>
      </w:r>
      <w:r>
        <w:t xml:space="preserve"> </w:t>
      </w:r>
      <w:r>
        <w:rPr>
          <w:rFonts w:ascii="Candara" w:hAnsi="Candara"/>
        </w:rPr>
        <w:t xml:space="preserve">John </w:t>
      </w:r>
      <w:proofErr w:type="spellStart"/>
      <w:r>
        <w:rPr>
          <w:rFonts w:ascii="Candara" w:hAnsi="Candara"/>
        </w:rPr>
        <w:t>Passamore</w:t>
      </w:r>
      <w:proofErr w:type="spellEnd"/>
      <w:r>
        <w:rPr>
          <w:rFonts w:ascii="Candara" w:hAnsi="Candara"/>
        </w:rPr>
        <w:t>, “A Hundred Years of Philosophy” (Penguin Books:1968)</w:t>
      </w:r>
    </w:p>
  </w:footnote>
  <w:footnote w:id="17">
    <w:p w14:paraId="29415CCB" w14:textId="6E47292E" w:rsidR="00A01DB4" w:rsidRDefault="00A01DB4">
      <w:pPr>
        <w:pStyle w:val="FootnoteText"/>
      </w:pPr>
      <w:r>
        <w:rPr>
          <w:rStyle w:val="FootnoteReference"/>
        </w:rPr>
        <w:footnoteRef/>
      </w:r>
      <w:r>
        <w:t xml:space="preserve"> </w:t>
      </w:r>
      <w:r>
        <w:rPr>
          <w:rFonts w:ascii="Candara" w:hAnsi="Candara"/>
        </w:rPr>
        <w:t xml:space="preserve">Bernard </w:t>
      </w:r>
      <w:proofErr w:type="spellStart"/>
      <w:r>
        <w:rPr>
          <w:rFonts w:ascii="Candara" w:hAnsi="Candara"/>
        </w:rPr>
        <w:t>Bosanquent</w:t>
      </w:r>
      <w:proofErr w:type="spellEnd"/>
      <w:r>
        <w:rPr>
          <w:rFonts w:ascii="Candara" w:hAnsi="Candara"/>
        </w:rPr>
        <w:t>, “Review of Russel’s Problem of Philosophy”, Mind, 21, 84, (1912), 556-564</w:t>
      </w:r>
    </w:p>
  </w:footnote>
  <w:footnote w:id="18">
    <w:p w14:paraId="158F0723" w14:textId="1AADF009" w:rsidR="00A01DB4" w:rsidRPr="00A01DB4" w:rsidRDefault="00A01DB4" w:rsidP="00A01DB4">
      <w:pPr>
        <w:rPr>
          <w:rFonts w:ascii="Candara" w:hAnsi="Candara"/>
        </w:rPr>
      </w:pPr>
      <w:r>
        <w:rPr>
          <w:rStyle w:val="FootnoteReference"/>
        </w:rPr>
        <w:footnoteRef/>
      </w:r>
      <w:r>
        <w:t xml:space="preserve"> </w:t>
      </w:r>
      <w:r>
        <w:rPr>
          <w:rFonts w:ascii="Candara" w:hAnsi="Candara"/>
        </w:rPr>
        <w:t xml:space="preserve">Problems of Philosophy, </w:t>
      </w:r>
      <w:proofErr w:type="spellStart"/>
      <w:r>
        <w:rPr>
          <w:rFonts w:ascii="Candara" w:hAnsi="Candara"/>
          <w:i/>
        </w:rPr>
        <w:t>Sparknotes</w:t>
      </w:r>
      <w:proofErr w:type="spellEnd"/>
      <w:r>
        <w:rPr>
          <w:rFonts w:ascii="Candara" w:hAnsi="Candara"/>
          <w:i/>
        </w:rPr>
        <w:t xml:space="preserve">, </w:t>
      </w:r>
      <w:hyperlink r:id="rId1" w:history="1">
        <w:r w:rsidRPr="0090780B">
          <w:rPr>
            <w:rStyle w:val="Hyperlink"/>
            <w:rFonts w:ascii="Candara" w:hAnsi="Candara"/>
          </w:rPr>
          <w:t>http://www.sparknotes.com/philosophy/problems/section1.rhtml. Accessed 29/11/17</w:t>
        </w:r>
      </w:hyperlink>
    </w:p>
  </w:footnote>
  <w:footnote w:id="19">
    <w:p w14:paraId="28AA9680" w14:textId="3B03C51E" w:rsidR="00A01DB4" w:rsidRDefault="00A01DB4">
      <w:pPr>
        <w:pStyle w:val="FootnoteText"/>
      </w:pPr>
      <w:r>
        <w:rPr>
          <w:rStyle w:val="FootnoteReference"/>
        </w:rPr>
        <w:footnoteRef/>
      </w:r>
      <w:r>
        <w:t xml:space="preserve"> </w:t>
      </w:r>
      <w:r>
        <w:rPr>
          <w:rFonts w:ascii="Candara" w:hAnsi="Candara"/>
        </w:rPr>
        <w:t xml:space="preserve">Bernard </w:t>
      </w:r>
      <w:proofErr w:type="spellStart"/>
      <w:r>
        <w:rPr>
          <w:rFonts w:ascii="Candara" w:hAnsi="Candara"/>
        </w:rPr>
        <w:t>Bosanquent</w:t>
      </w:r>
      <w:proofErr w:type="spellEnd"/>
      <w:r>
        <w:rPr>
          <w:rFonts w:ascii="Candara" w:hAnsi="Candara"/>
        </w:rPr>
        <w:t>, “Review of Russel’s Problem of Philosophy”, Mind, 21, 84, (1912), 556-564</w:t>
      </w:r>
    </w:p>
  </w:footnote>
  <w:footnote w:id="20">
    <w:p w14:paraId="16CE566D" w14:textId="77777777" w:rsidR="00A01DB4" w:rsidRDefault="00A01DB4" w:rsidP="00A01DB4">
      <w:pPr>
        <w:rPr>
          <w:rFonts w:ascii="Candara" w:hAnsi="Candara"/>
        </w:rPr>
      </w:pPr>
      <w:r>
        <w:rPr>
          <w:rStyle w:val="FootnoteReference"/>
        </w:rPr>
        <w:footnoteRef/>
      </w:r>
      <w:r>
        <w:t xml:space="preserve"> </w:t>
      </w:r>
      <w:r>
        <w:rPr>
          <w:rFonts w:ascii="Candara" w:hAnsi="Candara"/>
        </w:rPr>
        <w:t xml:space="preserve">Problems of Philosophy, </w:t>
      </w:r>
      <w:proofErr w:type="spellStart"/>
      <w:r>
        <w:rPr>
          <w:rFonts w:ascii="Candara" w:hAnsi="Candara"/>
          <w:i/>
        </w:rPr>
        <w:t>Sparknotes</w:t>
      </w:r>
      <w:proofErr w:type="spellEnd"/>
      <w:r>
        <w:rPr>
          <w:rFonts w:ascii="Candara" w:hAnsi="Candara"/>
          <w:i/>
        </w:rPr>
        <w:t xml:space="preserve">, </w:t>
      </w:r>
      <w:hyperlink r:id="rId2" w:history="1">
        <w:r w:rsidRPr="0090780B">
          <w:rPr>
            <w:rStyle w:val="Hyperlink"/>
            <w:rFonts w:ascii="Candara" w:hAnsi="Candara"/>
          </w:rPr>
          <w:t>http://www.sparknotes.com/philosophy/problems/section1.rhtml. Accessed 29/11/17</w:t>
        </w:r>
      </w:hyperlink>
    </w:p>
    <w:p w14:paraId="03633808" w14:textId="30B34577" w:rsidR="00A01DB4" w:rsidRDefault="00A01DB4">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E8D"/>
    <w:rsid w:val="00017E7E"/>
    <w:rsid w:val="000535BD"/>
    <w:rsid w:val="000556AF"/>
    <w:rsid w:val="00067ECA"/>
    <w:rsid w:val="0007016E"/>
    <w:rsid w:val="000747E0"/>
    <w:rsid w:val="00097577"/>
    <w:rsid w:val="000B50A0"/>
    <w:rsid w:val="000C20A4"/>
    <w:rsid w:val="000F4E24"/>
    <w:rsid w:val="000F65EB"/>
    <w:rsid w:val="00157758"/>
    <w:rsid w:val="00186877"/>
    <w:rsid w:val="001B337E"/>
    <w:rsid w:val="00207497"/>
    <w:rsid w:val="002B392A"/>
    <w:rsid w:val="002B5BE9"/>
    <w:rsid w:val="002E05EE"/>
    <w:rsid w:val="003302C0"/>
    <w:rsid w:val="00331BEE"/>
    <w:rsid w:val="00342743"/>
    <w:rsid w:val="00354578"/>
    <w:rsid w:val="003619EA"/>
    <w:rsid w:val="003847B6"/>
    <w:rsid w:val="003A41E9"/>
    <w:rsid w:val="003E10D2"/>
    <w:rsid w:val="003F76ED"/>
    <w:rsid w:val="00422A03"/>
    <w:rsid w:val="004A37D5"/>
    <w:rsid w:val="004C30D8"/>
    <w:rsid w:val="004D6E40"/>
    <w:rsid w:val="00511293"/>
    <w:rsid w:val="005424F0"/>
    <w:rsid w:val="00587C39"/>
    <w:rsid w:val="005A4D0A"/>
    <w:rsid w:val="006149E9"/>
    <w:rsid w:val="00656FD5"/>
    <w:rsid w:val="006633B9"/>
    <w:rsid w:val="00674E59"/>
    <w:rsid w:val="006B5B0F"/>
    <w:rsid w:val="006D5A64"/>
    <w:rsid w:val="006F0B8F"/>
    <w:rsid w:val="00785BEC"/>
    <w:rsid w:val="007C4CB2"/>
    <w:rsid w:val="007E4F40"/>
    <w:rsid w:val="00823F0B"/>
    <w:rsid w:val="00833105"/>
    <w:rsid w:val="00854256"/>
    <w:rsid w:val="00855E30"/>
    <w:rsid w:val="00890FE6"/>
    <w:rsid w:val="008D7CF0"/>
    <w:rsid w:val="008E26D2"/>
    <w:rsid w:val="009035D3"/>
    <w:rsid w:val="00906940"/>
    <w:rsid w:val="00914453"/>
    <w:rsid w:val="00923ABE"/>
    <w:rsid w:val="0093072E"/>
    <w:rsid w:val="009549FE"/>
    <w:rsid w:val="00994DD0"/>
    <w:rsid w:val="009A6BDB"/>
    <w:rsid w:val="009C1505"/>
    <w:rsid w:val="009C601F"/>
    <w:rsid w:val="009E7BCE"/>
    <w:rsid w:val="009F36EB"/>
    <w:rsid w:val="00A01DB4"/>
    <w:rsid w:val="00A25E6D"/>
    <w:rsid w:val="00A359CA"/>
    <w:rsid w:val="00A368C7"/>
    <w:rsid w:val="00A72BFC"/>
    <w:rsid w:val="00AE62FA"/>
    <w:rsid w:val="00AF3855"/>
    <w:rsid w:val="00AF5671"/>
    <w:rsid w:val="00B105A5"/>
    <w:rsid w:val="00B57B03"/>
    <w:rsid w:val="00B7221A"/>
    <w:rsid w:val="00BD2EBF"/>
    <w:rsid w:val="00C02A8C"/>
    <w:rsid w:val="00C05869"/>
    <w:rsid w:val="00C1265A"/>
    <w:rsid w:val="00C234D7"/>
    <w:rsid w:val="00C35997"/>
    <w:rsid w:val="00C53F78"/>
    <w:rsid w:val="00C64E8D"/>
    <w:rsid w:val="00C74818"/>
    <w:rsid w:val="00C7522D"/>
    <w:rsid w:val="00C86706"/>
    <w:rsid w:val="00CE571F"/>
    <w:rsid w:val="00CF5B56"/>
    <w:rsid w:val="00CF7C60"/>
    <w:rsid w:val="00D52824"/>
    <w:rsid w:val="00D75C92"/>
    <w:rsid w:val="00E16015"/>
    <w:rsid w:val="00E40CEC"/>
    <w:rsid w:val="00EB0267"/>
    <w:rsid w:val="00EB5118"/>
    <w:rsid w:val="00EC7DA6"/>
    <w:rsid w:val="00F0127B"/>
    <w:rsid w:val="00F0416B"/>
    <w:rsid w:val="00F14D41"/>
    <w:rsid w:val="00F33E12"/>
    <w:rsid w:val="00F344A0"/>
    <w:rsid w:val="00F7394C"/>
    <w:rsid w:val="00F753E2"/>
    <w:rsid w:val="00F77483"/>
    <w:rsid w:val="00FA6F88"/>
    <w:rsid w:val="00FF6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76729"/>
  <w15:chartTrackingRefBased/>
  <w15:docId w15:val="{93968303-CEA7-4DF6-94D2-2644750B7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33E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3E12"/>
    <w:rPr>
      <w:sz w:val="20"/>
      <w:szCs w:val="20"/>
    </w:rPr>
  </w:style>
  <w:style w:type="character" w:styleId="FootnoteReference">
    <w:name w:val="footnote reference"/>
    <w:basedOn w:val="DefaultParagraphFont"/>
    <w:uiPriority w:val="99"/>
    <w:semiHidden/>
    <w:unhideWhenUsed/>
    <w:rsid w:val="00F33E12"/>
    <w:rPr>
      <w:vertAlign w:val="superscript"/>
    </w:rPr>
  </w:style>
  <w:style w:type="character" w:styleId="Hyperlink">
    <w:name w:val="Hyperlink"/>
    <w:basedOn w:val="DefaultParagraphFont"/>
    <w:uiPriority w:val="99"/>
    <w:unhideWhenUsed/>
    <w:rsid w:val="00C86706"/>
    <w:rPr>
      <w:color w:val="0563C1" w:themeColor="hyperlink"/>
      <w:u w:val="single"/>
    </w:rPr>
  </w:style>
  <w:style w:type="character" w:styleId="UnresolvedMention">
    <w:name w:val="Unresolved Mention"/>
    <w:basedOn w:val="DefaultParagraphFont"/>
    <w:uiPriority w:val="99"/>
    <w:semiHidden/>
    <w:unhideWhenUsed/>
    <w:rsid w:val="00C8670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www.sparknotes.com/philosophy/problems/section1.rhtml.%20Accessed%2029/11/17" TargetMode="External"/><Relationship Id="rId1" Type="http://schemas.openxmlformats.org/officeDocument/2006/relationships/hyperlink" Target="http://www.sparknotes.com/philosophy/problems/section1.rhtml.%20Accessed%2029/11/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71C63-BA1A-4F06-A4A8-9A87E2EB1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 (1600497)</dc:creator>
  <cp:keywords/>
  <dc:description/>
  <cp:lastModifiedBy>Samuel Evans</cp:lastModifiedBy>
  <cp:revision>2</cp:revision>
  <dcterms:created xsi:type="dcterms:W3CDTF">2017-11-29T22:48:00Z</dcterms:created>
  <dcterms:modified xsi:type="dcterms:W3CDTF">2017-11-29T22:48:00Z</dcterms:modified>
</cp:coreProperties>
</file>