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AEAA" w14:textId="77777777" w:rsidR="009F64C5" w:rsidRPr="003C6276" w:rsidRDefault="009F64C5">
      <w:pPr>
        <w:spacing w:after="158"/>
        <w:ind w:left="49"/>
        <w:jc w:val="center"/>
      </w:pPr>
      <w:r w:rsidRPr="003C6276">
        <w:rPr>
          <w:rFonts w:ascii="Calibri" w:eastAsia="Calibri" w:hAnsi="Calibri" w:cs="Calibri"/>
        </w:rPr>
        <w:t xml:space="preserve"> </w:t>
      </w:r>
    </w:p>
    <w:p w14:paraId="6D3D663A" w14:textId="77777777" w:rsidR="009F64C5" w:rsidRPr="003C6276" w:rsidRDefault="009F64C5">
      <w:pPr>
        <w:ind w:left="49"/>
        <w:jc w:val="center"/>
      </w:pPr>
      <w:r w:rsidRPr="003C6276">
        <w:rPr>
          <w:rFonts w:ascii="Calibri" w:eastAsia="Calibri" w:hAnsi="Calibri" w:cs="Calibri"/>
        </w:rPr>
        <w:t xml:space="preserve"> </w:t>
      </w:r>
    </w:p>
    <w:p w14:paraId="6787C14B" w14:textId="578E474B" w:rsidR="009F64C5" w:rsidRPr="003C6276" w:rsidRDefault="009F64C5">
      <w:pPr>
        <w:spacing w:after="158"/>
        <w:ind w:left="49"/>
        <w:jc w:val="center"/>
      </w:pPr>
      <w:r w:rsidRPr="003C6276">
        <w:rPr>
          <w:noProof/>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3C6276">
        <w:rPr>
          <w:rFonts w:ascii="Calibri" w:eastAsia="Calibri" w:hAnsi="Calibri" w:cs="Calibri"/>
        </w:rPr>
        <w:t xml:space="preserve"> </w:t>
      </w:r>
    </w:p>
    <w:p w14:paraId="5E0F4EC2" w14:textId="77777777" w:rsidR="009F64C5" w:rsidRPr="003C6276" w:rsidRDefault="009F64C5">
      <w:pPr>
        <w:ind w:left="49"/>
        <w:jc w:val="center"/>
      </w:pPr>
      <w:r w:rsidRPr="003C6276">
        <w:rPr>
          <w:rFonts w:ascii="Calibri" w:eastAsia="Calibri" w:hAnsi="Calibri" w:cs="Calibri"/>
        </w:rPr>
        <w:t xml:space="preserve"> </w:t>
      </w:r>
    </w:p>
    <w:p w14:paraId="0C4D53A1" w14:textId="77777777" w:rsidR="009F64C5" w:rsidRPr="003C6276" w:rsidRDefault="009F64C5">
      <w:pPr>
        <w:spacing w:after="287"/>
        <w:ind w:left="49"/>
        <w:jc w:val="center"/>
      </w:pPr>
      <w:r w:rsidRPr="003C6276">
        <w:rPr>
          <w:rFonts w:ascii="Calibri" w:eastAsia="Calibri" w:hAnsi="Calibri" w:cs="Calibri"/>
        </w:rPr>
        <w:t xml:space="preserve"> </w:t>
      </w:r>
    </w:p>
    <w:p w14:paraId="196BF838" w14:textId="6F9550F0" w:rsidR="009F64C5" w:rsidRPr="003C6276" w:rsidRDefault="005D6015" w:rsidP="005D6015">
      <w:pPr>
        <w:pStyle w:val="Title"/>
        <w:spacing w:after="240"/>
        <w:rPr>
          <w:sz w:val="24"/>
          <w:szCs w:val="24"/>
        </w:rPr>
      </w:pPr>
      <w:r w:rsidRPr="003C6276">
        <w:rPr>
          <w:rFonts w:asciiTheme="minorBidi" w:hAnsiTheme="minorBidi"/>
          <w:sz w:val="36"/>
        </w:rPr>
        <w:t xml:space="preserve"> [</w:t>
      </w:r>
      <w:r w:rsidRPr="003C6276">
        <w:rPr>
          <w:sz w:val="24"/>
          <w:szCs w:val="24"/>
        </w:rPr>
        <w:t>“A SYSTEMATIC REVIEW OF DETERMINANTS AND MANAGEMENT CHALLENGES OF CHRONIC KIDNEY DISEASE (CKD) AMONG ADULTS IN THE UNITED KINGDOM”</w:t>
      </w:r>
      <w:r w:rsidRPr="003C6276">
        <w:rPr>
          <w:rFonts w:asciiTheme="minorBidi" w:hAnsiTheme="minorBidi"/>
          <w:sz w:val="36"/>
        </w:rPr>
        <w:t>]</w:t>
      </w:r>
    </w:p>
    <w:p w14:paraId="5E1E2E05" w14:textId="77777777" w:rsidR="009F64C5" w:rsidRPr="003C6276" w:rsidRDefault="009F64C5">
      <w:pPr>
        <w:spacing w:after="42"/>
        <w:ind w:left="89"/>
        <w:jc w:val="center"/>
      </w:pPr>
      <w:r w:rsidRPr="003C6276">
        <w:rPr>
          <w:sz w:val="36"/>
        </w:rPr>
        <w:t xml:space="preserve"> </w:t>
      </w:r>
    </w:p>
    <w:p w14:paraId="46D86011" w14:textId="77777777" w:rsidR="009F64C5" w:rsidRPr="003C6276" w:rsidRDefault="009F64C5">
      <w:pPr>
        <w:spacing w:after="157"/>
        <w:ind w:left="2367" w:right="2358"/>
        <w:jc w:val="center"/>
        <w:rPr>
          <w:rFonts w:asciiTheme="minorBidi" w:hAnsiTheme="minorBidi"/>
        </w:rPr>
      </w:pPr>
      <w:r w:rsidRPr="003C6276">
        <w:rPr>
          <w:rFonts w:asciiTheme="minorBidi" w:hAnsiTheme="minorBidi"/>
        </w:rPr>
        <w:t xml:space="preserve">by </w:t>
      </w:r>
    </w:p>
    <w:p w14:paraId="75EA3561" w14:textId="77777777" w:rsidR="009F64C5" w:rsidRPr="003C6276" w:rsidRDefault="009F64C5" w:rsidP="009065DA">
      <w:pPr>
        <w:spacing w:after="158" w:line="360" w:lineRule="auto"/>
        <w:ind w:left="59"/>
        <w:jc w:val="center"/>
        <w:rPr>
          <w:rFonts w:asciiTheme="minorBidi" w:hAnsiTheme="minorBidi"/>
        </w:rPr>
      </w:pPr>
      <w:r w:rsidRPr="003C6276">
        <w:rPr>
          <w:rFonts w:asciiTheme="minorBidi" w:hAnsiTheme="minorBidi"/>
        </w:rPr>
        <w:t xml:space="preserve"> </w:t>
      </w:r>
    </w:p>
    <w:p w14:paraId="350EB5D6" w14:textId="19CFEF6E" w:rsidR="009F64C5" w:rsidRPr="003C6276" w:rsidRDefault="009065DA" w:rsidP="009065DA">
      <w:pPr>
        <w:spacing w:after="157" w:line="360" w:lineRule="auto"/>
        <w:ind w:left="2367" w:right="2359"/>
        <w:jc w:val="center"/>
        <w:rPr>
          <w:rFonts w:asciiTheme="minorBidi" w:hAnsiTheme="minorBidi"/>
        </w:rPr>
      </w:pPr>
      <w:r w:rsidRPr="009065DA">
        <w:rPr>
          <w:rFonts w:asciiTheme="minorBidi" w:hAnsiTheme="minorBidi"/>
        </w:rPr>
        <w:t xml:space="preserve">Pratham Ravindrakumar </w:t>
      </w:r>
      <w:r>
        <w:rPr>
          <w:rFonts w:asciiTheme="minorBidi" w:hAnsiTheme="minorBidi"/>
        </w:rPr>
        <w:t>L</w:t>
      </w:r>
      <w:r w:rsidRPr="009065DA">
        <w:rPr>
          <w:rFonts w:asciiTheme="minorBidi" w:hAnsiTheme="minorBidi"/>
        </w:rPr>
        <w:t>uhar</w:t>
      </w:r>
      <w:r>
        <w:rPr>
          <w:rFonts w:asciiTheme="minorBidi" w:hAnsiTheme="minorBidi"/>
        </w:rPr>
        <w:br/>
      </w:r>
      <w:r w:rsidRPr="009065DA">
        <w:rPr>
          <w:rFonts w:asciiTheme="minorBidi" w:hAnsiTheme="minorBidi"/>
        </w:rPr>
        <w:t>Student id: 2426580</w:t>
      </w:r>
    </w:p>
    <w:p w14:paraId="1062A64A" w14:textId="77777777" w:rsidR="009F64C5" w:rsidRPr="003C6276" w:rsidRDefault="009F64C5">
      <w:pPr>
        <w:spacing w:after="158"/>
        <w:ind w:left="59"/>
        <w:jc w:val="center"/>
      </w:pPr>
      <w:r w:rsidRPr="003C6276">
        <w:t xml:space="preserve"> </w:t>
      </w:r>
    </w:p>
    <w:p w14:paraId="5CAC7C58" w14:textId="5949C690" w:rsidR="009F64C5" w:rsidRPr="003C6276" w:rsidRDefault="009F64C5">
      <w:pPr>
        <w:spacing w:after="158"/>
        <w:ind w:left="59"/>
        <w:jc w:val="center"/>
        <w:rPr>
          <w:rFonts w:asciiTheme="minorBidi" w:hAnsiTheme="minorBidi"/>
        </w:rPr>
      </w:pPr>
      <w:r w:rsidRPr="003C6276">
        <w:t xml:space="preserve"> </w:t>
      </w:r>
      <w:r w:rsidRPr="003C6276">
        <w:rPr>
          <w:rFonts w:asciiTheme="minorBidi" w:hAnsiTheme="minorBidi"/>
        </w:rPr>
        <w:t xml:space="preserve"> </w:t>
      </w:r>
    </w:p>
    <w:p w14:paraId="75DE2693" w14:textId="713CCC3C" w:rsidR="009F64C5" w:rsidRPr="003C6276" w:rsidRDefault="009F64C5" w:rsidP="009F64C5">
      <w:pPr>
        <w:spacing w:after="156"/>
        <w:ind w:left="59"/>
        <w:jc w:val="center"/>
        <w:rPr>
          <w:rFonts w:asciiTheme="minorBidi" w:hAnsiTheme="minorBidi"/>
          <w:sz w:val="24"/>
          <w:szCs w:val="24"/>
        </w:rPr>
      </w:pPr>
      <w:r w:rsidRPr="003C6276">
        <w:rPr>
          <w:rFonts w:asciiTheme="minorBidi" w:hAnsiTheme="minorBidi"/>
          <w:sz w:val="24"/>
          <w:szCs w:val="24"/>
        </w:rPr>
        <w:t>A Dissertation submitted in partial fulfilment of the requirements for the degree of Masters of Science in Public Health and Social Care in Practice</w:t>
      </w:r>
    </w:p>
    <w:p w14:paraId="6B1630CF" w14:textId="77777777" w:rsidR="009F64C5" w:rsidRPr="003C6276" w:rsidRDefault="009F64C5" w:rsidP="009F64C5">
      <w:pPr>
        <w:spacing w:after="169"/>
        <w:jc w:val="center"/>
        <w:rPr>
          <w:rFonts w:asciiTheme="minorBidi" w:hAnsiTheme="minorBidi"/>
          <w:b/>
          <w:bCs/>
        </w:rPr>
      </w:pPr>
    </w:p>
    <w:p w14:paraId="48468714" w14:textId="77777777" w:rsidR="009F64C5" w:rsidRPr="003C6276" w:rsidRDefault="009F64C5" w:rsidP="009F64C5">
      <w:pPr>
        <w:spacing w:after="169"/>
        <w:jc w:val="center"/>
        <w:rPr>
          <w:rFonts w:asciiTheme="minorBidi" w:hAnsiTheme="minorBidi"/>
          <w:b/>
          <w:bCs/>
        </w:rPr>
      </w:pPr>
    </w:p>
    <w:p w14:paraId="7C5AA9DE" w14:textId="3566044E" w:rsidR="009F64C5" w:rsidRPr="003C6276" w:rsidRDefault="34630932" w:rsidP="009F64C5">
      <w:pPr>
        <w:spacing w:after="169"/>
        <w:jc w:val="center"/>
        <w:rPr>
          <w:rFonts w:asciiTheme="minorBidi" w:hAnsiTheme="minorBidi"/>
          <w:b/>
          <w:bCs/>
          <w:sz w:val="24"/>
          <w:szCs w:val="24"/>
        </w:rPr>
      </w:pPr>
      <w:r w:rsidRPr="003C6276">
        <w:rPr>
          <w:rFonts w:asciiTheme="minorBidi" w:hAnsiTheme="minorBidi"/>
          <w:b/>
          <w:bCs/>
          <w:sz w:val="24"/>
          <w:szCs w:val="24"/>
        </w:rPr>
        <w:t>T</w:t>
      </w:r>
      <w:r w:rsidR="009F64C5" w:rsidRPr="003C6276">
        <w:rPr>
          <w:rFonts w:asciiTheme="minorBidi" w:hAnsiTheme="minorBidi"/>
          <w:b/>
          <w:bCs/>
          <w:sz w:val="24"/>
          <w:szCs w:val="24"/>
        </w:rPr>
        <w:t>he Institute of Inner</w:t>
      </w:r>
      <w:r w:rsidR="4EFAA9D8" w:rsidRPr="003C6276">
        <w:rPr>
          <w:rFonts w:asciiTheme="minorBidi" w:hAnsiTheme="minorBidi"/>
          <w:b/>
          <w:bCs/>
          <w:sz w:val="24"/>
          <w:szCs w:val="24"/>
        </w:rPr>
        <w:t>-</w:t>
      </w:r>
      <w:r w:rsidR="009F64C5" w:rsidRPr="003C6276">
        <w:rPr>
          <w:rFonts w:asciiTheme="minorBidi" w:hAnsiTheme="minorBidi"/>
          <w:b/>
          <w:bCs/>
          <w:sz w:val="24"/>
          <w:szCs w:val="24"/>
        </w:rPr>
        <w:t>City Learning</w:t>
      </w:r>
    </w:p>
    <w:p w14:paraId="0A089F1E" w14:textId="7EF44560" w:rsidR="009F64C5" w:rsidRPr="003C6276" w:rsidRDefault="009F64C5" w:rsidP="009F64C5">
      <w:pPr>
        <w:spacing w:after="169"/>
        <w:jc w:val="center"/>
        <w:rPr>
          <w:rFonts w:asciiTheme="minorBidi" w:hAnsiTheme="minorBidi"/>
          <w:b/>
          <w:bCs/>
          <w:sz w:val="24"/>
          <w:szCs w:val="24"/>
        </w:rPr>
      </w:pPr>
      <w:r w:rsidRPr="003C6276">
        <w:rPr>
          <w:rFonts w:asciiTheme="minorBidi" w:hAnsiTheme="minorBidi"/>
          <w:b/>
          <w:bCs/>
          <w:sz w:val="24"/>
          <w:szCs w:val="24"/>
        </w:rPr>
        <w:t>University of Wales Trinity Saint David – London Campus</w:t>
      </w:r>
    </w:p>
    <w:p w14:paraId="4C4866B4" w14:textId="77777777" w:rsidR="009F64C5" w:rsidRPr="003C6276" w:rsidRDefault="009F64C5">
      <w:pPr>
        <w:spacing w:after="157"/>
        <w:ind w:left="2367" w:right="2357"/>
        <w:jc w:val="center"/>
        <w:rPr>
          <w:rFonts w:asciiTheme="minorBidi" w:hAnsiTheme="minorBidi"/>
          <w:b/>
          <w:bCs/>
          <w:sz w:val="24"/>
          <w:szCs w:val="24"/>
        </w:rPr>
      </w:pPr>
    </w:p>
    <w:p w14:paraId="52A3D603" w14:textId="77777777" w:rsidR="009F64C5" w:rsidRPr="003C6276" w:rsidRDefault="009F64C5">
      <w:pPr>
        <w:spacing w:after="157"/>
        <w:ind w:left="2367" w:right="2357"/>
        <w:jc w:val="center"/>
        <w:rPr>
          <w:rFonts w:asciiTheme="minorBidi" w:hAnsiTheme="minorBidi"/>
          <w:b/>
          <w:bCs/>
          <w:sz w:val="24"/>
          <w:szCs w:val="24"/>
        </w:rPr>
      </w:pPr>
    </w:p>
    <w:p w14:paraId="5D8C4E6F" w14:textId="01196256" w:rsidR="00113366" w:rsidRPr="003C6276" w:rsidRDefault="009F64C5">
      <w:pPr>
        <w:spacing w:after="157"/>
        <w:ind w:left="2367" w:right="2357"/>
        <w:jc w:val="center"/>
        <w:rPr>
          <w:rFonts w:asciiTheme="minorBidi" w:hAnsiTheme="minorBidi"/>
          <w:b/>
          <w:bCs/>
          <w:sz w:val="24"/>
          <w:szCs w:val="24"/>
        </w:rPr>
      </w:pPr>
      <w:r w:rsidRPr="003C6276">
        <w:rPr>
          <w:rFonts w:asciiTheme="minorBidi" w:hAnsiTheme="minorBidi"/>
          <w:b/>
          <w:bCs/>
          <w:sz w:val="24"/>
          <w:szCs w:val="24"/>
        </w:rPr>
        <w:t>[</w:t>
      </w:r>
      <w:r w:rsidR="009065DA">
        <w:rPr>
          <w:rFonts w:asciiTheme="minorBidi" w:hAnsiTheme="minorBidi"/>
          <w:b/>
          <w:bCs/>
          <w:sz w:val="24"/>
          <w:szCs w:val="24"/>
        </w:rPr>
        <w:t>2026</w:t>
      </w:r>
      <w:r w:rsidRPr="003C6276">
        <w:rPr>
          <w:rFonts w:asciiTheme="minorBidi" w:hAnsiTheme="minorBidi"/>
          <w:b/>
          <w:bCs/>
          <w:sz w:val="24"/>
          <w:szCs w:val="24"/>
        </w:rPr>
        <w:t xml:space="preserve">] </w:t>
      </w:r>
    </w:p>
    <w:p w14:paraId="46C7FCCD" w14:textId="77777777" w:rsidR="00113366" w:rsidRPr="003C6276" w:rsidRDefault="00113366">
      <w:pPr>
        <w:rPr>
          <w:b/>
          <w:bCs/>
        </w:rPr>
      </w:pPr>
      <w:r w:rsidRPr="003C6276">
        <w:rPr>
          <w:b/>
          <w:bCs/>
        </w:rPr>
        <w:br w:type="page"/>
      </w:r>
    </w:p>
    <w:p w14:paraId="013A249C" w14:textId="77777777" w:rsidR="00113366" w:rsidRPr="003C6276" w:rsidRDefault="00113366" w:rsidP="00113366">
      <w:pPr>
        <w:spacing w:after="200" w:line="276" w:lineRule="auto"/>
        <w:rPr>
          <w:rFonts w:ascii="Arial" w:eastAsia="Times New Roman" w:hAnsi="Arial" w:cs="Arial"/>
          <w:b/>
          <w:bCs/>
          <w:color w:val="000000" w:themeColor="text1"/>
          <w:sz w:val="24"/>
          <w:szCs w:val="24"/>
        </w:rPr>
      </w:pPr>
      <w:r w:rsidRPr="003C6276">
        <w:rPr>
          <w:rFonts w:ascii="Arial" w:eastAsia="Times New Roman" w:hAnsi="Arial" w:cs="Arial"/>
          <w:b/>
          <w:bCs/>
          <w:color w:val="000000" w:themeColor="text1"/>
          <w:sz w:val="24"/>
          <w:szCs w:val="24"/>
        </w:rPr>
        <w:lastRenderedPageBreak/>
        <w:t>DECLARATION</w:t>
      </w:r>
    </w:p>
    <w:p w14:paraId="2E9B29DF" w14:textId="77777777" w:rsidR="00113366" w:rsidRPr="003C6276" w:rsidRDefault="00113366" w:rsidP="00113366">
      <w:pPr>
        <w:spacing w:after="200" w:line="276" w:lineRule="auto"/>
        <w:rPr>
          <w:rFonts w:ascii="Arial" w:eastAsia="Times New Roman" w:hAnsi="Arial" w:cs="Arial"/>
          <w:color w:val="000000" w:themeColor="text1"/>
          <w:sz w:val="24"/>
          <w:szCs w:val="24"/>
        </w:rPr>
      </w:pPr>
    </w:p>
    <w:p w14:paraId="46A549CB" w14:textId="705981EC" w:rsidR="00113366" w:rsidRPr="003C6276" w:rsidRDefault="00113366" w:rsidP="003768BC">
      <w:pPr>
        <w:spacing w:after="200" w:line="360" w:lineRule="auto"/>
        <w:jc w:val="both"/>
        <w:rPr>
          <w:rFonts w:ascii="Arial" w:eastAsia="Times New Roman" w:hAnsi="Arial" w:cs="Arial"/>
          <w:color w:val="000000" w:themeColor="text1"/>
        </w:rPr>
      </w:pPr>
      <w:r w:rsidRPr="003C6276">
        <w:rPr>
          <w:noProof/>
          <w:sz w:val="20"/>
          <w:szCs w:val="20"/>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08587703">
              <v:shapetype id="_x0000_t75" coordsize="21600,21600" filled="f" stroked="f" o:spt="75" o:preferrelative="t" path="m@4@5l@4@11@9@11@9@5xe" w14:anchorId="665027F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CgKSHbjAAAADQEAAA8AAABkcnMvZG93bnJldi54&#10;bWxMj01OwzAQRvdI3MEaJDYodZpCFUKcCiGxoJQiAgdw42mSEo+j2G1TTs90Bbv5efrmTb4YbScO&#10;OPjWkYLpJAaBVDnTUq3g6/M5SkH4oMnozhEqOKGHRXF5kevMuCN94KEMteAQ8plW0ITQZ1L6qkGr&#10;/cT1SLzbusHqwO1QSzPoI4fbTiZxPJdWt8QXGt3jU4PVd7m3Cl6TXblcv5yWK1y/35y26Vv7szNK&#10;XV+Njw8gAo7hD4azPqtDwU4btyfjRacgmiVpwuy5ursFwUg0TWc82jAc389BFrn8/0X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KApIduMA&#10;AAANAQAADwAAAAAAAAAAAAAAAAARBgAAZHJzL2Rvd25yZXYueG1sUEsBAi0AFAAGAAgAAAAhAHkY&#10;vJ2/AAAAIQEAABkAAAAAAAAAAAAAAAAAIQcAAGRycy9fcmVscy9lMm9Eb2MueG1sLnJlbHNQSwUG&#10;AAAAAAYABgB4AQAAFwgAAAAA&#10;">
                <v:imagedata o:title="" r:id="rId10"/>
                <o:lock v:ext="edit" rotation="t" verticies="t" shapetype="t"/>
              </v:shape>
            </w:pict>
          </mc:Fallback>
        </mc:AlternateContent>
      </w:r>
      <w:r w:rsidRPr="003C6276">
        <w:rPr>
          <w:noProof/>
          <w:sz w:val="20"/>
          <w:szCs w:val="20"/>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1696EA42">
              <v:shape id="Ink 1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" w14:anchorId="253C97BC">
                <v:imagedata o:title="" r:id="rId10"/>
                <o:lock v:ext="edit" rotation="t" verticies="t" shapetype="t"/>
              </v:shape>
            </w:pict>
          </mc:Fallback>
        </mc:AlternateContent>
      </w:r>
      <w:r w:rsidRPr="003C6276">
        <w:rPr>
          <w:noProof/>
          <w:sz w:val="20"/>
          <w:szCs w:val="20"/>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79662B3F">
              <v:shape id="Ink 14"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Ixqtw3jAAAADQEAAA8AAABkcnMvZG93bnJldi54&#10;bWxMj8FOwzAQRO9I/IO1SFxQ6sSRUJTGqRASBwq0IvABbrxN0sZ2FLttwtezPcFtd+dpdqZYTaZn&#10;Zxx956yEZBEDQ1s73dlGwvfXS5QB80FZrXpnUcKMHlbl7U2hcu0u9hPPVWgYmVifKwltCEPOua9b&#10;NMov3ICWtL0bjQq0jg3Xo7qQuem5iONHblRn6UOrBnxusT5WJyPhTRyq9eZ1Xr/jZvsw77OP7ueg&#10;pby/m56WwAJO4Q+Ga3yKDiVl2rmT1Z71EqJUZILY65RSCUKiJEvptCM4SQTwsuD/W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jGq3DeMA&#10;AAANAQAADwAAAAAAAAAAAAAAAAARBgAAZHJzL2Rvd25yZXYueG1sUEsBAi0AFAAGAAgAAAAhAHkY&#10;vJ2/AAAAIQEAABkAAAAAAAAAAAAAAAAAIQcAAGRycy9fcmVscy9lMm9Eb2MueG1sLnJlbHNQSwUG&#10;AAAAAAYABgB4AQAAFwgAAAAA&#10;" w14:anchorId="5680CE78">
                <v:imagedata o:title="" r:id="rId10"/>
                <o:lock v:ext="edit" rotation="t" verticies="t" shapetype="t"/>
              </v:shape>
            </w:pict>
          </mc:Fallback>
        </mc:AlternateContent>
      </w:r>
      <w:r w:rsidRPr="003C6276">
        <w:rPr>
          <w:noProof/>
          <w:sz w:val="20"/>
          <w:szCs w:val="20"/>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14="http://schemas.microsoft.com/office/drawing/2010/main" xmlns:pic="http://schemas.openxmlformats.org/drawingml/2006/picture" xmlns:a="http://schemas.openxmlformats.org/drawingml/2006/main">
            <w:pict w14:anchorId="38135702">
              <v:shape id="Ink 11"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D1IAft4QAAAA0B&#10;AAAPAAAAAAAAAAAAAAAAAA8GAABkcnMvZG93bnJldi54bWxQSwECLQAUAAYACAAAACEAeRi8nb8A&#10;AAAhAQAAGQAAAAAAAAAAAAAAAAAdBwAAZHJzL19yZWxzL2Uyb0RvYy54bWwucmVsc1BLBQYAAAAA&#10;BgAGAHgBAAATCAAAAAA=&#10;" w14:anchorId="60C55C8D">
                <v:imagedata o:title="" r:id="rId14"/>
                <o:lock v:ext="edit" rotation="t" verticies="t" shapetype="t"/>
              </v:shape>
            </w:pict>
          </mc:Fallback>
        </mc:AlternateContent>
      </w:r>
      <w:r w:rsidR="008A73BC" w:rsidRPr="003C6276">
        <w:rPr>
          <w:rFonts w:ascii="Arial" w:eastAsia="Times New Roman" w:hAnsi="Arial" w:cs="Arial"/>
          <w:color w:val="000000" w:themeColor="text1"/>
        </w:rPr>
        <w:t>I, [</w:t>
      </w:r>
      <w:r w:rsidR="009065DA" w:rsidRPr="009065DA">
        <w:rPr>
          <w:rFonts w:ascii="Arial" w:eastAsia="Times New Roman" w:hAnsi="Arial" w:cs="Arial"/>
          <w:color w:val="000000" w:themeColor="text1"/>
        </w:rPr>
        <w:t>Pratham Ravindrakumar luhar</w:t>
      </w:r>
      <w:r w:rsidR="008A73BC" w:rsidRPr="003C6276">
        <w:rPr>
          <w:rFonts w:ascii="Arial" w:eastAsia="Times New Roman" w:hAnsi="Arial" w:cs="Arial"/>
          <w:color w:val="000000" w:themeColor="text1"/>
        </w:rPr>
        <w: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3C6276">
        <w:rPr>
          <w:rFonts w:ascii="Arial" w:eastAsia="Times New Roman" w:hAnsi="Arial" w:cs="Arial"/>
          <w:color w:val="000000" w:themeColor="text1"/>
        </w:rPr>
        <w:t>.</w:t>
      </w:r>
    </w:p>
    <w:p w14:paraId="4E0CDA9F" w14:textId="77777777" w:rsidR="00113366" w:rsidRPr="003C6276" w:rsidRDefault="00113366" w:rsidP="00113366">
      <w:pPr>
        <w:spacing w:after="200" w:line="276" w:lineRule="auto"/>
        <w:rPr>
          <w:rFonts w:ascii="Arial" w:eastAsia="Times New Roman" w:hAnsi="Arial" w:cs="Arial"/>
          <w:color w:val="000000" w:themeColor="text1"/>
          <w:sz w:val="24"/>
          <w:szCs w:val="24"/>
        </w:rPr>
      </w:pPr>
    </w:p>
    <w:p w14:paraId="5E2BD27D" w14:textId="77777777" w:rsidR="00113366" w:rsidRPr="003C6276" w:rsidRDefault="00113366" w:rsidP="00113366">
      <w:pPr>
        <w:spacing w:after="200" w:line="276" w:lineRule="auto"/>
        <w:rPr>
          <w:rFonts w:ascii="Arial" w:eastAsia="Times New Roman" w:hAnsi="Arial" w:cs="Arial"/>
          <w:color w:val="000000" w:themeColor="text1"/>
          <w:sz w:val="24"/>
          <w:szCs w:val="24"/>
        </w:rPr>
      </w:pPr>
    </w:p>
    <w:p w14:paraId="5236DF40" w14:textId="3E86A8D6" w:rsidR="00113366" w:rsidRPr="003C6276" w:rsidRDefault="00113366" w:rsidP="00113366">
      <w:pPr>
        <w:spacing w:after="200" w:line="276" w:lineRule="auto"/>
        <w:rPr>
          <w:rFonts w:ascii="Arial" w:eastAsia="Times New Roman" w:hAnsi="Arial" w:cs="Arial"/>
          <w:color w:val="000000" w:themeColor="text1"/>
          <w:sz w:val="24"/>
          <w:szCs w:val="24"/>
        </w:rPr>
      </w:pPr>
      <w:r w:rsidRPr="003C6276">
        <w:rPr>
          <w:rFonts w:ascii="Arial" w:eastAsia="Times New Roman" w:hAnsi="Arial" w:cs="Arial"/>
          <w:color w:val="000000" w:themeColor="text1"/>
          <w:sz w:val="24"/>
          <w:szCs w:val="24"/>
        </w:rPr>
        <w:t>Signed</w:t>
      </w:r>
      <w:r w:rsidR="008A73BC" w:rsidRPr="003C6276">
        <w:rPr>
          <w:rFonts w:ascii="Arial" w:eastAsia="Times New Roman" w:hAnsi="Arial" w:cs="Arial"/>
          <w:color w:val="000000" w:themeColor="text1"/>
          <w:sz w:val="24"/>
          <w:szCs w:val="24"/>
        </w:rPr>
        <w:t>:</w:t>
      </w:r>
      <w:r w:rsidR="009065DA" w:rsidRPr="009065DA">
        <w:t xml:space="preserve"> </w:t>
      </w:r>
      <w:r w:rsidR="009065DA" w:rsidRPr="009065DA">
        <w:rPr>
          <w:rFonts w:ascii="Arial" w:eastAsia="Times New Roman" w:hAnsi="Arial" w:cs="Arial"/>
          <w:color w:val="000000" w:themeColor="text1"/>
          <w:sz w:val="24"/>
          <w:szCs w:val="24"/>
        </w:rPr>
        <w:t>Pratham Ravindrakumar luhar</w:t>
      </w:r>
    </w:p>
    <w:p w14:paraId="1E1F6BED" w14:textId="77777777" w:rsidR="00113366" w:rsidRPr="003C6276" w:rsidRDefault="00113366" w:rsidP="00113366">
      <w:pPr>
        <w:spacing w:after="200" w:line="276" w:lineRule="auto"/>
        <w:rPr>
          <w:rFonts w:ascii="Arial" w:eastAsia="Times New Roman" w:hAnsi="Arial" w:cs="Arial"/>
          <w:color w:val="000000" w:themeColor="text1"/>
          <w:sz w:val="24"/>
          <w:szCs w:val="24"/>
        </w:rPr>
      </w:pPr>
    </w:p>
    <w:p w14:paraId="367C1620" w14:textId="5E492775" w:rsidR="00113366" w:rsidRPr="003C6276" w:rsidRDefault="00113366" w:rsidP="00113366">
      <w:pPr>
        <w:spacing w:after="200" w:line="276" w:lineRule="auto"/>
        <w:rPr>
          <w:rFonts w:ascii="Arial" w:eastAsia="Times New Roman" w:hAnsi="Arial" w:cs="Arial"/>
          <w:color w:val="000000" w:themeColor="text1"/>
          <w:sz w:val="24"/>
          <w:szCs w:val="24"/>
        </w:rPr>
      </w:pPr>
      <w:r w:rsidRPr="003C6276">
        <w:rPr>
          <w:rFonts w:ascii="Arial" w:eastAsia="Times New Roman" w:hAnsi="Arial" w:cs="Arial"/>
          <w:color w:val="000000" w:themeColor="text1"/>
          <w:sz w:val="24"/>
          <w:szCs w:val="24"/>
        </w:rPr>
        <w:t>Date:</w:t>
      </w:r>
      <w:r w:rsidR="008A73BC" w:rsidRPr="003C6276">
        <w:rPr>
          <w:rFonts w:ascii="Arial" w:eastAsia="Times New Roman" w:hAnsi="Arial" w:cs="Arial"/>
          <w:color w:val="000000" w:themeColor="text1"/>
          <w:sz w:val="24"/>
          <w:szCs w:val="24"/>
        </w:rPr>
        <w:t>.</w:t>
      </w:r>
      <w:r w:rsidR="009065DA">
        <w:rPr>
          <w:rFonts w:ascii="Arial" w:eastAsia="Times New Roman" w:hAnsi="Arial" w:cs="Arial"/>
          <w:color w:val="000000" w:themeColor="text1"/>
          <w:sz w:val="24"/>
          <w:szCs w:val="24"/>
        </w:rPr>
        <w:t>23.09.2026</w:t>
      </w:r>
    </w:p>
    <w:p w14:paraId="2C702A82" w14:textId="77777777" w:rsidR="009F64C5" w:rsidRPr="003C6276" w:rsidRDefault="009F64C5" w:rsidP="00113366">
      <w:pPr>
        <w:spacing w:after="157"/>
        <w:ind w:right="2357"/>
        <w:rPr>
          <w:b/>
          <w:bCs/>
        </w:rPr>
      </w:pPr>
    </w:p>
    <w:p w14:paraId="6AA9D53C" w14:textId="77777777" w:rsidR="009F64C5" w:rsidRPr="003C6276" w:rsidRDefault="009F64C5">
      <w:pPr>
        <w:spacing w:after="0"/>
      </w:pPr>
      <w:r w:rsidRPr="003C6276">
        <w:rPr>
          <w:color w:val="0070C0"/>
        </w:rPr>
        <w:t xml:space="preserve"> </w:t>
      </w:r>
      <w:r w:rsidRPr="003C6276">
        <w:rPr>
          <w:color w:val="0070C0"/>
        </w:rPr>
        <w:tab/>
        <w:t xml:space="preserve"> </w:t>
      </w:r>
    </w:p>
    <w:p w14:paraId="02286F32" w14:textId="77777777" w:rsidR="009F64C5" w:rsidRPr="003C6276" w:rsidRDefault="009F64C5">
      <w:pPr>
        <w:rPr>
          <w:rFonts w:ascii="Times New Roman" w:eastAsia="Times New Roman" w:hAnsi="Times New Roman" w:cs="Times New Roman"/>
          <w:b/>
          <w:color w:val="000000"/>
          <w:sz w:val="24"/>
        </w:rPr>
      </w:pPr>
      <w:r w:rsidRPr="003C6276">
        <w:br w:type="page"/>
      </w:r>
    </w:p>
    <w:p w14:paraId="106641A1" w14:textId="7C1664DD" w:rsidR="009F64C5" w:rsidRPr="003C6276" w:rsidRDefault="009F64C5" w:rsidP="00F02E6B">
      <w:pPr>
        <w:pStyle w:val="Heading2"/>
      </w:pPr>
      <w:bookmarkStart w:id="0" w:name="_Toc241055975"/>
      <w:r w:rsidRPr="003C6276">
        <w:lastRenderedPageBreak/>
        <w:t>Acknowledgements</w:t>
      </w:r>
      <w:bookmarkEnd w:id="0"/>
      <w:r w:rsidRPr="003C6276">
        <w:t xml:space="preserve"> </w:t>
      </w:r>
    </w:p>
    <w:p w14:paraId="3DF0875E" w14:textId="77777777" w:rsidR="009F64C5" w:rsidRPr="003C6276" w:rsidRDefault="009F64C5">
      <w:pPr>
        <w:spacing w:after="158"/>
        <w:rPr>
          <w:rFonts w:asciiTheme="minorBidi" w:hAnsiTheme="minorBidi"/>
        </w:rPr>
      </w:pPr>
      <w:r w:rsidRPr="003C6276">
        <w:rPr>
          <w:rFonts w:asciiTheme="minorBidi" w:hAnsiTheme="minorBidi"/>
        </w:rPr>
        <w:t xml:space="preserve"> </w:t>
      </w:r>
    </w:p>
    <w:p w14:paraId="4BE8A134" w14:textId="77777777" w:rsidR="005D6015" w:rsidRPr="003C6276" w:rsidRDefault="005D6015" w:rsidP="003768BC">
      <w:pPr>
        <w:spacing w:after="0" w:line="360" w:lineRule="auto"/>
        <w:jc w:val="both"/>
        <w:rPr>
          <w:rFonts w:asciiTheme="minorBidi" w:hAnsiTheme="minorBidi"/>
        </w:rPr>
      </w:pPr>
      <w:r w:rsidRPr="003C6276">
        <w:rPr>
          <w:rFonts w:asciiTheme="minorBidi" w:hAnsiTheme="minorBidi"/>
        </w:rPr>
        <w:t>I sincerely thank my supervisor for their valuable guidance, constructive feedback and continuous support throughout this dissertation. I am also grateful to my university and faculty members for providing the necessary academic resources and learning environment. Finally, I would like to express my heartfelt appreciation to my family and friends for their constant encouragement, patience and support, which motivated me to complete this research successfully.</w:t>
      </w:r>
    </w:p>
    <w:p w14:paraId="787B6080" w14:textId="77777777" w:rsidR="005D6015" w:rsidRPr="003C6276" w:rsidRDefault="005D6015">
      <w:pPr>
        <w:spacing w:after="0"/>
        <w:rPr>
          <w:rFonts w:asciiTheme="minorBidi" w:hAnsiTheme="minorBidi"/>
        </w:rPr>
      </w:pPr>
    </w:p>
    <w:p w14:paraId="6F4F74AD" w14:textId="367D1AD6" w:rsidR="009F64C5" w:rsidRPr="003C6276" w:rsidRDefault="009F64C5">
      <w:pPr>
        <w:spacing w:after="0"/>
        <w:rPr>
          <w:rFonts w:asciiTheme="minorBidi" w:hAnsiTheme="minorBidi"/>
        </w:rPr>
      </w:pPr>
      <w:r w:rsidRPr="003C6276">
        <w:rPr>
          <w:rFonts w:asciiTheme="minorBidi" w:hAnsiTheme="minorBidi"/>
          <w:color w:val="0070C0"/>
        </w:rPr>
        <w:t xml:space="preserve"> </w:t>
      </w:r>
      <w:r w:rsidRPr="003C6276">
        <w:rPr>
          <w:rFonts w:asciiTheme="minorBidi" w:hAnsiTheme="minorBidi"/>
          <w:color w:val="0070C0"/>
        </w:rPr>
        <w:tab/>
        <w:t xml:space="preserve"> </w:t>
      </w:r>
      <w:r w:rsidRPr="003C6276">
        <w:rPr>
          <w:rFonts w:asciiTheme="minorBidi" w:hAnsiTheme="minorBidi"/>
        </w:rPr>
        <w:br w:type="page"/>
      </w:r>
    </w:p>
    <w:p w14:paraId="563C12D9" w14:textId="42A94F60" w:rsidR="009F64C5" w:rsidRPr="003C6276" w:rsidRDefault="009F64C5" w:rsidP="00F02E6B">
      <w:pPr>
        <w:pStyle w:val="Heading2"/>
      </w:pPr>
      <w:bookmarkStart w:id="1" w:name="_Toc241055976"/>
      <w:r w:rsidRPr="003C6276">
        <w:lastRenderedPageBreak/>
        <w:t>Abstract</w:t>
      </w:r>
      <w:bookmarkEnd w:id="1"/>
    </w:p>
    <w:p w14:paraId="4EA28F66" w14:textId="27EF3C77" w:rsidR="005D6015" w:rsidRPr="003C6276" w:rsidRDefault="005D6015" w:rsidP="005D6015">
      <w:pPr>
        <w:spacing w:after="158" w:line="360" w:lineRule="auto"/>
        <w:jc w:val="both"/>
        <w:rPr>
          <w:rFonts w:asciiTheme="minorBidi" w:hAnsiTheme="minorBidi"/>
          <w:b/>
          <w:bCs/>
          <w:i/>
          <w:iCs/>
        </w:rPr>
      </w:pPr>
      <w:r w:rsidRPr="003C6276">
        <w:rPr>
          <w:rFonts w:asciiTheme="minorBidi" w:hAnsiTheme="minorBidi"/>
          <w:b/>
          <w:bCs/>
          <w:i/>
          <w:iCs/>
        </w:rPr>
        <w:t xml:space="preserve">Background </w:t>
      </w:r>
    </w:p>
    <w:p w14:paraId="6C5B0B0F" w14:textId="3D6B370D" w:rsidR="005D6015" w:rsidRPr="003C6276" w:rsidRDefault="005D6015" w:rsidP="005D6015">
      <w:pPr>
        <w:spacing w:after="158" w:line="360" w:lineRule="auto"/>
        <w:jc w:val="both"/>
        <w:rPr>
          <w:rFonts w:asciiTheme="minorBidi" w:hAnsiTheme="minorBidi"/>
        </w:rPr>
      </w:pPr>
      <w:r w:rsidRPr="003C6276">
        <w:rPr>
          <w:rFonts w:asciiTheme="minorBidi" w:hAnsiTheme="minorBidi"/>
        </w:rPr>
        <w:t xml:space="preserve">The research aims to conduct a systematic review on the determinants and management challenges of chronic kidney disease (CKD) among adults in the United Kingdom. The prime problem of this research phenomenon is to understand and manage the identified key determinants associated with chronic kidney disease among adults in the UK. </w:t>
      </w:r>
      <w:r w:rsidR="00F02E6B" w:rsidRPr="003C6276">
        <w:rPr>
          <w:rFonts w:asciiTheme="minorBidi" w:hAnsiTheme="minorBidi"/>
        </w:rPr>
        <w:t xml:space="preserve">The key objective of this research is to appraise the socioeconomic and environmental determinants and identify the key challenges in the management and treatment practices of CKD within the UK-based healthcare settings. </w:t>
      </w:r>
      <w:r w:rsidRPr="003C6276">
        <w:rPr>
          <w:rFonts w:asciiTheme="minorBidi" w:hAnsiTheme="minorBidi"/>
        </w:rPr>
        <w:t xml:space="preserve"> </w:t>
      </w:r>
    </w:p>
    <w:p w14:paraId="04F0FA61" w14:textId="19EF949F" w:rsidR="005D6015" w:rsidRPr="003C6276" w:rsidRDefault="005D6015" w:rsidP="005D6015">
      <w:pPr>
        <w:spacing w:after="158" w:line="360" w:lineRule="auto"/>
        <w:jc w:val="both"/>
        <w:rPr>
          <w:rFonts w:asciiTheme="minorBidi" w:hAnsiTheme="minorBidi"/>
          <w:b/>
          <w:bCs/>
          <w:i/>
          <w:iCs/>
        </w:rPr>
      </w:pPr>
      <w:r w:rsidRPr="003C6276">
        <w:rPr>
          <w:rFonts w:asciiTheme="minorBidi" w:hAnsiTheme="minorBidi"/>
          <w:b/>
          <w:bCs/>
          <w:i/>
          <w:iCs/>
        </w:rPr>
        <w:t xml:space="preserve">Method </w:t>
      </w:r>
    </w:p>
    <w:p w14:paraId="17255282" w14:textId="4A5DB1B3" w:rsidR="005D6015" w:rsidRPr="003C6276" w:rsidRDefault="005D6015" w:rsidP="005D6015">
      <w:pPr>
        <w:spacing w:after="158" w:line="360" w:lineRule="auto"/>
        <w:jc w:val="both"/>
        <w:rPr>
          <w:rFonts w:asciiTheme="minorBidi" w:hAnsiTheme="minorBidi"/>
        </w:rPr>
      </w:pPr>
      <w:r w:rsidRPr="003C6276">
        <w:rPr>
          <w:rFonts w:asciiTheme="minorBidi" w:hAnsiTheme="minorBidi"/>
        </w:rPr>
        <w:t xml:space="preserve">Secondary qualitative method was used in this research in a systematic manner for accumulating empirical data. The key sources included Google Scholar, PubMed, PubMed Central and MEDLINE. </w:t>
      </w:r>
      <w:r w:rsidR="003768BC" w:rsidRPr="003C6276">
        <w:rPr>
          <w:rFonts w:asciiTheme="minorBidi" w:hAnsiTheme="minorBidi"/>
        </w:rPr>
        <w:t>T</w:t>
      </w:r>
      <w:r w:rsidRPr="003C6276">
        <w:rPr>
          <w:rFonts w:asciiTheme="minorBidi" w:hAnsiTheme="minorBidi"/>
        </w:rPr>
        <w:t>he implication of 15 peer-reviewed studies on CKD determinants and management among UK adults was helpful in strengthen the key findings. Data was extracted through a standardised framework such as CASP for critical appraisal of the data. Lastly, data has been analysed using Thematic analysis by Braun and Clarke’s six-stage thematic analysis to indeed themes.</w:t>
      </w:r>
    </w:p>
    <w:p w14:paraId="46CA1AC2" w14:textId="0F705BBE" w:rsidR="005D6015" w:rsidRPr="003C6276" w:rsidRDefault="005D6015" w:rsidP="005D6015">
      <w:pPr>
        <w:spacing w:after="158" w:line="360" w:lineRule="auto"/>
        <w:jc w:val="both"/>
        <w:rPr>
          <w:rFonts w:asciiTheme="minorBidi" w:hAnsiTheme="minorBidi"/>
          <w:b/>
          <w:bCs/>
          <w:i/>
          <w:iCs/>
        </w:rPr>
      </w:pPr>
      <w:r w:rsidRPr="003C6276">
        <w:rPr>
          <w:rFonts w:asciiTheme="minorBidi" w:hAnsiTheme="minorBidi"/>
          <w:b/>
          <w:bCs/>
          <w:i/>
          <w:iCs/>
        </w:rPr>
        <w:t xml:space="preserve">Findings </w:t>
      </w:r>
    </w:p>
    <w:p w14:paraId="7BC43D4D" w14:textId="5AAFDFCC" w:rsidR="005D6015" w:rsidRPr="003C6276" w:rsidRDefault="005D6015" w:rsidP="005D6015">
      <w:pPr>
        <w:spacing w:after="158" w:line="360" w:lineRule="auto"/>
        <w:jc w:val="both"/>
        <w:rPr>
          <w:rFonts w:asciiTheme="minorBidi" w:hAnsiTheme="minorBidi"/>
        </w:rPr>
      </w:pPr>
      <w:r w:rsidRPr="003C6276">
        <w:rPr>
          <w:rFonts w:asciiTheme="minorBidi" w:hAnsiTheme="minorBidi"/>
        </w:rPr>
        <w:t xml:space="preserve">The key findings highlighted that the biological predispositions as well as lifestyle behaviours affects the development of CKD. There is evidence that includes hypertension, diabetes, and obesity, along with the modifiable risk factors. This has identified the gaps in systematic screening of the disease. </w:t>
      </w:r>
    </w:p>
    <w:p w14:paraId="2A2790B3" w14:textId="23E16BC1" w:rsidR="005D6015" w:rsidRPr="003C6276" w:rsidRDefault="005D6015" w:rsidP="005D6015">
      <w:pPr>
        <w:spacing w:after="158" w:line="360" w:lineRule="auto"/>
        <w:jc w:val="both"/>
        <w:rPr>
          <w:rFonts w:asciiTheme="minorBidi" w:hAnsiTheme="minorBidi"/>
          <w:b/>
          <w:bCs/>
          <w:i/>
          <w:iCs/>
        </w:rPr>
      </w:pPr>
      <w:r w:rsidRPr="003C6276">
        <w:rPr>
          <w:rFonts w:asciiTheme="minorBidi" w:hAnsiTheme="minorBidi"/>
          <w:b/>
          <w:bCs/>
          <w:i/>
          <w:iCs/>
        </w:rPr>
        <w:t xml:space="preserve">Conclusion </w:t>
      </w:r>
    </w:p>
    <w:p w14:paraId="3270A0BE" w14:textId="7CDD8E7A" w:rsidR="005D6015" w:rsidRPr="003C6276" w:rsidRDefault="005D6015" w:rsidP="005D6015">
      <w:pPr>
        <w:spacing w:after="158" w:line="360" w:lineRule="auto"/>
        <w:jc w:val="both"/>
        <w:rPr>
          <w:rFonts w:asciiTheme="minorBidi" w:hAnsiTheme="minorBidi"/>
        </w:rPr>
      </w:pPr>
      <w:r w:rsidRPr="003C6276">
        <w:rPr>
          <w:rFonts w:asciiTheme="minorBidi" w:hAnsiTheme="minorBidi"/>
        </w:rPr>
        <w:t xml:space="preserve">The study has achieved all its objectives as it has successfully addressed the biological and behavioural factors, has analysed socioeconomic and environmental factors, as well as has considered major management issues and evidence-based approaches. </w:t>
      </w:r>
      <w:r w:rsidR="003768BC" w:rsidRPr="003C6276">
        <w:rPr>
          <w:rFonts w:asciiTheme="minorBidi" w:hAnsiTheme="minorBidi"/>
        </w:rPr>
        <w:t>T</w:t>
      </w:r>
      <w:r w:rsidRPr="003C6276">
        <w:rPr>
          <w:rFonts w:asciiTheme="minorBidi" w:hAnsiTheme="minorBidi"/>
        </w:rPr>
        <w:t>he study recommended systematic screening of high-risk groups, increased renal workforce capacity, multidisciplinary care, personalised patient education and equitable healthcare access to improve prevention and long-term CKD management outcomes.</w:t>
      </w:r>
    </w:p>
    <w:p w14:paraId="25D376E9" w14:textId="77777777" w:rsidR="005D6015" w:rsidRPr="003C6276" w:rsidRDefault="005D6015" w:rsidP="005D6015">
      <w:pPr>
        <w:spacing w:after="158" w:line="360" w:lineRule="auto"/>
        <w:jc w:val="both"/>
        <w:rPr>
          <w:rFonts w:asciiTheme="minorBidi" w:hAnsiTheme="minorBidi"/>
          <w:b/>
          <w:bCs/>
          <w:i/>
          <w:iCs/>
        </w:rPr>
      </w:pPr>
      <w:r w:rsidRPr="003C6276">
        <w:rPr>
          <w:rFonts w:asciiTheme="minorBidi" w:hAnsiTheme="minorBidi"/>
          <w:b/>
          <w:bCs/>
          <w:i/>
          <w:iCs/>
        </w:rPr>
        <w:t xml:space="preserve">Key Words: </w:t>
      </w:r>
    </w:p>
    <w:p w14:paraId="4BB12813" w14:textId="02ABD1B6" w:rsidR="00D5170C" w:rsidRPr="003C6276" w:rsidRDefault="005D6015" w:rsidP="005D6015">
      <w:pPr>
        <w:spacing w:after="158" w:line="360" w:lineRule="auto"/>
        <w:jc w:val="both"/>
        <w:rPr>
          <w:rFonts w:asciiTheme="minorBidi" w:hAnsiTheme="minorBidi"/>
        </w:rPr>
      </w:pPr>
      <w:r w:rsidRPr="003C6276">
        <w:rPr>
          <w:rFonts w:asciiTheme="minorBidi" w:hAnsiTheme="minorBidi"/>
        </w:rPr>
        <w:t>Chronic Kidney Disease (CKD), Biological Predispositions, Lifestyle Risk Factors, Socioeconomic Inequalities, Early Detection and Screening</w:t>
      </w:r>
      <w:r w:rsidR="009F64C5" w:rsidRPr="003C6276">
        <w:rPr>
          <w:rFonts w:asciiTheme="minorBidi" w:hAnsiTheme="minorBidi"/>
        </w:rPr>
        <w:tab/>
        <w:t xml:space="preserve"> </w:t>
      </w:r>
    </w:p>
    <w:sdt>
      <w:sdtPr>
        <w:rPr>
          <w:rFonts w:asciiTheme="minorHAnsi" w:eastAsiaTheme="minorEastAsia" w:hAnsiTheme="minorHAnsi" w:cstheme="minorBidi"/>
          <w:color w:val="auto"/>
          <w:kern w:val="2"/>
          <w:sz w:val="22"/>
          <w:szCs w:val="22"/>
          <w:lang w:val="en-GB" w:eastAsia="zh-CN"/>
          <w14:ligatures w14:val="standardContextual"/>
        </w:rPr>
        <w:id w:val="1082106271"/>
        <w:docPartObj>
          <w:docPartGallery w:val="Table of Contents"/>
          <w:docPartUnique/>
        </w:docPartObj>
      </w:sdtPr>
      <w:sdtEndPr>
        <w:rPr>
          <w:b/>
          <w:bCs/>
          <w:noProof/>
        </w:rPr>
      </w:sdtEndPr>
      <w:sdtContent>
        <w:p w14:paraId="522FB417" w14:textId="2DD6B08E" w:rsidR="004D23CF" w:rsidRPr="003C6276" w:rsidRDefault="004D23CF" w:rsidP="004D23CF">
          <w:pPr>
            <w:pStyle w:val="TOCHeading"/>
            <w:spacing w:line="360" w:lineRule="auto"/>
            <w:jc w:val="center"/>
            <w:rPr>
              <w:rFonts w:ascii="Arial" w:hAnsi="Arial" w:cs="Arial"/>
              <w:b/>
              <w:bCs/>
              <w:color w:val="auto"/>
              <w:sz w:val="22"/>
              <w:szCs w:val="22"/>
              <w:lang w:val="en-GB"/>
            </w:rPr>
          </w:pPr>
          <w:r w:rsidRPr="003C6276">
            <w:rPr>
              <w:rFonts w:ascii="Arial" w:hAnsi="Arial" w:cs="Arial"/>
              <w:b/>
              <w:bCs/>
              <w:color w:val="auto"/>
              <w:sz w:val="22"/>
              <w:szCs w:val="22"/>
              <w:lang w:val="en-GB"/>
            </w:rPr>
            <w:t>Table of Contents</w:t>
          </w:r>
        </w:p>
        <w:p w14:paraId="22390536" w14:textId="35461323" w:rsidR="000756DC" w:rsidRPr="003C6276" w:rsidRDefault="004D23CF" w:rsidP="000756DC">
          <w:pPr>
            <w:pStyle w:val="TOC2"/>
            <w:tabs>
              <w:tab w:val="right" w:leader="dot" w:pos="9016"/>
            </w:tabs>
            <w:spacing w:line="360" w:lineRule="auto"/>
            <w:jc w:val="both"/>
            <w:rPr>
              <w:rFonts w:ascii="Arial" w:hAnsi="Arial" w:cs="Arial"/>
              <w:noProof/>
              <w:kern w:val="0"/>
              <w:lang w:eastAsia="en-IN"/>
              <w14:ligatures w14:val="none"/>
            </w:rPr>
          </w:pPr>
          <w:r w:rsidRPr="003C6276">
            <w:rPr>
              <w:rFonts w:ascii="Arial" w:hAnsi="Arial" w:cs="Arial"/>
            </w:rPr>
            <w:fldChar w:fldCharType="begin"/>
          </w:r>
          <w:r w:rsidRPr="003C6276">
            <w:rPr>
              <w:rFonts w:ascii="Arial" w:hAnsi="Arial" w:cs="Arial"/>
            </w:rPr>
            <w:instrText xml:space="preserve"> TOC \o "1-3" \h \z \u </w:instrText>
          </w:r>
          <w:r w:rsidRPr="003C6276">
            <w:rPr>
              <w:rFonts w:ascii="Arial" w:hAnsi="Arial" w:cs="Arial"/>
            </w:rPr>
            <w:fldChar w:fldCharType="separate"/>
          </w:r>
          <w:hyperlink w:anchor="_Toc241055975" w:history="1">
            <w:r w:rsidR="000756DC" w:rsidRPr="003C6276">
              <w:rPr>
                <w:rStyle w:val="Hyperlink"/>
                <w:rFonts w:ascii="Arial" w:hAnsi="Arial" w:cs="Arial"/>
                <w:noProof/>
              </w:rPr>
              <w:t>Acknowledgements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_Toc241055975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w:t>
            </w:r>
            <w:r w:rsidR="000756DC" w:rsidRPr="003C6276">
              <w:rPr>
                <w:rFonts w:ascii="Arial" w:hAnsi="Arial" w:cs="Arial"/>
                <w:noProof/>
                <w:webHidden/>
              </w:rPr>
              <w:fldChar w:fldCharType="end"/>
            </w:r>
          </w:hyperlink>
        </w:p>
        <w:p w14:paraId="0089B8CB" w14:textId="651D985C"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76" w:history="1">
            <w:r w:rsidR="000756DC" w:rsidRPr="003C6276">
              <w:rPr>
                <w:rStyle w:val="Hyperlink"/>
                <w:rFonts w:ascii="Arial" w:hAnsi="Arial" w:cs="Arial"/>
                <w:noProof/>
              </w:rPr>
              <w:t>Abstract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_Toc241055976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w:t>
            </w:r>
            <w:r w:rsidR="000756DC" w:rsidRPr="003C6276">
              <w:rPr>
                <w:rFonts w:ascii="Arial" w:hAnsi="Arial" w:cs="Arial"/>
                <w:noProof/>
                <w:webHidden/>
              </w:rPr>
              <w:fldChar w:fldCharType="end"/>
            </w:r>
          </w:hyperlink>
        </w:p>
        <w:p w14:paraId="3E8304DC" w14:textId="71CB9570"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5977" w:history="1">
            <w:r w:rsidR="000756DC" w:rsidRPr="003C6276">
              <w:rPr>
                <w:rStyle w:val="Hyperlink"/>
                <w:rFonts w:ascii="Arial" w:hAnsi="Arial" w:cs="Arial"/>
                <w:noProof/>
                <w:sz w:val="22"/>
              </w:rPr>
              <w:t>List of figures</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_Toc241055977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9</w:t>
            </w:r>
            <w:r w:rsidR="000756DC" w:rsidRPr="003C6276">
              <w:rPr>
                <w:rFonts w:ascii="Arial" w:hAnsi="Arial" w:cs="Arial"/>
                <w:noProof/>
                <w:webHidden/>
                <w:sz w:val="22"/>
              </w:rPr>
              <w:fldChar w:fldCharType="end"/>
            </w:r>
          </w:hyperlink>
        </w:p>
        <w:p w14:paraId="435E3FD8" w14:textId="344B6A12"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5978" w:history="1">
            <w:r w:rsidR="000756DC" w:rsidRPr="003C6276">
              <w:rPr>
                <w:rStyle w:val="Hyperlink"/>
                <w:rFonts w:ascii="Arial" w:hAnsi="Arial" w:cs="Arial"/>
                <w:noProof/>
                <w:sz w:val="22"/>
              </w:rPr>
              <w:t>List of tables</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_Toc241055978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10</w:t>
            </w:r>
            <w:r w:rsidR="000756DC" w:rsidRPr="003C6276">
              <w:rPr>
                <w:rFonts w:ascii="Arial" w:hAnsi="Arial" w:cs="Arial"/>
                <w:noProof/>
                <w:webHidden/>
                <w:sz w:val="22"/>
              </w:rPr>
              <w:fldChar w:fldCharType="end"/>
            </w:r>
          </w:hyperlink>
        </w:p>
        <w:p w14:paraId="11C41132" w14:textId="7FEB7B40"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5979" w:history="1">
            <w:r w:rsidR="000756DC" w:rsidRPr="003C6276">
              <w:rPr>
                <w:rStyle w:val="Hyperlink"/>
                <w:rFonts w:ascii="Arial" w:hAnsi="Arial" w:cs="Arial"/>
                <w:noProof/>
                <w:sz w:val="22"/>
              </w:rPr>
              <w:t>List of abbreviations</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_Toc241055979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11</w:t>
            </w:r>
            <w:r w:rsidR="000756DC" w:rsidRPr="003C6276">
              <w:rPr>
                <w:rFonts w:ascii="Arial" w:hAnsi="Arial" w:cs="Arial"/>
                <w:noProof/>
                <w:webHidden/>
                <w:sz w:val="22"/>
              </w:rPr>
              <w:fldChar w:fldCharType="end"/>
            </w:r>
          </w:hyperlink>
        </w:p>
        <w:p w14:paraId="29D468D5" w14:textId="2E8596C1"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5980" w:history="1">
            <w:r w:rsidR="000756DC" w:rsidRPr="003C6276">
              <w:rPr>
                <w:rStyle w:val="Hyperlink"/>
                <w:rFonts w:ascii="Arial" w:hAnsi="Arial" w:cs="Arial"/>
                <w:noProof/>
                <w:sz w:val="22"/>
              </w:rPr>
              <w:t>Chapter 1: Introduction</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_Toc241055980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12</w:t>
            </w:r>
            <w:r w:rsidR="000756DC" w:rsidRPr="003C6276">
              <w:rPr>
                <w:rFonts w:ascii="Arial" w:hAnsi="Arial" w:cs="Arial"/>
                <w:noProof/>
                <w:webHidden/>
                <w:sz w:val="22"/>
              </w:rPr>
              <w:fldChar w:fldCharType="end"/>
            </w:r>
          </w:hyperlink>
        </w:p>
        <w:p w14:paraId="54C679A9" w14:textId="180D60B7"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1" w:history="1">
            <w:r w:rsidR="000756DC" w:rsidRPr="003C6276">
              <w:rPr>
                <w:rStyle w:val="Hyperlink"/>
                <w:rFonts w:ascii="Arial" w:hAnsi="Arial" w:cs="Arial"/>
                <w:noProof/>
              </w:rPr>
              <w:t>1.1 Introduction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12</w:t>
            </w:r>
            <w:r w:rsidR="000756DC" w:rsidRPr="003C6276">
              <w:rPr>
                <w:rFonts w:ascii="Arial" w:hAnsi="Arial" w:cs="Arial"/>
                <w:noProof/>
                <w:webHidden/>
              </w:rPr>
              <w:fldChar w:fldCharType="end"/>
            </w:r>
          </w:hyperlink>
        </w:p>
        <w:p w14:paraId="5D3630C5" w14:textId="0B1B5330"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2" w:history="1">
            <w:r w:rsidR="000756DC" w:rsidRPr="003C6276">
              <w:rPr>
                <w:rStyle w:val="Hyperlink"/>
                <w:rFonts w:ascii="Arial" w:hAnsi="Arial" w:cs="Arial"/>
                <w:noProof/>
              </w:rPr>
              <w:t>1.2 Research Background</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12</w:t>
            </w:r>
            <w:r w:rsidR="000756DC" w:rsidRPr="003C6276">
              <w:rPr>
                <w:rFonts w:ascii="Arial" w:hAnsi="Arial" w:cs="Arial"/>
                <w:noProof/>
                <w:webHidden/>
              </w:rPr>
              <w:fldChar w:fldCharType="end"/>
            </w:r>
          </w:hyperlink>
        </w:p>
        <w:p w14:paraId="02F9D062" w14:textId="2BF11A95"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3" w:history="1">
            <w:r w:rsidR="000756DC" w:rsidRPr="003C6276">
              <w:rPr>
                <w:rStyle w:val="Hyperlink"/>
                <w:rFonts w:ascii="Arial" w:hAnsi="Arial" w:cs="Arial"/>
                <w:noProof/>
              </w:rPr>
              <w:t>1.3 Research Problem</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14</w:t>
            </w:r>
            <w:r w:rsidR="000756DC" w:rsidRPr="003C6276">
              <w:rPr>
                <w:rFonts w:ascii="Arial" w:hAnsi="Arial" w:cs="Arial"/>
                <w:noProof/>
                <w:webHidden/>
              </w:rPr>
              <w:fldChar w:fldCharType="end"/>
            </w:r>
          </w:hyperlink>
        </w:p>
        <w:p w14:paraId="44BBF8C6" w14:textId="32CB1F72"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4" w:history="1">
            <w:r w:rsidR="000756DC" w:rsidRPr="003C6276">
              <w:rPr>
                <w:rStyle w:val="Hyperlink"/>
                <w:rFonts w:ascii="Arial" w:hAnsi="Arial" w:cs="Arial"/>
                <w:noProof/>
              </w:rPr>
              <w:t>1.4 Rationale</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15</w:t>
            </w:r>
            <w:r w:rsidR="000756DC" w:rsidRPr="003C6276">
              <w:rPr>
                <w:rFonts w:ascii="Arial" w:hAnsi="Arial" w:cs="Arial"/>
                <w:noProof/>
                <w:webHidden/>
              </w:rPr>
              <w:fldChar w:fldCharType="end"/>
            </w:r>
          </w:hyperlink>
        </w:p>
        <w:p w14:paraId="7A438E1C" w14:textId="209690A4"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5" w:history="1">
            <w:r w:rsidR="000756DC" w:rsidRPr="003C6276">
              <w:rPr>
                <w:rStyle w:val="Hyperlink"/>
                <w:rFonts w:ascii="Arial" w:hAnsi="Arial" w:cs="Arial"/>
                <w:noProof/>
              </w:rPr>
              <w:t>1.5 Research Question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15</w:t>
            </w:r>
            <w:r w:rsidR="000756DC" w:rsidRPr="003C6276">
              <w:rPr>
                <w:rFonts w:ascii="Arial" w:hAnsi="Arial" w:cs="Arial"/>
                <w:noProof/>
                <w:webHidden/>
              </w:rPr>
              <w:fldChar w:fldCharType="end"/>
            </w:r>
          </w:hyperlink>
        </w:p>
        <w:p w14:paraId="0CAFB246" w14:textId="1AAA5946"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6" w:history="1">
            <w:r w:rsidR="000756DC" w:rsidRPr="003C6276">
              <w:rPr>
                <w:rStyle w:val="Hyperlink"/>
                <w:rFonts w:ascii="Arial" w:hAnsi="Arial" w:cs="Arial"/>
                <w:noProof/>
              </w:rPr>
              <w:t>1.6 Research Aim</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15</w:t>
            </w:r>
            <w:r w:rsidR="000756DC" w:rsidRPr="003C6276">
              <w:rPr>
                <w:rFonts w:ascii="Arial" w:hAnsi="Arial" w:cs="Arial"/>
                <w:noProof/>
                <w:webHidden/>
              </w:rPr>
              <w:fldChar w:fldCharType="end"/>
            </w:r>
          </w:hyperlink>
        </w:p>
        <w:p w14:paraId="4B56E2B3" w14:textId="63BF6D7B"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7" w:history="1">
            <w:r w:rsidR="000756DC" w:rsidRPr="003C6276">
              <w:rPr>
                <w:rStyle w:val="Hyperlink"/>
                <w:rFonts w:ascii="Arial" w:hAnsi="Arial" w:cs="Arial"/>
                <w:noProof/>
              </w:rPr>
              <w:t>1.7 Research Objectives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15</w:t>
            </w:r>
            <w:r w:rsidR="000756DC" w:rsidRPr="003C6276">
              <w:rPr>
                <w:rFonts w:ascii="Arial" w:hAnsi="Arial" w:cs="Arial"/>
                <w:noProof/>
                <w:webHidden/>
              </w:rPr>
              <w:fldChar w:fldCharType="end"/>
            </w:r>
          </w:hyperlink>
        </w:p>
        <w:p w14:paraId="5F43BA80" w14:textId="20E9251E"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8" w:history="1">
            <w:r w:rsidR="000756DC" w:rsidRPr="003C6276">
              <w:rPr>
                <w:rStyle w:val="Hyperlink"/>
                <w:rFonts w:ascii="Arial" w:hAnsi="Arial" w:cs="Arial"/>
                <w:noProof/>
              </w:rPr>
              <w:t>1.8 Dissertation Structure</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16</w:t>
            </w:r>
            <w:r w:rsidR="000756DC" w:rsidRPr="003C6276">
              <w:rPr>
                <w:rFonts w:ascii="Arial" w:hAnsi="Arial" w:cs="Arial"/>
                <w:noProof/>
                <w:webHidden/>
              </w:rPr>
              <w:fldChar w:fldCharType="end"/>
            </w:r>
          </w:hyperlink>
        </w:p>
        <w:p w14:paraId="4456B9A9" w14:textId="63248F68"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89" w:history="1">
            <w:r w:rsidR="000756DC" w:rsidRPr="003C6276">
              <w:rPr>
                <w:rStyle w:val="Hyperlink"/>
                <w:rFonts w:ascii="Arial" w:hAnsi="Arial" w:cs="Arial"/>
                <w:noProof/>
              </w:rPr>
              <w:t>1.9 Chapter Summary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_Toc241055989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17</w:t>
            </w:r>
            <w:r w:rsidR="000756DC" w:rsidRPr="003C6276">
              <w:rPr>
                <w:rFonts w:ascii="Arial" w:hAnsi="Arial" w:cs="Arial"/>
                <w:noProof/>
                <w:webHidden/>
              </w:rPr>
              <w:fldChar w:fldCharType="end"/>
            </w:r>
          </w:hyperlink>
        </w:p>
        <w:p w14:paraId="4E1D5738" w14:textId="23C879D5"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5990" w:history="1">
            <w:r w:rsidR="000756DC" w:rsidRPr="003C6276">
              <w:rPr>
                <w:rStyle w:val="Hyperlink"/>
                <w:rFonts w:ascii="Arial" w:hAnsi="Arial" w:cs="Arial"/>
                <w:noProof/>
                <w:sz w:val="22"/>
              </w:rPr>
              <w:t>Chapter 2: Literature review/theoretical framework</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_Toc241055990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18</w:t>
            </w:r>
            <w:r w:rsidR="000756DC" w:rsidRPr="003C6276">
              <w:rPr>
                <w:rFonts w:ascii="Arial" w:hAnsi="Arial" w:cs="Arial"/>
                <w:noProof/>
                <w:webHidden/>
                <w:sz w:val="22"/>
              </w:rPr>
              <w:fldChar w:fldCharType="end"/>
            </w:r>
          </w:hyperlink>
        </w:p>
        <w:p w14:paraId="56A7DC7B" w14:textId="3B9EBB24"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91" w:history="1">
            <w:r w:rsidR="000756DC" w:rsidRPr="003C6276">
              <w:rPr>
                <w:rStyle w:val="Hyperlink"/>
                <w:rFonts w:ascii="Arial" w:hAnsi="Arial" w:cs="Arial"/>
                <w:noProof/>
              </w:rPr>
              <w:t>2.1 Introduction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18</w:t>
            </w:r>
            <w:r w:rsidR="000756DC" w:rsidRPr="003C6276">
              <w:rPr>
                <w:rFonts w:ascii="Arial" w:hAnsi="Arial" w:cs="Arial"/>
                <w:noProof/>
                <w:webHidden/>
              </w:rPr>
              <w:fldChar w:fldCharType="end"/>
            </w:r>
          </w:hyperlink>
        </w:p>
        <w:p w14:paraId="00C22C0F" w14:textId="7A492B58"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92" w:history="1">
            <w:r w:rsidR="000756DC" w:rsidRPr="003C6276">
              <w:rPr>
                <w:rStyle w:val="Hyperlink"/>
                <w:rFonts w:ascii="Arial" w:hAnsi="Arial" w:cs="Arial"/>
                <w:noProof/>
              </w:rPr>
              <w:t>2.2 Identify biological and lifestyle risk factors associated with chronic kidney disease among adults in the UK</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18</w:t>
            </w:r>
            <w:r w:rsidR="000756DC" w:rsidRPr="003C6276">
              <w:rPr>
                <w:rFonts w:ascii="Arial" w:hAnsi="Arial" w:cs="Arial"/>
                <w:noProof/>
                <w:webHidden/>
              </w:rPr>
              <w:fldChar w:fldCharType="end"/>
            </w:r>
          </w:hyperlink>
        </w:p>
        <w:p w14:paraId="3420F8F7" w14:textId="7AFFD775"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3" w:history="1">
            <w:r w:rsidR="000756DC" w:rsidRPr="003C6276">
              <w:rPr>
                <w:rStyle w:val="Hyperlink"/>
                <w:rFonts w:ascii="Arial" w:hAnsi="Arial" w:cs="Arial"/>
                <w:noProof/>
              </w:rPr>
              <w:t>2.2.1 Hypertension, diabetes and obesity as biological determinants of CKD</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18</w:t>
            </w:r>
            <w:r w:rsidR="000756DC" w:rsidRPr="003C6276">
              <w:rPr>
                <w:rFonts w:ascii="Arial" w:hAnsi="Arial" w:cs="Arial"/>
                <w:noProof/>
                <w:webHidden/>
              </w:rPr>
              <w:fldChar w:fldCharType="end"/>
            </w:r>
          </w:hyperlink>
        </w:p>
        <w:p w14:paraId="6FFBFA70" w14:textId="683118E7"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4" w:history="1">
            <w:r w:rsidR="000756DC" w:rsidRPr="003C6276">
              <w:rPr>
                <w:rStyle w:val="Hyperlink"/>
                <w:rFonts w:ascii="Arial" w:hAnsi="Arial" w:cs="Arial"/>
                <w:noProof/>
              </w:rPr>
              <w:t>2.2.2 Dietary factors, smoking and physical inactivity as lifestyle behaviour</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19</w:t>
            </w:r>
            <w:r w:rsidR="000756DC" w:rsidRPr="003C6276">
              <w:rPr>
                <w:rFonts w:ascii="Arial" w:hAnsi="Arial" w:cs="Arial"/>
                <w:noProof/>
                <w:webHidden/>
              </w:rPr>
              <w:fldChar w:fldCharType="end"/>
            </w:r>
          </w:hyperlink>
        </w:p>
        <w:p w14:paraId="30C396CF" w14:textId="4D4A9619"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5" w:history="1">
            <w:r w:rsidR="000756DC" w:rsidRPr="003C6276">
              <w:rPr>
                <w:rStyle w:val="Hyperlink"/>
                <w:rFonts w:ascii="Arial" w:hAnsi="Arial" w:cs="Arial"/>
                <w:noProof/>
              </w:rPr>
              <w:t>2.2.3 Cardiovascular and metabolic profile</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19</w:t>
            </w:r>
            <w:r w:rsidR="000756DC" w:rsidRPr="003C6276">
              <w:rPr>
                <w:rFonts w:ascii="Arial" w:hAnsi="Arial" w:cs="Arial"/>
                <w:noProof/>
                <w:webHidden/>
              </w:rPr>
              <w:fldChar w:fldCharType="end"/>
            </w:r>
          </w:hyperlink>
        </w:p>
        <w:p w14:paraId="5A7D45A9" w14:textId="3CA925AD"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5996" w:history="1">
            <w:r w:rsidR="000756DC" w:rsidRPr="003C6276">
              <w:rPr>
                <w:rStyle w:val="Hyperlink"/>
                <w:rFonts w:ascii="Arial" w:hAnsi="Arial" w:cs="Arial"/>
                <w:noProof/>
              </w:rPr>
              <w:t>2.3 Examining socioeconomic and environmental determinants influencing CKD prevalence and progression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20</w:t>
            </w:r>
            <w:r w:rsidR="000756DC" w:rsidRPr="003C6276">
              <w:rPr>
                <w:rFonts w:ascii="Arial" w:hAnsi="Arial" w:cs="Arial"/>
                <w:noProof/>
                <w:webHidden/>
              </w:rPr>
              <w:fldChar w:fldCharType="end"/>
            </w:r>
          </w:hyperlink>
        </w:p>
        <w:p w14:paraId="12E642A8" w14:textId="298D2712"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7" w:history="1">
            <w:r w:rsidR="000756DC" w:rsidRPr="003C6276">
              <w:rPr>
                <w:rStyle w:val="Hyperlink"/>
                <w:rFonts w:ascii="Arial" w:hAnsi="Arial" w:cs="Arial"/>
                <w:noProof/>
              </w:rPr>
              <w:t>2.3.1 Income and Health Inequalities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20</w:t>
            </w:r>
            <w:r w:rsidR="000756DC" w:rsidRPr="003C6276">
              <w:rPr>
                <w:rFonts w:ascii="Arial" w:hAnsi="Arial" w:cs="Arial"/>
                <w:noProof/>
                <w:webHidden/>
              </w:rPr>
              <w:fldChar w:fldCharType="end"/>
            </w:r>
          </w:hyperlink>
        </w:p>
        <w:p w14:paraId="2697EDD7" w14:textId="522E8846"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8" w:history="1">
            <w:r w:rsidR="000756DC" w:rsidRPr="003C6276">
              <w:rPr>
                <w:rStyle w:val="Hyperlink"/>
                <w:rFonts w:ascii="Arial" w:hAnsi="Arial" w:cs="Arial"/>
                <w:noProof/>
              </w:rPr>
              <w:t>2.3.2 Education and Health Literacy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20</w:t>
            </w:r>
            <w:r w:rsidR="000756DC" w:rsidRPr="003C6276">
              <w:rPr>
                <w:rFonts w:ascii="Arial" w:hAnsi="Arial" w:cs="Arial"/>
                <w:noProof/>
                <w:webHidden/>
              </w:rPr>
              <w:fldChar w:fldCharType="end"/>
            </w:r>
          </w:hyperlink>
        </w:p>
        <w:p w14:paraId="2D8C1D89" w14:textId="6CD01D83"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5999" w:history="1">
            <w:r w:rsidR="000756DC" w:rsidRPr="003C6276">
              <w:rPr>
                <w:rStyle w:val="Hyperlink"/>
                <w:rFonts w:ascii="Arial" w:hAnsi="Arial" w:cs="Arial"/>
                <w:noProof/>
              </w:rPr>
              <w:t>2.3.3 Employment and Occupational Risks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_Toc241055999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21</w:t>
            </w:r>
            <w:r w:rsidR="000756DC" w:rsidRPr="003C6276">
              <w:rPr>
                <w:rFonts w:ascii="Arial" w:hAnsi="Arial" w:cs="Arial"/>
                <w:noProof/>
                <w:webHidden/>
              </w:rPr>
              <w:fldChar w:fldCharType="end"/>
            </w:r>
          </w:hyperlink>
        </w:p>
        <w:p w14:paraId="7355CEBC" w14:textId="19D677E2"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0" w:history="1">
            <w:r w:rsidR="000756DC" w:rsidRPr="003C6276">
              <w:rPr>
                <w:rStyle w:val="Hyperlink"/>
                <w:rFonts w:ascii="Arial" w:hAnsi="Arial" w:cs="Arial"/>
                <w:noProof/>
              </w:rPr>
              <w:t>2.3.4 Housing and Environmental Quality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21</w:t>
            </w:r>
            <w:r w:rsidR="000756DC" w:rsidRPr="003C6276">
              <w:rPr>
                <w:rFonts w:ascii="Arial" w:hAnsi="Arial" w:cs="Arial"/>
                <w:noProof/>
                <w:webHidden/>
              </w:rPr>
              <w:fldChar w:fldCharType="end"/>
            </w:r>
          </w:hyperlink>
        </w:p>
        <w:p w14:paraId="3DE8E474" w14:textId="487287E0"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1" w:history="1">
            <w:r w:rsidR="000756DC" w:rsidRPr="003C6276">
              <w:rPr>
                <w:rStyle w:val="Hyperlink"/>
                <w:rFonts w:ascii="Arial" w:hAnsi="Arial" w:cs="Arial"/>
                <w:noProof/>
              </w:rPr>
              <w:t>2.3.5 Geographic and Regional Disparities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22</w:t>
            </w:r>
            <w:r w:rsidR="000756DC" w:rsidRPr="003C6276">
              <w:rPr>
                <w:rFonts w:ascii="Arial" w:hAnsi="Arial" w:cs="Arial"/>
                <w:noProof/>
                <w:webHidden/>
              </w:rPr>
              <w:fldChar w:fldCharType="end"/>
            </w:r>
          </w:hyperlink>
        </w:p>
        <w:p w14:paraId="2A910E2F" w14:textId="5F023678"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02" w:history="1">
            <w:r w:rsidR="000756DC" w:rsidRPr="003C6276">
              <w:rPr>
                <w:rStyle w:val="Hyperlink"/>
                <w:rFonts w:ascii="Arial" w:hAnsi="Arial" w:cs="Arial"/>
                <w:noProof/>
              </w:rPr>
              <w:t>2.4 Challenges in the Management and Treatment of CKD within UK Healthcare Settings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22</w:t>
            </w:r>
            <w:r w:rsidR="000756DC" w:rsidRPr="003C6276">
              <w:rPr>
                <w:rFonts w:ascii="Arial" w:hAnsi="Arial" w:cs="Arial"/>
                <w:noProof/>
                <w:webHidden/>
              </w:rPr>
              <w:fldChar w:fldCharType="end"/>
            </w:r>
          </w:hyperlink>
        </w:p>
        <w:p w14:paraId="19D9E4F6" w14:textId="07EA97AF"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3" w:history="1">
            <w:r w:rsidR="000756DC" w:rsidRPr="003C6276">
              <w:rPr>
                <w:rStyle w:val="Hyperlink"/>
                <w:rFonts w:ascii="Arial" w:hAnsi="Arial" w:cs="Arial"/>
                <w:noProof/>
              </w:rPr>
              <w:t>2.4.1 Late Diagnosis and Limited Screening</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22</w:t>
            </w:r>
            <w:r w:rsidR="000756DC" w:rsidRPr="003C6276">
              <w:rPr>
                <w:rFonts w:ascii="Arial" w:hAnsi="Arial" w:cs="Arial"/>
                <w:noProof/>
                <w:webHidden/>
              </w:rPr>
              <w:fldChar w:fldCharType="end"/>
            </w:r>
          </w:hyperlink>
        </w:p>
        <w:p w14:paraId="57317A92" w14:textId="3BFDCF23"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4" w:history="1">
            <w:r w:rsidR="000756DC" w:rsidRPr="003C6276">
              <w:rPr>
                <w:rStyle w:val="Hyperlink"/>
                <w:rFonts w:ascii="Arial" w:hAnsi="Arial" w:cs="Arial"/>
                <w:noProof/>
              </w:rPr>
              <w:t>2.4.2 Resource Constraints and Workforce Shortages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23</w:t>
            </w:r>
            <w:r w:rsidR="000756DC" w:rsidRPr="003C6276">
              <w:rPr>
                <w:rFonts w:ascii="Arial" w:hAnsi="Arial" w:cs="Arial"/>
                <w:noProof/>
                <w:webHidden/>
              </w:rPr>
              <w:fldChar w:fldCharType="end"/>
            </w:r>
          </w:hyperlink>
        </w:p>
        <w:p w14:paraId="20381EA3" w14:textId="20612218"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5" w:history="1">
            <w:r w:rsidR="000756DC" w:rsidRPr="003C6276">
              <w:rPr>
                <w:rStyle w:val="Hyperlink"/>
                <w:rFonts w:ascii="Arial" w:hAnsi="Arial" w:cs="Arial"/>
                <w:noProof/>
              </w:rPr>
              <w:t>2.4.3 Patient Adherence and Self-Management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24</w:t>
            </w:r>
            <w:r w:rsidR="000756DC" w:rsidRPr="003C6276">
              <w:rPr>
                <w:rFonts w:ascii="Arial" w:hAnsi="Arial" w:cs="Arial"/>
                <w:noProof/>
                <w:webHidden/>
              </w:rPr>
              <w:fldChar w:fldCharType="end"/>
            </w:r>
          </w:hyperlink>
        </w:p>
        <w:p w14:paraId="23FC26C3" w14:textId="009FA970"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06" w:history="1">
            <w:r w:rsidR="000756DC" w:rsidRPr="003C6276">
              <w:rPr>
                <w:rStyle w:val="Hyperlink"/>
                <w:rFonts w:ascii="Arial" w:hAnsi="Arial" w:cs="Arial"/>
                <w:noProof/>
              </w:rPr>
              <w:t>2.5 Evidence based strategies for prevention and management of CKD</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25</w:t>
            </w:r>
            <w:r w:rsidR="000756DC" w:rsidRPr="003C6276">
              <w:rPr>
                <w:rFonts w:ascii="Arial" w:hAnsi="Arial" w:cs="Arial"/>
                <w:noProof/>
                <w:webHidden/>
              </w:rPr>
              <w:fldChar w:fldCharType="end"/>
            </w:r>
          </w:hyperlink>
        </w:p>
        <w:p w14:paraId="1B67CEA0" w14:textId="3F44DFDB"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7" w:history="1">
            <w:r w:rsidR="000756DC" w:rsidRPr="003C6276">
              <w:rPr>
                <w:rStyle w:val="Hyperlink"/>
                <w:rFonts w:ascii="Arial" w:hAnsi="Arial" w:cs="Arial"/>
                <w:noProof/>
              </w:rPr>
              <w:t>2.5.1 Early detection and screening programmes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25</w:t>
            </w:r>
            <w:r w:rsidR="000756DC" w:rsidRPr="003C6276">
              <w:rPr>
                <w:rFonts w:ascii="Arial" w:hAnsi="Arial" w:cs="Arial"/>
                <w:noProof/>
                <w:webHidden/>
              </w:rPr>
              <w:fldChar w:fldCharType="end"/>
            </w:r>
          </w:hyperlink>
        </w:p>
        <w:p w14:paraId="786E840C" w14:textId="27D1F0C1"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8" w:history="1">
            <w:r w:rsidR="000756DC" w:rsidRPr="003C6276">
              <w:rPr>
                <w:rStyle w:val="Hyperlink"/>
                <w:rFonts w:ascii="Arial" w:hAnsi="Arial" w:cs="Arial"/>
                <w:noProof/>
              </w:rPr>
              <w:t>2.5.2 Lifestyle modification and risk factor management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26</w:t>
            </w:r>
            <w:r w:rsidR="000756DC" w:rsidRPr="003C6276">
              <w:rPr>
                <w:rFonts w:ascii="Arial" w:hAnsi="Arial" w:cs="Arial"/>
                <w:noProof/>
                <w:webHidden/>
              </w:rPr>
              <w:fldChar w:fldCharType="end"/>
            </w:r>
          </w:hyperlink>
        </w:p>
        <w:p w14:paraId="42CCBBD7" w14:textId="083080EE"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09" w:history="1">
            <w:r w:rsidR="000756DC" w:rsidRPr="003C6276">
              <w:rPr>
                <w:rStyle w:val="Hyperlink"/>
                <w:rFonts w:ascii="Arial" w:hAnsi="Arial" w:cs="Arial"/>
                <w:noProof/>
              </w:rPr>
              <w:t>2.5.3 Multidisciplinary care and patient education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_Toc241056009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26</w:t>
            </w:r>
            <w:r w:rsidR="000756DC" w:rsidRPr="003C6276">
              <w:rPr>
                <w:rFonts w:ascii="Arial" w:hAnsi="Arial" w:cs="Arial"/>
                <w:noProof/>
                <w:webHidden/>
              </w:rPr>
              <w:fldChar w:fldCharType="end"/>
            </w:r>
          </w:hyperlink>
        </w:p>
        <w:p w14:paraId="434F0E22" w14:textId="5D566F39"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10" w:history="1">
            <w:r w:rsidR="000756DC" w:rsidRPr="003C6276">
              <w:rPr>
                <w:rStyle w:val="Hyperlink"/>
                <w:rFonts w:ascii="Arial" w:hAnsi="Arial" w:cs="Arial"/>
                <w:noProof/>
              </w:rPr>
              <w:t>2.5.4 Pharmacological and policy-based interventions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27</w:t>
            </w:r>
            <w:r w:rsidR="000756DC" w:rsidRPr="003C6276">
              <w:rPr>
                <w:rFonts w:ascii="Arial" w:hAnsi="Arial" w:cs="Arial"/>
                <w:noProof/>
                <w:webHidden/>
              </w:rPr>
              <w:fldChar w:fldCharType="end"/>
            </w:r>
          </w:hyperlink>
        </w:p>
        <w:p w14:paraId="4ADDFED3" w14:textId="3A1BF703"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1" w:history="1">
            <w:r w:rsidR="000756DC" w:rsidRPr="003C6276">
              <w:rPr>
                <w:rStyle w:val="Hyperlink"/>
                <w:rFonts w:ascii="Arial" w:hAnsi="Arial" w:cs="Arial"/>
                <w:noProof/>
              </w:rPr>
              <w:t>2.6 Theoretical implication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27</w:t>
            </w:r>
            <w:r w:rsidR="000756DC" w:rsidRPr="003C6276">
              <w:rPr>
                <w:rFonts w:ascii="Arial" w:hAnsi="Arial" w:cs="Arial"/>
                <w:noProof/>
                <w:webHidden/>
              </w:rPr>
              <w:fldChar w:fldCharType="end"/>
            </w:r>
          </w:hyperlink>
        </w:p>
        <w:p w14:paraId="4185C1A3" w14:textId="4C7359D0"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12" w:history="1">
            <w:r w:rsidR="000756DC" w:rsidRPr="003C6276">
              <w:rPr>
                <w:rStyle w:val="Hyperlink"/>
                <w:rFonts w:ascii="Arial" w:hAnsi="Arial" w:cs="Arial"/>
                <w:noProof/>
              </w:rPr>
              <w:t>2.6.1 The Dahlgren and Whitehead Social Determinants of Health (SDH) Framework</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27</w:t>
            </w:r>
            <w:r w:rsidR="000756DC" w:rsidRPr="003C6276">
              <w:rPr>
                <w:rFonts w:ascii="Arial" w:hAnsi="Arial" w:cs="Arial"/>
                <w:noProof/>
                <w:webHidden/>
              </w:rPr>
              <w:fldChar w:fldCharType="end"/>
            </w:r>
          </w:hyperlink>
        </w:p>
        <w:p w14:paraId="43627404" w14:textId="2D59C935"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13" w:history="1">
            <w:r w:rsidR="000756DC" w:rsidRPr="003C6276">
              <w:rPr>
                <w:rStyle w:val="Hyperlink"/>
                <w:rFonts w:ascii="Arial" w:hAnsi="Arial" w:cs="Arial"/>
                <w:noProof/>
              </w:rPr>
              <w:t>2.6.2 Social-ecological model</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28</w:t>
            </w:r>
            <w:r w:rsidR="000756DC" w:rsidRPr="003C6276">
              <w:rPr>
                <w:rFonts w:ascii="Arial" w:hAnsi="Arial" w:cs="Arial"/>
                <w:noProof/>
                <w:webHidden/>
              </w:rPr>
              <w:fldChar w:fldCharType="end"/>
            </w:r>
          </w:hyperlink>
        </w:p>
        <w:p w14:paraId="33098336" w14:textId="0F09BE2E"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4" w:history="1">
            <w:r w:rsidR="000756DC" w:rsidRPr="003C6276">
              <w:rPr>
                <w:rStyle w:val="Hyperlink"/>
                <w:rFonts w:ascii="Arial" w:hAnsi="Arial" w:cs="Arial"/>
                <w:noProof/>
              </w:rPr>
              <w:t>2.7 Conceptual framework</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30</w:t>
            </w:r>
            <w:r w:rsidR="000756DC" w:rsidRPr="003C6276">
              <w:rPr>
                <w:rFonts w:ascii="Arial" w:hAnsi="Arial" w:cs="Arial"/>
                <w:noProof/>
                <w:webHidden/>
              </w:rPr>
              <w:fldChar w:fldCharType="end"/>
            </w:r>
          </w:hyperlink>
        </w:p>
        <w:p w14:paraId="0EFB8C95" w14:textId="0F95A606"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5" w:history="1">
            <w:r w:rsidR="000756DC" w:rsidRPr="003C6276">
              <w:rPr>
                <w:rStyle w:val="Hyperlink"/>
                <w:rFonts w:ascii="Arial" w:hAnsi="Arial" w:cs="Arial"/>
                <w:noProof/>
              </w:rPr>
              <w:t>2.8 Literature gap</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30</w:t>
            </w:r>
            <w:r w:rsidR="000756DC" w:rsidRPr="003C6276">
              <w:rPr>
                <w:rFonts w:ascii="Arial" w:hAnsi="Arial" w:cs="Arial"/>
                <w:noProof/>
                <w:webHidden/>
              </w:rPr>
              <w:fldChar w:fldCharType="end"/>
            </w:r>
          </w:hyperlink>
        </w:p>
        <w:p w14:paraId="634CDB10" w14:textId="74FC3CD4"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6" w:history="1">
            <w:r w:rsidR="000756DC" w:rsidRPr="003C6276">
              <w:rPr>
                <w:rStyle w:val="Hyperlink"/>
                <w:rFonts w:ascii="Arial" w:hAnsi="Arial" w:cs="Arial"/>
                <w:noProof/>
              </w:rPr>
              <w:t>2.9 Summary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31</w:t>
            </w:r>
            <w:r w:rsidR="000756DC" w:rsidRPr="003C6276">
              <w:rPr>
                <w:rFonts w:ascii="Arial" w:hAnsi="Arial" w:cs="Arial"/>
                <w:noProof/>
                <w:webHidden/>
              </w:rPr>
              <w:fldChar w:fldCharType="end"/>
            </w:r>
          </w:hyperlink>
        </w:p>
        <w:p w14:paraId="167CD1BA" w14:textId="649A336F"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17" w:history="1">
            <w:r w:rsidR="000756DC" w:rsidRPr="003C6276">
              <w:rPr>
                <w:rStyle w:val="Hyperlink"/>
                <w:rFonts w:ascii="Arial" w:hAnsi="Arial" w:cs="Arial"/>
                <w:noProof/>
                <w:sz w:val="22"/>
              </w:rPr>
              <w:t>Chapter 3: Research Methodology</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_Toc241056017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32</w:t>
            </w:r>
            <w:r w:rsidR="000756DC" w:rsidRPr="003C6276">
              <w:rPr>
                <w:rFonts w:ascii="Arial" w:hAnsi="Arial" w:cs="Arial"/>
                <w:noProof/>
                <w:webHidden/>
                <w:sz w:val="22"/>
              </w:rPr>
              <w:fldChar w:fldCharType="end"/>
            </w:r>
          </w:hyperlink>
        </w:p>
        <w:p w14:paraId="4D868909" w14:textId="2AFBB095"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8" w:history="1">
            <w:r w:rsidR="000756DC" w:rsidRPr="003C6276">
              <w:rPr>
                <w:rStyle w:val="Hyperlink"/>
                <w:rFonts w:ascii="Arial" w:hAnsi="Arial" w:cs="Arial"/>
                <w:noProof/>
              </w:rPr>
              <w:t>3.1 Introduction to the Methodology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32</w:t>
            </w:r>
            <w:r w:rsidR="000756DC" w:rsidRPr="003C6276">
              <w:rPr>
                <w:rFonts w:ascii="Arial" w:hAnsi="Arial" w:cs="Arial"/>
                <w:noProof/>
                <w:webHidden/>
              </w:rPr>
              <w:fldChar w:fldCharType="end"/>
            </w:r>
          </w:hyperlink>
        </w:p>
        <w:p w14:paraId="3D440E83" w14:textId="3C66198E"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19" w:history="1">
            <w:r w:rsidR="000756DC" w:rsidRPr="003C6276">
              <w:rPr>
                <w:rStyle w:val="Hyperlink"/>
                <w:rFonts w:ascii="Arial" w:hAnsi="Arial" w:cs="Arial"/>
                <w:noProof/>
              </w:rPr>
              <w:t>3.2 Research Philosophy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_Toc241056019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32</w:t>
            </w:r>
            <w:r w:rsidR="000756DC" w:rsidRPr="003C6276">
              <w:rPr>
                <w:rFonts w:ascii="Arial" w:hAnsi="Arial" w:cs="Arial"/>
                <w:noProof/>
                <w:webHidden/>
              </w:rPr>
              <w:fldChar w:fldCharType="end"/>
            </w:r>
          </w:hyperlink>
        </w:p>
        <w:p w14:paraId="76ED952C" w14:textId="723F2FBF"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0" w:history="1">
            <w:r w:rsidR="000756DC" w:rsidRPr="003C6276">
              <w:rPr>
                <w:rStyle w:val="Hyperlink"/>
                <w:rFonts w:ascii="Arial" w:hAnsi="Arial" w:cs="Arial"/>
                <w:noProof/>
              </w:rPr>
              <w:t>3.3 Research Approach</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32</w:t>
            </w:r>
            <w:r w:rsidR="000756DC" w:rsidRPr="003C6276">
              <w:rPr>
                <w:rFonts w:ascii="Arial" w:hAnsi="Arial" w:cs="Arial"/>
                <w:noProof/>
                <w:webHidden/>
              </w:rPr>
              <w:fldChar w:fldCharType="end"/>
            </w:r>
          </w:hyperlink>
        </w:p>
        <w:p w14:paraId="1380B42B" w14:textId="43457C20"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1" w:history="1">
            <w:r w:rsidR="000756DC" w:rsidRPr="003C6276">
              <w:rPr>
                <w:rStyle w:val="Hyperlink"/>
                <w:rFonts w:ascii="Arial" w:hAnsi="Arial" w:cs="Arial"/>
                <w:noProof/>
              </w:rPr>
              <w:t>3.4 Study Design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33</w:t>
            </w:r>
            <w:r w:rsidR="000756DC" w:rsidRPr="003C6276">
              <w:rPr>
                <w:rFonts w:ascii="Arial" w:hAnsi="Arial" w:cs="Arial"/>
                <w:noProof/>
                <w:webHidden/>
              </w:rPr>
              <w:fldChar w:fldCharType="end"/>
            </w:r>
          </w:hyperlink>
        </w:p>
        <w:p w14:paraId="4B8CA0C6" w14:textId="33EEC677"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2" w:history="1">
            <w:r w:rsidR="000756DC" w:rsidRPr="003C6276">
              <w:rPr>
                <w:rStyle w:val="Hyperlink"/>
                <w:rFonts w:ascii="Arial" w:hAnsi="Arial" w:cs="Arial"/>
                <w:noProof/>
              </w:rPr>
              <w:t>3.5 Search Strategy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33</w:t>
            </w:r>
            <w:r w:rsidR="000756DC" w:rsidRPr="003C6276">
              <w:rPr>
                <w:rFonts w:ascii="Arial" w:hAnsi="Arial" w:cs="Arial"/>
                <w:noProof/>
                <w:webHidden/>
              </w:rPr>
              <w:fldChar w:fldCharType="end"/>
            </w:r>
          </w:hyperlink>
        </w:p>
        <w:p w14:paraId="6D00ACE2" w14:textId="66EC98DB"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23" w:history="1">
            <w:r w:rsidR="000756DC" w:rsidRPr="003C6276">
              <w:rPr>
                <w:rStyle w:val="Hyperlink"/>
                <w:rFonts w:ascii="Arial" w:hAnsi="Arial" w:cs="Arial"/>
                <w:noProof/>
              </w:rPr>
              <w:t>3.5.1 Search Terms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33</w:t>
            </w:r>
            <w:r w:rsidR="000756DC" w:rsidRPr="003C6276">
              <w:rPr>
                <w:rFonts w:ascii="Arial" w:hAnsi="Arial" w:cs="Arial"/>
                <w:noProof/>
                <w:webHidden/>
              </w:rPr>
              <w:fldChar w:fldCharType="end"/>
            </w:r>
          </w:hyperlink>
        </w:p>
        <w:p w14:paraId="4DF55BF4" w14:textId="3BCF6192"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24" w:history="1">
            <w:r w:rsidR="000756DC" w:rsidRPr="003C6276">
              <w:rPr>
                <w:rStyle w:val="Hyperlink"/>
                <w:rFonts w:ascii="Arial" w:hAnsi="Arial" w:cs="Arial"/>
                <w:noProof/>
              </w:rPr>
              <w:t>3.5.2 Databases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35</w:t>
            </w:r>
            <w:r w:rsidR="000756DC" w:rsidRPr="003C6276">
              <w:rPr>
                <w:rFonts w:ascii="Arial" w:hAnsi="Arial" w:cs="Arial"/>
                <w:noProof/>
                <w:webHidden/>
              </w:rPr>
              <w:fldChar w:fldCharType="end"/>
            </w:r>
          </w:hyperlink>
        </w:p>
        <w:p w14:paraId="58D5713D" w14:textId="6D1DB27A"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25" w:history="1">
            <w:r w:rsidR="000756DC" w:rsidRPr="003C6276">
              <w:rPr>
                <w:rStyle w:val="Hyperlink"/>
                <w:rFonts w:ascii="Arial" w:hAnsi="Arial" w:cs="Arial"/>
                <w:noProof/>
              </w:rPr>
              <w:t>3.5.3 PICO framework</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35</w:t>
            </w:r>
            <w:r w:rsidR="000756DC" w:rsidRPr="003C6276">
              <w:rPr>
                <w:rFonts w:ascii="Arial" w:hAnsi="Arial" w:cs="Arial"/>
                <w:noProof/>
                <w:webHidden/>
              </w:rPr>
              <w:fldChar w:fldCharType="end"/>
            </w:r>
          </w:hyperlink>
        </w:p>
        <w:p w14:paraId="0F660396" w14:textId="32ECFCFC"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6" w:history="1">
            <w:r w:rsidR="000756DC" w:rsidRPr="003C6276">
              <w:rPr>
                <w:rStyle w:val="Hyperlink"/>
                <w:rFonts w:ascii="Arial" w:hAnsi="Arial" w:cs="Arial"/>
                <w:noProof/>
              </w:rPr>
              <w:t>3.6 Screening Process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36</w:t>
            </w:r>
            <w:r w:rsidR="000756DC" w:rsidRPr="003C6276">
              <w:rPr>
                <w:rFonts w:ascii="Arial" w:hAnsi="Arial" w:cs="Arial"/>
                <w:noProof/>
                <w:webHidden/>
              </w:rPr>
              <w:fldChar w:fldCharType="end"/>
            </w:r>
          </w:hyperlink>
        </w:p>
        <w:p w14:paraId="57A43D79" w14:textId="2CC932B3"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27" w:history="1">
            <w:r w:rsidR="000756DC" w:rsidRPr="003C6276">
              <w:rPr>
                <w:rStyle w:val="Hyperlink"/>
                <w:rFonts w:ascii="Arial" w:hAnsi="Arial" w:cs="Arial"/>
                <w:noProof/>
              </w:rPr>
              <w:t>3.6.1 Inclusion and Exclusion Criteria</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36</w:t>
            </w:r>
            <w:r w:rsidR="000756DC" w:rsidRPr="003C6276">
              <w:rPr>
                <w:rFonts w:ascii="Arial" w:hAnsi="Arial" w:cs="Arial"/>
                <w:noProof/>
                <w:webHidden/>
              </w:rPr>
              <w:fldChar w:fldCharType="end"/>
            </w:r>
          </w:hyperlink>
        </w:p>
        <w:p w14:paraId="52D73CB3" w14:textId="4F361299"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8" w:history="1">
            <w:r w:rsidR="000756DC" w:rsidRPr="003C6276">
              <w:rPr>
                <w:rStyle w:val="Hyperlink"/>
                <w:rFonts w:ascii="Arial" w:hAnsi="Arial" w:cs="Arial"/>
                <w:noProof/>
              </w:rPr>
              <w:t>3.7 Study Selection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38</w:t>
            </w:r>
            <w:r w:rsidR="000756DC" w:rsidRPr="003C6276">
              <w:rPr>
                <w:rFonts w:ascii="Arial" w:hAnsi="Arial" w:cs="Arial"/>
                <w:noProof/>
                <w:webHidden/>
              </w:rPr>
              <w:fldChar w:fldCharType="end"/>
            </w:r>
          </w:hyperlink>
        </w:p>
        <w:p w14:paraId="26406E87" w14:textId="5FF7290D"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29" w:history="1">
            <w:r w:rsidR="000756DC" w:rsidRPr="003C6276">
              <w:rPr>
                <w:rStyle w:val="Hyperlink"/>
                <w:rFonts w:ascii="Arial" w:hAnsi="Arial" w:cs="Arial"/>
                <w:noProof/>
              </w:rPr>
              <w:t>3.8 Critical Appraisal</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_Toc241056029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39</w:t>
            </w:r>
            <w:r w:rsidR="000756DC" w:rsidRPr="003C6276">
              <w:rPr>
                <w:rFonts w:ascii="Arial" w:hAnsi="Arial" w:cs="Arial"/>
                <w:noProof/>
                <w:webHidden/>
              </w:rPr>
              <w:fldChar w:fldCharType="end"/>
            </w:r>
          </w:hyperlink>
        </w:p>
        <w:p w14:paraId="10DD002C" w14:textId="670436A8"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0" w:history="1">
            <w:r w:rsidR="000756DC" w:rsidRPr="003C6276">
              <w:rPr>
                <w:rStyle w:val="Hyperlink"/>
                <w:rFonts w:ascii="Arial" w:hAnsi="Arial" w:cs="Arial"/>
                <w:noProof/>
              </w:rPr>
              <w:t>3.9 Data Extraction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39</w:t>
            </w:r>
            <w:r w:rsidR="000756DC" w:rsidRPr="003C6276">
              <w:rPr>
                <w:rFonts w:ascii="Arial" w:hAnsi="Arial" w:cs="Arial"/>
                <w:noProof/>
                <w:webHidden/>
              </w:rPr>
              <w:fldChar w:fldCharType="end"/>
            </w:r>
          </w:hyperlink>
        </w:p>
        <w:p w14:paraId="095C4445" w14:textId="524AFCFD"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1" w:history="1">
            <w:r w:rsidR="000756DC" w:rsidRPr="003C6276">
              <w:rPr>
                <w:rStyle w:val="Hyperlink"/>
                <w:rFonts w:ascii="Arial" w:hAnsi="Arial" w:cs="Arial"/>
                <w:noProof/>
              </w:rPr>
              <w:t>3.10 Data Analysis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39</w:t>
            </w:r>
            <w:r w:rsidR="000756DC" w:rsidRPr="003C6276">
              <w:rPr>
                <w:rFonts w:ascii="Arial" w:hAnsi="Arial" w:cs="Arial"/>
                <w:noProof/>
                <w:webHidden/>
              </w:rPr>
              <w:fldChar w:fldCharType="end"/>
            </w:r>
          </w:hyperlink>
        </w:p>
        <w:p w14:paraId="33B3CBF5" w14:textId="3508423E"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2" w:history="1">
            <w:r w:rsidR="000756DC" w:rsidRPr="003C6276">
              <w:rPr>
                <w:rStyle w:val="Hyperlink"/>
                <w:rFonts w:ascii="Arial" w:hAnsi="Arial" w:cs="Arial"/>
                <w:noProof/>
              </w:rPr>
              <w:t>3.11 Ethical Considerations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40</w:t>
            </w:r>
            <w:r w:rsidR="000756DC" w:rsidRPr="003C6276">
              <w:rPr>
                <w:rFonts w:ascii="Arial" w:hAnsi="Arial" w:cs="Arial"/>
                <w:noProof/>
                <w:webHidden/>
              </w:rPr>
              <w:fldChar w:fldCharType="end"/>
            </w:r>
          </w:hyperlink>
        </w:p>
        <w:p w14:paraId="13A43506" w14:textId="3B5C217B"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3" w:history="1">
            <w:r w:rsidR="000756DC" w:rsidRPr="003C6276">
              <w:rPr>
                <w:rStyle w:val="Hyperlink"/>
                <w:rFonts w:ascii="Arial" w:hAnsi="Arial" w:cs="Arial"/>
                <w:noProof/>
              </w:rPr>
              <w:t>3.12 Chapter summary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40</w:t>
            </w:r>
            <w:r w:rsidR="000756DC" w:rsidRPr="003C6276">
              <w:rPr>
                <w:rFonts w:ascii="Arial" w:hAnsi="Arial" w:cs="Arial"/>
                <w:noProof/>
                <w:webHidden/>
              </w:rPr>
              <w:fldChar w:fldCharType="end"/>
            </w:r>
          </w:hyperlink>
        </w:p>
        <w:p w14:paraId="1D92D171" w14:textId="615B44CD"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34" w:history="1">
            <w:r w:rsidR="000756DC" w:rsidRPr="003C6276">
              <w:rPr>
                <w:rStyle w:val="Hyperlink"/>
                <w:rFonts w:ascii="Arial" w:hAnsi="Arial" w:cs="Arial"/>
                <w:noProof/>
                <w:sz w:val="22"/>
              </w:rPr>
              <w:t>Chapter 4: Results</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_Toc241056034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41</w:t>
            </w:r>
            <w:r w:rsidR="000756DC" w:rsidRPr="003C6276">
              <w:rPr>
                <w:rFonts w:ascii="Arial" w:hAnsi="Arial" w:cs="Arial"/>
                <w:noProof/>
                <w:webHidden/>
                <w:sz w:val="22"/>
              </w:rPr>
              <w:fldChar w:fldCharType="end"/>
            </w:r>
          </w:hyperlink>
        </w:p>
        <w:p w14:paraId="2479A09D" w14:textId="22C57D40"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5" w:history="1">
            <w:r w:rsidR="000756DC" w:rsidRPr="003C6276">
              <w:rPr>
                <w:rStyle w:val="Hyperlink"/>
                <w:rFonts w:ascii="Arial" w:hAnsi="Arial" w:cs="Arial"/>
                <w:noProof/>
              </w:rPr>
              <w:t>4.1 Introduction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41</w:t>
            </w:r>
            <w:r w:rsidR="000756DC" w:rsidRPr="003C6276">
              <w:rPr>
                <w:rFonts w:ascii="Arial" w:hAnsi="Arial" w:cs="Arial"/>
                <w:noProof/>
                <w:webHidden/>
              </w:rPr>
              <w:fldChar w:fldCharType="end"/>
            </w:r>
          </w:hyperlink>
        </w:p>
        <w:p w14:paraId="6913623A" w14:textId="3F13A839"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6" w:history="1">
            <w:r w:rsidR="000756DC" w:rsidRPr="003C6276">
              <w:rPr>
                <w:rStyle w:val="Hyperlink"/>
                <w:rFonts w:ascii="Arial" w:hAnsi="Arial" w:cs="Arial"/>
                <w:noProof/>
              </w:rPr>
              <w:t>4.2 Findings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41</w:t>
            </w:r>
            <w:r w:rsidR="000756DC" w:rsidRPr="003C6276">
              <w:rPr>
                <w:rFonts w:ascii="Arial" w:hAnsi="Arial" w:cs="Arial"/>
                <w:noProof/>
                <w:webHidden/>
              </w:rPr>
              <w:fldChar w:fldCharType="end"/>
            </w:r>
          </w:hyperlink>
        </w:p>
        <w:p w14:paraId="27AC37F1" w14:textId="6B0281AC"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7" w:history="1">
            <w:r w:rsidR="000756DC" w:rsidRPr="003C6276">
              <w:rPr>
                <w:rStyle w:val="Hyperlink"/>
                <w:rFonts w:ascii="Arial" w:hAnsi="Arial" w:cs="Arial"/>
                <w:noProof/>
              </w:rPr>
              <w:t>4.3 Theme 1: Biological and Lifestyle Risk Factors in CKD Development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42</w:t>
            </w:r>
            <w:r w:rsidR="000756DC" w:rsidRPr="003C6276">
              <w:rPr>
                <w:rFonts w:ascii="Arial" w:hAnsi="Arial" w:cs="Arial"/>
                <w:noProof/>
                <w:webHidden/>
              </w:rPr>
              <w:fldChar w:fldCharType="end"/>
            </w:r>
          </w:hyperlink>
        </w:p>
        <w:p w14:paraId="14EAEF78" w14:textId="5E3A8238"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38" w:history="1">
            <w:r w:rsidR="000756DC" w:rsidRPr="003C6276">
              <w:rPr>
                <w:rStyle w:val="Hyperlink"/>
                <w:rFonts w:ascii="Arial" w:hAnsi="Arial" w:cs="Arial"/>
                <w:noProof/>
              </w:rPr>
              <w:t>4.3.1 Biological and lifestyle-related risk in CKD Development and management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43</w:t>
            </w:r>
            <w:r w:rsidR="000756DC" w:rsidRPr="003C6276">
              <w:rPr>
                <w:rFonts w:ascii="Arial" w:hAnsi="Arial" w:cs="Arial"/>
                <w:noProof/>
                <w:webHidden/>
              </w:rPr>
              <w:fldChar w:fldCharType="end"/>
            </w:r>
          </w:hyperlink>
        </w:p>
        <w:p w14:paraId="13F19D0C" w14:textId="56C9A687"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39" w:history="1">
            <w:r w:rsidR="000756DC" w:rsidRPr="003C6276">
              <w:rPr>
                <w:rStyle w:val="Hyperlink"/>
                <w:rFonts w:ascii="Arial" w:hAnsi="Arial" w:cs="Arial"/>
                <w:noProof/>
              </w:rPr>
              <w:t>4.4 Theme 2: Structural, socioeconomic and lifestyle management-related factors can influence CKD prevalence and progression among the UK population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_Toc241056039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43</w:t>
            </w:r>
            <w:r w:rsidR="000756DC" w:rsidRPr="003C6276">
              <w:rPr>
                <w:rFonts w:ascii="Arial" w:hAnsi="Arial" w:cs="Arial"/>
                <w:noProof/>
                <w:webHidden/>
              </w:rPr>
              <w:fldChar w:fldCharType="end"/>
            </w:r>
          </w:hyperlink>
        </w:p>
        <w:p w14:paraId="37228FA8" w14:textId="17341732"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40" w:history="1">
            <w:r w:rsidR="000756DC" w:rsidRPr="003C6276">
              <w:rPr>
                <w:rStyle w:val="Hyperlink"/>
                <w:rFonts w:ascii="Arial" w:hAnsi="Arial" w:cs="Arial"/>
                <w:noProof/>
              </w:rPr>
              <w:t>4.4.1 Lifestyle management and determinants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44</w:t>
            </w:r>
            <w:r w:rsidR="000756DC" w:rsidRPr="003C6276">
              <w:rPr>
                <w:rFonts w:ascii="Arial" w:hAnsi="Arial" w:cs="Arial"/>
                <w:noProof/>
                <w:webHidden/>
              </w:rPr>
              <w:fldChar w:fldCharType="end"/>
            </w:r>
          </w:hyperlink>
        </w:p>
        <w:p w14:paraId="43EDDFA5" w14:textId="69F4EFF2"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41" w:history="1">
            <w:r w:rsidR="000756DC" w:rsidRPr="003C6276">
              <w:rPr>
                <w:rStyle w:val="Hyperlink"/>
                <w:rFonts w:ascii="Arial" w:hAnsi="Arial" w:cs="Arial"/>
                <w:noProof/>
              </w:rPr>
              <w:t>4.4.2 Socioeconomic factors impacting CKD management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45</w:t>
            </w:r>
            <w:r w:rsidR="000756DC" w:rsidRPr="003C6276">
              <w:rPr>
                <w:rFonts w:ascii="Arial" w:hAnsi="Arial" w:cs="Arial"/>
                <w:noProof/>
                <w:webHidden/>
              </w:rPr>
              <w:fldChar w:fldCharType="end"/>
            </w:r>
          </w:hyperlink>
        </w:p>
        <w:p w14:paraId="17A99EF3" w14:textId="69F88981"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42" w:history="1">
            <w:r w:rsidR="000756DC" w:rsidRPr="003C6276">
              <w:rPr>
                <w:rStyle w:val="Hyperlink"/>
                <w:rFonts w:ascii="Arial" w:hAnsi="Arial" w:cs="Arial"/>
                <w:noProof/>
              </w:rPr>
              <w:t>4.5 Theme 3: Poor management and treatment, gaps in prescribing and administration of services, regular diagnostic coding, and limitations of measurement, healthcare disparities and diagnosis delay are key challenges for the UK-based CKD treatment practices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_Toc241056042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46</w:t>
            </w:r>
            <w:r w:rsidR="000756DC" w:rsidRPr="003C6276">
              <w:rPr>
                <w:rFonts w:ascii="Arial" w:hAnsi="Arial" w:cs="Arial"/>
                <w:noProof/>
                <w:webHidden/>
              </w:rPr>
              <w:fldChar w:fldCharType="end"/>
            </w:r>
          </w:hyperlink>
        </w:p>
        <w:p w14:paraId="61439A3B" w14:textId="4017E726"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43" w:history="1">
            <w:r w:rsidR="000756DC" w:rsidRPr="003C6276">
              <w:rPr>
                <w:rStyle w:val="Hyperlink"/>
                <w:rFonts w:ascii="Arial" w:hAnsi="Arial" w:cs="Arial"/>
                <w:noProof/>
              </w:rPr>
              <w:t>4.5.1 Prescription, medication gaps and limited measurement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46</w:t>
            </w:r>
            <w:r w:rsidR="000756DC" w:rsidRPr="003C6276">
              <w:rPr>
                <w:rFonts w:ascii="Arial" w:hAnsi="Arial" w:cs="Arial"/>
                <w:noProof/>
                <w:webHidden/>
              </w:rPr>
              <w:fldChar w:fldCharType="end"/>
            </w:r>
          </w:hyperlink>
        </w:p>
        <w:p w14:paraId="7980ADFC" w14:textId="0B9B9D58"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44" w:history="1">
            <w:r w:rsidR="000756DC" w:rsidRPr="003C6276">
              <w:rPr>
                <w:rStyle w:val="Hyperlink"/>
                <w:rFonts w:ascii="Arial" w:hAnsi="Arial" w:cs="Arial"/>
                <w:noProof/>
              </w:rPr>
              <w:t>4.5.2 Healthcare disparities and socioeconomic deprivation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47</w:t>
            </w:r>
            <w:r w:rsidR="000756DC" w:rsidRPr="003C6276">
              <w:rPr>
                <w:rFonts w:ascii="Arial" w:hAnsi="Arial" w:cs="Arial"/>
                <w:noProof/>
                <w:webHidden/>
              </w:rPr>
              <w:fldChar w:fldCharType="end"/>
            </w:r>
          </w:hyperlink>
        </w:p>
        <w:p w14:paraId="589F939B" w14:textId="191740E9"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45" w:history="1">
            <w:r w:rsidR="000756DC" w:rsidRPr="003C6276">
              <w:rPr>
                <w:rStyle w:val="Hyperlink"/>
                <w:rFonts w:ascii="Arial" w:hAnsi="Arial" w:cs="Arial"/>
                <w:noProof/>
              </w:rPr>
              <w:t>4.6 Theme 4: Evidence-based approaches, Kidney Failure Risk Equation (KFRE), interventions at a healthcare-system-level and multidimensional prevention and intervention strategy can improve the prevention and management of CKD</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48</w:t>
            </w:r>
            <w:r w:rsidR="000756DC" w:rsidRPr="003C6276">
              <w:rPr>
                <w:rFonts w:ascii="Arial" w:hAnsi="Arial" w:cs="Arial"/>
                <w:noProof/>
                <w:webHidden/>
              </w:rPr>
              <w:fldChar w:fldCharType="end"/>
            </w:r>
          </w:hyperlink>
        </w:p>
        <w:p w14:paraId="7CEE9345" w14:textId="22BA8966"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46" w:history="1">
            <w:r w:rsidR="000756DC" w:rsidRPr="003C6276">
              <w:rPr>
                <w:rStyle w:val="Hyperlink"/>
                <w:rFonts w:ascii="Arial" w:hAnsi="Arial" w:cs="Arial"/>
                <w:noProof/>
              </w:rPr>
              <w:t>4.6.1 Evidence-based strategy, Kidney Failure Risk Equation (KFRE) for CKD management and improvement.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49</w:t>
            </w:r>
            <w:r w:rsidR="000756DC" w:rsidRPr="003C6276">
              <w:rPr>
                <w:rFonts w:ascii="Arial" w:hAnsi="Arial" w:cs="Arial"/>
                <w:noProof/>
                <w:webHidden/>
              </w:rPr>
              <w:fldChar w:fldCharType="end"/>
            </w:r>
          </w:hyperlink>
        </w:p>
        <w:p w14:paraId="6794C8D5" w14:textId="46844342"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47" w:history="1">
            <w:r w:rsidR="000756DC" w:rsidRPr="003C6276">
              <w:rPr>
                <w:rStyle w:val="Hyperlink"/>
                <w:rFonts w:ascii="Arial" w:hAnsi="Arial" w:cs="Arial"/>
                <w:noProof/>
              </w:rPr>
              <w:t>4.7 Chapter Summary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50</w:t>
            </w:r>
            <w:r w:rsidR="000756DC" w:rsidRPr="003C6276">
              <w:rPr>
                <w:rFonts w:ascii="Arial" w:hAnsi="Arial" w:cs="Arial"/>
                <w:noProof/>
                <w:webHidden/>
              </w:rPr>
              <w:fldChar w:fldCharType="end"/>
            </w:r>
          </w:hyperlink>
        </w:p>
        <w:p w14:paraId="51E97C81" w14:textId="1E120591"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48" w:history="1">
            <w:r w:rsidR="000756DC" w:rsidRPr="003C6276">
              <w:rPr>
                <w:rStyle w:val="Hyperlink"/>
                <w:rFonts w:ascii="Arial" w:hAnsi="Arial" w:cs="Arial"/>
                <w:noProof/>
                <w:sz w:val="22"/>
              </w:rPr>
              <w:t>Chapter 5: Discussion</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_Toc241056048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52</w:t>
            </w:r>
            <w:r w:rsidR="000756DC" w:rsidRPr="003C6276">
              <w:rPr>
                <w:rFonts w:ascii="Arial" w:hAnsi="Arial" w:cs="Arial"/>
                <w:noProof/>
                <w:webHidden/>
                <w:sz w:val="22"/>
              </w:rPr>
              <w:fldChar w:fldCharType="end"/>
            </w:r>
          </w:hyperlink>
        </w:p>
        <w:p w14:paraId="055A34A3" w14:textId="16146403"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49" w:history="1">
            <w:r w:rsidR="000756DC" w:rsidRPr="003C6276">
              <w:rPr>
                <w:rStyle w:val="Hyperlink"/>
                <w:rFonts w:ascii="Arial" w:hAnsi="Arial" w:cs="Arial"/>
                <w:noProof/>
              </w:rPr>
              <w:t>5.1 Introduction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_Toc241056049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52</w:t>
            </w:r>
            <w:r w:rsidR="000756DC" w:rsidRPr="003C6276">
              <w:rPr>
                <w:rFonts w:ascii="Arial" w:hAnsi="Arial" w:cs="Arial"/>
                <w:noProof/>
                <w:webHidden/>
              </w:rPr>
              <w:fldChar w:fldCharType="end"/>
            </w:r>
          </w:hyperlink>
        </w:p>
        <w:p w14:paraId="70A20789" w14:textId="756090E9"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0" w:history="1">
            <w:r w:rsidR="000756DC" w:rsidRPr="003C6276">
              <w:rPr>
                <w:rStyle w:val="Hyperlink"/>
                <w:rFonts w:ascii="Arial" w:hAnsi="Arial" w:cs="Arial"/>
                <w:noProof/>
              </w:rPr>
              <w:t>5.2 Discussion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52</w:t>
            </w:r>
            <w:r w:rsidR="000756DC" w:rsidRPr="003C6276">
              <w:rPr>
                <w:rFonts w:ascii="Arial" w:hAnsi="Arial" w:cs="Arial"/>
                <w:noProof/>
                <w:webHidden/>
              </w:rPr>
              <w:fldChar w:fldCharType="end"/>
            </w:r>
          </w:hyperlink>
        </w:p>
        <w:p w14:paraId="13080710" w14:textId="68CA0942"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1" w:history="1">
            <w:r w:rsidR="000756DC" w:rsidRPr="003C6276">
              <w:rPr>
                <w:rStyle w:val="Hyperlink"/>
                <w:rFonts w:ascii="Arial" w:hAnsi="Arial" w:cs="Arial"/>
                <w:noProof/>
              </w:rPr>
              <w:t>5.3 Chapter Summary</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56</w:t>
            </w:r>
            <w:r w:rsidR="000756DC" w:rsidRPr="003C6276">
              <w:rPr>
                <w:rFonts w:ascii="Arial" w:hAnsi="Arial" w:cs="Arial"/>
                <w:noProof/>
                <w:webHidden/>
              </w:rPr>
              <w:fldChar w:fldCharType="end"/>
            </w:r>
          </w:hyperlink>
        </w:p>
        <w:p w14:paraId="3603A0B1" w14:textId="08DFD367"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52" w:history="1">
            <w:r w:rsidR="000756DC" w:rsidRPr="003C6276">
              <w:rPr>
                <w:rStyle w:val="Hyperlink"/>
                <w:rFonts w:ascii="Arial" w:hAnsi="Arial" w:cs="Arial"/>
                <w:noProof/>
                <w:sz w:val="22"/>
              </w:rPr>
              <w:t>Chapter 6: Conclusion</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_Toc241056052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57</w:t>
            </w:r>
            <w:r w:rsidR="000756DC" w:rsidRPr="003C6276">
              <w:rPr>
                <w:rFonts w:ascii="Arial" w:hAnsi="Arial" w:cs="Arial"/>
                <w:noProof/>
                <w:webHidden/>
                <w:sz w:val="22"/>
              </w:rPr>
              <w:fldChar w:fldCharType="end"/>
            </w:r>
          </w:hyperlink>
        </w:p>
        <w:p w14:paraId="443882C3" w14:textId="25826FC4"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3" w:history="1">
            <w:r w:rsidR="000756DC" w:rsidRPr="003C6276">
              <w:rPr>
                <w:rStyle w:val="Hyperlink"/>
                <w:rFonts w:ascii="Arial" w:hAnsi="Arial" w:cs="Arial"/>
                <w:noProof/>
              </w:rPr>
              <w:t>6.1 Conclusion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_Toc241056053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57</w:t>
            </w:r>
            <w:r w:rsidR="000756DC" w:rsidRPr="003C6276">
              <w:rPr>
                <w:rFonts w:ascii="Arial" w:hAnsi="Arial" w:cs="Arial"/>
                <w:noProof/>
                <w:webHidden/>
              </w:rPr>
              <w:fldChar w:fldCharType="end"/>
            </w:r>
          </w:hyperlink>
        </w:p>
        <w:p w14:paraId="46FD5239" w14:textId="380B1E57"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4" w:history="1">
            <w:r w:rsidR="000756DC" w:rsidRPr="003C6276">
              <w:rPr>
                <w:rStyle w:val="Hyperlink"/>
                <w:rFonts w:ascii="Arial" w:hAnsi="Arial" w:cs="Arial"/>
                <w:noProof/>
              </w:rPr>
              <w:t>6.2 Linking with objectives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_Toc241056054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58</w:t>
            </w:r>
            <w:r w:rsidR="000756DC" w:rsidRPr="003C6276">
              <w:rPr>
                <w:rFonts w:ascii="Arial" w:hAnsi="Arial" w:cs="Arial"/>
                <w:noProof/>
                <w:webHidden/>
              </w:rPr>
              <w:fldChar w:fldCharType="end"/>
            </w:r>
          </w:hyperlink>
        </w:p>
        <w:p w14:paraId="7F48374F" w14:textId="15403E13"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5" w:history="1">
            <w:r w:rsidR="000756DC" w:rsidRPr="003C6276">
              <w:rPr>
                <w:rStyle w:val="Hyperlink"/>
                <w:rFonts w:ascii="Arial" w:hAnsi="Arial" w:cs="Arial"/>
                <w:noProof/>
              </w:rPr>
              <w:t>6.3 Recommendations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_Toc241056055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58</w:t>
            </w:r>
            <w:r w:rsidR="000756DC" w:rsidRPr="003C6276">
              <w:rPr>
                <w:rFonts w:ascii="Arial" w:hAnsi="Arial" w:cs="Arial"/>
                <w:noProof/>
                <w:webHidden/>
              </w:rPr>
              <w:fldChar w:fldCharType="end"/>
            </w:r>
          </w:hyperlink>
        </w:p>
        <w:p w14:paraId="107ED367" w14:textId="4A88B087"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56" w:history="1">
            <w:r w:rsidR="000756DC" w:rsidRPr="003C6276">
              <w:rPr>
                <w:rStyle w:val="Hyperlink"/>
                <w:rFonts w:ascii="Arial" w:hAnsi="Arial" w:cs="Arial"/>
                <w:noProof/>
              </w:rPr>
              <w:t>6.3.1 Recommendation of extension of eGRF and albuminuria screening for mitigating Late Diagnosis and Limited Screening</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_Toc241056056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58</w:t>
            </w:r>
            <w:r w:rsidR="000756DC" w:rsidRPr="003C6276">
              <w:rPr>
                <w:rFonts w:ascii="Arial" w:hAnsi="Arial" w:cs="Arial"/>
                <w:noProof/>
                <w:webHidden/>
              </w:rPr>
              <w:fldChar w:fldCharType="end"/>
            </w:r>
          </w:hyperlink>
        </w:p>
        <w:p w14:paraId="6C80DA13" w14:textId="58EA1BA5"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57" w:history="1">
            <w:r w:rsidR="000756DC" w:rsidRPr="003C6276">
              <w:rPr>
                <w:rStyle w:val="Hyperlink"/>
                <w:rFonts w:ascii="Arial" w:hAnsi="Arial" w:cs="Arial"/>
                <w:noProof/>
              </w:rPr>
              <w:t>6.3.2 Recommendation of nephrology workforce planning for mitigating Resource Constraints and Workforce Shortages</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_Toc241056057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59</w:t>
            </w:r>
            <w:r w:rsidR="000756DC" w:rsidRPr="003C6276">
              <w:rPr>
                <w:rFonts w:ascii="Arial" w:hAnsi="Arial" w:cs="Arial"/>
                <w:noProof/>
                <w:webHidden/>
              </w:rPr>
              <w:fldChar w:fldCharType="end"/>
            </w:r>
          </w:hyperlink>
        </w:p>
        <w:p w14:paraId="263B0BEE" w14:textId="26E8D2D6" w:rsidR="000756DC" w:rsidRPr="003C6276" w:rsidRDefault="00B54B5C" w:rsidP="000756DC">
          <w:pPr>
            <w:pStyle w:val="TOC3"/>
            <w:tabs>
              <w:tab w:val="right" w:leader="dot" w:pos="9016"/>
            </w:tabs>
            <w:spacing w:line="360" w:lineRule="auto"/>
            <w:jc w:val="both"/>
            <w:rPr>
              <w:rFonts w:ascii="Arial" w:hAnsi="Arial" w:cs="Arial"/>
              <w:noProof/>
              <w:kern w:val="0"/>
              <w:lang w:eastAsia="en-IN"/>
              <w14:ligatures w14:val="none"/>
            </w:rPr>
          </w:pPr>
          <w:hyperlink w:anchor="_Toc241056058" w:history="1">
            <w:r w:rsidR="000756DC" w:rsidRPr="003C6276">
              <w:rPr>
                <w:rStyle w:val="Hyperlink"/>
                <w:rFonts w:ascii="Arial" w:hAnsi="Arial" w:cs="Arial"/>
                <w:noProof/>
              </w:rPr>
              <w:t>6.3.3 Recommendation for improving Patient Adherence and Self-Management</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_Toc241056058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59</w:t>
            </w:r>
            <w:r w:rsidR="000756DC" w:rsidRPr="003C6276">
              <w:rPr>
                <w:rFonts w:ascii="Arial" w:hAnsi="Arial" w:cs="Arial"/>
                <w:noProof/>
                <w:webHidden/>
              </w:rPr>
              <w:fldChar w:fldCharType="end"/>
            </w:r>
          </w:hyperlink>
        </w:p>
        <w:p w14:paraId="42457B35" w14:textId="6A741246"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59" w:history="1">
            <w:r w:rsidR="000756DC" w:rsidRPr="003C6276">
              <w:rPr>
                <w:rStyle w:val="Hyperlink"/>
                <w:rFonts w:ascii="Arial" w:hAnsi="Arial" w:cs="Arial"/>
                <w:noProof/>
              </w:rPr>
              <w:t>6.4 Implication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_Toc241056059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60</w:t>
            </w:r>
            <w:r w:rsidR="000756DC" w:rsidRPr="003C6276">
              <w:rPr>
                <w:rFonts w:ascii="Arial" w:hAnsi="Arial" w:cs="Arial"/>
                <w:noProof/>
                <w:webHidden/>
              </w:rPr>
              <w:fldChar w:fldCharType="end"/>
            </w:r>
          </w:hyperlink>
        </w:p>
        <w:p w14:paraId="7E94809C" w14:textId="77F0A5DA"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60" w:history="1">
            <w:r w:rsidR="000756DC" w:rsidRPr="003C6276">
              <w:rPr>
                <w:rStyle w:val="Hyperlink"/>
                <w:rFonts w:ascii="Arial" w:hAnsi="Arial" w:cs="Arial"/>
                <w:noProof/>
              </w:rPr>
              <w:t>6.5 Limitation</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_Toc241056060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60</w:t>
            </w:r>
            <w:r w:rsidR="000756DC" w:rsidRPr="003C6276">
              <w:rPr>
                <w:rFonts w:ascii="Arial" w:hAnsi="Arial" w:cs="Arial"/>
                <w:noProof/>
                <w:webHidden/>
              </w:rPr>
              <w:fldChar w:fldCharType="end"/>
            </w:r>
          </w:hyperlink>
        </w:p>
        <w:p w14:paraId="2216D124" w14:textId="6A7F295A" w:rsidR="000756DC" w:rsidRPr="003C6276" w:rsidRDefault="00B54B5C" w:rsidP="000756DC">
          <w:pPr>
            <w:pStyle w:val="TOC2"/>
            <w:tabs>
              <w:tab w:val="right" w:leader="dot" w:pos="9016"/>
            </w:tabs>
            <w:spacing w:line="360" w:lineRule="auto"/>
            <w:jc w:val="both"/>
            <w:rPr>
              <w:rFonts w:ascii="Arial" w:hAnsi="Arial" w:cs="Arial"/>
              <w:noProof/>
              <w:kern w:val="0"/>
              <w:lang w:eastAsia="en-IN"/>
              <w14:ligatures w14:val="none"/>
            </w:rPr>
          </w:pPr>
          <w:hyperlink w:anchor="_Toc241056061" w:history="1">
            <w:r w:rsidR="000756DC" w:rsidRPr="003C6276">
              <w:rPr>
                <w:rStyle w:val="Hyperlink"/>
                <w:rFonts w:ascii="Arial" w:hAnsi="Arial" w:cs="Arial"/>
                <w:noProof/>
              </w:rPr>
              <w:t>6.6 Future Scope</w:t>
            </w:r>
            <w:r w:rsidR="000756DC" w:rsidRPr="003C6276">
              <w:rPr>
                <w:rFonts w:ascii="Arial" w:hAnsi="Arial" w:cs="Arial"/>
                <w:noProof/>
                <w:webHidden/>
              </w:rPr>
              <w:tab/>
            </w:r>
            <w:r w:rsidR="000756DC" w:rsidRPr="003C6276">
              <w:rPr>
                <w:rFonts w:ascii="Arial" w:hAnsi="Arial" w:cs="Arial"/>
                <w:noProof/>
                <w:webHidden/>
              </w:rPr>
              <w:fldChar w:fldCharType="begin"/>
            </w:r>
            <w:r w:rsidR="000756DC" w:rsidRPr="003C6276">
              <w:rPr>
                <w:rFonts w:ascii="Arial" w:hAnsi="Arial" w:cs="Arial"/>
                <w:noProof/>
                <w:webHidden/>
              </w:rPr>
              <w:instrText xml:space="preserve"> PAGEREF _Toc241056061 \h </w:instrText>
            </w:r>
            <w:r w:rsidR="000756DC" w:rsidRPr="003C6276">
              <w:rPr>
                <w:rFonts w:ascii="Arial" w:hAnsi="Arial" w:cs="Arial"/>
                <w:noProof/>
                <w:webHidden/>
              </w:rPr>
            </w:r>
            <w:r w:rsidR="000756DC" w:rsidRPr="003C6276">
              <w:rPr>
                <w:rFonts w:ascii="Arial" w:hAnsi="Arial" w:cs="Arial"/>
                <w:noProof/>
                <w:webHidden/>
              </w:rPr>
              <w:fldChar w:fldCharType="separate"/>
            </w:r>
            <w:r w:rsidR="003C6276">
              <w:rPr>
                <w:rFonts w:ascii="Arial" w:hAnsi="Arial" w:cs="Arial"/>
                <w:noProof/>
                <w:webHidden/>
              </w:rPr>
              <w:t>60</w:t>
            </w:r>
            <w:r w:rsidR="000756DC" w:rsidRPr="003C6276">
              <w:rPr>
                <w:rFonts w:ascii="Arial" w:hAnsi="Arial" w:cs="Arial"/>
                <w:noProof/>
                <w:webHidden/>
              </w:rPr>
              <w:fldChar w:fldCharType="end"/>
            </w:r>
          </w:hyperlink>
        </w:p>
        <w:p w14:paraId="60621E47" w14:textId="6D671526"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62" w:history="1">
            <w:r w:rsidR="000756DC" w:rsidRPr="003C6276">
              <w:rPr>
                <w:rStyle w:val="Hyperlink"/>
                <w:rFonts w:ascii="Arial" w:hAnsi="Arial" w:cs="Arial"/>
                <w:noProof/>
                <w:sz w:val="22"/>
              </w:rPr>
              <w:t>Reference list</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_Toc241056062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61</w:t>
            </w:r>
            <w:r w:rsidR="000756DC" w:rsidRPr="003C6276">
              <w:rPr>
                <w:rFonts w:ascii="Arial" w:hAnsi="Arial" w:cs="Arial"/>
                <w:noProof/>
                <w:webHidden/>
                <w:sz w:val="22"/>
              </w:rPr>
              <w:fldChar w:fldCharType="end"/>
            </w:r>
          </w:hyperlink>
        </w:p>
        <w:p w14:paraId="2F307F95" w14:textId="26D6E12B" w:rsidR="000756DC" w:rsidRPr="003C6276" w:rsidRDefault="00B54B5C" w:rsidP="000756DC">
          <w:pPr>
            <w:pStyle w:val="TOC1"/>
            <w:tabs>
              <w:tab w:val="right" w:leader="dot" w:pos="9016"/>
            </w:tabs>
            <w:spacing w:line="360" w:lineRule="auto"/>
            <w:jc w:val="both"/>
            <w:rPr>
              <w:rFonts w:ascii="Arial" w:eastAsiaTheme="minorEastAsia" w:hAnsi="Arial" w:cs="Arial"/>
              <w:noProof/>
              <w:color w:val="auto"/>
              <w:kern w:val="0"/>
              <w:sz w:val="22"/>
              <w:lang w:eastAsia="en-IN"/>
              <w14:ligatures w14:val="none"/>
            </w:rPr>
          </w:pPr>
          <w:hyperlink w:anchor="_Toc241056063" w:history="1">
            <w:r w:rsidR="000756DC" w:rsidRPr="003C6276">
              <w:rPr>
                <w:rStyle w:val="Hyperlink"/>
                <w:rFonts w:ascii="Arial" w:hAnsi="Arial" w:cs="Arial"/>
                <w:noProof/>
                <w:sz w:val="22"/>
              </w:rPr>
              <w:t>Appendix 1: [Data Extraction]</w:t>
            </w:r>
            <w:r w:rsidR="000756DC" w:rsidRPr="003C6276">
              <w:rPr>
                <w:rFonts w:ascii="Arial" w:hAnsi="Arial" w:cs="Arial"/>
                <w:noProof/>
                <w:webHidden/>
                <w:sz w:val="22"/>
              </w:rPr>
              <w:tab/>
            </w:r>
            <w:r w:rsidR="000756DC" w:rsidRPr="003C6276">
              <w:rPr>
                <w:rFonts w:ascii="Arial" w:hAnsi="Arial" w:cs="Arial"/>
                <w:noProof/>
                <w:webHidden/>
                <w:sz w:val="22"/>
              </w:rPr>
              <w:fldChar w:fldCharType="begin"/>
            </w:r>
            <w:r w:rsidR="000756DC" w:rsidRPr="003C6276">
              <w:rPr>
                <w:rFonts w:ascii="Arial" w:hAnsi="Arial" w:cs="Arial"/>
                <w:noProof/>
                <w:webHidden/>
                <w:sz w:val="22"/>
              </w:rPr>
              <w:instrText xml:space="preserve"> PAGEREF _Toc241056063 \h </w:instrText>
            </w:r>
            <w:r w:rsidR="000756DC" w:rsidRPr="003C6276">
              <w:rPr>
                <w:rFonts w:ascii="Arial" w:hAnsi="Arial" w:cs="Arial"/>
                <w:noProof/>
                <w:webHidden/>
                <w:sz w:val="22"/>
              </w:rPr>
            </w:r>
            <w:r w:rsidR="000756DC" w:rsidRPr="003C6276">
              <w:rPr>
                <w:rFonts w:ascii="Arial" w:hAnsi="Arial" w:cs="Arial"/>
                <w:noProof/>
                <w:webHidden/>
                <w:sz w:val="22"/>
              </w:rPr>
              <w:fldChar w:fldCharType="separate"/>
            </w:r>
            <w:r w:rsidR="003C6276">
              <w:rPr>
                <w:rFonts w:ascii="Arial" w:hAnsi="Arial" w:cs="Arial"/>
                <w:noProof/>
                <w:webHidden/>
                <w:sz w:val="22"/>
              </w:rPr>
              <w:t>74</w:t>
            </w:r>
            <w:r w:rsidR="000756DC" w:rsidRPr="003C6276">
              <w:rPr>
                <w:rFonts w:ascii="Arial" w:hAnsi="Arial" w:cs="Arial"/>
                <w:noProof/>
                <w:webHidden/>
                <w:sz w:val="22"/>
              </w:rPr>
              <w:fldChar w:fldCharType="end"/>
            </w:r>
          </w:hyperlink>
        </w:p>
        <w:p w14:paraId="0B1CC088" w14:textId="729B3F48" w:rsidR="004D23CF" w:rsidRPr="003C6276" w:rsidRDefault="004D23CF" w:rsidP="000756DC">
          <w:pPr>
            <w:spacing w:line="360" w:lineRule="auto"/>
            <w:jc w:val="both"/>
          </w:pPr>
          <w:r w:rsidRPr="003C6276">
            <w:rPr>
              <w:rFonts w:ascii="Arial" w:hAnsi="Arial" w:cs="Arial"/>
              <w:b/>
              <w:bCs/>
              <w:noProof/>
            </w:rPr>
            <w:fldChar w:fldCharType="end"/>
          </w:r>
        </w:p>
      </w:sdtContent>
    </w:sdt>
    <w:p w14:paraId="426047B5" w14:textId="77777777" w:rsidR="000555DE" w:rsidRPr="003C6276" w:rsidRDefault="000555DE" w:rsidP="005D6015">
      <w:pPr>
        <w:spacing w:after="158" w:line="360" w:lineRule="auto"/>
        <w:jc w:val="both"/>
        <w:rPr>
          <w:rFonts w:asciiTheme="minorBidi" w:hAnsiTheme="minorBidi"/>
        </w:rPr>
      </w:pPr>
    </w:p>
    <w:p w14:paraId="6994044E" w14:textId="77777777" w:rsidR="004D23CF" w:rsidRPr="003C6276" w:rsidRDefault="004D23CF">
      <w:pPr>
        <w:rPr>
          <w:rFonts w:asciiTheme="minorBidi" w:eastAsia="Times New Roman" w:hAnsiTheme="minorBidi"/>
          <w:b/>
          <w:color w:val="000000"/>
          <w:sz w:val="24"/>
        </w:rPr>
      </w:pPr>
      <w:bookmarkStart w:id="2" w:name="_Toc12212"/>
      <w:r w:rsidRPr="003C6276">
        <w:br w:type="page"/>
      </w:r>
    </w:p>
    <w:p w14:paraId="7CF5D8CD" w14:textId="6167E39E" w:rsidR="009F64C5" w:rsidRPr="003C6276" w:rsidRDefault="009F64C5" w:rsidP="00641B22">
      <w:pPr>
        <w:pStyle w:val="Heading1"/>
      </w:pPr>
      <w:bookmarkStart w:id="3" w:name="_Toc241055977"/>
      <w:r w:rsidRPr="003C6276">
        <w:lastRenderedPageBreak/>
        <w:t>List of figures</w:t>
      </w:r>
      <w:bookmarkEnd w:id="2"/>
      <w:bookmarkEnd w:id="3"/>
    </w:p>
    <w:p w14:paraId="04C8B034" w14:textId="6FE973B0" w:rsidR="003C6276" w:rsidRPr="003C6276" w:rsidRDefault="00D5170C" w:rsidP="003C6276">
      <w:pPr>
        <w:pStyle w:val="TableofFigures"/>
        <w:tabs>
          <w:tab w:val="right" w:leader="dot" w:pos="9016"/>
        </w:tabs>
        <w:spacing w:line="360" w:lineRule="auto"/>
        <w:jc w:val="both"/>
        <w:rPr>
          <w:rFonts w:ascii="Arial" w:hAnsi="Arial" w:cs="Arial"/>
          <w:noProof/>
          <w:sz w:val="24"/>
          <w:szCs w:val="24"/>
          <w:lang w:val="en-IN" w:eastAsia="en-IN"/>
        </w:rPr>
      </w:pPr>
      <w:r w:rsidRPr="003C6276">
        <w:rPr>
          <w:rFonts w:ascii="Arial" w:hAnsi="Arial" w:cs="Arial"/>
        </w:rPr>
        <w:fldChar w:fldCharType="begin"/>
      </w:r>
      <w:r w:rsidRPr="003C6276">
        <w:rPr>
          <w:rFonts w:ascii="Arial" w:hAnsi="Arial" w:cs="Arial"/>
        </w:rPr>
        <w:instrText xml:space="preserve"> TOC \h \z \t "Heading 4" \c </w:instrText>
      </w:r>
      <w:r w:rsidRPr="003C6276">
        <w:rPr>
          <w:rFonts w:ascii="Arial" w:hAnsi="Arial" w:cs="Arial"/>
        </w:rPr>
        <w:fldChar w:fldCharType="separate"/>
      </w:r>
      <w:hyperlink w:anchor="_Toc241057601" w:history="1">
        <w:r w:rsidR="003C6276" w:rsidRPr="003C6276">
          <w:rPr>
            <w:rStyle w:val="Hyperlink"/>
            <w:rFonts w:ascii="Arial" w:hAnsi="Arial" w:cs="Arial"/>
            <w:noProof/>
          </w:rPr>
          <w:t>Figure 1.1: Growth in CKD for stages 3-5 (prevalence) in the UK</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_Toc241057601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13</w:t>
        </w:r>
        <w:r w:rsidR="003C6276" w:rsidRPr="003C6276">
          <w:rPr>
            <w:rFonts w:ascii="Arial" w:hAnsi="Arial" w:cs="Arial"/>
            <w:noProof/>
            <w:webHidden/>
          </w:rPr>
          <w:fldChar w:fldCharType="end"/>
        </w:r>
      </w:hyperlink>
    </w:p>
    <w:p w14:paraId="221C6647" w14:textId="5470D1A8" w:rsidR="003C6276" w:rsidRPr="003C6276" w:rsidRDefault="00B54B5C" w:rsidP="003C6276">
      <w:pPr>
        <w:pStyle w:val="TableofFigures"/>
        <w:tabs>
          <w:tab w:val="right" w:leader="dot" w:pos="9016"/>
        </w:tabs>
        <w:spacing w:line="360" w:lineRule="auto"/>
        <w:jc w:val="both"/>
        <w:rPr>
          <w:rFonts w:ascii="Arial" w:hAnsi="Arial" w:cs="Arial"/>
          <w:noProof/>
          <w:sz w:val="24"/>
          <w:szCs w:val="24"/>
          <w:lang w:val="en-IN" w:eastAsia="en-IN"/>
        </w:rPr>
      </w:pPr>
      <w:hyperlink w:anchor="_Toc241057602" w:history="1">
        <w:r w:rsidR="003C6276" w:rsidRPr="003C6276">
          <w:rPr>
            <w:rStyle w:val="Hyperlink"/>
            <w:rFonts w:ascii="Arial" w:hAnsi="Arial" w:cs="Arial"/>
            <w:noProof/>
          </w:rPr>
          <w:t>Figure 1.2: Dissertation Structure</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_Toc241057602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16</w:t>
        </w:r>
        <w:r w:rsidR="003C6276" w:rsidRPr="003C6276">
          <w:rPr>
            <w:rFonts w:ascii="Arial" w:hAnsi="Arial" w:cs="Arial"/>
            <w:noProof/>
            <w:webHidden/>
          </w:rPr>
          <w:fldChar w:fldCharType="end"/>
        </w:r>
      </w:hyperlink>
    </w:p>
    <w:p w14:paraId="368C6BCA" w14:textId="23EB965D" w:rsidR="003C6276" w:rsidRPr="003C6276" w:rsidRDefault="00B54B5C" w:rsidP="003C6276">
      <w:pPr>
        <w:pStyle w:val="TableofFigures"/>
        <w:tabs>
          <w:tab w:val="right" w:leader="dot" w:pos="9016"/>
        </w:tabs>
        <w:spacing w:line="360" w:lineRule="auto"/>
        <w:jc w:val="both"/>
        <w:rPr>
          <w:rFonts w:ascii="Arial" w:hAnsi="Arial" w:cs="Arial"/>
          <w:noProof/>
          <w:sz w:val="24"/>
          <w:szCs w:val="24"/>
          <w:lang w:val="en-IN" w:eastAsia="en-IN"/>
        </w:rPr>
      </w:pPr>
      <w:hyperlink w:anchor="_Toc241057603" w:history="1">
        <w:r w:rsidR="003C6276" w:rsidRPr="003C6276">
          <w:rPr>
            <w:rStyle w:val="Hyperlink"/>
            <w:rFonts w:ascii="Arial" w:hAnsi="Arial" w:cs="Arial"/>
            <w:noProof/>
          </w:rPr>
          <w:t>Figure 2.1: Dahlgren and Whitehead Social Determinants of Health Framework Applied to CKD in the UK</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_Toc241057603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28</w:t>
        </w:r>
        <w:r w:rsidR="003C6276" w:rsidRPr="003C6276">
          <w:rPr>
            <w:rFonts w:ascii="Arial" w:hAnsi="Arial" w:cs="Arial"/>
            <w:noProof/>
            <w:webHidden/>
          </w:rPr>
          <w:fldChar w:fldCharType="end"/>
        </w:r>
      </w:hyperlink>
    </w:p>
    <w:p w14:paraId="440FEE7D" w14:textId="78FC7BD6" w:rsidR="003C6276" w:rsidRPr="003C6276" w:rsidRDefault="00B54B5C" w:rsidP="003C6276">
      <w:pPr>
        <w:pStyle w:val="TableofFigures"/>
        <w:tabs>
          <w:tab w:val="right" w:leader="dot" w:pos="9016"/>
        </w:tabs>
        <w:spacing w:line="360" w:lineRule="auto"/>
        <w:jc w:val="both"/>
        <w:rPr>
          <w:rFonts w:ascii="Arial" w:hAnsi="Arial" w:cs="Arial"/>
          <w:noProof/>
          <w:sz w:val="24"/>
          <w:szCs w:val="24"/>
          <w:lang w:val="en-IN" w:eastAsia="en-IN"/>
        </w:rPr>
      </w:pPr>
      <w:hyperlink w:anchor="_Toc241057604" w:history="1">
        <w:r w:rsidR="003C6276" w:rsidRPr="003C6276">
          <w:rPr>
            <w:rStyle w:val="Hyperlink"/>
            <w:rFonts w:ascii="Arial" w:hAnsi="Arial" w:cs="Arial"/>
            <w:noProof/>
          </w:rPr>
          <w:t>Figure 2.2: Illustration of Social-ecological model</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_Toc241057604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29</w:t>
        </w:r>
        <w:r w:rsidR="003C6276" w:rsidRPr="003C6276">
          <w:rPr>
            <w:rFonts w:ascii="Arial" w:hAnsi="Arial" w:cs="Arial"/>
            <w:noProof/>
            <w:webHidden/>
          </w:rPr>
          <w:fldChar w:fldCharType="end"/>
        </w:r>
      </w:hyperlink>
    </w:p>
    <w:p w14:paraId="323CFD8A" w14:textId="562769F7" w:rsidR="003C6276" w:rsidRPr="003C6276" w:rsidRDefault="00B54B5C" w:rsidP="003C6276">
      <w:pPr>
        <w:pStyle w:val="TableofFigures"/>
        <w:tabs>
          <w:tab w:val="right" w:leader="dot" w:pos="9016"/>
        </w:tabs>
        <w:spacing w:line="360" w:lineRule="auto"/>
        <w:jc w:val="both"/>
        <w:rPr>
          <w:rFonts w:ascii="Arial" w:hAnsi="Arial" w:cs="Arial"/>
          <w:noProof/>
          <w:sz w:val="24"/>
          <w:szCs w:val="24"/>
          <w:lang w:val="en-IN" w:eastAsia="en-IN"/>
        </w:rPr>
      </w:pPr>
      <w:hyperlink w:anchor="_Toc241057605" w:history="1">
        <w:r w:rsidR="003C6276" w:rsidRPr="003C6276">
          <w:rPr>
            <w:rStyle w:val="Hyperlink"/>
            <w:rFonts w:ascii="Arial" w:hAnsi="Arial" w:cs="Arial"/>
            <w:noProof/>
          </w:rPr>
          <w:t>Figure 2.3: Conceptual framework</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_Toc241057605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30</w:t>
        </w:r>
        <w:r w:rsidR="003C6276" w:rsidRPr="003C6276">
          <w:rPr>
            <w:rFonts w:ascii="Arial" w:hAnsi="Arial" w:cs="Arial"/>
            <w:noProof/>
            <w:webHidden/>
          </w:rPr>
          <w:fldChar w:fldCharType="end"/>
        </w:r>
      </w:hyperlink>
    </w:p>
    <w:p w14:paraId="68D75F96" w14:textId="7AD4668E" w:rsidR="003C6276" w:rsidRPr="003C6276" w:rsidRDefault="00B54B5C" w:rsidP="003C6276">
      <w:pPr>
        <w:pStyle w:val="TableofFigures"/>
        <w:tabs>
          <w:tab w:val="right" w:leader="dot" w:pos="9016"/>
        </w:tabs>
        <w:spacing w:line="360" w:lineRule="auto"/>
        <w:jc w:val="both"/>
        <w:rPr>
          <w:rFonts w:ascii="Arial" w:hAnsi="Arial" w:cs="Arial"/>
          <w:noProof/>
          <w:sz w:val="24"/>
          <w:szCs w:val="24"/>
          <w:lang w:val="en-IN" w:eastAsia="en-IN"/>
        </w:rPr>
      </w:pPr>
      <w:hyperlink w:anchor="_Toc241057606" w:history="1">
        <w:r w:rsidR="003C6276" w:rsidRPr="003C6276">
          <w:rPr>
            <w:rStyle w:val="Hyperlink"/>
            <w:rFonts w:ascii="Arial" w:hAnsi="Arial" w:cs="Arial"/>
            <w:noProof/>
          </w:rPr>
          <w:t>Figure 3.1: PRISMA Chart</w:t>
        </w:r>
        <w:r w:rsidR="003C6276" w:rsidRPr="003C6276">
          <w:rPr>
            <w:rFonts w:ascii="Arial" w:hAnsi="Arial" w:cs="Arial"/>
            <w:noProof/>
            <w:webHidden/>
          </w:rPr>
          <w:tab/>
        </w:r>
        <w:r w:rsidR="003C6276" w:rsidRPr="003C6276">
          <w:rPr>
            <w:rFonts w:ascii="Arial" w:hAnsi="Arial" w:cs="Arial"/>
            <w:noProof/>
            <w:webHidden/>
          </w:rPr>
          <w:fldChar w:fldCharType="begin"/>
        </w:r>
        <w:r w:rsidR="003C6276" w:rsidRPr="003C6276">
          <w:rPr>
            <w:rFonts w:ascii="Arial" w:hAnsi="Arial" w:cs="Arial"/>
            <w:noProof/>
            <w:webHidden/>
          </w:rPr>
          <w:instrText xml:space="preserve"> PAGEREF _Toc241057606 \h </w:instrText>
        </w:r>
        <w:r w:rsidR="003C6276" w:rsidRPr="003C6276">
          <w:rPr>
            <w:rFonts w:ascii="Arial" w:hAnsi="Arial" w:cs="Arial"/>
            <w:noProof/>
            <w:webHidden/>
          </w:rPr>
        </w:r>
        <w:r w:rsidR="003C6276" w:rsidRPr="003C6276">
          <w:rPr>
            <w:rFonts w:ascii="Arial" w:hAnsi="Arial" w:cs="Arial"/>
            <w:noProof/>
            <w:webHidden/>
          </w:rPr>
          <w:fldChar w:fldCharType="separate"/>
        </w:r>
        <w:r w:rsidR="003C6276" w:rsidRPr="003C6276">
          <w:rPr>
            <w:rFonts w:ascii="Arial" w:hAnsi="Arial" w:cs="Arial"/>
            <w:noProof/>
            <w:webHidden/>
          </w:rPr>
          <w:t>38</w:t>
        </w:r>
        <w:r w:rsidR="003C6276" w:rsidRPr="003C6276">
          <w:rPr>
            <w:rFonts w:ascii="Arial" w:hAnsi="Arial" w:cs="Arial"/>
            <w:noProof/>
            <w:webHidden/>
          </w:rPr>
          <w:fldChar w:fldCharType="end"/>
        </w:r>
      </w:hyperlink>
    </w:p>
    <w:p w14:paraId="0C0937AD" w14:textId="297AF022" w:rsidR="00D5170C" w:rsidRPr="003C6276" w:rsidRDefault="00D5170C" w:rsidP="00D5170C">
      <w:pPr>
        <w:spacing w:line="360" w:lineRule="auto"/>
      </w:pPr>
      <w:r w:rsidRPr="003C6276">
        <w:rPr>
          <w:rFonts w:ascii="Arial" w:hAnsi="Arial" w:cs="Arial"/>
        </w:rPr>
        <w:fldChar w:fldCharType="end"/>
      </w:r>
    </w:p>
    <w:p w14:paraId="7F91BD0D" w14:textId="27CF0A20" w:rsidR="00D5170C" w:rsidRPr="003C6276" w:rsidRDefault="00D5170C" w:rsidP="00D5170C">
      <w:pPr>
        <w:pStyle w:val="TableofFigures"/>
        <w:tabs>
          <w:tab w:val="right" w:leader="dot" w:pos="9016"/>
        </w:tabs>
        <w:spacing w:line="360" w:lineRule="auto"/>
        <w:rPr>
          <w:rFonts w:ascii="Arial" w:hAnsi="Arial" w:cs="Arial"/>
          <w:noProof/>
        </w:rPr>
      </w:pPr>
      <w:r w:rsidRPr="003C6276">
        <w:rPr>
          <w:rFonts w:ascii="Arial" w:hAnsi="Arial" w:cs="Arial"/>
        </w:rPr>
        <w:fldChar w:fldCharType="begin"/>
      </w:r>
      <w:r w:rsidRPr="003C6276">
        <w:rPr>
          <w:rFonts w:ascii="Arial" w:hAnsi="Arial" w:cs="Arial"/>
        </w:rPr>
        <w:instrText xml:space="preserve"> TOC \h \z \t "Heading 4" \c </w:instrText>
      </w:r>
      <w:r w:rsidR="00B54B5C">
        <w:rPr>
          <w:rFonts w:ascii="Arial" w:hAnsi="Arial" w:cs="Arial"/>
        </w:rPr>
        <w:fldChar w:fldCharType="separate"/>
      </w:r>
      <w:r w:rsidRPr="003C6276">
        <w:rPr>
          <w:rFonts w:ascii="Arial" w:hAnsi="Arial" w:cs="Arial"/>
        </w:rPr>
        <w:fldChar w:fldCharType="end"/>
      </w:r>
    </w:p>
    <w:p w14:paraId="7E8B3159" w14:textId="77777777" w:rsidR="009F64C5" w:rsidRPr="003C6276" w:rsidRDefault="009F64C5" w:rsidP="00D5170C">
      <w:pPr>
        <w:spacing w:after="179" w:line="360" w:lineRule="auto"/>
        <w:ind w:left="59"/>
        <w:jc w:val="center"/>
        <w:rPr>
          <w:rFonts w:ascii="Arial" w:hAnsi="Arial" w:cs="Arial"/>
        </w:rPr>
      </w:pPr>
      <w:r w:rsidRPr="003C6276">
        <w:rPr>
          <w:rFonts w:ascii="Arial" w:eastAsia="Times New Roman" w:hAnsi="Arial" w:cs="Arial"/>
          <w:b/>
        </w:rPr>
        <w:t xml:space="preserve"> </w:t>
      </w:r>
    </w:p>
    <w:p w14:paraId="4D71BB86" w14:textId="78141427" w:rsidR="009F64C5" w:rsidRPr="003C6276" w:rsidRDefault="009F64C5">
      <w:pPr>
        <w:spacing w:after="158"/>
        <w:rPr>
          <w:rFonts w:asciiTheme="minorBidi" w:hAnsiTheme="minorBidi"/>
        </w:rPr>
      </w:pPr>
    </w:p>
    <w:p w14:paraId="1F33F1E7" w14:textId="77777777" w:rsidR="009F64C5" w:rsidRPr="003C6276" w:rsidRDefault="009F64C5">
      <w:pPr>
        <w:spacing w:after="156"/>
        <w:ind w:left="59"/>
        <w:jc w:val="center"/>
        <w:rPr>
          <w:rFonts w:asciiTheme="minorBidi" w:hAnsiTheme="minorBidi"/>
        </w:rPr>
      </w:pPr>
      <w:r w:rsidRPr="003C6276">
        <w:rPr>
          <w:rFonts w:asciiTheme="minorBidi" w:eastAsia="Times New Roman" w:hAnsiTheme="minorBidi"/>
          <w:b/>
        </w:rPr>
        <w:t xml:space="preserve"> </w:t>
      </w:r>
    </w:p>
    <w:p w14:paraId="1028A266" w14:textId="77777777" w:rsidR="000555DE" w:rsidRPr="003C6276" w:rsidRDefault="000555DE">
      <w:pPr>
        <w:rPr>
          <w:rFonts w:asciiTheme="minorBidi" w:eastAsia="Times New Roman" w:hAnsiTheme="minorBidi"/>
          <w:b/>
          <w:color w:val="000000"/>
          <w:sz w:val="24"/>
        </w:rPr>
      </w:pPr>
      <w:bookmarkStart w:id="4" w:name="_Toc12213"/>
      <w:r w:rsidRPr="003C6276">
        <w:rPr>
          <w:rFonts w:asciiTheme="minorBidi" w:hAnsiTheme="minorBidi"/>
        </w:rPr>
        <w:br w:type="page"/>
      </w:r>
    </w:p>
    <w:p w14:paraId="26D3E5D0" w14:textId="266C6E78" w:rsidR="009F64C5" w:rsidRPr="003C6276" w:rsidRDefault="009F64C5" w:rsidP="00641B22">
      <w:pPr>
        <w:pStyle w:val="Heading1"/>
      </w:pPr>
      <w:bookmarkStart w:id="5" w:name="_Toc241055978"/>
      <w:r w:rsidRPr="003C6276">
        <w:lastRenderedPageBreak/>
        <w:t>List of tables</w:t>
      </w:r>
      <w:bookmarkEnd w:id="5"/>
      <w:r w:rsidRPr="003C6276">
        <w:t xml:space="preserve"> </w:t>
      </w:r>
      <w:bookmarkEnd w:id="4"/>
    </w:p>
    <w:p w14:paraId="40F65E3F" w14:textId="587FFA4F" w:rsidR="003C6276" w:rsidRPr="003C6276" w:rsidRDefault="00D5170C" w:rsidP="003C6276">
      <w:pPr>
        <w:pStyle w:val="TableofFigures"/>
        <w:tabs>
          <w:tab w:val="right" w:leader="dot" w:pos="9016"/>
        </w:tabs>
        <w:spacing w:line="360" w:lineRule="auto"/>
        <w:jc w:val="both"/>
        <w:rPr>
          <w:rFonts w:ascii="Arial" w:hAnsi="Arial" w:cs="Arial"/>
          <w:noProof/>
          <w:color w:val="000000" w:themeColor="text1"/>
          <w:sz w:val="24"/>
          <w:szCs w:val="24"/>
          <w:lang w:val="en-IN" w:eastAsia="en-IN"/>
        </w:rPr>
      </w:pPr>
      <w:r w:rsidRPr="003C6276">
        <w:rPr>
          <w:rFonts w:ascii="Arial" w:hAnsi="Arial" w:cs="Arial"/>
        </w:rPr>
        <w:fldChar w:fldCharType="begin"/>
      </w:r>
      <w:r w:rsidRPr="003C6276">
        <w:rPr>
          <w:rFonts w:ascii="Arial" w:hAnsi="Arial" w:cs="Arial"/>
        </w:rPr>
        <w:instrText xml:space="preserve"> TOC \h \z \t "Heading 5" \c </w:instrText>
      </w:r>
      <w:r w:rsidRPr="003C6276">
        <w:rPr>
          <w:rFonts w:ascii="Arial" w:hAnsi="Arial" w:cs="Arial"/>
        </w:rPr>
        <w:fldChar w:fldCharType="separate"/>
      </w:r>
      <w:hyperlink w:anchor="_Toc241057614" w:history="1">
        <w:r w:rsidR="003C6276" w:rsidRPr="003C6276">
          <w:rPr>
            <w:rStyle w:val="Hyperlink"/>
            <w:rFonts w:ascii="Arial" w:hAnsi="Arial" w:cs="Arial"/>
            <w:noProof/>
            <w:color w:val="000000" w:themeColor="text1"/>
          </w:rPr>
          <w:t>Table 3.1: Search Terms and Boolean Operators</w:t>
        </w:r>
        <w:r w:rsidR="003C6276" w:rsidRPr="003C6276">
          <w:rPr>
            <w:rFonts w:ascii="Arial" w:hAnsi="Arial" w:cs="Arial"/>
            <w:noProof/>
            <w:webHidden/>
            <w:color w:val="000000" w:themeColor="text1"/>
          </w:rPr>
          <w:tab/>
        </w:r>
        <w:r w:rsidR="003C6276" w:rsidRPr="003C6276">
          <w:rPr>
            <w:rFonts w:ascii="Arial" w:hAnsi="Arial" w:cs="Arial"/>
            <w:noProof/>
            <w:webHidden/>
            <w:color w:val="000000" w:themeColor="text1"/>
          </w:rPr>
          <w:fldChar w:fldCharType="begin"/>
        </w:r>
        <w:r w:rsidR="003C6276" w:rsidRPr="003C6276">
          <w:rPr>
            <w:rFonts w:ascii="Arial" w:hAnsi="Arial" w:cs="Arial"/>
            <w:noProof/>
            <w:webHidden/>
            <w:color w:val="000000" w:themeColor="text1"/>
          </w:rPr>
          <w:instrText xml:space="preserve"> PAGEREF _Toc241057614 \h </w:instrText>
        </w:r>
        <w:r w:rsidR="003C6276" w:rsidRPr="003C6276">
          <w:rPr>
            <w:rFonts w:ascii="Arial" w:hAnsi="Arial" w:cs="Arial"/>
            <w:noProof/>
            <w:webHidden/>
            <w:color w:val="000000" w:themeColor="text1"/>
          </w:rPr>
        </w:r>
        <w:r w:rsidR="003C6276" w:rsidRPr="003C6276">
          <w:rPr>
            <w:rFonts w:ascii="Arial" w:hAnsi="Arial" w:cs="Arial"/>
            <w:noProof/>
            <w:webHidden/>
            <w:color w:val="000000" w:themeColor="text1"/>
          </w:rPr>
          <w:fldChar w:fldCharType="separate"/>
        </w:r>
        <w:r w:rsidR="003C6276" w:rsidRPr="003C6276">
          <w:rPr>
            <w:rFonts w:ascii="Arial" w:hAnsi="Arial" w:cs="Arial"/>
            <w:noProof/>
            <w:webHidden/>
            <w:color w:val="000000" w:themeColor="text1"/>
          </w:rPr>
          <w:t>34</w:t>
        </w:r>
        <w:r w:rsidR="003C6276" w:rsidRPr="003C6276">
          <w:rPr>
            <w:rFonts w:ascii="Arial" w:hAnsi="Arial" w:cs="Arial"/>
            <w:noProof/>
            <w:webHidden/>
            <w:color w:val="000000" w:themeColor="text1"/>
          </w:rPr>
          <w:fldChar w:fldCharType="end"/>
        </w:r>
      </w:hyperlink>
    </w:p>
    <w:p w14:paraId="468A5B72" w14:textId="1D6BC11B" w:rsidR="003C6276" w:rsidRPr="003C6276" w:rsidRDefault="00B54B5C" w:rsidP="003C6276">
      <w:pPr>
        <w:pStyle w:val="TableofFigures"/>
        <w:tabs>
          <w:tab w:val="right" w:leader="dot" w:pos="9016"/>
        </w:tabs>
        <w:spacing w:line="360" w:lineRule="auto"/>
        <w:jc w:val="both"/>
        <w:rPr>
          <w:rFonts w:ascii="Arial" w:hAnsi="Arial" w:cs="Arial"/>
          <w:noProof/>
          <w:color w:val="000000" w:themeColor="text1"/>
          <w:sz w:val="24"/>
          <w:szCs w:val="24"/>
          <w:lang w:val="en-IN" w:eastAsia="en-IN"/>
        </w:rPr>
      </w:pPr>
      <w:hyperlink w:anchor="_Toc241057615" w:history="1">
        <w:r w:rsidR="003C6276" w:rsidRPr="003C6276">
          <w:rPr>
            <w:rStyle w:val="Hyperlink"/>
            <w:rFonts w:ascii="Arial" w:hAnsi="Arial" w:cs="Arial"/>
            <w:noProof/>
            <w:color w:val="000000" w:themeColor="text1"/>
          </w:rPr>
          <w:t>Table 3.2: PICO framework</w:t>
        </w:r>
        <w:r w:rsidR="003C6276" w:rsidRPr="003C6276">
          <w:rPr>
            <w:rFonts w:ascii="Arial" w:hAnsi="Arial" w:cs="Arial"/>
            <w:noProof/>
            <w:webHidden/>
            <w:color w:val="000000" w:themeColor="text1"/>
          </w:rPr>
          <w:tab/>
        </w:r>
        <w:r w:rsidR="003C6276" w:rsidRPr="003C6276">
          <w:rPr>
            <w:rFonts w:ascii="Arial" w:hAnsi="Arial" w:cs="Arial"/>
            <w:noProof/>
            <w:webHidden/>
            <w:color w:val="000000" w:themeColor="text1"/>
          </w:rPr>
          <w:fldChar w:fldCharType="begin"/>
        </w:r>
        <w:r w:rsidR="003C6276" w:rsidRPr="003C6276">
          <w:rPr>
            <w:rFonts w:ascii="Arial" w:hAnsi="Arial" w:cs="Arial"/>
            <w:noProof/>
            <w:webHidden/>
            <w:color w:val="000000" w:themeColor="text1"/>
          </w:rPr>
          <w:instrText xml:space="preserve"> PAGEREF _Toc241057615 \h </w:instrText>
        </w:r>
        <w:r w:rsidR="003C6276" w:rsidRPr="003C6276">
          <w:rPr>
            <w:rFonts w:ascii="Arial" w:hAnsi="Arial" w:cs="Arial"/>
            <w:noProof/>
            <w:webHidden/>
            <w:color w:val="000000" w:themeColor="text1"/>
          </w:rPr>
        </w:r>
        <w:r w:rsidR="003C6276" w:rsidRPr="003C6276">
          <w:rPr>
            <w:rFonts w:ascii="Arial" w:hAnsi="Arial" w:cs="Arial"/>
            <w:noProof/>
            <w:webHidden/>
            <w:color w:val="000000" w:themeColor="text1"/>
          </w:rPr>
          <w:fldChar w:fldCharType="separate"/>
        </w:r>
        <w:r w:rsidR="003C6276" w:rsidRPr="003C6276">
          <w:rPr>
            <w:rFonts w:ascii="Arial" w:hAnsi="Arial" w:cs="Arial"/>
            <w:noProof/>
            <w:webHidden/>
            <w:color w:val="000000" w:themeColor="text1"/>
          </w:rPr>
          <w:t>35</w:t>
        </w:r>
        <w:r w:rsidR="003C6276" w:rsidRPr="003C6276">
          <w:rPr>
            <w:rFonts w:ascii="Arial" w:hAnsi="Arial" w:cs="Arial"/>
            <w:noProof/>
            <w:webHidden/>
            <w:color w:val="000000" w:themeColor="text1"/>
          </w:rPr>
          <w:fldChar w:fldCharType="end"/>
        </w:r>
      </w:hyperlink>
    </w:p>
    <w:p w14:paraId="44E305F9" w14:textId="15536F07" w:rsidR="003C6276" w:rsidRPr="003C6276" w:rsidRDefault="00B54B5C" w:rsidP="003C6276">
      <w:pPr>
        <w:pStyle w:val="TableofFigures"/>
        <w:tabs>
          <w:tab w:val="right" w:leader="dot" w:pos="9016"/>
        </w:tabs>
        <w:spacing w:line="360" w:lineRule="auto"/>
        <w:jc w:val="both"/>
        <w:rPr>
          <w:rFonts w:ascii="Arial" w:hAnsi="Arial" w:cs="Arial"/>
          <w:noProof/>
          <w:color w:val="000000" w:themeColor="text1"/>
          <w:sz w:val="24"/>
          <w:szCs w:val="24"/>
          <w:lang w:val="en-IN" w:eastAsia="en-IN"/>
        </w:rPr>
      </w:pPr>
      <w:hyperlink w:anchor="_Toc241057616" w:history="1">
        <w:r w:rsidR="003C6276" w:rsidRPr="003C6276">
          <w:rPr>
            <w:rStyle w:val="Hyperlink"/>
            <w:rFonts w:ascii="Arial" w:hAnsi="Arial" w:cs="Arial"/>
            <w:noProof/>
            <w:color w:val="000000" w:themeColor="text1"/>
          </w:rPr>
          <w:t>Table 3.3: Screening Results</w:t>
        </w:r>
        <w:r w:rsidR="003C6276" w:rsidRPr="003C6276">
          <w:rPr>
            <w:rFonts w:ascii="Arial" w:hAnsi="Arial" w:cs="Arial"/>
            <w:noProof/>
            <w:webHidden/>
            <w:color w:val="000000" w:themeColor="text1"/>
          </w:rPr>
          <w:tab/>
        </w:r>
        <w:r w:rsidR="003C6276" w:rsidRPr="003C6276">
          <w:rPr>
            <w:rFonts w:ascii="Arial" w:hAnsi="Arial" w:cs="Arial"/>
            <w:noProof/>
            <w:webHidden/>
            <w:color w:val="000000" w:themeColor="text1"/>
          </w:rPr>
          <w:fldChar w:fldCharType="begin"/>
        </w:r>
        <w:r w:rsidR="003C6276" w:rsidRPr="003C6276">
          <w:rPr>
            <w:rFonts w:ascii="Arial" w:hAnsi="Arial" w:cs="Arial"/>
            <w:noProof/>
            <w:webHidden/>
            <w:color w:val="000000" w:themeColor="text1"/>
          </w:rPr>
          <w:instrText xml:space="preserve"> PAGEREF _Toc241057616 \h </w:instrText>
        </w:r>
        <w:r w:rsidR="003C6276" w:rsidRPr="003C6276">
          <w:rPr>
            <w:rFonts w:ascii="Arial" w:hAnsi="Arial" w:cs="Arial"/>
            <w:noProof/>
            <w:webHidden/>
            <w:color w:val="000000" w:themeColor="text1"/>
          </w:rPr>
        </w:r>
        <w:r w:rsidR="003C6276" w:rsidRPr="003C6276">
          <w:rPr>
            <w:rFonts w:ascii="Arial" w:hAnsi="Arial" w:cs="Arial"/>
            <w:noProof/>
            <w:webHidden/>
            <w:color w:val="000000" w:themeColor="text1"/>
          </w:rPr>
          <w:fldChar w:fldCharType="separate"/>
        </w:r>
        <w:r w:rsidR="003C6276" w:rsidRPr="003C6276">
          <w:rPr>
            <w:rFonts w:ascii="Arial" w:hAnsi="Arial" w:cs="Arial"/>
            <w:noProof/>
            <w:webHidden/>
            <w:color w:val="000000" w:themeColor="text1"/>
          </w:rPr>
          <w:t>36</w:t>
        </w:r>
        <w:r w:rsidR="003C6276" w:rsidRPr="003C6276">
          <w:rPr>
            <w:rFonts w:ascii="Arial" w:hAnsi="Arial" w:cs="Arial"/>
            <w:noProof/>
            <w:webHidden/>
            <w:color w:val="000000" w:themeColor="text1"/>
          </w:rPr>
          <w:fldChar w:fldCharType="end"/>
        </w:r>
      </w:hyperlink>
    </w:p>
    <w:p w14:paraId="5468E7F7" w14:textId="229411E5" w:rsidR="003C6276" w:rsidRPr="003C6276" w:rsidRDefault="00B54B5C" w:rsidP="003C6276">
      <w:pPr>
        <w:pStyle w:val="TableofFigures"/>
        <w:tabs>
          <w:tab w:val="right" w:leader="dot" w:pos="9016"/>
        </w:tabs>
        <w:spacing w:line="360" w:lineRule="auto"/>
        <w:jc w:val="both"/>
        <w:rPr>
          <w:rFonts w:ascii="Arial" w:hAnsi="Arial" w:cs="Arial"/>
          <w:noProof/>
          <w:color w:val="000000" w:themeColor="text1"/>
          <w:sz w:val="24"/>
          <w:szCs w:val="24"/>
          <w:lang w:val="en-IN" w:eastAsia="en-IN"/>
        </w:rPr>
      </w:pPr>
      <w:hyperlink w:anchor="_Toc241057617" w:history="1">
        <w:r w:rsidR="003C6276" w:rsidRPr="003C6276">
          <w:rPr>
            <w:rStyle w:val="Hyperlink"/>
            <w:rFonts w:ascii="Arial" w:hAnsi="Arial" w:cs="Arial"/>
            <w:noProof/>
            <w:color w:val="000000" w:themeColor="text1"/>
          </w:rPr>
          <w:t>Table 3.4: Inclusion and Exclusion Criteria</w:t>
        </w:r>
        <w:r w:rsidR="003C6276" w:rsidRPr="003C6276">
          <w:rPr>
            <w:rFonts w:ascii="Arial" w:hAnsi="Arial" w:cs="Arial"/>
            <w:noProof/>
            <w:webHidden/>
            <w:color w:val="000000" w:themeColor="text1"/>
          </w:rPr>
          <w:tab/>
        </w:r>
        <w:r w:rsidR="003C6276" w:rsidRPr="003C6276">
          <w:rPr>
            <w:rFonts w:ascii="Arial" w:hAnsi="Arial" w:cs="Arial"/>
            <w:noProof/>
            <w:webHidden/>
            <w:color w:val="000000" w:themeColor="text1"/>
          </w:rPr>
          <w:fldChar w:fldCharType="begin"/>
        </w:r>
        <w:r w:rsidR="003C6276" w:rsidRPr="003C6276">
          <w:rPr>
            <w:rFonts w:ascii="Arial" w:hAnsi="Arial" w:cs="Arial"/>
            <w:noProof/>
            <w:webHidden/>
            <w:color w:val="000000" w:themeColor="text1"/>
          </w:rPr>
          <w:instrText xml:space="preserve"> PAGEREF _Toc241057617 \h </w:instrText>
        </w:r>
        <w:r w:rsidR="003C6276" w:rsidRPr="003C6276">
          <w:rPr>
            <w:rFonts w:ascii="Arial" w:hAnsi="Arial" w:cs="Arial"/>
            <w:noProof/>
            <w:webHidden/>
            <w:color w:val="000000" w:themeColor="text1"/>
          </w:rPr>
        </w:r>
        <w:r w:rsidR="003C6276" w:rsidRPr="003C6276">
          <w:rPr>
            <w:rFonts w:ascii="Arial" w:hAnsi="Arial" w:cs="Arial"/>
            <w:noProof/>
            <w:webHidden/>
            <w:color w:val="000000" w:themeColor="text1"/>
          </w:rPr>
          <w:fldChar w:fldCharType="separate"/>
        </w:r>
        <w:r w:rsidR="003C6276" w:rsidRPr="003C6276">
          <w:rPr>
            <w:rFonts w:ascii="Arial" w:hAnsi="Arial" w:cs="Arial"/>
            <w:noProof/>
            <w:webHidden/>
            <w:color w:val="000000" w:themeColor="text1"/>
          </w:rPr>
          <w:t>37</w:t>
        </w:r>
        <w:r w:rsidR="003C6276" w:rsidRPr="003C6276">
          <w:rPr>
            <w:rFonts w:ascii="Arial" w:hAnsi="Arial" w:cs="Arial"/>
            <w:noProof/>
            <w:webHidden/>
            <w:color w:val="000000" w:themeColor="text1"/>
          </w:rPr>
          <w:fldChar w:fldCharType="end"/>
        </w:r>
      </w:hyperlink>
    </w:p>
    <w:p w14:paraId="5797C5A5" w14:textId="1E8F7D0B" w:rsidR="003C6276" w:rsidRPr="003C6276" w:rsidRDefault="00B54B5C" w:rsidP="003C6276">
      <w:pPr>
        <w:pStyle w:val="TableofFigures"/>
        <w:tabs>
          <w:tab w:val="right" w:leader="dot" w:pos="9016"/>
        </w:tabs>
        <w:spacing w:line="360" w:lineRule="auto"/>
        <w:jc w:val="both"/>
        <w:rPr>
          <w:rFonts w:ascii="Arial" w:hAnsi="Arial" w:cs="Arial"/>
          <w:noProof/>
          <w:color w:val="000000" w:themeColor="text1"/>
          <w:sz w:val="24"/>
          <w:szCs w:val="24"/>
          <w:lang w:val="en-IN" w:eastAsia="en-IN"/>
        </w:rPr>
      </w:pPr>
      <w:hyperlink w:anchor="_Toc241057618" w:history="1">
        <w:r w:rsidR="003C6276" w:rsidRPr="003C6276">
          <w:rPr>
            <w:rStyle w:val="Hyperlink"/>
            <w:rFonts w:ascii="Arial" w:hAnsi="Arial" w:cs="Arial"/>
            <w:noProof/>
            <w:color w:val="000000" w:themeColor="text1"/>
          </w:rPr>
          <w:t>Table 4.1: Thematic Table</w:t>
        </w:r>
        <w:r w:rsidR="003C6276" w:rsidRPr="003C6276">
          <w:rPr>
            <w:rFonts w:ascii="Arial" w:hAnsi="Arial" w:cs="Arial"/>
            <w:noProof/>
            <w:webHidden/>
            <w:color w:val="000000" w:themeColor="text1"/>
          </w:rPr>
          <w:tab/>
        </w:r>
        <w:r w:rsidR="003C6276" w:rsidRPr="003C6276">
          <w:rPr>
            <w:rFonts w:ascii="Arial" w:hAnsi="Arial" w:cs="Arial"/>
            <w:noProof/>
            <w:webHidden/>
            <w:color w:val="000000" w:themeColor="text1"/>
          </w:rPr>
          <w:fldChar w:fldCharType="begin"/>
        </w:r>
        <w:r w:rsidR="003C6276" w:rsidRPr="003C6276">
          <w:rPr>
            <w:rFonts w:ascii="Arial" w:hAnsi="Arial" w:cs="Arial"/>
            <w:noProof/>
            <w:webHidden/>
            <w:color w:val="000000" w:themeColor="text1"/>
          </w:rPr>
          <w:instrText xml:space="preserve"> PAGEREF _Toc241057618 \h </w:instrText>
        </w:r>
        <w:r w:rsidR="003C6276" w:rsidRPr="003C6276">
          <w:rPr>
            <w:rFonts w:ascii="Arial" w:hAnsi="Arial" w:cs="Arial"/>
            <w:noProof/>
            <w:webHidden/>
            <w:color w:val="000000" w:themeColor="text1"/>
          </w:rPr>
        </w:r>
        <w:r w:rsidR="003C6276" w:rsidRPr="003C6276">
          <w:rPr>
            <w:rFonts w:ascii="Arial" w:hAnsi="Arial" w:cs="Arial"/>
            <w:noProof/>
            <w:webHidden/>
            <w:color w:val="000000" w:themeColor="text1"/>
          </w:rPr>
          <w:fldChar w:fldCharType="separate"/>
        </w:r>
        <w:r w:rsidR="003C6276" w:rsidRPr="003C6276">
          <w:rPr>
            <w:rFonts w:ascii="Arial" w:hAnsi="Arial" w:cs="Arial"/>
            <w:noProof/>
            <w:webHidden/>
            <w:color w:val="000000" w:themeColor="text1"/>
          </w:rPr>
          <w:t>42</w:t>
        </w:r>
        <w:r w:rsidR="003C6276" w:rsidRPr="003C6276">
          <w:rPr>
            <w:rFonts w:ascii="Arial" w:hAnsi="Arial" w:cs="Arial"/>
            <w:noProof/>
            <w:webHidden/>
            <w:color w:val="000000" w:themeColor="text1"/>
          </w:rPr>
          <w:fldChar w:fldCharType="end"/>
        </w:r>
      </w:hyperlink>
    </w:p>
    <w:p w14:paraId="28D6AA77" w14:textId="74863FC0" w:rsidR="00D5170C" w:rsidRPr="003C6276" w:rsidRDefault="00D5170C" w:rsidP="00D5170C">
      <w:pPr>
        <w:spacing w:line="360" w:lineRule="auto"/>
      </w:pPr>
      <w:r w:rsidRPr="003C6276">
        <w:rPr>
          <w:rFonts w:ascii="Arial" w:hAnsi="Arial" w:cs="Arial"/>
        </w:rPr>
        <w:fldChar w:fldCharType="end"/>
      </w:r>
    </w:p>
    <w:p w14:paraId="279143F6" w14:textId="7945712F" w:rsidR="000555DE" w:rsidRPr="003C6276" w:rsidRDefault="009F64C5" w:rsidP="00D5170C">
      <w:pPr>
        <w:spacing w:after="172"/>
        <w:rPr>
          <w:rFonts w:asciiTheme="minorBidi" w:hAnsiTheme="minorBidi"/>
        </w:rPr>
      </w:pPr>
      <w:r w:rsidRPr="003C6276">
        <w:rPr>
          <w:rFonts w:asciiTheme="minorBidi" w:eastAsia="Calibri" w:hAnsiTheme="minorBidi"/>
        </w:rPr>
        <w:t xml:space="preserve"> </w:t>
      </w:r>
      <w:bookmarkStart w:id="6" w:name="_Toc12214"/>
      <w:r w:rsidR="000555DE" w:rsidRPr="003C6276">
        <w:rPr>
          <w:rFonts w:asciiTheme="minorBidi" w:hAnsiTheme="minorBidi"/>
        </w:rPr>
        <w:br w:type="page"/>
      </w:r>
    </w:p>
    <w:p w14:paraId="2E0F49DC" w14:textId="10AAE49B" w:rsidR="009F64C5" w:rsidRPr="003C6276" w:rsidRDefault="009F64C5" w:rsidP="0091417D">
      <w:pPr>
        <w:pStyle w:val="Heading1"/>
      </w:pPr>
      <w:bookmarkStart w:id="7" w:name="_Toc241055979"/>
      <w:r w:rsidRPr="003C6276">
        <w:lastRenderedPageBreak/>
        <w:t>List of abbreviations</w:t>
      </w:r>
      <w:bookmarkEnd w:id="6"/>
      <w:bookmarkEnd w:id="7"/>
      <w:r w:rsidRPr="003C6276">
        <w:t xml:space="preserve"> </w:t>
      </w:r>
    </w:p>
    <w:p w14:paraId="28237D69" w14:textId="1A1F4A74" w:rsidR="00332CB9" w:rsidRPr="003C6276" w:rsidRDefault="0091417D" w:rsidP="0091417D">
      <w:pPr>
        <w:spacing w:line="360" w:lineRule="auto"/>
        <w:jc w:val="both"/>
        <w:rPr>
          <w:rFonts w:ascii="Arial" w:hAnsi="Arial" w:cs="Arial"/>
        </w:rPr>
      </w:pPr>
      <w:bookmarkStart w:id="8" w:name="_Toc12215"/>
      <w:r w:rsidRPr="003C6276">
        <w:rPr>
          <w:rFonts w:ascii="Arial" w:hAnsi="Arial" w:cs="Arial"/>
          <w:b/>
          <w:bCs/>
        </w:rPr>
        <w:t>CKD</w:t>
      </w:r>
      <w:r w:rsidRPr="003C6276">
        <w:rPr>
          <w:rFonts w:ascii="Arial" w:hAnsi="Arial" w:cs="Arial"/>
        </w:rPr>
        <w:t xml:space="preserve">: </w:t>
      </w:r>
      <w:r w:rsidR="00332CB9" w:rsidRPr="003C6276">
        <w:rPr>
          <w:rFonts w:ascii="Arial" w:hAnsi="Arial" w:cs="Arial"/>
        </w:rPr>
        <w:t xml:space="preserve">Chronic Kidney Disease </w:t>
      </w:r>
    </w:p>
    <w:p w14:paraId="49A34BBF" w14:textId="414CD636" w:rsidR="00332CB9" w:rsidRPr="003C6276" w:rsidRDefault="00332CB9" w:rsidP="0091417D">
      <w:pPr>
        <w:spacing w:line="360" w:lineRule="auto"/>
        <w:jc w:val="both"/>
        <w:rPr>
          <w:rFonts w:ascii="Arial" w:hAnsi="Arial" w:cs="Arial"/>
        </w:rPr>
      </w:pPr>
      <w:r w:rsidRPr="003C6276">
        <w:rPr>
          <w:rFonts w:ascii="Arial" w:hAnsi="Arial" w:cs="Arial"/>
          <w:b/>
          <w:bCs/>
        </w:rPr>
        <w:t>UK</w:t>
      </w:r>
      <w:r w:rsidR="0091417D" w:rsidRPr="003C6276">
        <w:rPr>
          <w:rFonts w:ascii="Arial" w:hAnsi="Arial" w:cs="Arial"/>
        </w:rPr>
        <w:t xml:space="preserve">: United Kingdom </w:t>
      </w:r>
    </w:p>
    <w:p w14:paraId="7FF5EE97" w14:textId="6070551E" w:rsidR="00332CB9" w:rsidRPr="003C6276" w:rsidRDefault="0091417D" w:rsidP="0091417D">
      <w:pPr>
        <w:spacing w:line="360" w:lineRule="auto"/>
        <w:jc w:val="both"/>
        <w:rPr>
          <w:rFonts w:ascii="Arial" w:hAnsi="Arial" w:cs="Arial"/>
        </w:rPr>
      </w:pPr>
      <w:r w:rsidRPr="003C6276">
        <w:rPr>
          <w:rFonts w:ascii="Arial" w:hAnsi="Arial" w:cs="Arial"/>
          <w:b/>
          <w:bCs/>
        </w:rPr>
        <w:t>eGFR</w:t>
      </w:r>
      <w:r w:rsidRPr="003C6276">
        <w:rPr>
          <w:rFonts w:ascii="Arial" w:hAnsi="Arial" w:cs="Arial"/>
        </w:rPr>
        <w:t>: E</w:t>
      </w:r>
      <w:r w:rsidR="00332CB9" w:rsidRPr="003C6276">
        <w:rPr>
          <w:rFonts w:ascii="Arial" w:hAnsi="Arial" w:cs="Arial"/>
        </w:rPr>
        <w:t xml:space="preserve">stimated glomerular filtration rate </w:t>
      </w:r>
    </w:p>
    <w:p w14:paraId="6F22AFD6" w14:textId="436E673E" w:rsidR="00332CB9" w:rsidRPr="003C6276" w:rsidRDefault="00332CB9" w:rsidP="0091417D">
      <w:pPr>
        <w:spacing w:line="360" w:lineRule="auto"/>
        <w:jc w:val="both"/>
        <w:rPr>
          <w:rFonts w:ascii="Arial" w:hAnsi="Arial" w:cs="Arial"/>
        </w:rPr>
      </w:pPr>
      <w:r w:rsidRPr="003C6276">
        <w:rPr>
          <w:rFonts w:ascii="Arial" w:hAnsi="Arial" w:cs="Arial"/>
          <w:b/>
          <w:bCs/>
        </w:rPr>
        <w:t>NHS</w:t>
      </w:r>
      <w:r w:rsidR="0091417D" w:rsidRPr="003C6276">
        <w:rPr>
          <w:rFonts w:ascii="Arial" w:hAnsi="Arial" w:cs="Arial"/>
        </w:rPr>
        <w:t xml:space="preserve">: National Health System </w:t>
      </w:r>
    </w:p>
    <w:p w14:paraId="648FB665" w14:textId="6ED3C067" w:rsidR="00374272" w:rsidRPr="003C6276" w:rsidRDefault="0091417D" w:rsidP="0091417D">
      <w:pPr>
        <w:spacing w:line="360" w:lineRule="auto"/>
        <w:jc w:val="both"/>
        <w:rPr>
          <w:rFonts w:ascii="Arial" w:hAnsi="Arial" w:cs="Arial"/>
        </w:rPr>
      </w:pPr>
      <w:r w:rsidRPr="003C6276">
        <w:rPr>
          <w:rFonts w:ascii="Arial" w:hAnsi="Arial" w:cs="Arial"/>
          <w:b/>
          <w:bCs/>
        </w:rPr>
        <w:t>HiQiP</w:t>
      </w:r>
      <w:r w:rsidRPr="003C6276">
        <w:rPr>
          <w:rFonts w:ascii="Arial" w:hAnsi="Arial" w:cs="Arial"/>
        </w:rPr>
        <w:t xml:space="preserve">: </w:t>
      </w:r>
      <w:r w:rsidR="00332CB9" w:rsidRPr="003C6276">
        <w:rPr>
          <w:rFonts w:ascii="Arial" w:hAnsi="Arial" w:cs="Arial"/>
        </w:rPr>
        <w:t xml:space="preserve">Health Inequalities Improvement Program </w:t>
      </w:r>
    </w:p>
    <w:p w14:paraId="3DEC4B37" w14:textId="126C3735" w:rsidR="00374272" w:rsidRPr="003C6276" w:rsidRDefault="00374272" w:rsidP="0091417D">
      <w:pPr>
        <w:spacing w:line="360" w:lineRule="auto"/>
        <w:jc w:val="both"/>
        <w:rPr>
          <w:rFonts w:ascii="Arial" w:hAnsi="Arial" w:cs="Arial"/>
        </w:rPr>
      </w:pPr>
      <w:r w:rsidRPr="003C6276">
        <w:rPr>
          <w:rFonts w:ascii="Arial" w:hAnsi="Arial" w:cs="Arial"/>
          <w:b/>
          <w:bCs/>
        </w:rPr>
        <w:t>WHO</w:t>
      </w:r>
      <w:r w:rsidR="0091417D" w:rsidRPr="003C6276">
        <w:rPr>
          <w:rFonts w:ascii="Arial" w:hAnsi="Arial" w:cs="Arial"/>
        </w:rPr>
        <w:t>: World Health Organisation</w:t>
      </w:r>
    </w:p>
    <w:p w14:paraId="0E0AD5C6" w14:textId="63CB33FC" w:rsidR="00A27701" w:rsidRPr="003C6276" w:rsidRDefault="0091417D" w:rsidP="0091417D">
      <w:pPr>
        <w:spacing w:line="360" w:lineRule="auto"/>
        <w:jc w:val="both"/>
        <w:rPr>
          <w:rFonts w:ascii="Arial" w:hAnsi="Arial" w:cs="Arial"/>
        </w:rPr>
      </w:pPr>
      <w:r w:rsidRPr="003C6276">
        <w:rPr>
          <w:rFonts w:ascii="Arial" w:hAnsi="Arial" w:cs="Arial"/>
          <w:b/>
          <w:bCs/>
        </w:rPr>
        <w:t>ACR</w:t>
      </w:r>
      <w:r w:rsidRPr="003C6276">
        <w:rPr>
          <w:rFonts w:ascii="Arial" w:hAnsi="Arial" w:cs="Arial"/>
        </w:rPr>
        <w:t>: Albumin</w:t>
      </w:r>
      <w:r w:rsidR="006C61C6" w:rsidRPr="003C6276">
        <w:rPr>
          <w:rFonts w:ascii="Arial" w:hAnsi="Arial" w:cs="Arial"/>
        </w:rPr>
        <w:t xml:space="preserve">-to-creatinine ratio </w:t>
      </w:r>
    </w:p>
    <w:p w14:paraId="6334C492" w14:textId="488F3B55" w:rsidR="00A27701" w:rsidRPr="003C6276" w:rsidRDefault="0091417D" w:rsidP="0091417D">
      <w:pPr>
        <w:spacing w:line="360" w:lineRule="auto"/>
        <w:jc w:val="both"/>
        <w:rPr>
          <w:rFonts w:ascii="Arial" w:hAnsi="Arial" w:cs="Arial"/>
        </w:rPr>
      </w:pPr>
      <w:r w:rsidRPr="003C6276">
        <w:rPr>
          <w:rFonts w:ascii="Arial" w:hAnsi="Arial" w:cs="Arial"/>
          <w:b/>
          <w:bCs/>
        </w:rPr>
        <w:t>ARBs</w:t>
      </w:r>
      <w:r w:rsidRPr="003C6276">
        <w:rPr>
          <w:rFonts w:ascii="Arial" w:hAnsi="Arial" w:cs="Arial"/>
        </w:rPr>
        <w:t xml:space="preserve">: </w:t>
      </w:r>
      <w:r w:rsidR="00A27701" w:rsidRPr="003C6276">
        <w:rPr>
          <w:rFonts w:ascii="Arial" w:hAnsi="Arial" w:cs="Arial"/>
        </w:rPr>
        <w:t>Angiotensin receptor blockers</w:t>
      </w:r>
    </w:p>
    <w:p w14:paraId="6DB3912E" w14:textId="597AEB0E" w:rsidR="0040144A" w:rsidRPr="003C6276" w:rsidRDefault="0091417D" w:rsidP="0091417D">
      <w:pPr>
        <w:spacing w:line="360" w:lineRule="auto"/>
        <w:jc w:val="both"/>
        <w:rPr>
          <w:rFonts w:ascii="Arial" w:hAnsi="Arial" w:cs="Arial"/>
        </w:rPr>
      </w:pPr>
      <w:r w:rsidRPr="003C6276">
        <w:rPr>
          <w:rFonts w:ascii="Arial" w:hAnsi="Arial" w:cs="Arial"/>
          <w:b/>
          <w:bCs/>
        </w:rPr>
        <w:t>ACE</w:t>
      </w:r>
      <w:r w:rsidRPr="003C6276">
        <w:rPr>
          <w:rFonts w:ascii="Arial" w:hAnsi="Arial" w:cs="Arial"/>
        </w:rPr>
        <w:t>: Angiotensin</w:t>
      </w:r>
      <w:r w:rsidR="00A27701" w:rsidRPr="003C6276">
        <w:rPr>
          <w:rFonts w:ascii="Arial" w:hAnsi="Arial" w:cs="Arial"/>
        </w:rPr>
        <w:t>-converting enzyme inhibitors</w:t>
      </w:r>
    </w:p>
    <w:p w14:paraId="0B31329D" w14:textId="2E41B9C3" w:rsidR="00751A4C" w:rsidRPr="003C6276" w:rsidRDefault="0091417D" w:rsidP="0091417D">
      <w:pPr>
        <w:spacing w:line="360" w:lineRule="auto"/>
        <w:jc w:val="both"/>
        <w:rPr>
          <w:rFonts w:ascii="Arial" w:hAnsi="Arial" w:cs="Arial"/>
        </w:rPr>
      </w:pPr>
      <w:r w:rsidRPr="003C6276">
        <w:rPr>
          <w:rFonts w:ascii="Arial" w:hAnsi="Arial" w:cs="Arial"/>
          <w:b/>
          <w:bCs/>
        </w:rPr>
        <w:t>SGLT2</w:t>
      </w:r>
      <w:r w:rsidRPr="003C6276">
        <w:rPr>
          <w:rFonts w:ascii="Arial" w:hAnsi="Arial" w:cs="Arial"/>
        </w:rPr>
        <w:t>: Sodium</w:t>
      </w:r>
      <w:r w:rsidR="0040144A" w:rsidRPr="003C6276">
        <w:rPr>
          <w:rFonts w:ascii="Arial" w:hAnsi="Arial" w:cs="Arial"/>
        </w:rPr>
        <w:t xml:space="preserve">-glucose co-transporter-2 </w:t>
      </w:r>
    </w:p>
    <w:p w14:paraId="606DBA03" w14:textId="018118D5" w:rsidR="0091417D" w:rsidRPr="003C6276" w:rsidRDefault="0091417D" w:rsidP="0091417D">
      <w:pPr>
        <w:spacing w:line="360" w:lineRule="auto"/>
        <w:jc w:val="both"/>
        <w:rPr>
          <w:rFonts w:ascii="Arial" w:hAnsi="Arial" w:cs="Arial"/>
        </w:rPr>
      </w:pPr>
      <w:r w:rsidRPr="003C6276">
        <w:rPr>
          <w:rFonts w:ascii="Arial" w:hAnsi="Arial" w:cs="Arial"/>
          <w:b/>
          <w:bCs/>
        </w:rPr>
        <w:t>NICE</w:t>
      </w:r>
      <w:r w:rsidRPr="003C6276">
        <w:rPr>
          <w:rFonts w:ascii="Arial" w:hAnsi="Arial" w:cs="Arial"/>
        </w:rPr>
        <w:t xml:space="preserve">: </w:t>
      </w:r>
      <w:r w:rsidR="00751A4C" w:rsidRPr="003C6276">
        <w:rPr>
          <w:rFonts w:ascii="Arial" w:hAnsi="Arial" w:cs="Arial"/>
        </w:rPr>
        <w:t xml:space="preserve">National Institute for Health and Care Excellence </w:t>
      </w:r>
    </w:p>
    <w:p w14:paraId="30685E62" w14:textId="30B14533" w:rsidR="0091417D" w:rsidRPr="003C6276" w:rsidRDefault="0091417D" w:rsidP="0091417D">
      <w:pPr>
        <w:spacing w:line="360" w:lineRule="auto"/>
        <w:jc w:val="both"/>
        <w:rPr>
          <w:rFonts w:ascii="Arial" w:hAnsi="Arial" w:cs="Arial"/>
        </w:rPr>
      </w:pPr>
      <w:r w:rsidRPr="003C6276">
        <w:rPr>
          <w:rFonts w:ascii="Arial" w:hAnsi="Arial" w:cs="Arial"/>
          <w:b/>
          <w:bCs/>
        </w:rPr>
        <w:t>BMI</w:t>
      </w:r>
      <w:r w:rsidRPr="003C6276">
        <w:rPr>
          <w:rFonts w:ascii="Arial" w:hAnsi="Arial" w:cs="Arial"/>
        </w:rPr>
        <w:t xml:space="preserve">: Body Mass Index  </w:t>
      </w:r>
    </w:p>
    <w:p w14:paraId="02678CE6" w14:textId="2C510E90" w:rsidR="0091417D" w:rsidRPr="003C6276" w:rsidRDefault="0091417D" w:rsidP="0091417D">
      <w:pPr>
        <w:spacing w:line="360" w:lineRule="auto"/>
        <w:jc w:val="both"/>
        <w:rPr>
          <w:rFonts w:ascii="Arial" w:hAnsi="Arial" w:cs="Arial"/>
        </w:rPr>
      </w:pPr>
      <w:r w:rsidRPr="003C6276">
        <w:rPr>
          <w:rFonts w:ascii="Arial" w:hAnsi="Arial" w:cs="Arial"/>
          <w:b/>
          <w:bCs/>
        </w:rPr>
        <w:t>MASLD</w:t>
      </w:r>
      <w:r w:rsidRPr="003C6276">
        <w:rPr>
          <w:rFonts w:ascii="Arial" w:hAnsi="Arial" w:cs="Arial"/>
        </w:rPr>
        <w:t xml:space="preserve">: Metabolic dysfunction-associated steatotic liver disease  </w:t>
      </w:r>
    </w:p>
    <w:p w14:paraId="337B2111" w14:textId="0B3F3BF8" w:rsidR="0091417D" w:rsidRPr="003C6276" w:rsidRDefault="0091417D" w:rsidP="0091417D">
      <w:pPr>
        <w:spacing w:line="360" w:lineRule="auto"/>
        <w:jc w:val="both"/>
        <w:rPr>
          <w:rFonts w:ascii="Arial" w:hAnsi="Arial" w:cs="Arial"/>
        </w:rPr>
      </w:pPr>
      <w:r w:rsidRPr="003C6276">
        <w:rPr>
          <w:rFonts w:ascii="Arial" w:hAnsi="Arial" w:cs="Arial"/>
          <w:b/>
          <w:bCs/>
        </w:rPr>
        <w:t>ESRD</w:t>
      </w:r>
      <w:r w:rsidRPr="003C6276">
        <w:rPr>
          <w:rFonts w:ascii="Arial" w:hAnsi="Arial" w:cs="Arial"/>
        </w:rPr>
        <w:t>: End-stage renal disease</w:t>
      </w:r>
    </w:p>
    <w:p w14:paraId="257B2491" w14:textId="475A2AB4" w:rsidR="0091417D" w:rsidRPr="003C6276" w:rsidRDefault="0091417D" w:rsidP="0091417D">
      <w:pPr>
        <w:spacing w:line="360" w:lineRule="auto"/>
        <w:jc w:val="both"/>
        <w:rPr>
          <w:rFonts w:ascii="Arial" w:hAnsi="Arial" w:cs="Arial"/>
        </w:rPr>
      </w:pPr>
      <w:r w:rsidRPr="003C6276">
        <w:rPr>
          <w:rFonts w:ascii="Arial" w:hAnsi="Arial" w:cs="Arial"/>
          <w:b/>
          <w:bCs/>
        </w:rPr>
        <w:t>SGLT2</w:t>
      </w:r>
      <w:r w:rsidRPr="003C6276">
        <w:rPr>
          <w:rFonts w:ascii="Arial" w:hAnsi="Arial" w:cs="Arial"/>
        </w:rPr>
        <w:t xml:space="preserve">: Sodium-glucose cotransporter-2  </w:t>
      </w:r>
    </w:p>
    <w:p w14:paraId="27F005A8" w14:textId="1D062AF6" w:rsidR="000555DE" w:rsidRPr="003C6276" w:rsidRDefault="0091417D" w:rsidP="0091417D">
      <w:pPr>
        <w:spacing w:line="360" w:lineRule="auto"/>
        <w:jc w:val="both"/>
        <w:rPr>
          <w:rFonts w:asciiTheme="minorBidi" w:eastAsia="Times New Roman" w:hAnsiTheme="minorBidi"/>
          <w:b/>
          <w:color w:val="000000"/>
          <w:sz w:val="24"/>
        </w:rPr>
      </w:pPr>
      <w:r w:rsidRPr="003C6276">
        <w:rPr>
          <w:rFonts w:ascii="Arial" w:hAnsi="Arial" w:cs="Arial"/>
          <w:b/>
          <w:bCs/>
        </w:rPr>
        <w:t>KFRE</w:t>
      </w:r>
      <w:r w:rsidRPr="003C6276">
        <w:rPr>
          <w:rFonts w:ascii="Arial" w:hAnsi="Arial" w:cs="Arial"/>
          <w:i/>
          <w:iCs/>
        </w:rPr>
        <w:t>:</w:t>
      </w:r>
      <w:r w:rsidRPr="003C6276">
        <w:rPr>
          <w:rFonts w:ascii="Arial" w:hAnsi="Arial" w:cs="Arial"/>
        </w:rPr>
        <w:t xml:space="preserve"> Kidney Failure Risk Equation</w:t>
      </w:r>
      <w:r w:rsidRPr="003C6276">
        <w:rPr>
          <w:b/>
          <w:bCs/>
        </w:rPr>
        <w:t xml:space="preserve"> </w:t>
      </w:r>
      <w:r w:rsidR="000555DE" w:rsidRPr="003C6276">
        <w:rPr>
          <w:rFonts w:asciiTheme="minorBidi" w:hAnsiTheme="minorBidi"/>
        </w:rPr>
        <w:br w:type="page"/>
      </w:r>
    </w:p>
    <w:p w14:paraId="3B315B4D" w14:textId="77777777" w:rsidR="00F02E6B" w:rsidRPr="003C6276" w:rsidRDefault="00BC67C0" w:rsidP="00641B22">
      <w:pPr>
        <w:pStyle w:val="Heading1"/>
      </w:pPr>
      <w:bookmarkStart w:id="9" w:name="_Toc241055980"/>
      <w:bookmarkStart w:id="10" w:name="_Toc12216"/>
      <w:bookmarkEnd w:id="8"/>
      <w:r w:rsidRPr="003C6276">
        <w:lastRenderedPageBreak/>
        <w:t xml:space="preserve">Chapter 1: </w:t>
      </w:r>
      <w:r w:rsidR="009F64C5" w:rsidRPr="003C6276">
        <w:t>Introduction</w:t>
      </w:r>
      <w:bookmarkEnd w:id="9"/>
      <w:r w:rsidR="009F64C5" w:rsidRPr="003C6276">
        <w:t xml:space="preserve"> </w:t>
      </w:r>
      <w:bookmarkStart w:id="11" w:name="_Toc12217"/>
      <w:bookmarkEnd w:id="10"/>
    </w:p>
    <w:p w14:paraId="7B1EC4F5" w14:textId="77777777" w:rsidR="00F02E6B" w:rsidRPr="003C6276" w:rsidRDefault="00F02E6B" w:rsidP="00F02E6B">
      <w:pPr>
        <w:pStyle w:val="Heading2"/>
      </w:pPr>
      <w:bookmarkStart w:id="12" w:name="_Toc240985856"/>
      <w:bookmarkStart w:id="13" w:name="_Toc241055981"/>
      <w:r w:rsidRPr="003C6276">
        <w:t>1.1 Introduction</w:t>
      </w:r>
      <w:bookmarkEnd w:id="12"/>
      <w:bookmarkEnd w:id="13"/>
    </w:p>
    <w:p w14:paraId="6676D301"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CKD is one of the most significant and complex healthcare issues in the UK as the disease progression among adults is not shaped by biological factors but is also impacted by socioeconomic status, health inequalities and accessibility. Although substantial evidence has evaluated CKD risk factors, comprehending the impact of these determinants in diagnosis of the issues along with the treatment and long-term management is crucial. Thus, the chapter focused on systematically analysing the evidence concerning the management and determinants of CKD among UK adults. </w:t>
      </w:r>
    </w:p>
    <w:p w14:paraId="7789ABB2" w14:textId="77777777" w:rsidR="00F02E6B" w:rsidRPr="003C6276" w:rsidRDefault="00F02E6B" w:rsidP="00F02E6B">
      <w:pPr>
        <w:pStyle w:val="Heading2"/>
      </w:pPr>
      <w:bookmarkStart w:id="14" w:name="_Toc240985857"/>
      <w:bookmarkStart w:id="15" w:name="_Toc241055982"/>
      <w:r w:rsidRPr="003C6276">
        <w:t>1.2 Research Background</w:t>
      </w:r>
      <w:bookmarkEnd w:id="14"/>
      <w:bookmarkEnd w:id="15"/>
    </w:p>
    <w:p w14:paraId="778CBFCD" w14:textId="77777777" w:rsidR="00F02E6B" w:rsidRPr="003C6276" w:rsidRDefault="00F02E6B" w:rsidP="00F02E6B">
      <w:pPr>
        <w:spacing w:after="200" w:line="360" w:lineRule="auto"/>
        <w:jc w:val="both"/>
        <w:rPr>
          <w:rFonts w:ascii="Arial" w:eastAsia="Arial" w:hAnsi="Arial" w:cs="Arial"/>
          <w:b/>
          <w:bCs/>
          <w:i/>
          <w:iCs/>
          <w:kern w:val="0"/>
          <w:lang w:eastAsia="en-IN"/>
          <w14:ligatures w14:val="none"/>
        </w:rPr>
      </w:pPr>
      <w:r w:rsidRPr="003C6276">
        <w:rPr>
          <w:rFonts w:ascii="Arial" w:eastAsia="Arial" w:hAnsi="Arial" w:cs="Arial"/>
          <w:b/>
          <w:bCs/>
          <w:i/>
          <w:iCs/>
          <w:kern w:val="0"/>
          <w:lang w:eastAsia="en-IN"/>
          <w14:ligatures w14:val="none"/>
        </w:rPr>
        <w:t>Epidemiology of CKD in the UK</w:t>
      </w:r>
    </w:p>
    <w:p w14:paraId="6DA70A4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Prevalence of the various types as well as stages of kidney disease has grown in the UK considerably in recent years, which indicates complicated epidemiology of CKD. More than 7.2 million people in the UK, accounting for 10% of the total population, are living with CKD (Kidneyresearch UK, 2026). In comparison to the UK, a total of almost 80% in the global population have CKD among whom most belong to the low- and middle-income countries and around 25% of people are below the age of 60 (National Kidney Foundation, 2024). However, prevalence of CKD estimates needs to be interpreted cautiously as diagnosis prevalence may not reflect the underlying population burden. According to estimated glomerular filtration rate (eGFR) and urine albumin levels, around 22% of population with aged 35 and older had chronic renal disease (stages 1–5), and around 11% experienced the more severe phases 3–5 (NHS England, 2025). Distinction between diagnosis and the estimated prevalence of CKD reflect under recognition, different in screening and case identification. Thus, the increase rates of CKD is not an interpretation of an increase in disease incidents and may reflect the inefficiencies in detection and demographic change. </w:t>
      </w:r>
    </w:p>
    <w:p w14:paraId="3C42AB99" w14:textId="77777777" w:rsidR="00F02E6B" w:rsidRPr="003C6276" w:rsidRDefault="00F02E6B" w:rsidP="00F02E6B">
      <w:pPr>
        <w:spacing w:after="200" w:line="360" w:lineRule="auto"/>
        <w:jc w:val="both"/>
        <w:rPr>
          <w:rFonts w:ascii="Arial" w:eastAsia="Arial" w:hAnsi="Arial" w:cs="Arial"/>
          <w:b/>
          <w:bCs/>
          <w:i/>
          <w:iCs/>
          <w:kern w:val="0"/>
          <w:lang w:eastAsia="en-IN"/>
          <w14:ligatures w14:val="none"/>
        </w:rPr>
      </w:pPr>
      <w:r w:rsidRPr="003C6276">
        <w:rPr>
          <w:rFonts w:ascii="Arial" w:eastAsia="Arial" w:hAnsi="Arial" w:cs="Arial"/>
          <w:b/>
          <w:bCs/>
          <w:i/>
          <w:iCs/>
          <w:kern w:val="0"/>
          <w:lang w:eastAsia="en-IN"/>
          <w14:ligatures w14:val="none"/>
        </w:rPr>
        <w:t>Why is it a public health concern?</w:t>
      </w:r>
    </w:p>
    <w:p w14:paraId="64BDEA0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Chronic Kidney Disease is continuously growing due to the presence of various social, economic and biological factors. As per the data of Haileamlak (2018), around 10% of the total global population has been affected by CKD and is responsible for millions of deaths (mortality record), where the treatment facilities are not affordable as well. This supports the global-level healthcare burden for the growing prevalence of CKD. For example, 3.25 million people in the UK were living with chronic kidney disease at stages 3 and 5 in 2023 (Kidney Research UK, </w:t>
      </w:r>
      <w:r w:rsidRPr="003C6276">
        <w:rPr>
          <w:rFonts w:ascii="Arial" w:eastAsia="Arial" w:hAnsi="Arial" w:cs="Arial"/>
          <w:kern w:val="0"/>
          <w:lang w:eastAsia="en-IN"/>
          <w14:ligatures w14:val="none"/>
        </w:rPr>
        <w:lastRenderedPageBreak/>
        <w:t>2023) (morbidity record). In addition to this, the number of people with chronic kidney disease belonging to stages 3-5 is forecasted to be 3.9 million by 2033 (Kidney Research UK, 2023) (morbidity record). The prevalence of CKD is expected to reach 7.61 million people by 2033 among the UK population, which was 7.19 million in 2023 (ISPOR, 2023). Global inequities in terms of healthcare access, essential medications, kidney replacement therapies and healthcare staff are serious global challenges that are contributing to millions of preventable deaths every year.</w:t>
      </w:r>
    </w:p>
    <w:p w14:paraId="64C788B2"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noProof/>
          <w:kern w:val="0"/>
          <w:lang w:eastAsia="en-IN"/>
          <w14:ligatures w14:val="none"/>
        </w:rPr>
        <w:drawing>
          <wp:inline distT="114300" distB="114300" distL="114300" distR="114300" wp14:anchorId="1FC34901" wp14:editId="21D45D58">
            <wp:extent cx="5490210" cy="3835400"/>
            <wp:effectExtent l="0" t="0" r="0" b="0"/>
            <wp:docPr id="1424846121"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15"/>
                    <a:srcRect/>
                    <a:stretch>
                      <a:fillRect/>
                    </a:stretch>
                  </pic:blipFill>
                  <pic:spPr>
                    <a:xfrm>
                      <a:off x="0" y="0"/>
                      <a:ext cx="5490210" cy="3835400"/>
                    </a:xfrm>
                    <a:prstGeom prst="rect">
                      <a:avLst/>
                    </a:prstGeom>
                    <a:ln/>
                  </pic:spPr>
                </pic:pic>
              </a:graphicData>
            </a:graphic>
          </wp:inline>
        </w:drawing>
      </w:r>
    </w:p>
    <w:p w14:paraId="55D40E6C" w14:textId="77777777" w:rsidR="00F02E6B" w:rsidRPr="003C6276" w:rsidRDefault="00F02E6B" w:rsidP="00D5170C">
      <w:pPr>
        <w:pStyle w:val="Heading4"/>
      </w:pPr>
      <w:bookmarkStart w:id="16" w:name="_heading=h.stv70i9phzv" w:colFirst="0" w:colLast="0"/>
      <w:bookmarkStart w:id="17" w:name="_Toc240985940"/>
      <w:bookmarkStart w:id="18" w:name="_Toc241057601"/>
      <w:bookmarkEnd w:id="16"/>
      <w:r w:rsidRPr="003C6276">
        <w:t>Figure 1.1: Growth in CKD for stages 3-5 (prevalence) in the UK</w:t>
      </w:r>
      <w:bookmarkEnd w:id="17"/>
      <w:bookmarkEnd w:id="18"/>
    </w:p>
    <w:p w14:paraId="433A2571"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Kidney Research UK, 2023)</w:t>
      </w:r>
    </w:p>
    <w:p w14:paraId="28BB4295" w14:textId="77777777" w:rsidR="00F02E6B" w:rsidRPr="003C6276" w:rsidRDefault="00F02E6B" w:rsidP="00F02E6B">
      <w:pPr>
        <w:spacing w:after="200" w:line="360" w:lineRule="auto"/>
        <w:jc w:val="both"/>
        <w:rPr>
          <w:rFonts w:ascii="Arial" w:eastAsia="Arial" w:hAnsi="Arial" w:cs="Arial"/>
          <w:b/>
          <w:bCs/>
          <w:i/>
          <w:iCs/>
          <w:kern w:val="0"/>
          <w:lang w:eastAsia="en-IN"/>
          <w14:ligatures w14:val="none"/>
        </w:rPr>
      </w:pPr>
      <w:r w:rsidRPr="003C6276">
        <w:rPr>
          <w:rFonts w:ascii="Arial" w:eastAsia="Arial" w:hAnsi="Arial" w:cs="Arial"/>
          <w:b/>
          <w:bCs/>
          <w:i/>
          <w:iCs/>
          <w:kern w:val="0"/>
          <w:lang w:eastAsia="en-IN"/>
          <w14:ligatures w14:val="none"/>
        </w:rPr>
        <w:t>Key determinants</w:t>
      </w:r>
    </w:p>
    <w:p w14:paraId="32F6228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According to current records, Shilpak</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 xml:space="preserve">(2021) highlighted that social and economic factors are associated with the global and national burden of CKD due to the presence of healthcare inequalities. High blood pressure, high cholesterol, kidney infections, diabetes and long-term use of medicines are the main causes of chronic kidney disease (NIDDK, 2016). These biological conditions are the key factors which have a direct influence on the growing burden of chronic kidney disease. </w:t>
      </w:r>
    </w:p>
    <w:p w14:paraId="27965035" w14:textId="77777777" w:rsidR="00F02E6B" w:rsidRPr="003C6276" w:rsidRDefault="00F02E6B" w:rsidP="00F02E6B">
      <w:pPr>
        <w:spacing w:after="200" w:line="360" w:lineRule="auto"/>
        <w:jc w:val="both"/>
        <w:rPr>
          <w:rFonts w:ascii="Arial" w:eastAsia="Arial" w:hAnsi="Arial" w:cs="Arial"/>
          <w:b/>
          <w:bCs/>
          <w:i/>
          <w:iCs/>
          <w:kern w:val="0"/>
          <w:lang w:eastAsia="en-IN"/>
          <w14:ligatures w14:val="none"/>
        </w:rPr>
      </w:pPr>
      <w:r w:rsidRPr="003C6276">
        <w:rPr>
          <w:rFonts w:ascii="Arial" w:eastAsia="Arial" w:hAnsi="Arial" w:cs="Arial"/>
          <w:b/>
          <w:bCs/>
          <w:i/>
          <w:iCs/>
          <w:kern w:val="0"/>
          <w:lang w:eastAsia="en-IN"/>
          <w14:ligatures w14:val="none"/>
        </w:rPr>
        <w:t>Management challenges</w:t>
      </w:r>
    </w:p>
    <w:p w14:paraId="4C8FD493"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lack of management efficiency in the UK’s healthcare setting can increase the risk of death among adults with chronic kidney disease. Currently, more than 70,000 people in the UK are under treatment for their kidney failure (NIHR, 2024) (morbidity record). In addition, the prevalence of chronic kidney disease is significant among adults in the UK due to limited management efficiency within the healthcare settings. Approximately 3.5 million people are living with kidney failure in the UK and the prediction will be stated as the 5th biggest killer by 2040 if not treated properly (UK Parliament, 2023) (morbidity record). Moreover, as per Cheng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(2025), the National Health Insurance Model supports free and convenient access to healthcare facilities by the population to ensure an effective healthcare management system. </w:t>
      </w:r>
    </w:p>
    <w:p w14:paraId="44DAE4A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Overall, the literature and wide research on the CKD management and determinants have outlined that understanding CKD based on biological factors is not sufficient. Hypertension and diabetes remain a significant determinant of CKD; however, their effects may be intensified by socioeconomic inequalities, deprivation in healthcare access along with disease detection gaps. Simultaneously evidence regarding management challenges is dispersed across clinical patient and organisational level perceptive. Thus, this gap creates a need for a systematic assessment focusing on considering determinants and management issues of CKD within the UK adult population. </w:t>
      </w:r>
    </w:p>
    <w:p w14:paraId="1C824E3B" w14:textId="77777777" w:rsidR="00F02E6B" w:rsidRPr="003C6276" w:rsidRDefault="00F02E6B" w:rsidP="00F02E6B">
      <w:pPr>
        <w:pStyle w:val="Heading2"/>
      </w:pPr>
      <w:bookmarkStart w:id="19" w:name="_Toc240985858"/>
      <w:bookmarkStart w:id="20" w:name="_Toc241055983"/>
      <w:r w:rsidRPr="003C6276">
        <w:t>1.3 Research Problem</w:t>
      </w:r>
      <w:bookmarkEnd w:id="19"/>
      <w:bookmarkEnd w:id="20"/>
    </w:p>
    <w:p w14:paraId="4E00016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Chronic Kidney Disease is a growing concern in the UK-based healthcare management system due to the presence of multiple key determinants and risk factors (Vinícius and Gustavo Navarro Betônico, 2023). For example, more than 1.9 million adults in the UK have been diagnosed with chronic kidney disease and the estimated G3-5 categories have been still undiagnosed with around 6% (NHS England, 2023). This shows that the prevalence of this long-term health condition is high with substantial undiagnosed CKD cases among adults in the UK. The above discussion highlighted the growing prevalence of chronic kidney disease, especially among adults in the UK. </w:t>
      </w:r>
    </w:p>
    <w:p w14:paraId="7143A43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CKD burden on UK healthcare is substantial as 1 out of 10 individuals was recently diagnosed with chronic kidney disease as per the report of 2024 (UK Bio Bank, 2024). In addition, the death records in the UK due to CKD reach between 40,000 and 45,000 premature deaths every year (Scottish Parliament, 2024) (mortality record). There is insufficiently integrated comprehension of how determinants and management issues influence CKD among UK adults that the study is aiming to address. </w:t>
      </w:r>
    </w:p>
    <w:p w14:paraId="4AFEAD5D" w14:textId="77777777" w:rsidR="00F02E6B" w:rsidRPr="003C6276" w:rsidRDefault="00F02E6B" w:rsidP="00F02E6B">
      <w:pPr>
        <w:pStyle w:val="Heading2"/>
      </w:pPr>
      <w:bookmarkStart w:id="21" w:name="_Toc240985859"/>
      <w:bookmarkStart w:id="22" w:name="_Toc241055984"/>
      <w:r w:rsidRPr="003C6276">
        <w:lastRenderedPageBreak/>
        <w:t>1.4 Rationale</w:t>
      </w:r>
      <w:bookmarkEnd w:id="21"/>
      <w:bookmarkEnd w:id="22"/>
    </w:p>
    <w:p w14:paraId="274DA03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Existing studies on CKD and its management have extensively evaluated the biological determinants, socioeconomic status, inequalities and healthcare management challenges separately. However, the evidence is fragmented across different populations, determinants and healthcare settings in the UK regarding CKD management. According to recent reports, healthcare disparity has emerged as a socioeconomic factor which is creating disruption within the UK’s healthcare management system for preventing chronic kidney disease. Kidney diseases have faster progression among Black, Asian and minority people of the UK due to their lower possibility of receiving a kidney transplant (UK Kidney, 2023). As per the discussion by Kumar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around 10% of the world population have CKD that is influenced by various factors including the aging population and the prevalence rates of diabetes and hypertension. Based on the overall rationale of the focused socio-economic healthcare context, CKD-based current healthcare practices are not enough and effective for informing understanding, practice and future research on CKD management among UK adults. Consequently, there is a need for a systematic synthesis that is crucial for examining the biological, socioeconomic, lifestyle and environmental determinants that intersect with CKD management challenges among UK adults. </w:t>
      </w:r>
    </w:p>
    <w:p w14:paraId="6808A9EF" w14:textId="77777777" w:rsidR="00F02E6B" w:rsidRPr="003C6276" w:rsidRDefault="00F02E6B" w:rsidP="00F02E6B">
      <w:pPr>
        <w:pStyle w:val="Heading2"/>
      </w:pPr>
      <w:bookmarkStart w:id="23" w:name="_Toc240985860"/>
      <w:bookmarkStart w:id="24" w:name="_Toc241055985"/>
      <w:r w:rsidRPr="003C6276">
        <w:t>1.5 Research Question</w:t>
      </w:r>
      <w:bookmarkEnd w:id="23"/>
      <w:bookmarkEnd w:id="24"/>
    </w:p>
    <w:p w14:paraId="2F6C200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What are the key determinants that influence the management and development of chronic kidney disease among adults in the United Kingdom?</w:t>
      </w:r>
    </w:p>
    <w:p w14:paraId="6214623C" w14:textId="77777777" w:rsidR="00F02E6B" w:rsidRPr="003C6276" w:rsidRDefault="00F02E6B" w:rsidP="00F02E6B">
      <w:pPr>
        <w:pStyle w:val="Heading2"/>
      </w:pPr>
      <w:bookmarkStart w:id="25" w:name="_Toc240985861"/>
      <w:bookmarkStart w:id="26" w:name="_Toc241055986"/>
      <w:r w:rsidRPr="003C6276">
        <w:t>1.6 Research Aim</w:t>
      </w:r>
      <w:bookmarkEnd w:id="25"/>
      <w:bookmarkEnd w:id="26"/>
    </w:p>
    <w:p w14:paraId="4309878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aim of this research is to systematically review the existing literature relevant to the key determinants and management challenges of chronic kidney disease (CKD) among adults in the United Kingdom.</w:t>
      </w:r>
    </w:p>
    <w:p w14:paraId="5FA0A61F" w14:textId="77777777" w:rsidR="00F02E6B" w:rsidRPr="003C6276" w:rsidRDefault="00F02E6B" w:rsidP="00F02E6B">
      <w:pPr>
        <w:pStyle w:val="Heading2"/>
      </w:pPr>
      <w:bookmarkStart w:id="27" w:name="_Toc240985862"/>
      <w:bookmarkStart w:id="28" w:name="_Toc241055987"/>
      <w:r w:rsidRPr="003C6276">
        <w:t>1.7 Research Objectives</w:t>
      </w:r>
      <w:bookmarkEnd w:id="27"/>
      <w:bookmarkEnd w:id="28"/>
    </w:p>
    <w:p w14:paraId="3111E4EE" w14:textId="77777777" w:rsidR="00F02E6B" w:rsidRPr="003C6276" w:rsidRDefault="00F02E6B" w:rsidP="00F02E6B">
      <w:pPr>
        <w:numPr>
          <w:ilvl w:val="0"/>
          <w:numId w:val="9"/>
        </w:numPr>
        <w:pBdr>
          <w:top w:val="nil"/>
          <w:left w:val="nil"/>
          <w:bottom w:val="nil"/>
          <w:right w:val="nil"/>
          <w:between w:val="nil"/>
        </w:pBd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identify studies relevant biological and lifestyle-related risk factors associated with chronic kidney disease among adults in the UK</w:t>
      </w:r>
    </w:p>
    <w:p w14:paraId="168846FF" w14:textId="77777777" w:rsidR="00F02E6B" w:rsidRPr="003C6276" w:rsidRDefault="00F02E6B" w:rsidP="00F02E6B">
      <w:pPr>
        <w:numPr>
          <w:ilvl w:val="0"/>
          <w:numId w:val="9"/>
        </w:numPr>
        <w:pBdr>
          <w:top w:val="nil"/>
          <w:left w:val="nil"/>
          <w:bottom w:val="nil"/>
          <w:right w:val="nil"/>
          <w:between w:val="nil"/>
        </w:pBd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critically appraise the socioeconomic and environmental determinants that influence CKD prevalence and progression</w:t>
      </w:r>
    </w:p>
    <w:p w14:paraId="05185186" w14:textId="77777777" w:rsidR="00F02E6B" w:rsidRPr="003C6276" w:rsidRDefault="00F02E6B" w:rsidP="00F02E6B">
      <w:pPr>
        <w:numPr>
          <w:ilvl w:val="0"/>
          <w:numId w:val="9"/>
        </w:numPr>
        <w:pBdr>
          <w:top w:val="nil"/>
          <w:left w:val="nil"/>
          <w:bottom w:val="nil"/>
          <w:right w:val="nil"/>
          <w:between w:val="nil"/>
        </w:pBd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synthesise the existing key challenges in the management and treatment practices of CKD within the UK-based healthcare settings</w:t>
      </w:r>
    </w:p>
    <w:p w14:paraId="10FC2D97" w14:textId="77777777" w:rsidR="00F02E6B" w:rsidRPr="003C6276" w:rsidRDefault="00F02E6B" w:rsidP="00F02E6B">
      <w:pPr>
        <w:numPr>
          <w:ilvl w:val="0"/>
          <w:numId w:val="9"/>
        </w:numPr>
        <w:pBdr>
          <w:top w:val="nil"/>
          <w:left w:val="nil"/>
          <w:bottom w:val="nil"/>
          <w:right w:val="nil"/>
          <w:between w:val="nil"/>
        </w:pBd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To highlight the evidence-based strategies that can improve the prevention and management of CKD</w:t>
      </w:r>
    </w:p>
    <w:p w14:paraId="356DBE44" w14:textId="77777777" w:rsidR="00F02E6B" w:rsidRPr="003C6276" w:rsidRDefault="00F02E6B" w:rsidP="00F02E6B">
      <w:pPr>
        <w:pStyle w:val="Heading2"/>
      </w:pPr>
      <w:bookmarkStart w:id="29" w:name="_Toc240985863"/>
      <w:bookmarkStart w:id="30" w:name="_Toc241055988"/>
      <w:r w:rsidRPr="003C6276">
        <w:t>1.8 Dissertation Structure</w:t>
      </w:r>
      <w:bookmarkEnd w:id="29"/>
      <w:bookmarkEnd w:id="30"/>
    </w:p>
    <w:p w14:paraId="4E290A53" w14:textId="77777777" w:rsidR="00F02E6B" w:rsidRPr="003C6276" w:rsidRDefault="00F02E6B" w:rsidP="00F02E6B">
      <w:pPr>
        <w:spacing w:after="200" w:line="360" w:lineRule="auto"/>
        <w:jc w:val="center"/>
        <w:rPr>
          <w:rFonts w:ascii="Arial" w:eastAsia="Arial" w:hAnsi="Arial" w:cs="Arial"/>
          <w:kern w:val="0"/>
          <w:lang w:eastAsia="en-IN"/>
          <w14:ligatures w14:val="none"/>
        </w:rPr>
      </w:pPr>
      <w:bookmarkStart w:id="31" w:name="_heading=h.1v4hpeg3tvzr" w:colFirst="0" w:colLast="0"/>
      <w:bookmarkEnd w:id="31"/>
      <w:r w:rsidRPr="003C6276">
        <w:rPr>
          <w:rFonts w:ascii="Arial" w:eastAsia="Arial" w:hAnsi="Arial" w:cs="Arial"/>
          <w:noProof/>
          <w:kern w:val="0"/>
          <w:lang w:eastAsia="en-IN"/>
          <w14:ligatures w14:val="none"/>
        </w:rPr>
        <w:drawing>
          <wp:inline distT="0" distB="0" distL="0" distR="0" wp14:anchorId="6B0DB25D" wp14:editId="078078DF">
            <wp:extent cx="6224604" cy="3939623"/>
            <wp:effectExtent l="0" t="0" r="0" b="0"/>
            <wp:docPr id="14248461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6224604" cy="3939623"/>
                    </a:xfrm>
                    <a:prstGeom prst="rect">
                      <a:avLst/>
                    </a:prstGeom>
                    <a:ln/>
                  </pic:spPr>
                </pic:pic>
              </a:graphicData>
            </a:graphic>
          </wp:inline>
        </w:drawing>
      </w:r>
    </w:p>
    <w:p w14:paraId="177DE0E8" w14:textId="77777777" w:rsidR="00F02E6B" w:rsidRPr="003C6276" w:rsidRDefault="00F02E6B" w:rsidP="00F02E6B">
      <w:pPr>
        <w:pStyle w:val="Heading4"/>
      </w:pPr>
      <w:bookmarkStart w:id="32" w:name="_heading=h.jj60xw83e2mf" w:colFirst="0" w:colLast="0"/>
      <w:bookmarkStart w:id="33" w:name="_Toc240985941"/>
      <w:bookmarkStart w:id="34" w:name="_Toc241054917"/>
      <w:bookmarkStart w:id="35" w:name="_Toc241057602"/>
      <w:bookmarkEnd w:id="32"/>
      <w:r w:rsidRPr="003C6276">
        <w:t>Figure 1.2: Dissertation Structure</w:t>
      </w:r>
      <w:bookmarkEnd w:id="33"/>
      <w:bookmarkEnd w:id="34"/>
      <w:bookmarkEnd w:id="35"/>
    </w:p>
    <w:p w14:paraId="5329D416"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Developed by Learner)</w:t>
      </w:r>
    </w:p>
    <w:p w14:paraId="06BA257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introduction chapter involves research background, rationale, aim, objectives, question, and significance within the dissertation structure. The literature review section evaluates existing evidence and establishes the conceptual along with empirical basis for the review to be conducted on CKD. The methodology chapter justified the systematic review methodology and evaluated the processes used for identifying, selecting, appraising and synthesising evidence. The findings and results chapter involves the research findings with logical justification and evidence. The discussion chapter involves the overall discussion of the research findings by establishing the alignment with the previous literature. Moreover, the conclusion and recommendation chapter involve concluding remarks with recommendations for further improvements.</w:t>
      </w:r>
    </w:p>
    <w:p w14:paraId="2E3CE98E" w14:textId="77777777" w:rsidR="00F02E6B" w:rsidRPr="003C6276" w:rsidRDefault="00F02E6B" w:rsidP="00F02E6B">
      <w:pPr>
        <w:pStyle w:val="Heading2"/>
      </w:pPr>
      <w:bookmarkStart w:id="36" w:name="_Toc240985864"/>
      <w:bookmarkStart w:id="37" w:name="_Toc241055989"/>
      <w:r w:rsidRPr="003C6276">
        <w:lastRenderedPageBreak/>
        <w:t>1.9 Chapter Summary</w:t>
      </w:r>
      <w:bookmarkEnd w:id="36"/>
      <w:bookmarkEnd w:id="37"/>
    </w:p>
    <w:p w14:paraId="71D8A873"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chapter established CKD as a significant and multidimensional health concern among UK adults, reflecting that lifestyle, biological, socioeconomic and healthcare related factors influence CKD development and management. It has been outlined that existing evidence remains dispersed across distinct determinants and management challenges. The outcomes of this research can help the UK’s healthcare setting and systems to understand the influential key determinants associated with chronic kidney disease. </w:t>
      </w:r>
    </w:p>
    <w:p w14:paraId="0F28B479" w14:textId="3D853AE6" w:rsidR="009706D0" w:rsidRPr="003C6276" w:rsidRDefault="009706D0" w:rsidP="00641B22">
      <w:pPr>
        <w:pStyle w:val="Heading1"/>
      </w:pPr>
      <w:r w:rsidRPr="003C6276">
        <w:br w:type="page"/>
      </w:r>
    </w:p>
    <w:p w14:paraId="0CFE9A71" w14:textId="77777777" w:rsidR="00F02E6B" w:rsidRPr="003C6276" w:rsidRDefault="008D6BF7" w:rsidP="00641B22">
      <w:pPr>
        <w:pStyle w:val="Heading1"/>
      </w:pPr>
      <w:bookmarkStart w:id="38" w:name="_Toc241055990"/>
      <w:r w:rsidRPr="003C6276">
        <w:lastRenderedPageBreak/>
        <w:t>Chapter</w:t>
      </w:r>
      <w:r w:rsidR="00DD7AA5" w:rsidRPr="003C6276">
        <w:t xml:space="preserve"> 2</w:t>
      </w:r>
      <w:r w:rsidRPr="003C6276">
        <w:t xml:space="preserve">: </w:t>
      </w:r>
      <w:r w:rsidR="009F64C5" w:rsidRPr="003C6276">
        <w:t>Literature review/theoretical framework</w:t>
      </w:r>
      <w:bookmarkEnd w:id="38"/>
    </w:p>
    <w:p w14:paraId="05FFAD6F" w14:textId="77777777" w:rsidR="00F02E6B" w:rsidRPr="003C6276" w:rsidRDefault="00F02E6B" w:rsidP="00F02E6B">
      <w:pPr>
        <w:pStyle w:val="Heading2"/>
      </w:pPr>
      <w:bookmarkStart w:id="39" w:name="_Toc240985866"/>
      <w:bookmarkStart w:id="40" w:name="_Toc241055991"/>
      <w:r w:rsidRPr="003C6276">
        <w:t>2.1 Introduction</w:t>
      </w:r>
      <w:bookmarkEnd w:id="39"/>
      <w:bookmarkEnd w:id="40"/>
    </w:p>
    <w:p w14:paraId="3CAD2C7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or CKD represents a significant public Health challenge in the UK, affecting Millions of adults and substantially contributing to more mortality, morbidity and healthcare expenditure. The increased prevalence of the disease has been related to a complex interaction of lifestyle, biological, environmental and socioeconomic determinants. The chapter critically reviews existing literature on management challenges and determinants of CKD among adults in the UK. It examines lifestyle and biological risk factors, environmental and socioeconomic influence, evidence-based prevention strategies, Health Care management challenges, relevant theoretical perspectives and identifies gaps in the current literature.</w:t>
      </w:r>
    </w:p>
    <w:p w14:paraId="5A902427" w14:textId="77777777" w:rsidR="00F02E6B" w:rsidRPr="003C6276" w:rsidRDefault="00F02E6B" w:rsidP="00F02E6B">
      <w:pPr>
        <w:pStyle w:val="Heading2"/>
      </w:pPr>
      <w:bookmarkStart w:id="41" w:name="_Toc240985867"/>
      <w:bookmarkStart w:id="42" w:name="_Toc241055992"/>
      <w:r w:rsidRPr="003C6276">
        <w:t>2.2 Identify biological and lifestyle risk factors associated with chronic kidney disease among adults in the UK</w:t>
      </w:r>
      <w:bookmarkEnd w:id="41"/>
      <w:bookmarkEnd w:id="42"/>
    </w:p>
    <w:p w14:paraId="66C7D238" w14:textId="77777777" w:rsidR="00F02E6B" w:rsidRPr="003C6276" w:rsidRDefault="00F02E6B" w:rsidP="00F02E6B">
      <w:pPr>
        <w:pStyle w:val="Heading3"/>
      </w:pPr>
      <w:bookmarkStart w:id="43" w:name="_Toc240985868"/>
      <w:bookmarkStart w:id="44" w:name="_Toc241055993"/>
      <w:r w:rsidRPr="003C6276">
        <w:t>2.2.1 Hypertension, diabetes and obesity as biological determinants of CKD</w:t>
      </w:r>
      <w:bookmarkEnd w:id="43"/>
      <w:bookmarkEnd w:id="44"/>
    </w:p>
    <w:p w14:paraId="1AD89752"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literature shows that CKD determinants are not isolated factors as biological, behavioural, socioeconomic and environmental conditions can interact across the life course. Around 22% of the adults aged 35 years and above have some stage of chronic kidney disease, with prevalence significantly higher among individuals with cardiometabolic disorders and obesity (NHS England Digital, 2024). Additionally, Lengton</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(2024) incorporated a large population-based cohort design for investigating the pathway linking chronic kidney disease with body fat. Using mediation analysis, the investigators discovered that a significant amount of the relationship between the development of chronic kidney disease and obesity can be explained by diabetes and hypertension.</w:t>
      </w:r>
    </w:p>
    <w:p w14:paraId="0231EAA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study's strength is its significant sample size and advanced statistical modelling, which increased the findings' overall reliability. Similarly, Habte-Asres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(2022) conducted a retrospective cohort study using the primary care records of the UK that involved 37,000 patients with chronic kidney disease and diabetes. However, both studies mainly evaluate lifestyle intervention independently and did not sufficiently examine the ways in which behavioural factors interact with underlying biological conditions like hypertension and diabetes in influencing CKD risk.</w:t>
      </w:r>
    </w:p>
    <w:p w14:paraId="5002BAB1"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study reported that the risk of progression to end-stage kidney disease was significantly higher among people with greater glycaemic variability. Lengton</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 xml:space="preserve">(2024), on the other </w:t>
      </w:r>
      <w:r w:rsidRPr="003C6276">
        <w:rPr>
          <w:rFonts w:ascii="Arial" w:eastAsia="Arial" w:hAnsi="Arial" w:cs="Arial"/>
          <w:kern w:val="0"/>
          <w:lang w:eastAsia="en-IN"/>
          <w14:ligatures w14:val="none"/>
        </w:rPr>
        <w:lastRenderedPageBreak/>
        <w:t>hand, focused on the obesity pathway, emphasising the concept of diabetes management as a determinant of renal deterioration. Dependence on electronic health records, however, might have introduced coding inaccuracies and missing clinical data. Insulin resistance and central adiposity independently increased the incidence of CKD even after adjustment for body mass index.</w:t>
      </w:r>
    </w:p>
    <w:p w14:paraId="13C0E57B" w14:textId="77777777" w:rsidR="00F02E6B" w:rsidRPr="003C6276" w:rsidRDefault="00F02E6B" w:rsidP="00F02E6B">
      <w:pPr>
        <w:pStyle w:val="Heading3"/>
      </w:pPr>
      <w:bookmarkStart w:id="45" w:name="_Toc240985869"/>
      <w:bookmarkStart w:id="46" w:name="_Toc241055994"/>
      <w:r w:rsidRPr="003C6276">
        <w:t>2.2.2 Dietary factors, smoking and physical inactivity as lifestyle behaviour</w:t>
      </w:r>
      <w:bookmarkEnd w:id="45"/>
      <w:bookmarkEnd w:id="46"/>
    </w:p>
    <w:p w14:paraId="6A306D9B"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Lifestyle-related behaviour has emerged as a significant modifiable determinant of chronic kidney disease among adults in the UK. Unhealthy dietary patterns, smoking, excessive consumption of alcohol and physical inactivity contribute to metabolic disorders, which accelerate renal decline. Seidu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conducted a meta-analysis and systematic review of 1.2 million participants and 12 cohort studies to examine the relationship between CKD risk and physical activity.</w:t>
      </w:r>
    </w:p>
    <w:p w14:paraId="5EE9CFE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One of the major strengths of the study was the consideration of large sample sizes that enhance the statistical power. Neale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similarly undertook a meta-analysis and systematic review evaluating the lifestyle intervention like dietary modification and exercise, among individuals with CKD. However, the author highlighted that there was a lot of variation between trials in terms of intervention duration and intensity, which made comparison extremely challenging. But the majority of the research relies on observational studies, which make it difficult to prove a link between metabolic abnormality and the advancement of CKD.</w:t>
      </w:r>
    </w:p>
    <w:p w14:paraId="4ADA2078"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Liu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in contrast, reviewed longitudinal evidence linking modifiable wrist factors across the life course with adult CKD. It was concluded that poor nutrition, smoking and access to adiposity were directly associated with poor renal outcome. Obese and overweight adults exhibit substantially higher prevalence of CKD than individuals of healthy weight. Though it supports the role of lifestyle factors, it remains difficult to separate underlying biological mechanisms such as hypertension and diabetes from behavioural influence (NHS England Digital, 2024).</w:t>
      </w:r>
    </w:p>
    <w:p w14:paraId="2D1C7AFB" w14:textId="77777777" w:rsidR="00F02E6B" w:rsidRPr="003C6276" w:rsidRDefault="00F02E6B" w:rsidP="00F02E6B">
      <w:pPr>
        <w:pStyle w:val="Heading3"/>
      </w:pPr>
      <w:bookmarkStart w:id="47" w:name="_Toc240985870"/>
      <w:bookmarkStart w:id="48" w:name="_Toc241055995"/>
      <w:r w:rsidRPr="003C6276">
        <w:t>2.2.3 Cardiovascular and metabolic profile</w:t>
      </w:r>
      <w:bookmarkEnd w:id="47"/>
      <w:bookmarkEnd w:id="48"/>
    </w:p>
    <w:p w14:paraId="38A6AB6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Recent research increasingly suggests that individual factors cannot explain the development of CKD. Weldegiorgis and Woodward (2022) conducted a large UK cohort study involving 911360 individuals to investigate CKD-related risk and lipid profile. The major strength of the study was an exceptionally large sample size and a long follow-up period. Lengton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in comparison, highlighted that diabetes and hypertension mediated much of the association between CKD and obesity.</w:t>
      </w:r>
    </w:p>
    <w:p w14:paraId="6D0B4FEF"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The study, however, might underestimate other mechanisms like oxidative stress and inflammation that were not completely measured. Wang</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 xml:space="preserve">(2025) further analysed bio Bank data of the UK from 398000 adults and reported that waist circumference, Central obesity and insulin resistance significantly increased both last-stage kidney disease risk and CKD. Seidu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conversely stated that lifestyle factors like physical activity can attenuate many metabolic risks associated with CKD. Hence, the evidence from Lengton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aligned with obesity and CKD by diabetes and hypertension, however, Weldegiorgis and Woodward (2022) identified lipid-related metabolic factors associated with advanced CKD. Although, these observational studies may not build causality, and their reliance on clinical or population records by introducing measurement and coding limitations. Therefore, the literature supports an interconnected interpretation as well as identifying one determinant as independently responsible for CKD progression. </w:t>
      </w:r>
    </w:p>
    <w:p w14:paraId="66066DC5" w14:textId="77777777" w:rsidR="00F02E6B" w:rsidRPr="003C6276" w:rsidRDefault="00F02E6B" w:rsidP="00F02E6B">
      <w:pPr>
        <w:pStyle w:val="Heading2"/>
      </w:pPr>
      <w:bookmarkStart w:id="49" w:name="_Toc240985871"/>
      <w:bookmarkStart w:id="50" w:name="_Toc241055996"/>
      <w:r w:rsidRPr="003C6276">
        <w:t>2.3 Examining socioeconomic and environmental determinants influencing CKD prevalence and progression</w:t>
      </w:r>
      <w:bookmarkEnd w:id="49"/>
      <w:bookmarkEnd w:id="50"/>
      <w:r w:rsidRPr="003C6276">
        <w:t xml:space="preserve"> </w:t>
      </w:r>
    </w:p>
    <w:p w14:paraId="1FAE18C7"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As per the view of Grant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income, education, housing, work, and environmental threats have all been linked not just to the emergence of CKD, but also to delays in diagnosis and treatment. Lyssenko and Vaag, (2023) emphasise that biological risk factors such as genetics, diabetes and hypertension are still very significant in the development of CKD.</w:t>
      </w:r>
    </w:p>
    <w:p w14:paraId="74F94795" w14:textId="77777777" w:rsidR="00F02E6B" w:rsidRPr="003C6276" w:rsidRDefault="00F02E6B" w:rsidP="00F02E6B">
      <w:pPr>
        <w:pStyle w:val="Heading3"/>
      </w:pPr>
      <w:bookmarkStart w:id="51" w:name="_Toc240985872"/>
      <w:bookmarkStart w:id="52" w:name="_Toc241055997"/>
      <w:r w:rsidRPr="003C6276">
        <w:t>2.3.1 Income and Health Inequalities</w:t>
      </w:r>
      <w:bookmarkEnd w:id="51"/>
      <w:bookmarkEnd w:id="52"/>
    </w:p>
    <w:p w14:paraId="1A3C0F4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According to the view of Rao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income and poverty play an important role in examining the issue of CKD disparity in the UK. It has been observed in a previous study by Sawhney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that people who live in underprivileged areas are more likely to have advanced chronic kidney disease (CKD), which lowers their survival rate and increases their reliance on dialysis. On the other hand, Swamy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specifies that there is conflicting evidence indicating that these may not be the most important factors in determining CKD progression. The NHS England, (2019) stated that it has tried to address issues of inequality with the help of programs such as the Health Inequalities Improvement Program (HiQiP), along with screening within poor communities.</w:t>
      </w:r>
    </w:p>
    <w:p w14:paraId="0D23AD4E" w14:textId="77777777" w:rsidR="00F02E6B" w:rsidRPr="003C6276" w:rsidRDefault="00F02E6B" w:rsidP="00F02E6B">
      <w:pPr>
        <w:pStyle w:val="Heading3"/>
      </w:pPr>
      <w:bookmarkStart w:id="53" w:name="_Toc240985873"/>
      <w:bookmarkStart w:id="54" w:name="_Toc241055998"/>
      <w:r w:rsidRPr="003C6276">
        <w:t>2.3.2 Education and Health Literacy</w:t>
      </w:r>
      <w:bookmarkEnd w:id="53"/>
      <w:bookmarkEnd w:id="54"/>
      <w:r w:rsidRPr="003C6276">
        <w:t xml:space="preserve"> </w:t>
      </w:r>
    </w:p>
    <w:p w14:paraId="2CBC42E2"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Huang,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emphasized that education as well as health literacy are important determinants in the awareness of CKD, its prevention as well as management. NHS RightCare (2025) reported that health literacy campaigns in the UK consist of NHS-led initiatives. These </w:t>
      </w:r>
      <w:r w:rsidRPr="003C6276">
        <w:rPr>
          <w:rFonts w:ascii="Arial" w:eastAsia="Arial" w:hAnsi="Arial" w:cs="Arial"/>
          <w:kern w:val="0"/>
          <w:lang w:eastAsia="en-IN"/>
          <w14:ligatures w14:val="none"/>
        </w:rPr>
        <w:lastRenderedPageBreak/>
        <w:t xml:space="preserve">have focused on the improvement of the knowledge of the patients as well as empowering the communities to understand the early symptoms of CKD. </w:t>
      </w:r>
    </w:p>
    <w:p w14:paraId="4D5E9EC2"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However, contrary views by Kanagaratnam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shows that merely educating individuals cannot improve outcomes. There are systemic limitations such as limited availability of expert nephrology care facilities, limited resources for primary care, and even linguistic barriers that can hinder the effective usage of health literacy skills. Despite knowledge about the diseases, navigating complicated medical care is difficult for many patients.</w:t>
      </w:r>
    </w:p>
    <w:p w14:paraId="41FD5D55"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Critically, Shishkin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(2025) emphasised that while education enhances the individual agency, there is a high need for structural changes in the healthcare systems. Not addressing the systemic inequalities, the initiatives for healthcare literacy can also become insufficient in reducing the prevalence of CDK.</w:t>
      </w:r>
    </w:p>
    <w:p w14:paraId="2FF24C17" w14:textId="1B49CEEB" w:rsidR="00F02E6B" w:rsidRPr="003C6276" w:rsidRDefault="00F02E6B" w:rsidP="00F02E6B">
      <w:pPr>
        <w:pStyle w:val="Heading3"/>
      </w:pPr>
      <w:bookmarkStart w:id="55" w:name="_Toc240985874"/>
      <w:bookmarkStart w:id="56" w:name="_Toc241055999"/>
      <w:r w:rsidRPr="003C6276">
        <w:t>2.3.</w:t>
      </w:r>
      <w:r w:rsidR="000756DC" w:rsidRPr="003C6276">
        <w:t>3</w:t>
      </w:r>
      <w:r w:rsidRPr="003C6276">
        <w:t xml:space="preserve"> Employment and Occupational Risks</w:t>
      </w:r>
      <w:bookmarkEnd w:id="55"/>
      <w:bookmarkEnd w:id="56"/>
      <w:r w:rsidRPr="003C6276">
        <w:t xml:space="preserve"> </w:t>
      </w:r>
    </w:p>
    <w:p w14:paraId="7D5DC965"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Park and Kang (2025) showcase the status of employment as well as the occupational conditions that impose the impact on the prevalence of CKD and its overall progression in the UK. The problem of unemployment as well as precarious work generally leads to financial insecurity, less access to healthcare as well as high levels of stress. Some of the job roles that consist of exposure to heavy metals, solvents, or physically demanding labour, have been associated with increased risk of renal problems. These factors showcase the importance of health and safety regulations for the workplace that helps in eliminating the risk of CKD. Nevertheless, Jiang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presents differing views claiming that occupational exposure is less influential than lifestyle issues like being overweight, smoking, and improper nutrition. Magalhães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(2022) state that there is an important policy implication involved, in spite of efforts by the NHS, which are mainly concerned with lifestyle modification, there is also a need to include occupational health monitoring as well as monitoring among unemployed individuals.</w:t>
      </w:r>
    </w:p>
    <w:p w14:paraId="12042CFE" w14:textId="353D2C4A" w:rsidR="00F02E6B" w:rsidRPr="003C6276" w:rsidRDefault="00F02E6B" w:rsidP="00F02E6B">
      <w:pPr>
        <w:pStyle w:val="Heading3"/>
      </w:pPr>
      <w:bookmarkStart w:id="57" w:name="_Toc240985875"/>
      <w:bookmarkStart w:id="58" w:name="_Toc241056000"/>
      <w:r w:rsidRPr="003C6276">
        <w:t>2.3.</w:t>
      </w:r>
      <w:r w:rsidR="000756DC" w:rsidRPr="003C6276">
        <w:t>4</w:t>
      </w:r>
      <w:r w:rsidRPr="003C6276">
        <w:t xml:space="preserve"> Housing and Environmental Quality</w:t>
      </w:r>
      <w:bookmarkEnd w:id="57"/>
      <w:bookmarkEnd w:id="58"/>
      <w:r w:rsidRPr="003C6276">
        <w:t xml:space="preserve"> </w:t>
      </w:r>
    </w:p>
    <w:p w14:paraId="453EC525"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As per the opinion of, Raihan (2023) associates air pollution and exposure to toxic substances with kidney problems, on the other hand, Huang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presented a contrasting position that environmental variables have relatively limited direct influence across the UK context. WHO (2018) also emphasised that poor social housing conditions, especially in deprived neighbourhoods, increase vulnerability to these diseases. Hence, the need for environmental laws to protect public health. Environmental determinants need additional critical treatment as </w:t>
      </w:r>
      <w:r w:rsidRPr="003C6276">
        <w:rPr>
          <w:rFonts w:ascii="Arial" w:eastAsia="Arial" w:hAnsi="Arial" w:cs="Arial"/>
          <w:kern w:val="0"/>
          <w:lang w:eastAsia="en-IN"/>
          <w14:ligatures w14:val="none"/>
        </w:rPr>
        <w:lastRenderedPageBreak/>
        <w:t>the evidence identified in the review is comparatively limited. These differences indicate that environmental exposure may not be presented as a primary cause of CKD. The evidence indicates an environmental gap concerning the way housing quality, pollution and occupational exposure may interact with established biological and socioeconomic vulnerabilities. This differentiation enhances the critical analysis by segregating evidence-supported determinants from weak areas.</w:t>
      </w:r>
    </w:p>
    <w:p w14:paraId="141DF11D" w14:textId="482427BA" w:rsidR="00F02E6B" w:rsidRPr="003C6276" w:rsidRDefault="00F02E6B" w:rsidP="00F02E6B">
      <w:pPr>
        <w:pStyle w:val="Heading3"/>
      </w:pPr>
      <w:bookmarkStart w:id="59" w:name="_Toc240985876"/>
      <w:bookmarkStart w:id="60" w:name="_Toc241056001"/>
      <w:r w:rsidRPr="003C6276">
        <w:t>2.3.</w:t>
      </w:r>
      <w:r w:rsidR="000756DC" w:rsidRPr="003C6276">
        <w:t>5</w:t>
      </w:r>
      <w:r w:rsidRPr="003C6276">
        <w:t xml:space="preserve"> Geographic and Regional Disparities</w:t>
      </w:r>
      <w:bookmarkEnd w:id="59"/>
      <w:bookmarkEnd w:id="60"/>
      <w:r w:rsidRPr="003C6276">
        <w:t xml:space="preserve"> </w:t>
      </w:r>
    </w:p>
    <w:p w14:paraId="5BB7A2C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Nightingale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(2025) also highlighted the regional variations in the provisions available for dialysis as well as high waiting times for transplants. Contradictory evidence, however, suggests that national-level NHS reforms and standardised clinical guidelines are gradually reducing such inequalities. Persaud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state that advances in primary care screening and access to specialists has improved equity issues especially with regard to early detection. Knechtle and Marson (2024) highlight that effective kidney transplantation requires comprehensive clinical management and appropriate consideration of patient-specific factors to support successful treatment outcomes. Importantly, although there have been advances, existing geographic discrepancies call for further investment in poorer areas. Carrillo-Alvarez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stated that epidemiological patterns exist because of the income, inequalities, limited exposure to education and health, literacy, precarious employment as well as operational risks along with poor housing and environmental exposure with geographic disparities. </w:t>
      </w:r>
    </w:p>
    <w:p w14:paraId="2EEB88F3"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Therefore, the socioeconomic literature also demonstrates that determinants operate through different mechanisms. Income and deprivation may hinder the access to preventative services, on the other hand, education and health literacy can influence awareness and self-management. However, only education may not mitigate limited specialist provision, language barriers or restricted primary-care resources (Kanagaratnam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In this similar context, occupational exposure remains investigated, as Jiang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places higher emphasis on lifestyle factors than workplace exposure. Likewise, socioeconomic, environmental and occupational determinants need to be discussed separately before their potential interactions.</w:t>
      </w:r>
    </w:p>
    <w:p w14:paraId="1CF1AD05" w14:textId="77777777" w:rsidR="00F02E6B" w:rsidRPr="003C6276" w:rsidRDefault="00F02E6B" w:rsidP="00F02E6B">
      <w:pPr>
        <w:pStyle w:val="Heading2"/>
      </w:pPr>
      <w:bookmarkStart w:id="61" w:name="_Toc240985877"/>
      <w:bookmarkStart w:id="62" w:name="_Toc241056002"/>
      <w:r w:rsidRPr="003C6276">
        <w:t>2.4 Challenges in the Management and Treatment of CKD within UK Healthcare Settings</w:t>
      </w:r>
      <w:bookmarkEnd w:id="61"/>
      <w:bookmarkEnd w:id="62"/>
    </w:p>
    <w:p w14:paraId="7E874B04" w14:textId="77777777" w:rsidR="00F02E6B" w:rsidRPr="003C6276" w:rsidRDefault="00F02E6B" w:rsidP="00F02E6B">
      <w:pPr>
        <w:pStyle w:val="Heading3"/>
      </w:pPr>
      <w:bookmarkStart w:id="63" w:name="_Toc240985878"/>
      <w:bookmarkStart w:id="64" w:name="_Toc241056003"/>
      <w:r w:rsidRPr="003C6276">
        <w:t>2.4.1 Late Diagnosis and Limited Screening</w:t>
      </w:r>
      <w:bookmarkEnd w:id="63"/>
      <w:bookmarkEnd w:id="64"/>
      <w:r w:rsidRPr="003C6276">
        <w:t xml:space="preserve"> </w:t>
      </w:r>
    </w:p>
    <w:p w14:paraId="2755CD1E"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Maringhini and Zoccali (2024), presents that one of the most persistent challenges in the management of CKD in the UK is the problem of late diagnostics. CKD generally does not </w:t>
      </w:r>
      <w:r w:rsidRPr="003C6276">
        <w:rPr>
          <w:rFonts w:ascii="Arial" w:eastAsia="Arial" w:hAnsi="Arial" w:cs="Arial"/>
          <w:kern w:val="0"/>
          <w:lang w:eastAsia="en-IN"/>
          <w14:ligatures w14:val="none"/>
        </w:rPr>
        <w:lastRenderedPageBreak/>
        <w:t xml:space="preserve">show any symptoms in the early stages and patients come only when it gets too late and the renal function deteriorates. Such delays increase the dependence on dialysis and it also reduces the effectiveness of the preventive interventions. However, contrary viewpoints by Mayne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(2024) also indicates that the NHS has been able to make some headway by introducing eGFR screening tests and other initiatives aimed at conducting screening exercises.</w:t>
      </w:r>
    </w:p>
    <w:p w14:paraId="21AACAB2"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However, Eneanya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(2022) argues it is important to acknowledge that the problem has been exacerbated by inequalities in screening practices. While there has been some improvement in terms of detecting more cases of CKD, certain disadvantaged populations continue to lack access to these diagnostic procedures. The real problem with screening initiatives is not lack of diagnosis, but rather the inconsistent implementation of screening procedures.</w:t>
      </w:r>
    </w:p>
    <w:p w14:paraId="302EDD7D" w14:textId="77777777" w:rsidR="00F02E6B" w:rsidRPr="003C6276" w:rsidRDefault="00F02E6B" w:rsidP="00F02E6B">
      <w:pPr>
        <w:pStyle w:val="Heading3"/>
      </w:pPr>
      <w:bookmarkStart w:id="65" w:name="_Toc240985879"/>
      <w:bookmarkStart w:id="66" w:name="_Toc241056004"/>
      <w:r w:rsidRPr="003C6276">
        <w:t>2.4.2 Resource Constraints and Workforce Shortages</w:t>
      </w:r>
      <w:bookmarkEnd w:id="65"/>
      <w:bookmarkEnd w:id="66"/>
      <w:r w:rsidRPr="003C6276">
        <w:t xml:space="preserve"> </w:t>
      </w:r>
    </w:p>
    <w:p w14:paraId="10F3E18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Lack of resources and workforce shortages are one of the significant challenges which affects CKD management in the UK. Pollock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(2022), states that CKD management is a resource intensive process that requires dialysis units, transplant programs and related resources as well as specialist nephrology services. The shortages of the workforce especially the renal nurses as well nephrologists that leads to the issue of long waiting periods as well as fragmented care. Such shortages reduce the continuity of the treatment and also lead to the poor patient outcomes.</w:t>
      </w:r>
    </w:p>
    <w:p w14:paraId="7720893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However, Holt (2021) argued that the shortages of the workforce showcase the ineffective working and systemic pressure on the NHS. Prioritizing CKD would take attention away from other chronic diseases, indicating the need for a more balanced allocation approach. Importantly, Rao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(2024) stated that although CKD is not the only disease impacted by the workforce shortage, its large impact on health care costs and patients' well-being makes workforce planning necessary.</w:t>
      </w:r>
    </w:p>
    <w:p w14:paraId="363D8050"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As per the statistics of the Nursing Practice (2017), around 4.3% of the population above the age of 18 has a high prevalence of CKD. In this context, Chan et al. (2025) mentioned that the demand for nephrology services, diagnostic investigations, specialist consultations, dialysis treatment and kidney transplantation contributes to growth which may enhance the abilities.</w:t>
      </w:r>
    </w:p>
    <w:p w14:paraId="70705BD8"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Furthermore, lack of workforce enhances these issues on healthcare recruiting and retaining nephrologists, specialist nurses and allied healthcare professionals with expertise in renal care. In line with this, Wei</w:t>
      </w:r>
      <w:r w:rsidRPr="003C6276">
        <w:rPr>
          <w:rFonts w:ascii="Arial" w:eastAsia="Arial" w:hAnsi="Arial" w:cs="Arial"/>
          <w:i/>
          <w:iCs/>
          <w:kern w:val="0"/>
          <w:lang w:eastAsia="en-IN"/>
          <w14:ligatures w14:val="none"/>
        </w:rPr>
        <w:t xml:space="preserve"> et al.</w:t>
      </w:r>
      <w:r w:rsidRPr="003C6276">
        <w:rPr>
          <w:rFonts w:ascii="Arial" w:eastAsia="Arial" w:hAnsi="Arial" w:cs="Arial"/>
          <w:kern w:val="0"/>
          <w:lang w:eastAsia="en-IN"/>
          <w14:ligatures w14:val="none"/>
        </w:rPr>
        <w:t xml:space="preserve"> (2024) provided insights that the poor healthcare staffing levels </w:t>
      </w:r>
      <w:r w:rsidRPr="003C6276">
        <w:rPr>
          <w:rFonts w:ascii="Arial" w:eastAsia="Arial" w:hAnsi="Arial" w:cs="Arial"/>
          <w:kern w:val="0"/>
          <w:lang w:eastAsia="en-IN"/>
          <w14:ligatures w14:val="none"/>
        </w:rPr>
        <w:lastRenderedPageBreak/>
        <w:t>can increase workloads, reduce consultation time and restrict opportunities for personalized patient support. These pressures may also affect the implementation of evidence-based clinical guidelines and continuity of care.</w:t>
      </w:r>
    </w:p>
    <w:p w14:paraId="2180650E"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Based on the view of Jha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the financial constraints represent an additional issue in which advanced CKD management, especially the dialysis and transplantation services, needs substantial healthcare expenditure. The service accessibility is also required to ensure sustainable delivery of high-quality renal care across the UK.</w:t>
      </w:r>
    </w:p>
    <w:p w14:paraId="55B1A007" w14:textId="77777777" w:rsidR="00F02E6B" w:rsidRPr="003C6276" w:rsidRDefault="00F02E6B" w:rsidP="00F02E6B">
      <w:pPr>
        <w:pStyle w:val="Heading3"/>
      </w:pPr>
      <w:bookmarkStart w:id="67" w:name="_Toc240985880"/>
      <w:bookmarkStart w:id="68" w:name="_Toc241056005"/>
      <w:r w:rsidRPr="003C6276">
        <w:t>2.4.3 Patient Adherence and Self-Management</w:t>
      </w:r>
      <w:bookmarkEnd w:id="67"/>
      <w:bookmarkEnd w:id="68"/>
      <w:r w:rsidRPr="003C6276">
        <w:t xml:space="preserve"> </w:t>
      </w:r>
    </w:p>
    <w:p w14:paraId="1A55137F"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patient adherence and self-management present a major challenge in the treatment and long-term management of CKD. Rivera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(2022) signifies that the management of CKD relies heavily on patient compliance with complex regimens of medication, dietary restrictions and lifestyle changes. Literacy barriers, poverty, and psychological stress have been demonstrated as factors affecting poor adherence and decline in health status. Contradictory evidence by Sawaf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questions the focus on adherence, suggesting that, in many cases, biological factors such as genetic predisposition and comorbidities are more important than behavioural factors. There are underlying biological risks for highly compliant patients that can lead to disease progression. This poses important questions regarding the scope and scale of the potential for changes in the trajectory of CKD through self-management. The NHS campaigns to increase adherence have been underway, but critics say these will be more useful if they tackle systemic issues like poor care pathways.</w:t>
      </w:r>
    </w:p>
    <w:p w14:paraId="4CD9B8A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association with this, Patel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depicted that effective disease management may require the people to follow complex treatment pathways such as medication adherence, dietary restrictions, fluid management, regular monitoring and attendance at follow-up appointments. The poor adherence may lead to enhanced disease progression and higher rates of hospitalization as well.</w:t>
      </w:r>
    </w:p>
    <w:p w14:paraId="578D4CAF"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addition to this, poor health literacy is a significant factor affecting self-management behaviours. The people may struggle to identify the importance of adhering to prescribed interventions without a clear understanding of their condition. Furthermore, Alarabi,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(2024) emphasise that the factors like misinformation, cultural beliefs and communication barriers can negatively affect patient engagement and decision-making.</w:t>
      </w:r>
    </w:p>
    <w:p w14:paraId="62C3BEFF"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psychological and social factors also influence treatment adherence. Anxiety, depression, financial difficulties and inadequate family support can reduce motivation to maintain recommended health behaviours (Bailey</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 xml:space="preserve">2024). The complex medication schedules and </w:t>
      </w:r>
      <w:r w:rsidRPr="003C6276">
        <w:rPr>
          <w:rFonts w:ascii="Arial" w:eastAsia="Arial" w:hAnsi="Arial" w:cs="Arial"/>
          <w:kern w:val="0"/>
          <w:lang w:eastAsia="en-IN"/>
          <w14:ligatures w14:val="none"/>
        </w:rPr>
        <w:lastRenderedPageBreak/>
        <w:t>dietary requirements may create treatment burdens for discouraging long-term compliance. Hence, the inadequate self-management is associated with poor clinical outcomes by reducing quality of life. Personalised support and effective communication strategies to enhance adherence, promote self-management and improve CKD outcomes across the UK healthcare context.</w:t>
      </w:r>
    </w:p>
    <w:p w14:paraId="0A832C49"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primary limitation in the current research is the lack of connection between biological factors (genetic susceptibility, co-morbidities), as well as the behavioural and systems-based factors. Thus, there remains confusion as to which factor has greater influence on self-management or disease progression itself.</w:t>
      </w:r>
    </w:p>
    <w:p w14:paraId="6546925B" w14:textId="77777777" w:rsidR="00F02E6B" w:rsidRPr="003C6276" w:rsidRDefault="00F02E6B" w:rsidP="00F02E6B">
      <w:pPr>
        <w:pStyle w:val="Heading2"/>
      </w:pPr>
      <w:bookmarkStart w:id="69" w:name="_Toc240985881"/>
      <w:bookmarkStart w:id="70" w:name="_Toc241056006"/>
      <w:r w:rsidRPr="003C6276">
        <w:t>2.5 Evidence based strategies for prevention and management of CKD</w:t>
      </w:r>
      <w:bookmarkEnd w:id="69"/>
      <w:bookmarkEnd w:id="70"/>
    </w:p>
    <w:p w14:paraId="5F69A2D8" w14:textId="77777777" w:rsidR="00F02E6B" w:rsidRPr="003C6276" w:rsidRDefault="00F02E6B" w:rsidP="00F02E6B">
      <w:pPr>
        <w:pStyle w:val="Heading3"/>
      </w:pPr>
      <w:bookmarkStart w:id="71" w:name="_Toc240985882"/>
      <w:bookmarkStart w:id="72" w:name="_Toc241056007"/>
      <w:r w:rsidRPr="003C6276">
        <w:t>2.5.1 Early detection and screening programmes</w:t>
      </w:r>
      <w:bookmarkEnd w:id="71"/>
      <w:bookmarkEnd w:id="72"/>
    </w:p>
    <w:p w14:paraId="729926FC"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Early detection and screening are the most effective strategies to prevent chronic kidney disease (CKD) progression by minimising challenges. CKD can develop without recognised CKD symptoms during their initial stages which results in delayed diagnosis and missed opportunities for timely intervention. In this context, Farrell and Vassalotti (2024) stated that routine screening of high-risk populations including people of the age 50 and above having major health conditions. However, the gap has been also identified from this article by emphasising the importance of screening high-risk populations which does not establish the way screening can be consistently implemented across the different primary-care settings. Therefore, healthcare experts can identify kidney dysfunction before major disruption occurs by regular monitoring of estimated glomerular filtration rate (eGFR) and urine albumin-to-creatinine ratio (ACR).</w:t>
      </w:r>
    </w:p>
    <w:p w14:paraId="78798EA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addition to this, Bobrowska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(2022) asserted that the national clinical guidelines of the UK focus on targeted screening and risk assessment in primary care for CKD. However, the gaps have been found in the broad potential of targeted screening in the UK, more evidence is needed on the practical resources, workforce capacity and inequalities limiting their consistent implementation. In supporting the prior recommendations, Yeo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also suggested that systematic screening programmes are cost-effective as these strategies can reduce the costs of advanced CKD treatment. On the other hand, this author has also recognised gaps on potential cost-effectiveness of long-term economic sustainability of CKD screening programmes and their effectiveness across the different high-risk population groups. Thus, early detection strategies are a major element of evidence-based CKD prevention and management across UK healthcare systems.</w:t>
      </w:r>
    </w:p>
    <w:p w14:paraId="6A6369DF" w14:textId="77777777" w:rsidR="00F02E6B" w:rsidRPr="003C6276" w:rsidRDefault="00F02E6B" w:rsidP="00F02E6B">
      <w:pPr>
        <w:pStyle w:val="Heading3"/>
      </w:pPr>
      <w:bookmarkStart w:id="73" w:name="_Toc240985883"/>
      <w:bookmarkStart w:id="74" w:name="_Toc241056008"/>
      <w:r w:rsidRPr="003C6276">
        <w:lastRenderedPageBreak/>
        <w:t>2.5.2 Lifestyle modification and risk factor management</w:t>
      </w:r>
      <w:bookmarkEnd w:id="73"/>
      <w:bookmarkEnd w:id="74"/>
    </w:p>
    <w:p w14:paraId="02E186E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Lifestyle modification represents an insightful evidence-based strategy which is able to prevent the high CKD among the UK people. In this regard, WHO (2024) identified obesity, smoking, unhealthy dietary habits, excessive alcohol consumption and physical inactivity as modifiable risk factors contributing to kidney disease. This addresses behaviour which can improve kidney health by reducing the burden of CKD across populations. In this regard, Trakarnvanich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provided scientific insights that the salt intake reduction is highly beneficial as hypertension is a major contributor to CKD progression. The sustainability of dietary adherences remains insufficiently explored in this article for real-world populations. Hence, regular physical activity further supports weight management, cardiovascular health and metabolic regulation to reduce the risk of developing diabetes and hypertension.</w:t>
      </w:r>
    </w:p>
    <w:p w14:paraId="2101EFB1"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addition to this, Fu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opined that tobacco use has been associated with the acceleration of kidney function decline and high cardiovascular risk among CKD patients. Although longitudinal research is required to evaluate the effectiveness of target smoking cessation interventions specifically among the people at risk of CKD. Hence, the lifestyle modification strategies can address several determinants of CKD simultaneously.</w:t>
      </w:r>
    </w:p>
    <w:p w14:paraId="6255189E" w14:textId="77777777" w:rsidR="00F02E6B" w:rsidRPr="003C6276" w:rsidRDefault="00F02E6B" w:rsidP="00F02E6B">
      <w:pPr>
        <w:pStyle w:val="Heading3"/>
      </w:pPr>
      <w:bookmarkStart w:id="75" w:name="_Toc240985884"/>
      <w:bookmarkStart w:id="76" w:name="_Toc241056009"/>
      <w:r w:rsidRPr="003C6276">
        <w:t>2.5.3 Multidisciplinary care and patient education</w:t>
      </w:r>
      <w:bookmarkEnd w:id="75"/>
      <w:bookmarkEnd w:id="76"/>
    </w:p>
    <w:p w14:paraId="759E4288"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Multidisciplinary treatment and patient education are indicated as critical techniques for improving CKD management and patient outcomes. CKD is a complex chronic condition that may co-exist with diabetes, hypertension, cardiovascular disease and other health problems (National Kidney Foundation, 2023). As a result, effective managements are required for coordination input from multiple healthcare professionals on this several health conditions</w:t>
      </w:r>
    </w:p>
    <w:p w14:paraId="536B532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Multidisciplinary approaches can offer a thorough evaluation, treatment planning, drug administration, dietary advice, and routine monitoring. In line with this, Kern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indicated that coordinated care improves communication among healthcare professionals. The conceptual discussion does not establish by producing multidisciplinary models for CKD improvements outcomes. This helps to promote continuity of care to reduce treatment fragmentation by enhancing patient satisfaction.</w:t>
      </w:r>
    </w:p>
    <w:p w14:paraId="5761701B"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this regard, Polsook and Aungsuroch (2024) proposed that self-management programmes contribute to better clinical outcomes including improved blood pressure control and reduced disease progression. Although, the direct applicability of this evidence to CKD populations requires further investigations. Thus, this multidisciplinary care with structured patient </w:t>
      </w:r>
      <w:r w:rsidRPr="003C6276">
        <w:rPr>
          <w:rFonts w:ascii="Arial" w:eastAsia="Arial" w:hAnsi="Arial" w:cs="Arial"/>
          <w:kern w:val="0"/>
          <w:lang w:eastAsia="en-IN"/>
          <w14:ligatures w14:val="none"/>
        </w:rPr>
        <w:lastRenderedPageBreak/>
        <w:t>education helps the healthcare providers to provide evidence-based strategies for CKD prevention across the UK.</w:t>
      </w:r>
    </w:p>
    <w:p w14:paraId="5016A874" w14:textId="77777777" w:rsidR="00F02E6B" w:rsidRPr="003C6276" w:rsidRDefault="00F02E6B" w:rsidP="00F02E6B">
      <w:pPr>
        <w:pStyle w:val="Heading3"/>
      </w:pPr>
      <w:bookmarkStart w:id="77" w:name="_Toc240985885"/>
      <w:bookmarkStart w:id="78" w:name="_Toc241056010"/>
      <w:r w:rsidRPr="003C6276">
        <w:t>2.5.4 Pharmacological and policy-based interventions</w:t>
      </w:r>
      <w:bookmarkEnd w:id="77"/>
      <w:bookmarkEnd w:id="78"/>
    </w:p>
    <w:p w14:paraId="10495285"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Pharmacological and policy-based interventions have a significant role to reduce CKD progression and improve healthcare outcomes. In this similar context, Pethő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described that affected individuals' quality of life can be improved by reducing complications and slowing the decline in kidney function with adequate pharmaceutical treatment. Angiotensin receptor blockers (ARBs) and angiotensin-converting enzyme inhibitors (ACE inhibitors) are commonly advised because they protect kidney function and assist manage blood pressure, particularly in individuals with proteinuria. On the other hand, Sinha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highlighted the effectiveness of sodium-glucose co-transporter-2 (SGLT2) inhibitors in reducing kidney disease progression and cardiovascular complications. However, gaps remain regarding long-term adherence, equitable access, real-world implementation and the translation of pharmacological evidence into routine clinical practices.</w:t>
      </w:r>
    </w:p>
    <w:p w14:paraId="67EF6CC4"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Furthermore, the pharmacological interventions, national health policies support evidence-based CKD management. The organizations such as National Institute for Health and Care Excellence (NICE) and the UK Kidney Association provide clinical guidelines that standardise screening, diagnosis, treatment and monitoring processes (UK Kidney Association, 2025). Hence, further research needs to analyse the integration, sustainability and equitable CKD prevention for the management strategies.</w:t>
      </w:r>
    </w:p>
    <w:p w14:paraId="672C7ABC" w14:textId="77777777" w:rsidR="00F02E6B" w:rsidRPr="003C6276" w:rsidRDefault="00F02E6B" w:rsidP="00F02E6B">
      <w:pPr>
        <w:pStyle w:val="Heading2"/>
      </w:pPr>
      <w:bookmarkStart w:id="79" w:name="_Toc240985886"/>
      <w:bookmarkStart w:id="80" w:name="_Toc241056011"/>
      <w:r w:rsidRPr="003C6276">
        <w:t>2.6 Theoretical implication</w:t>
      </w:r>
      <w:bookmarkEnd w:id="79"/>
      <w:bookmarkEnd w:id="80"/>
    </w:p>
    <w:p w14:paraId="306D6ED7" w14:textId="77777777" w:rsidR="00F02E6B" w:rsidRPr="003C6276" w:rsidRDefault="00F02E6B" w:rsidP="00F02E6B">
      <w:pPr>
        <w:pStyle w:val="Heading3"/>
      </w:pPr>
      <w:bookmarkStart w:id="81" w:name="_Toc240985887"/>
      <w:bookmarkStart w:id="82" w:name="_Toc241056012"/>
      <w:r w:rsidRPr="003C6276">
        <w:t>2.6.1 The Dahlgren and Whitehead Social Determinants of Health (SDH) Framework</w:t>
      </w:r>
      <w:bookmarkEnd w:id="81"/>
      <w:bookmarkEnd w:id="82"/>
    </w:p>
    <w:p w14:paraId="71420133"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Dahlgren and Whiteheads social determinant of health framework provide a relevant framework to understand the extent to which wider social economic and environmental conditions influence health inequality and CKD outcome. The model conceptualized health as being influenced by several interconnected layers including lifestyle factor, individual characteristics, community and social network, wider socio-economic condition, working and living condition, environment and cultural condition. The framework particularly is applicable to the present research because CKD cannot be completely understood through biological risk factors such as hypertension, diabetes and obesity.</w:t>
      </w:r>
    </w:p>
    <w:p w14:paraId="0C34EC3B"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Dahlgren and Whitehead framework provides a strategic structure for interpreting these relationships. Individual characteristics and lifestyle behaviours including age, diet, smoking and physical activity, can be aligned with social networks, employment, housing, income and </w:t>
      </w:r>
      <w:r w:rsidRPr="003C6276">
        <w:rPr>
          <w:rFonts w:ascii="Arial" w:eastAsia="Arial" w:hAnsi="Arial" w:cs="Arial"/>
          <w:kern w:val="0"/>
          <w:lang w:eastAsia="en-IN"/>
          <w14:ligatures w14:val="none"/>
        </w:rPr>
        <w:lastRenderedPageBreak/>
        <w:t>healthcare access. This application describes the main reason behind CKD prevention cannot depend on individual behaviour. The framework supports analysis of the way structural conditions may shape exposure, access to care and opportunities for effective self-management (van Zwieten</w:t>
      </w:r>
      <w:r w:rsidRPr="003C6276">
        <w:rPr>
          <w:rFonts w:ascii="Arial" w:eastAsia="Arial" w:hAnsi="Arial" w:cs="Arial"/>
          <w:i/>
          <w:iCs/>
          <w:kern w:val="0"/>
          <w:lang w:eastAsia="en-IN"/>
          <w14:ligatures w14:val="none"/>
        </w:rPr>
        <w:t xml:space="preserve"> et al.</w:t>
      </w:r>
      <w:r w:rsidRPr="003C6276">
        <w:rPr>
          <w:rFonts w:ascii="Arial" w:eastAsia="Arial" w:hAnsi="Arial" w:cs="Arial"/>
          <w:kern w:val="0"/>
          <w:lang w:eastAsia="en-IN"/>
          <w14:ligatures w14:val="none"/>
        </w:rPr>
        <w:t>, 2024). Similarly, WHO (2024) identifies social economic circumstances, accessibility to resources, living conditions and structural inequality as important influences on health outcomes. In the current research the framework therefore provides a useful lens for critically interpreting environments and socio-economic determinants identified in the literature. It complements the social ecological model by providing the greater emphasis on social and structural conditions that generate health inequalities. Consequently, the framework supports Research questions by enabling consideration of the ways in which social, individual, environmental and economic determinants collectively influence CKD management and risk among adults in the UK.</w:t>
      </w:r>
    </w:p>
    <w:p w14:paraId="655739B8"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noProof/>
          <w:kern w:val="0"/>
          <w:lang w:eastAsia="en-IN"/>
          <w14:ligatures w14:val="none"/>
        </w:rPr>
        <w:drawing>
          <wp:inline distT="114300" distB="114300" distL="114300" distR="114300" wp14:anchorId="0875C69C" wp14:editId="2950F290">
            <wp:extent cx="5473700" cy="4279900"/>
            <wp:effectExtent l="0" t="0" r="0" b="0"/>
            <wp:docPr id="1424846123"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17"/>
                    <a:srcRect/>
                    <a:stretch>
                      <a:fillRect/>
                    </a:stretch>
                  </pic:blipFill>
                  <pic:spPr>
                    <a:xfrm>
                      <a:off x="0" y="0"/>
                      <a:ext cx="5473700" cy="4279900"/>
                    </a:xfrm>
                    <a:prstGeom prst="rect">
                      <a:avLst/>
                    </a:prstGeom>
                    <a:ln/>
                  </pic:spPr>
                </pic:pic>
              </a:graphicData>
            </a:graphic>
          </wp:inline>
        </w:drawing>
      </w:r>
    </w:p>
    <w:p w14:paraId="5E4E4114" w14:textId="77777777" w:rsidR="00F02E6B" w:rsidRPr="003C6276" w:rsidRDefault="00F02E6B" w:rsidP="00F02E6B">
      <w:pPr>
        <w:pStyle w:val="Heading4"/>
      </w:pPr>
      <w:bookmarkStart w:id="83" w:name="_Toc241054918"/>
      <w:bookmarkStart w:id="84" w:name="_Toc241057603"/>
      <w:r w:rsidRPr="003C6276">
        <w:t>Figure 2.1: Dahlgren and Whitehead Social Determinants of Health Framework Applied to CKD in the UK</w:t>
      </w:r>
      <w:bookmarkEnd w:id="83"/>
      <w:bookmarkEnd w:id="84"/>
    </w:p>
    <w:p w14:paraId="7B23720E" w14:textId="6FDC7BB3"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(Source: </w:t>
      </w:r>
      <w:r w:rsidR="00FF4118">
        <w:rPr>
          <w:rFonts w:ascii="Arial" w:eastAsia="Arial" w:hAnsi="Arial" w:cs="Arial"/>
          <w:kern w:val="0"/>
          <w:lang w:eastAsia="en-IN"/>
          <w14:ligatures w14:val="none"/>
        </w:rPr>
        <w:t>C</w:t>
      </w:r>
      <w:r w:rsidRPr="003C6276">
        <w:rPr>
          <w:rFonts w:ascii="Arial" w:eastAsia="Arial" w:hAnsi="Arial" w:cs="Arial"/>
          <w:kern w:val="0"/>
          <w:lang w:eastAsia="en-IN"/>
          <w14:ligatures w14:val="none"/>
        </w:rPr>
        <w:t>reated</w:t>
      </w:r>
      <w:r w:rsidR="003A5F7C">
        <w:rPr>
          <w:rFonts w:ascii="Arial" w:eastAsia="Arial" w:hAnsi="Arial" w:cs="Arial"/>
          <w:kern w:val="0"/>
          <w:lang w:eastAsia="en-IN"/>
          <w14:ligatures w14:val="none"/>
        </w:rPr>
        <w:t xml:space="preserve"> by taken the ideas from </w:t>
      </w:r>
      <w:r w:rsidR="003A5F7C" w:rsidRPr="003C6276">
        <w:rPr>
          <w:rFonts w:ascii="Arial" w:eastAsia="Arial" w:hAnsi="Arial" w:cs="Arial"/>
          <w:kern w:val="0"/>
          <w:lang w:eastAsia="en-IN"/>
          <w14:ligatures w14:val="none"/>
        </w:rPr>
        <w:t>van Zwieten</w:t>
      </w:r>
      <w:r w:rsidR="003A5F7C" w:rsidRPr="003C6276">
        <w:rPr>
          <w:rFonts w:ascii="Arial" w:eastAsia="Arial" w:hAnsi="Arial" w:cs="Arial"/>
          <w:i/>
          <w:iCs/>
          <w:kern w:val="0"/>
          <w:lang w:eastAsia="en-IN"/>
          <w14:ligatures w14:val="none"/>
        </w:rPr>
        <w:t xml:space="preserve"> et al.</w:t>
      </w:r>
      <w:r w:rsidR="003A5F7C" w:rsidRPr="003C6276">
        <w:rPr>
          <w:rFonts w:ascii="Arial" w:eastAsia="Arial" w:hAnsi="Arial" w:cs="Arial"/>
          <w:kern w:val="0"/>
          <w:lang w:eastAsia="en-IN"/>
          <w14:ligatures w14:val="none"/>
        </w:rPr>
        <w:t>, 2024</w:t>
      </w:r>
      <w:r w:rsidRPr="003C6276">
        <w:rPr>
          <w:rFonts w:ascii="Arial" w:eastAsia="Arial" w:hAnsi="Arial" w:cs="Arial"/>
          <w:kern w:val="0"/>
          <w:lang w:eastAsia="en-IN"/>
          <w14:ligatures w14:val="none"/>
        </w:rPr>
        <w:t>)</w:t>
      </w:r>
    </w:p>
    <w:p w14:paraId="19DB8277" w14:textId="77777777" w:rsidR="00F02E6B" w:rsidRPr="003C6276" w:rsidRDefault="00F02E6B" w:rsidP="00F02E6B">
      <w:pPr>
        <w:pStyle w:val="Heading3"/>
      </w:pPr>
      <w:bookmarkStart w:id="85" w:name="_Toc240985888"/>
      <w:bookmarkStart w:id="86" w:name="_Toc241056013"/>
      <w:r w:rsidRPr="003C6276">
        <w:t>2.6.2 Social-ecological model</w:t>
      </w:r>
      <w:bookmarkEnd w:id="85"/>
      <w:bookmarkEnd w:id="86"/>
    </w:p>
    <w:p w14:paraId="1528E0FB"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model analyses CKD with the interactions such as individual, social, community, organisational and policy factors (Naidoo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Rather than focusing on individual perception, the model acknowledges that CKD risk is influenced by wide social determinants like healthcare accessibility, socio-economic deprivation, and health inequality and neighbourhood environment. The perspective is relevant in the case of the UK, where the prevalence of CKD is disproportionately higher among ethnic minority groups and deprived populations (The King’s Fund, 2023). The substantial correlation between higher CKD prevalence and socioeconomic disadvantage with mortality and progression using the synthesis technique. Liu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similarly undertook systematic review to investigate modifiable risk factors across the life course. The literature's findings indicated that poor diet, obesity, and inactivity combined with environmental factors to raise the risk of chronic kidney disease (CKD) in later life. However, the research primarily looked at lifestyle and socioeconomic factors independently, which provides little insight into how many ecological levels interact at the same time to affect the course of chronic kidney disease (CKD) in the UK healthcare system.</w:t>
      </w:r>
    </w:p>
    <w:p w14:paraId="5C4BB72D"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noProof/>
          <w:kern w:val="0"/>
          <w:lang w:eastAsia="en-IN"/>
          <w14:ligatures w14:val="none"/>
        </w:rPr>
        <w:drawing>
          <wp:inline distT="114300" distB="114300" distL="114300" distR="114300" wp14:anchorId="21765861" wp14:editId="54294173">
            <wp:extent cx="5143500" cy="2552700"/>
            <wp:effectExtent l="0" t="0" r="0" b="0"/>
            <wp:docPr id="1424846122" name="image5.gif"/>
            <wp:cNvGraphicFramePr/>
            <a:graphic xmlns:a="http://schemas.openxmlformats.org/drawingml/2006/main">
              <a:graphicData uri="http://schemas.openxmlformats.org/drawingml/2006/picture">
                <pic:pic xmlns:pic="http://schemas.openxmlformats.org/drawingml/2006/picture">
                  <pic:nvPicPr>
                    <pic:cNvPr id="0" name="image5.gif"/>
                    <pic:cNvPicPr preferRelativeResize="0"/>
                  </pic:nvPicPr>
                  <pic:blipFill>
                    <a:blip r:embed="rId18"/>
                    <a:srcRect/>
                    <a:stretch>
                      <a:fillRect/>
                    </a:stretch>
                  </pic:blipFill>
                  <pic:spPr>
                    <a:xfrm>
                      <a:off x="0" y="0"/>
                      <a:ext cx="5143500" cy="2552700"/>
                    </a:xfrm>
                    <a:prstGeom prst="rect">
                      <a:avLst/>
                    </a:prstGeom>
                    <a:ln/>
                  </pic:spPr>
                </pic:pic>
              </a:graphicData>
            </a:graphic>
          </wp:inline>
        </w:drawing>
      </w:r>
    </w:p>
    <w:p w14:paraId="5FBF29D0" w14:textId="77777777" w:rsidR="00F02E6B" w:rsidRPr="003C6276" w:rsidRDefault="00F02E6B" w:rsidP="00F02E6B">
      <w:pPr>
        <w:pStyle w:val="Heading4"/>
      </w:pPr>
      <w:bookmarkStart w:id="87" w:name="_heading=h.3511wb8ergyb" w:colFirst="0" w:colLast="0"/>
      <w:bookmarkStart w:id="88" w:name="_Toc240985942"/>
      <w:bookmarkStart w:id="89" w:name="_Toc241054919"/>
      <w:bookmarkStart w:id="90" w:name="_Toc241057604"/>
      <w:bookmarkEnd w:id="87"/>
      <w:r w:rsidRPr="003C6276">
        <w:t>Figure 2.2: Illustration of Social-ecological model</w:t>
      </w:r>
      <w:bookmarkEnd w:id="88"/>
      <w:bookmarkEnd w:id="89"/>
      <w:bookmarkEnd w:id="90"/>
    </w:p>
    <w:p w14:paraId="43B4030E"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(Source: Ewald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w:t>
      </w:r>
    </w:p>
    <w:p w14:paraId="6BE5F88A"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Social-Ecological Model helps a complementary aspect by considering individual, interpersonal, community, organisational and policy influences. In this regard, Schrauben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found that healthcare access, family support and community resources as relevant to self-management, although the qualitative evidence cannot address the effectiveness of model-based interventions across all UK populations. Hence, the current literature supports the model conceptually while highlighting limited quantitative evidence on their practical effectiveness. </w:t>
      </w:r>
    </w:p>
    <w:p w14:paraId="707CB8C5" w14:textId="77777777" w:rsidR="00F02E6B" w:rsidRPr="003C6276" w:rsidRDefault="00F02E6B" w:rsidP="00F02E6B">
      <w:pPr>
        <w:pStyle w:val="Heading2"/>
      </w:pPr>
      <w:bookmarkStart w:id="91" w:name="_Toc240985889"/>
      <w:bookmarkStart w:id="92" w:name="_Toc241056014"/>
      <w:r w:rsidRPr="003C6276">
        <w:lastRenderedPageBreak/>
        <w:t>2.7 Conceptual framework</w:t>
      </w:r>
      <w:bookmarkEnd w:id="91"/>
      <w:bookmarkEnd w:id="92"/>
    </w:p>
    <w:p w14:paraId="7BC95A78" w14:textId="77777777" w:rsidR="00F02E6B" w:rsidRPr="003C6276" w:rsidRDefault="00F02E6B" w:rsidP="00F02E6B">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noProof/>
          <w:kern w:val="0"/>
          <w:lang w:eastAsia="en-IN"/>
          <w14:ligatures w14:val="none"/>
        </w:rPr>
        <w:drawing>
          <wp:inline distT="114300" distB="114300" distL="114300" distR="114300" wp14:anchorId="4DC0CC2B" wp14:editId="78655CF8">
            <wp:extent cx="5321300" cy="4940300"/>
            <wp:effectExtent l="0" t="0" r="0" b="0"/>
            <wp:docPr id="1424846118"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9"/>
                    <a:srcRect/>
                    <a:stretch>
                      <a:fillRect/>
                    </a:stretch>
                  </pic:blipFill>
                  <pic:spPr>
                    <a:xfrm>
                      <a:off x="0" y="0"/>
                      <a:ext cx="5321300" cy="4940300"/>
                    </a:xfrm>
                    <a:prstGeom prst="rect">
                      <a:avLst/>
                    </a:prstGeom>
                    <a:ln/>
                  </pic:spPr>
                </pic:pic>
              </a:graphicData>
            </a:graphic>
          </wp:inline>
        </w:drawing>
      </w:r>
    </w:p>
    <w:p w14:paraId="76A0A600" w14:textId="77777777" w:rsidR="00F02E6B" w:rsidRPr="003C6276" w:rsidRDefault="00F02E6B" w:rsidP="00F02E6B">
      <w:pPr>
        <w:pStyle w:val="Heading4"/>
      </w:pPr>
      <w:bookmarkStart w:id="93" w:name="_heading=h.liohy2hyx29c" w:colFirst="0" w:colLast="0"/>
      <w:bookmarkStart w:id="94" w:name="_Toc240985943"/>
      <w:bookmarkStart w:id="95" w:name="_Toc241054920"/>
      <w:bookmarkStart w:id="96" w:name="_Toc241057605"/>
      <w:bookmarkEnd w:id="93"/>
      <w:r w:rsidRPr="003C6276">
        <w:t>Figure 2.3: Conceptual framework</w:t>
      </w:r>
      <w:bookmarkEnd w:id="94"/>
      <w:bookmarkEnd w:id="95"/>
      <w:bookmarkEnd w:id="96"/>
    </w:p>
    <w:p w14:paraId="0C0D4A4F" w14:textId="77777777" w:rsidR="00F02E6B" w:rsidRPr="003C6276" w:rsidRDefault="00F02E6B" w:rsidP="00F02E6B">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Self-made)</w:t>
      </w:r>
    </w:p>
    <w:p w14:paraId="74E8795C"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above conceptual framework is based on the CKD determinants, management challenges and health outcomes in the UK. The biological factors, such as diabetes, hypertension, age, lifestyle factors such as obesity, smoking, diet and socioeconomic determinants such as income, education, and healthcare access, affect CKD development and progression. These factors contribute to management challenges by improving evidence-based prevention and treatment strategies to consider the theoretical framework in improving patient outcomes.</w:t>
      </w:r>
    </w:p>
    <w:p w14:paraId="1584B543" w14:textId="77777777" w:rsidR="00F02E6B" w:rsidRPr="003C6276" w:rsidRDefault="00F02E6B" w:rsidP="00F02E6B">
      <w:pPr>
        <w:pStyle w:val="Heading2"/>
      </w:pPr>
      <w:bookmarkStart w:id="97" w:name="_Toc240985890"/>
      <w:bookmarkStart w:id="98" w:name="_Toc241056015"/>
      <w:r w:rsidRPr="003C6276">
        <w:t>2.8 Literature gap</w:t>
      </w:r>
      <w:bookmarkEnd w:id="97"/>
      <w:bookmarkEnd w:id="98"/>
    </w:p>
    <w:p w14:paraId="1F2A821D"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literature gap has been found from existing literatures stated more precisely. The existing studies provide evidence on individual determinants, socioeconomic inequalities, management challenges and prevention strategies. However, the evidence is fragmented </w:t>
      </w:r>
      <w:r w:rsidRPr="003C6276">
        <w:rPr>
          <w:rFonts w:ascii="Arial" w:eastAsia="Arial" w:hAnsi="Arial" w:cs="Arial"/>
          <w:kern w:val="0"/>
          <w:lang w:eastAsia="en-IN"/>
          <w14:ligatures w14:val="none"/>
        </w:rPr>
        <w:lastRenderedPageBreak/>
        <w:t xml:space="preserve">across study designs, populations and outcomes and some of the studies have not been specific with the UK or the direct CKD management across the adults. The differences in measurement, follow-up and methodological quality also limit direct comparison. This review has addressed a synthesis gap by bringing these determinants and management challenges together across a UK adult CKD context with explicit attention to evidence quality, uncertainty, context and transferability. </w:t>
      </w:r>
    </w:p>
    <w:p w14:paraId="3CCE63E8" w14:textId="77777777" w:rsidR="00F02E6B" w:rsidRPr="003C6276" w:rsidRDefault="00F02E6B" w:rsidP="00F02E6B">
      <w:pPr>
        <w:pStyle w:val="Heading2"/>
      </w:pPr>
      <w:bookmarkStart w:id="99" w:name="_Toc240985891"/>
      <w:bookmarkStart w:id="100" w:name="_Toc241056016"/>
      <w:r w:rsidRPr="003C6276">
        <w:t>2.9 Summary</w:t>
      </w:r>
      <w:bookmarkEnd w:id="99"/>
      <w:bookmarkEnd w:id="100"/>
    </w:p>
    <w:p w14:paraId="54DB9F29" w14:textId="77777777" w:rsidR="00F02E6B" w:rsidRPr="003C6276" w:rsidRDefault="00F02E6B" w:rsidP="00F02E6B">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This chapter has addressed the key determinants, management challenges and evidence-based strategies associated with CKD in the UK. The biological, lifestyle and socio-economic factors significantly influence disease development and progression. This literature review has also highlighted the challenges across healthcare delivery by identifying effective prevention and management strategies. The theoretic, conceptual framework and literary gap provide directions for the subsequent analysis.</w:t>
      </w:r>
    </w:p>
    <w:p w14:paraId="121CDA14" w14:textId="4F79C16F" w:rsidR="009F64C5" w:rsidRPr="003C6276" w:rsidRDefault="009F64C5" w:rsidP="00641B22">
      <w:pPr>
        <w:pStyle w:val="Heading1"/>
      </w:pPr>
      <w:r w:rsidRPr="003C6276">
        <w:t xml:space="preserve"> </w:t>
      </w:r>
      <w:bookmarkEnd w:id="11"/>
    </w:p>
    <w:p w14:paraId="53647217" w14:textId="77777777" w:rsidR="00F02E6B" w:rsidRPr="003C6276" w:rsidRDefault="00F02E6B">
      <w:pPr>
        <w:rPr>
          <w:rFonts w:asciiTheme="minorBidi" w:eastAsia="Times New Roman" w:hAnsiTheme="minorBidi"/>
          <w:b/>
          <w:color w:val="000000"/>
          <w:sz w:val="24"/>
        </w:rPr>
      </w:pPr>
      <w:bookmarkStart w:id="101" w:name="_Toc12218"/>
      <w:r w:rsidRPr="003C6276">
        <w:rPr>
          <w:rFonts w:asciiTheme="minorBidi" w:hAnsiTheme="minorBidi"/>
        </w:rPr>
        <w:br w:type="page"/>
      </w:r>
    </w:p>
    <w:p w14:paraId="374F82FF" w14:textId="77777777" w:rsidR="00EA040C" w:rsidRPr="003C6276" w:rsidRDefault="00DD7AA5" w:rsidP="00641B22">
      <w:pPr>
        <w:pStyle w:val="Heading1"/>
      </w:pPr>
      <w:bookmarkStart w:id="102" w:name="_Toc241056017"/>
      <w:r w:rsidRPr="003C6276">
        <w:lastRenderedPageBreak/>
        <w:t xml:space="preserve">Chapter 3: </w:t>
      </w:r>
      <w:r w:rsidR="009F64C5" w:rsidRPr="003C6276">
        <w:t>Research Methodology</w:t>
      </w:r>
      <w:bookmarkEnd w:id="102"/>
    </w:p>
    <w:p w14:paraId="73A4A9C0" w14:textId="77777777" w:rsidR="00EA040C" w:rsidRPr="003C6276" w:rsidRDefault="00EA040C" w:rsidP="00641B22">
      <w:pPr>
        <w:pStyle w:val="Heading2"/>
      </w:pPr>
      <w:bookmarkStart w:id="103" w:name="_Toc240985893"/>
      <w:bookmarkStart w:id="104" w:name="_Toc241056018"/>
      <w:r w:rsidRPr="003C6276">
        <w:t>3.1 Introduction to the Methodology</w:t>
      </w:r>
      <w:bookmarkEnd w:id="103"/>
      <w:bookmarkEnd w:id="104"/>
    </w:p>
    <w:p w14:paraId="0F11292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chapter critically evaluates the methodological decisions underpinning the systematic review of management and determinants of CKD management in UK adults. However systematic reviews are not free from bias that is being addressed in the chapter through ensuring the credibility of conclusion, based on the comprehensiveness of the eligibility, search, quality approval and synthesis procedure. Thus, the chapter offers a rationale for selecting a systems review as the appropriate research methods for the study regarding determinants and management challenge CKD among adults in the UK.</w:t>
      </w:r>
    </w:p>
    <w:p w14:paraId="2064A77E" w14:textId="77777777" w:rsidR="00EA040C" w:rsidRPr="003C6276" w:rsidRDefault="00EA040C" w:rsidP="00641B22">
      <w:pPr>
        <w:pStyle w:val="Heading2"/>
      </w:pPr>
      <w:bookmarkStart w:id="105" w:name="_Toc240985894"/>
      <w:bookmarkStart w:id="106" w:name="_Toc241056019"/>
      <w:r w:rsidRPr="003C6276">
        <w:t>3.2 Research Philosophy</w:t>
      </w:r>
      <w:bookmarkEnd w:id="105"/>
      <w:bookmarkEnd w:id="106"/>
    </w:p>
    <w:p w14:paraId="507A5CF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pragmatic research philosophy is efficient in the study as methodological decisions in the study are driven majorly by the research questions along with the practical value of synthesised evidence. Pratiwi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have outlined that pragmatism is a physical approach that considers truth as the outcome of practical consequences and empirical experience. The alternative of pragmatism, positivism could be efficient as it emphasises on objective measurement of the CKD determinants and effect relations. However, a positivism approach is avoided as it is restrictive where the evidence includes qualitative information regarding healthcare barriers and patient experience with the CKD care. Thus, the flexibility of pragmatism improves interpretivism complexities, enabling transparent processes for assessing and analysing wide evidence. </w:t>
      </w:r>
    </w:p>
    <w:p w14:paraId="014C9765" w14:textId="77777777" w:rsidR="00EA040C" w:rsidRPr="003C6276" w:rsidRDefault="00EA040C" w:rsidP="00641B22">
      <w:pPr>
        <w:pStyle w:val="Heading2"/>
      </w:pPr>
      <w:bookmarkStart w:id="107" w:name="_Toc240985895"/>
      <w:bookmarkStart w:id="108" w:name="_Toc241056020"/>
      <w:r w:rsidRPr="003C6276">
        <w:t>3.3 Research Approach</w:t>
      </w:r>
      <w:bookmarkEnd w:id="107"/>
      <w:bookmarkEnd w:id="108"/>
      <w:r w:rsidRPr="003C6276">
        <w:t xml:space="preserve"> </w:t>
      </w:r>
    </w:p>
    <w:p w14:paraId="7258AB3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study has adopted an inductive approach for enabling patterns and themes to merge from the evidence identified in the study regarding CKD management and determinants. Lorenzen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outlined that the inductive approach in the study focuses on evaluating specific observations and gathering data to develop unique insights and overview for supporting the findings. The inductive approach is appropriate for the study as the determinants and management channels associated with CKD among UK adults are multidimensional and differ across, lifestyle, biological, socioeconomic and healthcare context. Thus, this provides higher flexibility as predetermined theoretical categories could possibly contain the identification of findings. </w:t>
      </w:r>
    </w:p>
    <w:p w14:paraId="4EAE7A83" w14:textId="77777777" w:rsidR="00EA040C" w:rsidRPr="003C6276" w:rsidRDefault="00EA040C" w:rsidP="00641B22">
      <w:pPr>
        <w:pStyle w:val="Heading2"/>
      </w:pPr>
      <w:bookmarkStart w:id="109" w:name="_Toc240985896"/>
      <w:bookmarkStart w:id="110" w:name="_Toc241056021"/>
      <w:r w:rsidRPr="003C6276">
        <w:lastRenderedPageBreak/>
        <w:t>3.4 Study Design</w:t>
      </w:r>
      <w:bookmarkEnd w:id="109"/>
      <w:bookmarkEnd w:id="110"/>
    </w:p>
    <w:p w14:paraId="169EC4E4"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Systematic review is defined as a structured research study that finds, selects and gathers all existing studies for specific research to develop valuable insights into the issues (Shaheen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Conducting systematic review on management challenges of CKD is appropriate as CKD is influenced by behavioural, socioeconomic, biological and health related factors that have been evaluated in diverse studies. Etemadi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have defined that systematic review in healthcare research synthesises existing evidence through using transparent methods for minimising biases, offering the highest level of clinical evidence. Although systematic review offers higher methodological transparency, they cannot reduce the risks of biases that may enter through database selection, search terminology, and publication restriction. Anger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have outlined that the purpose of systematic review is to provide information from evidence based literature to describe health interventions for improving insights and improve understanding of the health related issues. Thus, the methodological ability depends on identifying it as a systematic reverse along with depend on the transparency and reproducibility of every stage of the review procedures. </w:t>
      </w:r>
    </w:p>
    <w:p w14:paraId="63F41560" w14:textId="77777777" w:rsidR="00EA040C" w:rsidRPr="003C6276" w:rsidRDefault="00EA040C" w:rsidP="00641B22">
      <w:pPr>
        <w:pStyle w:val="Heading2"/>
      </w:pPr>
      <w:bookmarkStart w:id="111" w:name="_Toc240985897"/>
      <w:bookmarkStart w:id="112" w:name="_Toc241056022"/>
      <w:r w:rsidRPr="003C6276">
        <w:t>3.5 Search Strategy</w:t>
      </w:r>
      <w:bookmarkEnd w:id="111"/>
      <w:bookmarkEnd w:id="112"/>
    </w:p>
    <w:p w14:paraId="25E4E6B5"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secondary research strategy has been included in the study for systematically analysing the secondary qualitative and quantitative data from credible sources related to the determinants of CKD among adults. Mantula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(2024) outlined that the secondary research strategy is a valuable strategy in research as it allows for deeper understanding of complex research phenomena and offers a rich description. The databases that have been utilised for gathering 15 articles for the current systematic review consist of Google Scholar, PubMed, PubMed Central and MEDLINE for obtaining relevant information. The search of data regarding CKD determinants and management among adults in the UK is conducted within the last 10 years from 20215 to 2025 to ensure accessibility to update and relevant information.</w:t>
      </w:r>
    </w:p>
    <w:p w14:paraId="597377A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limitation of the systematic review is the small sample size that has been focused on for evaluating the management challenges of CKD and its key determinants among the UK population, especially adults. Sallam (2023) outlined that systemic reviews should be viewed carefully in light of shortcoming including exclusion of non-English records, records excluded due to accessibility issues and generalisability of results. In this regard, the study has also excluded articles that are not conducted in the UK, and are published in languages other than English, limiting the scope and data accessibility of the study. </w:t>
      </w:r>
    </w:p>
    <w:p w14:paraId="3DC15F70" w14:textId="77777777" w:rsidR="00EA040C" w:rsidRPr="003C6276" w:rsidRDefault="00EA040C" w:rsidP="00641B22">
      <w:pPr>
        <w:pStyle w:val="Heading3"/>
      </w:pPr>
      <w:bookmarkStart w:id="113" w:name="_Toc240985898"/>
      <w:bookmarkStart w:id="114" w:name="_Toc241056023"/>
      <w:r w:rsidRPr="003C6276">
        <w:t>3.5.1 Search Terms</w:t>
      </w:r>
      <w:bookmarkEnd w:id="113"/>
      <w:bookmarkEnd w:id="114"/>
    </w:p>
    <w:tbl>
      <w:tblPr>
        <w:tblW w:w="6240" w:type="pct"/>
        <w:tblInd w:w="-996" w:type="dxa"/>
        <w:tblBorders>
          <w:top w:val="nil"/>
          <w:left w:val="nil"/>
          <w:bottom w:val="nil"/>
          <w:right w:val="nil"/>
          <w:insideH w:val="nil"/>
          <w:insideV w:val="nil"/>
        </w:tblBorders>
        <w:tblLook w:val="0600" w:firstRow="0" w:lastRow="0" w:firstColumn="0" w:lastColumn="0" w:noHBand="1" w:noVBand="1"/>
      </w:tblPr>
      <w:tblGrid>
        <w:gridCol w:w="3257"/>
        <w:gridCol w:w="1825"/>
        <w:gridCol w:w="1861"/>
        <w:gridCol w:w="4306"/>
      </w:tblGrid>
      <w:tr w:rsidR="00EA040C" w:rsidRPr="003C6276" w14:paraId="091E71CE" w14:textId="77777777" w:rsidTr="00BF2530">
        <w:trPr>
          <w:trHeight w:val="540"/>
        </w:trPr>
        <w:tc>
          <w:tcPr>
            <w:tcW w:w="1448" w:type="pct"/>
            <w:vMerge w:val="restar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E772082" w14:textId="77777777" w:rsidR="00EA040C" w:rsidRPr="003C6276" w:rsidRDefault="00EA040C" w:rsidP="00EA040C">
            <w:pPr>
              <w:spacing w:after="200" w:line="360" w:lineRule="auto"/>
              <w:ind w:left="-200"/>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lastRenderedPageBreak/>
              <w:t>Search Terms and search string</w:t>
            </w:r>
          </w:p>
        </w:tc>
        <w:tc>
          <w:tcPr>
            <w:tcW w:w="1637" w:type="pct"/>
            <w:gridSpan w:val="2"/>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7B26E660" w14:textId="77777777" w:rsidR="00EA040C" w:rsidRPr="003C6276" w:rsidRDefault="00EA040C" w:rsidP="00EA040C">
            <w:pPr>
              <w:spacing w:after="200" w:line="360" w:lineRule="auto"/>
              <w:ind w:left="-200"/>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Boolean Operators</w:t>
            </w:r>
          </w:p>
        </w:tc>
        <w:tc>
          <w:tcPr>
            <w:tcW w:w="1915" w:type="pct"/>
            <w:vMerge w:val="restart"/>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1E60F833" w14:textId="77777777" w:rsidR="00EA040C" w:rsidRPr="003C6276" w:rsidRDefault="00EA040C" w:rsidP="00EA040C">
            <w:pPr>
              <w:spacing w:after="200" w:line="360" w:lineRule="auto"/>
              <w:ind w:left="-200"/>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Outcomes (subhead and number of studies) n=1243</w:t>
            </w:r>
          </w:p>
        </w:tc>
      </w:tr>
      <w:tr w:rsidR="00EA040C" w:rsidRPr="003C6276" w14:paraId="42551193" w14:textId="77777777" w:rsidTr="00BF2530">
        <w:trPr>
          <w:trHeight w:val="960"/>
        </w:trPr>
        <w:tc>
          <w:tcPr>
            <w:tcW w:w="1448" w:type="pct"/>
            <w:vMerge/>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000A4EE" w14:textId="77777777" w:rsidR="00EA040C" w:rsidRPr="003C6276" w:rsidRDefault="00EA040C" w:rsidP="00EA040C">
            <w:pPr>
              <w:widowControl w:val="0"/>
              <w:pBdr>
                <w:top w:val="nil"/>
                <w:left w:val="nil"/>
                <w:bottom w:val="nil"/>
                <w:right w:val="nil"/>
                <w:between w:val="nil"/>
              </w:pBdr>
              <w:spacing w:after="200" w:line="360" w:lineRule="auto"/>
              <w:rPr>
                <w:rFonts w:ascii="Arial" w:eastAsia="Arial" w:hAnsi="Arial" w:cs="Arial"/>
                <w:b/>
                <w:bCs/>
                <w:kern w:val="0"/>
                <w:lang w:eastAsia="en-IN"/>
                <w14:ligatures w14:val="none"/>
              </w:rPr>
            </w:pPr>
          </w:p>
        </w:tc>
        <w:tc>
          <w:tcPr>
            <w:tcW w:w="811" w:type="pct"/>
            <w:tcBorders>
              <w:top w:val="nil"/>
              <w:left w:val="nil"/>
              <w:bottom w:val="single" w:sz="5" w:space="0" w:color="000000"/>
              <w:right w:val="single" w:sz="5" w:space="0" w:color="000000"/>
            </w:tcBorders>
            <w:tcMar>
              <w:top w:w="100" w:type="dxa"/>
              <w:left w:w="100" w:type="dxa"/>
              <w:bottom w:w="100" w:type="dxa"/>
              <w:right w:w="100" w:type="dxa"/>
            </w:tcMar>
          </w:tcPr>
          <w:p w14:paraId="63C42808" w14:textId="77777777" w:rsidR="00EA040C" w:rsidRPr="003C6276" w:rsidRDefault="00EA040C" w:rsidP="00EA040C">
            <w:pPr>
              <w:spacing w:after="200" w:line="360" w:lineRule="auto"/>
              <w:ind w:left="-200"/>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“AND” (n1)</w:t>
            </w:r>
          </w:p>
        </w:tc>
        <w:tc>
          <w:tcPr>
            <w:tcW w:w="827" w:type="pct"/>
            <w:tcBorders>
              <w:top w:val="nil"/>
              <w:left w:val="nil"/>
              <w:bottom w:val="single" w:sz="5" w:space="0" w:color="000000"/>
              <w:right w:val="single" w:sz="5" w:space="0" w:color="000000"/>
            </w:tcBorders>
            <w:tcMar>
              <w:top w:w="100" w:type="dxa"/>
              <w:left w:w="100" w:type="dxa"/>
              <w:bottom w:w="100" w:type="dxa"/>
              <w:right w:w="100" w:type="dxa"/>
            </w:tcMar>
          </w:tcPr>
          <w:p w14:paraId="7740B88F" w14:textId="77777777" w:rsidR="00EA040C" w:rsidRPr="003C6276" w:rsidRDefault="00EA040C" w:rsidP="00EA040C">
            <w:pPr>
              <w:spacing w:after="200" w:line="360" w:lineRule="auto"/>
              <w:ind w:left="-200"/>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“OR” (n2)</w:t>
            </w:r>
          </w:p>
        </w:tc>
        <w:tc>
          <w:tcPr>
            <w:tcW w:w="1915" w:type="pct"/>
            <w:vMerge/>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8F5373F" w14:textId="77777777" w:rsidR="00EA040C" w:rsidRPr="003C6276" w:rsidRDefault="00EA040C" w:rsidP="00EA040C">
            <w:pPr>
              <w:widowControl w:val="0"/>
              <w:pBdr>
                <w:top w:val="nil"/>
                <w:left w:val="nil"/>
                <w:bottom w:val="nil"/>
                <w:right w:val="nil"/>
                <w:between w:val="nil"/>
              </w:pBdr>
              <w:spacing w:after="200" w:line="360" w:lineRule="auto"/>
              <w:rPr>
                <w:rFonts w:ascii="Arial" w:eastAsia="Arial" w:hAnsi="Arial" w:cs="Arial"/>
                <w:b/>
                <w:bCs/>
                <w:kern w:val="0"/>
                <w:lang w:eastAsia="en-IN"/>
                <w14:ligatures w14:val="none"/>
              </w:rPr>
            </w:pPr>
          </w:p>
        </w:tc>
      </w:tr>
      <w:tr w:rsidR="00EA040C" w:rsidRPr="003C6276" w14:paraId="22E61B51" w14:textId="77777777" w:rsidTr="00BF2530">
        <w:trPr>
          <w:trHeight w:val="1530"/>
        </w:trPr>
        <w:tc>
          <w:tcPr>
            <w:tcW w:w="1448"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4901C4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“Health determinants”.</w:t>
            </w:r>
          </w:p>
        </w:tc>
        <w:tc>
          <w:tcPr>
            <w:tcW w:w="811" w:type="pct"/>
            <w:tcBorders>
              <w:top w:val="nil"/>
              <w:left w:val="nil"/>
              <w:bottom w:val="single" w:sz="5" w:space="0" w:color="000000"/>
              <w:right w:val="single" w:sz="5" w:space="0" w:color="000000"/>
            </w:tcBorders>
            <w:tcMar>
              <w:top w:w="100" w:type="dxa"/>
              <w:left w:w="100" w:type="dxa"/>
              <w:bottom w:w="100" w:type="dxa"/>
              <w:right w:w="100" w:type="dxa"/>
            </w:tcMar>
          </w:tcPr>
          <w:p w14:paraId="3798BA0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AND “Health determinants”.</w:t>
            </w:r>
          </w:p>
        </w:tc>
        <w:tc>
          <w:tcPr>
            <w:tcW w:w="827" w:type="pct"/>
            <w:tcBorders>
              <w:top w:val="nil"/>
              <w:left w:val="nil"/>
              <w:bottom w:val="single" w:sz="5" w:space="0" w:color="000000"/>
              <w:right w:val="single" w:sz="5" w:space="0" w:color="000000"/>
            </w:tcBorders>
            <w:tcMar>
              <w:top w:w="100" w:type="dxa"/>
              <w:left w:w="100" w:type="dxa"/>
              <w:bottom w:w="100" w:type="dxa"/>
              <w:right w:w="100" w:type="dxa"/>
            </w:tcMar>
          </w:tcPr>
          <w:p w14:paraId="7924DB1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OR “Health determinants”.</w:t>
            </w:r>
          </w:p>
        </w:tc>
        <w:tc>
          <w:tcPr>
            <w:tcW w:w="1915" w:type="pct"/>
            <w:tcBorders>
              <w:top w:val="nil"/>
              <w:left w:val="nil"/>
              <w:bottom w:val="single" w:sz="5" w:space="0" w:color="000000"/>
              <w:right w:val="single" w:sz="5" w:space="0" w:color="000000"/>
            </w:tcBorders>
            <w:tcMar>
              <w:top w:w="100" w:type="dxa"/>
              <w:left w:w="100" w:type="dxa"/>
              <w:bottom w:w="100" w:type="dxa"/>
              <w:right w:w="100" w:type="dxa"/>
            </w:tcMar>
          </w:tcPr>
          <w:p w14:paraId="15F688BB"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Google Scholar</w:t>
            </w:r>
          </w:p>
          <w:p w14:paraId="2DE83365"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n1= 124</w:t>
            </w:r>
          </w:p>
          <w:p w14:paraId="40086BC7"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n2= 98</w:t>
            </w:r>
          </w:p>
          <w:p w14:paraId="1E1B9314"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 222</w:t>
            </w:r>
          </w:p>
        </w:tc>
      </w:tr>
      <w:tr w:rsidR="00EA040C" w:rsidRPr="003C6276" w14:paraId="0BF2A490" w14:textId="77777777" w:rsidTr="00BF2530">
        <w:trPr>
          <w:trHeight w:val="1530"/>
        </w:trPr>
        <w:tc>
          <w:tcPr>
            <w:tcW w:w="1448"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0B2BCFA"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“Adults”, “CKD Management Challenges”</w:t>
            </w:r>
          </w:p>
        </w:tc>
        <w:tc>
          <w:tcPr>
            <w:tcW w:w="811" w:type="pct"/>
            <w:tcBorders>
              <w:top w:val="nil"/>
              <w:left w:val="nil"/>
              <w:bottom w:val="single" w:sz="5" w:space="0" w:color="000000"/>
              <w:right w:val="single" w:sz="5" w:space="0" w:color="000000"/>
            </w:tcBorders>
            <w:tcMar>
              <w:top w:w="100" w:type="dxa"/>
              <w:left w:w="100" w:type="dxa"/>
              <w:bottom w:w="100" w:type="dxa"/>
              <w:right w:w="100" w:type="dxa"/>
            </w:tcMar>
          </w:tcPr>
          <w:p w14:paraId="1408B8C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“Adults” AND “CKD Management Challenges”</w:t>
            </w:r>
          </w:p>
        </w:tc>
        <w:tc>
          <w:tcPr>
            <w:tcW w:w="827" w:type="pct"/>
            <w:tcBorders>
              <w:top w:val="nil"/>
              <w:left w:val="nil"/>
              <w:bottom w:val="single" w:sz="5" w:space="0" w:color="000000"/>
              <w:right w:val="single" w:sz="5" w:space="0" w:color="000000"/>
            </w:tcBorders>
            <w:tcMar>
              <w:top w:w="100" w:type="dxa"/>
              <w:left w:w="100" w:type="dxa"/>
              <w:bottom w:w="100" w:type="dxa"/>
              <w:right w:w="100" w:type="dxa"/>
            </w:tcMar>
          </w:tcPr>
          <w:p w14:paraId="2DA4C0B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“Adults” OR “CKD Management Challenges”</w:t>
            </w:r>
          </w:p>
        </w:tc>
        <w:tc>
          <w:tcPr>
            <w:tcW w:w="1915" w:type="pct"/>
            <w:tcBorders>
              <w:top w:val="nil"/>
              <w:left w:val="nil"/>
              <w:bottom w:val="single" w:sz="5" w:space="0" w:color="000000"/>
              <w:right w:val="single" w:sz="5" w:space="0" w:color="000000"/>
            </w:tcBorders>
            <w:tcMar>
              <w:top w:w="100" w:type="dxa"/>
              <w:left w:w="100" w:type="dxa"/>
              <w:bottom w:w="100" w:type="dxa"/>
              <w:right w:w="100" w:type="dxa"/>
            </w:tcMar>
          </w:tcPr>
          <w:p w14:paraId="24822F4F"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 PubMed Central</w:t>
            </w:r>
          </w:p>
          <w:p w14:paraId="315DA2B9"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n1= 232</w:t>
            </w:r>
          </w:p>
          <w:p w14:paraId="70384F72"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n2= 256</w:t>
            </w:r>
          </w:p>
          <w:p w14:paraId="3B4CCA1E"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 488</w:t>
            </w:r>
          </w:p>
        </w:tc>
      </w:tr>
      <w:tr w:rsidR="00EA040C" w:rsidRPr="003C6276" w14:paraId="31941368" w14:textId="77777777" w:rsidTr="00BF2530">
        <w:trPr>
          <w:trHeight w:val="1530"/>
        </w:trPr>
        <w:tc>
          <w:tcPr>
            <w:tcW w:w="1448"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69FDC9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“Management Challenges”</w:t>
            </w:r>
          </w:p>
        </w:tc>
        <w:tc>
          <w:tcPr>
            <w:tcW w:w="811" w:type="pct"/>
            <w:tcBorders>
              <w:top w:val="nil"/>
              <w:left w:val="nil"/>
              <w:bottom w:val="single" w:sz="5" w:space="0" w:color="000000"/>
              <w:right w:val="single" w:sz="5" w:space="0" w:color="000000"/>
            </w:tcBorders>
            <w:tcMar>
              <w:top w:w="100" w:type="dxa"/>
              <w:left w:w="100" w:type="dxa"/>
              <w:bottom w:w="100" w:type="dxa"/>
              <w:right w:w="100" w:type="dxa"/>
            </w:tcMar>
          </w:tcPr>
          <w:p w14:paraId="6DDF44A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AND “Management Challenges”</w:t>
            </w:r>
          </w:p>
        </w:tc>
        <w:tc>
          <w:tcPr>
            <w:tcW w:w="827" w:type="pct"/>
            <w:tcBorders>
              <w:top w:val="nil"/>
              <w:left w:val="nil"/>
              <w:bottom w:val="single" w:sz="5" w:space="0" w:color="000000"/>
              <w:right w:val="single" w:sz="5" w:space="0" w:color="000000"/>
            </w:tcBorders>
            <w:tcMar>
              <w:top w:w="100" w:type="dxa"/>
              <w:left w:w="100" w:type="dxa"/>
              <w:bottom w:w="100" w:type="dxa"/>
              <w:right w:w="100" w:type="dxa"/>
            </w:tcMar>
          </w:tcPr>
          <w:p w14:paraId="2958CD59"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“Chronic Kidney Disease” OR “Management Challenges”</w:t>
            </w:r>
          </w:p>
        </w:tc>
        <w:tc>
          <w:tcPr>
            <w:tcW w:w="1915" w:type="pct"/>
            <w:tcBorders>
              <w:top w:val="nil"/>
              <w:left w:val="nil"/>
              <w:bottom w:val="single" w:sz="5" w:space="0" w:color="000000"/>
              <w:right w:val="single" w:sz="5" w:space="0" w:color="000000"/>
            </w:tcBorders>
            <w:tcMar>
              <w:top w:w="100" w:type="dxa"/>
              <w:left w:w="100" w:type="dxa"/>
              <w:bottom w:w="100" w:type="dxa"/>
              <w:right w:w="100" w:type="dxa"/>
            </w:tcMar>
          </w:tcPr>
          <w:p w14:paraId="4ECAA8B9"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PubMed</w:t>
            </w:r>
          </w:p>
          <w:p w14:paraId="4FB78F6E"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n1= 113</w:t>
            </w:r>
          </w:p>
          <w:p w14:paraId="50066113"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n2= 101</w:t>
            </w:r>
          </w:p>
          <w:p w14:paraId="1FC7083F"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 214</w:t>
            </w:r>
          </w:p>
        </w:tc>
      </w:tr>
      <w:tr w:rsidR="00EA040C" w:rsidRPr="003C6276" w14:paraId="080663EA" w14:textId="77777777" w:rsidTr="00BF2530">
        <w:trPr>
          <w:trHeight w:val="1530"/>
        </w:trPr>
        <w:tc>
          <w:tcPr>
            <w:tcW w:w="1448"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8B9514E"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“CKD”, “Health determinants”</w:t>
            </w:r>
          </w:p>
        </w:tc>
        <w:tc>
          <w:tcPr>
            <w:tcW w:w="811" w:type="pct"/>
            <w:tcBorders>
              <w:top w:val="nil"/>
              <w:left w:val="nil"/>
              <w:bottom w:val="single" w:sz="5" w:space="0" w:color="000000"/>
              <w:right w:val="single" w:sz="5" w:space="0" w:color="000000"/>
            </w:tcBorders>
            <w:tcMar>
              <w:top w:w="100" w:type="dxa"/>
              <w:left w:w="100" w:type="dxa"/>
              <w:bottom w:w="100" w:type="dxa"/>
              <w:right w:w="100" w:type="dxa"/>
            </w:tcMar>
          </w:tcPr>
          <w:p w14:paraId="1870CC9E"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“CKD” AND “Health determinants”</w:t>
            </w:r>
          </w:p>
        </w:tc>
        <w:tc>
          <w:tcPr>
            <w:tcW w:w="827" w:type="pct"/>
            <w:tcBorders>
              <w:top w:val="nil"/>
              <w:left w:val="nil"/>
              <w:bottom w:val="single" w:sz="5" w:space="0" w:color="000000"/>
              <w:right w:val="single" w:sz="5" w:space="0" w:color="000000"/>
            </w:tcBorders>
            <w:tcMar>
              <w:top w:w="100" w:type="dxa"/>
              <w:left w:w="100" w:type="dxa"/>
              <w:bottom w:w="100" w:type="dxa"/>
              <w:right w:w="100" w:type="dxa"/>
            </w:tcMar>
          </w:tcPr>
          <w:p w14:paraId="3A66947A"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“CKD” OR “Health determinants”</w:t>
            </w:r>
          </w:p>
        </w:tc>
        <w:tc>
          <w:tcPr>
            <w:tcW w:w="1915" w:type="pct"/>
            <w:tcBorders>
              <w:top w:val="nil"/>
              <w:left w:val="nil"/>
              <w:bottom w:val="single" w:sz="5" w:space="0" w:color="000000"/>
              <w:right w:val="single" w:sz="5" w:space="0" w:color="000000"/>
            </w:tcBorders>
            <w:tcMar>
              <w:top w:w="100" w:type="dxa"/>
              <w:left w:w="100" w:type="dxa"/>
              <w:bottom w:w="100" w:type="dxa"/>
              <w:right w:w="100" w:type="dxa"/>
            </w:tcMar>
          </w:tcPr>
          <w:p w14:paraId="0C5AE650"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MEDLINE</w:t>
            </w:r>
          </w:p>
          <w:p w14:paraId="16424450"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n1= 165</w:t>
            </w:r>
          </w:p>
          <w:p w14:paraId="07435BDA"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n2= 154</w:t>
            </w:r>
          </w:p>
          <w:p w14:paraId="3E2762CF" w14:textId="77777777" w:rsidR="00EA040C" w:rsidRPr="003C6276" w:rsidRDefault="00EA040C" w:rsidP="00EA040C">
            <w:pPr>
              <w:spacing w:after="200" w:line="360" w:lineRule="auto"/>
              <w:ind w:left="-200"/>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n= 319</w:t>
            </w:r>
          </w:p>
        </w:tc>
      </w:tr>
    </w:tbl>
    <w:p w14:paraId="7833AAC5" w14:textId="77777777" w:rsidR="00EA040C" w:rsidRPr="003C6276" w:rsidRDefault="00EA040C" w:rsidP="00641B22">
      <w:pPr>
        <w:pStyle w:val="Heading5"/>
      </w:pPr>
      <w:bookmarkStart w:id="115" w:name="_heading=h.d7ssdl2mmhwg" w:colFirst="0" w:colLast="0"/>
      <w:bookmarkStart w:id="116" w:name="_Toc240985945"/>
      <w:bookmarkStart w:id="117" w:name="_Toc241057614"/>
      <w:bookmarkEnd w:id="115"/>
      <w:r w:rsidRPr="003C6276">
        <w:t>Table 3.1: Search Terms and Boolean Operators</w:t>
      </w:r>
      <w:bookmarkEnd w:id="116"/>
      <w:bookmarkEnd w:id="117"/>
    </w:p>
    <w:p w14:paraId="712B528E"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Self-created)</w:t>
      </w:r>
    </w:p>
    <w:p w14:paraId="260B0FB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keywords were developed using a step-by-step process that consists of breaking down the research questions and finding synonyms of the words for testing and finding relevant </w:t>
      </w:r>
      <w:r w:rsidRPr="003C6276">
        <w:rPr>
          <w:rFonts w:ascii="Arial" w:eastAsia="Arial" w:hAnsi="Arial" w:cs="Arial"/>
          <w:kern w:val="0"/>
          <w:lang w:eastAsia="en-IN"/>
          <w14:ligatures w14:val="none"/>
        </w:rPr>
        <w:lastRenderedPageBreak/>
        <w:t>articles. The secondary research strategy enables in gathering and evaluating the existing data and contextual information on the determinants along with management challenges of CKD especially among adults in the UK.</w:t>
      </w:r>
    </w:p>
    <w:p w14:paraId="1165C7C1" w14:textId="77777777" w:rsidR="00EA040C" w:rsidRPr="003C6276" w:rsidRDefault="00EA040C" w:rsidP="006A1535">
      <w:pPr>
        <w:pStyle w:val="Heading3"/>
      </w:pPr>
      <w:bookmarkStart w:id="118" w:name="_Toc240985899"/>
      <w:bookmarkStart w:id="119" w:name="_Toc241056024"/>
      <w:r w:rsidRPr="003C6276">
        <w:t>3.5.2 Databases</w:t>
      </w:r>
      <w:bookmarkEnd w:id="118"/>
      <w:bookmarkEnd w:id="119"/>
    </w:p>
    <w:p w14:paraId="08ACF169"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 vast volume of data has been gathered from databases such as Google Scholar, PubMed and PubMed Central that has assisted in selecting 15 recent and relevant journal articles. However, Google Scholar has broader coverage but less control searching, on the other hand, a specialist biomedical database provides more structured indexing in the data. The use of these databases is efficient for offering fast, structured access to vast peer reviewed journals and to scientific studies along with clinical trials and full text to academic papers.</w:t>
      </w:r>
    </w:p>
    <w:p w14:paraId="6DB608C2" w14:textId="77777777" w:rsidR="00EA040C" w:rsidRPr="003C6276" w:rsidRDefault="00EA040C" w:rsidP="006A1535">
      <w:pPr>
        <w:pStyle w:val="Heading3"/>
      </w:pPr>
      <w:bookmarkStart w:id="120" w:name="_Toc240985900"/>
      <w:bookmarkStart w:id="121" w:name="_Toc241056025"/>
      <w:r w:rsidRPr="003C6276">
        <w:t>3.5.3 PICO framework</w:t>
      </w:r>
      <w:bookmarkEnd w:id="120"/>
      <w:bookmarkEnd w:id="121"/>
    </w:p>
    <w:tbl>
      <w:tblPr>
        <w:tblW w:w="5000" w:type="pct"/>
        <w:tblBorders>
          <w:top w:val="nil"/>
          <w:left w:val="nil"/>
          <w:bottom w:val="nil"/>
          <w:right w:val="nil"/>
          <w:insideH w:val="nil"/>
          <w:insideV w:val="nil"/>
        </w:tblBorders>
        <w:tblLook w:val="0600" w:firstRow="0" w:lastRow="0" w:firstColumn="0" w:lastColumn="0" w:noHBand="1" w:noVBand="1"/>
      </w:tblPr>
      <w:tblGrid>
        <w:gridCol w:w="2824"/>
        <w:gridCol w:w="6182"/>
      </w:tblGrid>
      <w:tr w:rsidR="00EA040C" w:rsidRPr="003C6276" w14:paraId="696F23A0" w14:textId="77777777" w:rsidTr="006A1535">
        <w:trPr>
          <w:trHeight w:val="515"/>
        </w:trPr>
        <w:tc>
          <w:tcPr>
            <w:tcW w:w="15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ADC7B"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PICO component</w:t>
            </w:r>
          </w:p>
        </w:tc>
        <w:tc>
          <w:tcPr>
            <w:tcW w:w="34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94B01"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Application</w:t>
            </w:r>
          </w:p>
        </w:tc>
      </w:tr>
      <w:tr w:rsidR="00EA040C" w:rsidRPr="003C6276" w14:paraId="18E2CD00" w14:textId="77777777" w:rsidTr="006A1535">
        <w:trPr>
          <w:trHeight w:val="515"/>
        </w:trPr>
        <w:tc>
          <w:tcPr>
            <w:tcW w:w="15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B6AF27"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P – Population</w:t>
            </w:r>
          </w:p>
        </w:tc>
        <w:tc>
          <w:tcPr>
            <w:tcW w:w="34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A58F0"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 based adults containing CKD disease</w:t>
            </w:r>
          </w:p>
        </w:tc>
      </w:tr>
      <w:tr w:rsidR="00EA040C" w:rsidRPr="003C6276" w14:paraId="333A3B7C" w14:textId="77777777" w:rsidTr="006A1535">
        <w:trPr>
          <w:trHeight w:val="800"/>
        </w:trPr>
        <w:tc>
          <w:tcPr>
            <w:tcW w:w="15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F3C5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I – Intervention/Exposure</w:t>
            </w:r>
          </w:p>
        </w:tc>
        <w:tc>
          <w:tcPr>
            <w:tcW w:w="34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B7A9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Risk factors of CKD along with determinants and management related factors. </w:t>
            </w:r>
          </w:p>
        </w:tc>
      </w:tr>
      <w:tr w:rsidR="00EA040C" w:rsidRPr="003C6276" w14:paraId="5D3D221D" w14:textId="77777777" w:rsidTr="006A1535">
        <w:trPr>
          <w:trHeight w:val="800"/>
        </w:trPr>
        <w:tc>
          <w:tcPr>
            <w:tcW w:w="15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08D4F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C – Comparison</w:t>
            </w:r>
          </w:p>
        </w:tc>
        <w:tc>
          <w:tcPr>
            <w:tcW w:w="34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F0E8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Comparing alternative management approaches for the management of CKD. </w:t>
            </w:r>
          </w:p>
        </w:tc>
      </w:tr>
      <w:tr w:rsidR="00EA040C" w:rsidRPr="003C6276" w14:paraId="6044FA4A" w14:textId="77777777" w:rsidTr="006A1535">
        <w:trPr>
          <w:trHeight w:val="800"/>
        </w:trPr>
        <w:tc>
          <w:tcPr>
            <w:tcW w:w="15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2A0E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O – Outcome</w:t>
            </w:r>
          </w:p>
        </w:tc>
        <w:tc>
          <w:tcPr>
            <w:tcW w:w="34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F3AD1D"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CKD development and progression along with management challenges and detection for care outcomes. </w:t>
            </w:r>
          </w:p>
        </w:tc>
      </w:tr>
    </w:tbl>
    <w:p w14:paraId="5142D108" w14:textId="77777777" w:rsidR="00EA040C" w:rsidRPr="003C6276" w:rsidRDefault="00EA040C" w:rsidP="006A1535">
      <w:pPr>
        <w:pStyle w:val="Heading5"/>
      </w:pPr>
      <w:bookmarkStart w:id="122" w:name="_heading=h.xk0tyt19gyiz" w:colFirst="0" w:colLast="0"/>
      <w:bookmarkStart w:id="123" w:name="_Toc240985946"/>
      <w:bookmarkStart w:id="124" w:name="_Toc241057615"/>
      <w:bookmarkEnd w:id="122"/>
      <w:r w:rsidRPr="003C6276">
        <w:t>Table 3.2: PICO framework</w:t>
      </w:r>
      <w:bookmarkEnd w:id="123"/>
      <w:bookmarkEnd w:id="124"/>
      <w:r w:rsidRPr="003C6276">
        <w:t xml:space="preserve"> </w:t>
      </w:r>
    </w:p>
    <w:p w14:paraId="0B5A0C2E"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Self-created)</w:t>
      </w:r>
    </w:p>
    <w:p w14:paraId="1892063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PICO assessment outlined the key population intervention that has been approached in the study for conducting the research. However, the key limitations of the study are that it lacks comparison of different management tools and techniques that can be approached for improving management of CKD among adults in the UK. </w:t>
      </w:r>
    </w:p>
    <w:p w14:paraId="350667F1" w14:textId="77777777" w:rsidR="00EA040C" w:rsidRPr="003C6276" w:rsidRDefault="00EA040C" w:rsidP="006A1535">
      <w:pPr>
        <w:pStyle w:val="Heading2"/>
      </w:pPr>
      <w:bookmarkStart w:id="125" w:name="_Toc240985901"/>
      <w:bookmarkStart w:id="126" w:name="_Toc241056026"/>
      <w:r w:rsidRPr="003C6276">
        <w:lastRenderedPageBreak/>
        <w:t>3.6 Screening Process</w:t>
      </w:r>
      <w:bookmarkEnd w:id="125"/>
      <w:bookmarkEnd w:id="126"/>
    </w:p>
    <w:tbl>
      <w:tblPr>
        <w:tblW w:w="5000" w:type="pct"/>
        <w:tblBorders>
          <w:top w:val="nil"/>
          <w:left w:val="nil"/>
          <w:bottom w:val="nil"/>
          <w:right w:val="nil"/>
          <w:insideH w:val="nil"/>
          <w:insideV w:val="nil"/>
        </w:tblBorders>
        <w:tblLook w:val="0600" w:firstRow="0" w:lastRow="0" w:firstColumn="0" w:lastColumn="0" w:noHBand="1" w:noVBand="1"/>
      </w:tblPr>
      <w:tblGrid>
        <w:gridCol w:w="2145"/>
        <w:gridCol w:w="1368"/>
        <w:gridCol w:w="1574"/>
        <w:gridCol w:w="1192"/>
        <w:gridCol w:w="1412"/>
        <w:gridCol w:w="1323"/>
      </w:tblGrid>
      <w:tr w:rsidR="006A1535" w:rsidRPr="003C6276" w14:paraId="18657BC1" w14:textId="77777777" w:rsidTr="006A1535">
        <w:trPr>
          <w:trHeight w:val="682"/>
        </w:trPr>
        <w:tc>
          <w:tcPr>
            <w:tcW w:w="1189"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1CE6636"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Database</w:t>
            </w:r>
          </w:p>
        </w:tc>
        <w:tc>
          <w:tcPr>
            <w:tcW w:w="75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6340167"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Search</w:t>
            </w:r>
          </w:p>
          <w:p w14:paraId="4426B9D0"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Dates</w:t>
            </w:r>
          </w:p>
        </w:tc>
        <w:tc>
          <w:tcPr>
            <w:tcW w:w="87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CB341E6"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Inclusion</w:t>
            </w:r>
          </w:p>
          <w:p w14:paraId="23F3C629"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Year</w:t>
            </w:r>
          </w:p>
        </w:tc>
        <w:tc>
          <w:tcPr>
            <w:tcW w:w="66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A05CFCF"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Search</w:t>
            </w:r>
          </w:p>
          <w:p w14:paraId="2C022BE4"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Results</w:t>
            </w:r>
          </w:p>
        </w:tc>
        <w:tc>
          <w:tcPr>
            <w:tcW w:w="78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A5A8EAF"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Excluded</w:t>
            </w:r>
          </w:p>
        </w:tc>
        <w:tc>
          <w:tcPr>
            <w:tcW w:w="734"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F20CD01"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Included</w:t>
            </w:r>
          </w:p>
        </w:tc>
      </w:tr>
      <w:tr w:rsidR="006A1535" w:rsidRPr="003C6276" w14:paraId="1757C277" w14:textId="77777777" w:rsidTr="006A1535">
        <w:trPr>
          <w:trHeight w:val="879"/>
        </w:trPr>
        <w:tc>
          <w:tcPr>
            <w:tcW w:w="1189"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8494D2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Google Scholar</w:t>
            </w:r>
          </w:p>
        </w:tc>
        <w:tc>
          <w:tcPr>
            <w:tcW w:w="759" w:type="pct"/>
            <w:tcBorders>
              <w:top w:val="nil"/>
              <w:left w:val="nil"/>
              <w:bottom w:val="single" w:sz="5" w:space="0" w:color="000000"/>
              <w:right w:val="single" w:sz="5" w:space="0" w:color="000000"/>
            </w:tcBorders>
            <w:tcMar>
              <w:top w:w="100" w:type="dxa"/>
              <w:left w:w="100" w:type="dxa"/>
              <w:bottom w:w="100" w:type="dxa"/>
              <w:right w:w="100" w:type="dxa"/>
            </w:tcMar>
          </w:tcPr>
          <w:p w14:paraId="7F222AF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July 2025</w:t>
            </w:r>
          </w:p>
        </w:tc>
        <w:tc>
          <w:tcPr>
            <w:tcW w:w="873" w:type="pct"/>
            <w:tcBorders>
              <w:top w:val="nil"/>
              <w:left w:val="nil"/>
              <w:bottom w:val="single" w:sz="5" w:space="0" w:color="000000"/>
              <w:right w:val="single" w:sz="5" w:space="0" w:color="000000"/>
            </w:tcBorders>
            <w:tcMar>
              <w:top w:w="100" w:type="dxa"/>
              <w:left w:w="100" w:type="dxa"/>
              <w:bottom w:w="100" w:type="dxa"/>
              <w:right w:w="100" w:type="dxa"/>
            </w:tcMar>
          </w:tcPr>
          <w:p w14:paraId="5CD7E08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2015- 2025</w:t>
            </w:r>
          </w:p>
        </w:tc>
        <w:tc>
          <w:tcPr>
            <w:tcW w:w="661" w:type="pct"/>
            <w:tcBorders>
              <w:top w:val="nil"/>
              <w:left w:val="nil"/>
              <w:bottom w:val="single" w:sz="5" w:space="0" w:color="000000"/>
              <w:right w:val="single" w:sz="5" w:space="0" w:color="000000"/>
            </w:tcBorders>
            <w:tcMar>
              <w:top w:w="100" w:type="dxa"/>
              <w:left w:w="100" w:type="dxa"/>
              <w:bottom w:w="100" w:type="dxa"/>
              <w:right w:w="100" w:type="dxa"/>
            </w:tcMar>
          </w:tcPr>
          <w:p w14:paraId="60CCC8D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223</w:t>
            </w:r>
          </w:p>
        </w:tc>
        <w:tc>
          <w:tcPr>
            <w:tcW w:w="783" w:type="pct"/>
            <w:tcBorders>
              <w:top w:val="nil"/>
              <w:left w:val="nil"/>
              <w:bottom w:val="single" w:sz="5" w:space="0" w:color="000000"/>
              <w:right w:val="single" w:sz="5" w:space="0" w:color="000000"/>
            </w:tcBorders>
            <w:tcMar>
              <w:top w:w="100" w:type="dxa"/>
              <w:left w:w="100" w:type="dxa"/>
              <w:bottom w:w="100" w:type="dxa"/>
              <w:right w:w="100" w:type="dxa"/>
            </w:tcMar>
          </w:tcPr>
          <w:p w14:paraId="2B41FCB5"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217</w:t>
            </w:r>
          </w:p>
        </w:tc>
        <w:tc>
          <w:tcPr>
            <w:tcW w:w="734" w:type="pct"/>
            <w:tcBorders>
              <w:top w:val="nil"/>
              <w:left w:val="nil"/>
              <w:bottom w:val="single" w:sz="5" w:space="0" w:color="000000"/>
              <w:right w:val="single" w:sz="5" w:space="0" w:color="000000"/>
            </w:tcBorders>
            <w:tcMar>
              <w:top w:w="100" w:type="dxa"/>
              <w:left w:w="100" w:type="dxa"/>
              <w:bottom w:w="100" w:type="dxa"/>
              <w:right w:w="100" w:type="dxa"/>
            </w:tcMar>
          </w:tcPr>
          <w:p w14:paraId="1D88775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6</w:t>
            </w:r>
          </w:p>
        </w:tc>
      </w:tr>
      <w:tr w:rsidR="006A1535" w:rsidRPr="003C6276" w14:paraId="76847B6D" w14:textId="77777777" w:rsidTr="006A1535">
        <w:trPr>
          <w:trHeight w:val="879"/>
        </w:trPr>
        <w:tc>
          <w:tcPr>
            <w:tcW w:w="1189"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CCC11FE"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PubMed Central</w:t>
            </w:r>
          </w:p>
        </w:tc>
        <w:tc>
          <w:tcPr>
            <w:tcW w:w="759" w:type="pct"/>
            <w:tcBorders>
              <w:top w:val="nil"/>
              <w:left w:val="nil"/>
              <w:bottom w:val="single" w:sz="5" w:space="0" w:color="000000"/>
              <w:right w:val="single" w:sz="5" w:space="0" w:color="000000"/>
            </w:tcBorders>
            <w:tcMar>
              <w:top w:w="100" w:type="dxa"/>
              <w:left w:w="100" w:type="dxa"/>
              <w:bottom w:w="100" w:type="dxa"/>
              <w:right w:w="100" w:type="dxa"/>
            </w:tcMar>
          </w:tcPr>
          <w:p w14:paraId="5BDB110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July 2025</w:t>
            </w:r>
          </w:p>
        </w:tc>
        <w:tc>
          <w:tcPr>
            <w:tcW w:w="873" w:type="pct"/>
            <w:tcBorders>
              <w:top w:val="nil"/>
              <w:left w:val="nil"/>
              <w:bottom w:val="single" w:sz="5" w:space="0" w:color="000000"/>
              <w:right w:val="single" w:sz="5" w:space="0" w:color="000000"/>
            </w:tcBorders>
            <w:tcMar>
              <w:top w:w="100" w:type="dxa"/>
              <w:left w:w="100" w:type="dxa"/>
              <w:bottom w:w="100" w:type="dxa"/>
              <w:right w:w="100" w:type="dxa"/>
            </w:tcMar>
          </w:tcPr>
          <w:p w14:paraId="7E29AFAE"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2015- 2025</w:t>
            </w:r>
          </w:p>
        </w:tc>
        <w:tc>
          <w:tcPr>
            <w:tcW w:w="661" w:type="pct"/>
            <w:tcBorders>
              <w:top w:val="nil"/>
              <w:left w:val="nil"/>
              <w:bottom w:val="single" w:sz="5" w:space="0" w:color="000000"/>
              <w:right w:val="single" w:sz="5" w:space="0" w:color="000000"/>
            </w:tcBorders>
            <w:tcMar>
              <w:top w:w="100" w:type="dxa"/>
              <w:left w:w="100" w:type="dxa"/>
              <w:bottom w:w="100" w:type="dxa"/>
              <w:right w:w="100" w:type="dxa"/>
            </w:tcMar>
          </w:tcPr>
          <w:p w14:paraId="20459A80"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489</w:t>
            </w:r>
          </w:p>
        </w:tc>
        <w:tc>
          <w:tcPr>
            <w:tcW w:w="783" w:type="pct"/>
            <w:tcBorders>
              <w:top w:val="nil"/>
              <w:left w:val="nil"/>
              <w:bottom w:val="single" w:sz="5" w:space="0" w:color="000000"/>
              <w:right w:val="single" w:sz="5" w:space="0" w:color="000000"/>
            </w:tcBorders>
            <w:tcMar>
              <w:top w:w="100" w:type="dxa"/>
              <w:left w:w="100" w:type="dxa"/>
              <w:bottom w:w="100" w:type="dxa"/>
              <w:right w:w="100" w:type="dxa"/>
            </w:tcMar>
          </w:tcPr>
          <w:p w14:paraId="2944F6B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485</w:t>
            </w:r>
          </w:p>
        </w:tc>
        <w:tc>
          <w:tcPr>
            <w:tcW w:w="734" w:type="pct"/>
            <w:tcBorders>
              <w:top w:val="nil"/>
              <w:left w:val="nil"/>
              <w:bottom w:val="single" w:sz="5" w:space="0" w:color="000000"/>
              <w:right w:val="single" w:sz="5" w:space="0" w:color="000000"/>
            </w:tcBorders>
            <w:tcMar>
              <w:top w:w="100" w:type="dxa"/>
              <w:left w:w="100" w:type="dxa"/>
              <w:bottom w:w="100" w:type="dxa"/>
              <w:right w:w="100" w:type="dxa"/>
            </w:tcMar>
          </w:tcPr>
          <w:p w14:paraId="55BAB37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4</w:t>
            </w:r>
          </w:p>
        </w:tc>
      </w:tr>
      <w:tr w:rsidR="006A1535" w:rsidRPr="003C6276" w14:paraId="78CF82BD" w14:textId="77777777" w:rsidTr="006A1535">
        <w:trPr>
          <w:trHeight w:val="546"/>
        </w:trPr>
        <w:tc>
          <w:tcPr>
            <w:tcW w:w="1189"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3800D9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PubMed</w:t>
            </w:r>
          </w:p>
        </w:tc>
        <w:tc>
          <w:tcPr>
            <w:tcW w:w="759" w:type="pct"/>
            <w:tcBorders>
              <w:top w:val="nil"/>
              <w:left w:val="nil"/>
              <w:bottom w:val="single" w:sz="5" w:space="0" w:color="000000"/>
              <w:right w:val="single" w:sz="5" w:space="0" w:color="000000"/>
            </w:tcBorders>
            <w:tcMar>
              <w:top w:w="100" w:type="dxa"/>
              <w:left w:w="100" w:type="dxa"/>
              <w:bottom w:w="100" w:type="dxa"/>
              <w:right w:w="100" w:type="dxa"/>
            </w:tcMar>
          </w:tcPr>
          <w:p w14:paraId="72954F0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July 2025</w:t>
            </w:r>
          </w:p>
        </w:tc>
        <w:tc>
          <w:tcPr>
            <w:tcW w:w="873" w:type="pct"/>
            <w:tcBorders>
              <w:top w:val="nil"/>
              <w:left w:val="nil"/>
              <w:bottom w:val="single" w:sz="5" w:space="0" w:color="000000"/>
              <w:right w:val="single" w:sz="5" w:space="0" w:color="000000"/>
            </w:tcBorders>
            <w:tcMar>
              <w:top w:w="100" w:type="dxa"/>
              <w:left w:w="100" w:type="dxa"/>
              <w:bottom w:w="100" w:type="dxa"/>
              <w:right w:w="100" w:type="dxa"/>
            </w:tcMar>
          </w:tcPr>
          <w:p w14:paraId="65051009"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2015- 2025</w:t>
            </w:r>
          </w:p>
        </w:tc>
        <w:tc>
          <w:tcPr>
            <w:tcW w:w="661" w:type="pct"/>
            <w:tcBorders>
              <w:top w:val="nil"/>
              <w:left w:val="nil"/>
              <w:bottom w:val="single" w:sz="5" w:space="0" w:color="000000"/>
              <w:right w:val="single" w:sz="5" w:space="0" w:color="000000"/>
            </w:tcBorders>
            <w:tcMar>
              <w:top w:w="100" w:type="dxa"/>
              <w:left w:w="100" w:type="dxa"/>
              <w:bottom w:w="100" w:type="dxa"/>
              <w:right w:w="100" w:type="dxa"/>
            </w:tcMar>
          </w:tcPr>
          <w:p w14:paraId="0E45237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215</w:t>
            </w:r>
          </w:p>
        </w:tc>
        <w:tc>
          <w:tcPr>
            <w:tcW w:w="783" w:type="pct"/>
            <w:tcBorders>
              <w:top w:val="nil"/>
              <w:left w:val="nil"/>
              <w:bottom w:val="single" w:sz="5" w:space="0" w:color="000000"/>
              <w:right w:val="single" w:sz="5" w:space="0" w:color="000000"/>
            </w:tcBorders>
            <w:tcMar>
              <w:top w:w="100" w:type="dxa"/>
              <w:left w:w="100" w:type="dxa"/>
              <w:bottom w:w="100" w:type="dxa"/>
              <w:right w:w="100" w:type="dxa"/>
            </w:tcMar>
          </w:tcPr>
          <w:p w14:paraId="0D6EE2FA"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212</w:t>
            </w:r>
          </w:p>
        </w:tc>
        <w:tc>
          <w:tcPr>
            <w:tcW w:w="734" w:type="pct"/>
            <w:tcBorders>
              <w:top w:val="nil"/>
              <w:left w:val="nil"/>
              <w:bottom w:val="single" w:sz="5" w:space="0" w:color="000000"/>
              <w:right w:val="single" w:sz="5" w:space="0" w:color="000000"/>
            </w:tcBorders>
            <w:tcMar>
              <w:top w:w="100" w:type="dxa"/>
              <w:left w:w="100" w:type="dxa"/>
              <w:bottom w:w="100" w:type="dxa"/>
              <w:right w:w="100" w:type="dxa"/>
            </w:tcMar>
          </w:tcPr>
          <w:p w14:paraId="72065A9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3</w:t>
            </w:r>
          </w:p>
        </w:tc>
      </w:tr>
      <w:tr w:rsidR="006A1535" w:rsidRPr="003C6276" w14:paraId="04919AE2" w14:textId="77777777" w:rsidTr="006A1535">
        <w:trPr>
          <w:trHeight w:val="546"/>
        </w:trPr>
        <w:tc>
          <w:tcPr>
            <w:tcW w:w="1189" w:type="pct"/>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BD78BF7"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MEDLINE</w:t>
            </w:r>
          </w:p>
        </w:tc>
        <w:tc>
          <w:tcPr>
            <w:tcW w:w="759" w:type="pct"/>
            <w:tcBorders>
              <w:top w:val="nil"/>
              <w:left w:val="nil"/>
              <w:bottom w:val="single" w:sz="5" w:space="0" w:color="000000"/>
              <w:right w:val="single" w:sz="5" w:space="0" w:color="000000"/>
            </w:tcBorders>
            <w:tcMar>
              <w:top w:w="100" w:type="dxa"/>
              <w:left w:w="100" w:type="dxa"/>
              <w:bottom w:w="100" w:type="dxa"/>
              <w:right w:w="100" w:type="dxa"/>
            </w:tcMar>
          </w:tcPr>
          <w:p w14:paraId="27214D9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July 2025</w:t>
            </w:r>
          </w:p>
        </w:tc>
        <w:tc>
          <w:tcPr>
            <w:tcW w:w="873" w:type="pct"/>
            <w:tcBorders>
              <w:top w:val="nil"/>
              <w:left w:val="nil"/>
              <w:bottom w:val="single" w:sz="5" w:space="0" w:color="000000"/>
              <w:right w:val="single" w:sz="5" w:space="0" w:color="000000"/>
            </w:tcBorders>
            <w:tcMar>
              <w:top w:w="100" w:type="dxa"/>
              <w:left w:w="100" w:type="dxa"/>
              <w:bottom w:w="100" w:type="dxa"/>
              <w:right w:w="100" w:type="dxa"/>
            </w:tcMar>
          </w:tcPr>
          <w:p w14:paraId="43AA3894"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2015- 2025</w:t>
            </w:r>
          </w:p>
        </w:tc>
        <w:tc>
          <w:tcPr>
            <w:tcW w:w="661" w:type="pct"/>
            <w:tcBorders>
              <w:top w:val="nil"/>
              <w:left w:val="nil"/>
              <w:bottom w:val="single" w:sz="5" w:space="0" w:color="000000"/>
              <w:right w:val="single" w:sz="5" w:space="0" w:color="000000"/>
            </w:tcBorders>
            <w:tcMar>
              <w:top w:w="100" w:type="dxa"/>
              <w:left w:w="100" w:type="dxa"/>
              <w:bottom w:w="100" w:type="dxa"/>
              <w:right w:w="100" w:type="dxa"/>
            </w:tcMar>
          </w:tcPr>
          <w:p w14:paraId="74494B5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319</w:t>
            </w:r>
          </w:p>
        </w:tc>
        <w:tc>
          <w:tcPr>
            <w:tcW w:w="783" w:type="pct"/>
            <w:tcBorders>
              <w:top w:val="nil"/>
              <w:left w:val="nil"/>
              <w:bottom w:val="single" w:sz="5" w:space="0" w:color="000000"/>
              <w:right w:val="single" w:sz="5" w:space="0" w:color="000000"/>
            </w:tcBorders>
            <w:tcMar>
              <w:top w:w="100" w:type="dxa"/>
              <w:left w:w="100" w:type="dxa"/>
              <w:bottom w:w="100" w:type="dxa"/>
              <w:right w:w="100" w:type="dxa"/>
            </w:tcMar>
          </w:tcPr>
          <w:p w14:paraId="3ADD71E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317</w:t>
            </w:r>
          </w:p>
        </w:tc>
        <w:tc>
          <w:tcPr>
            <w:tcW w:w="734" w:type="pct"/>
            <w:tcBorders>
              <w:top w:val="nil"/>
              <w:left w:val="nil"/>
              <w:bottom w:val="single" w:sz="5" w:space="0" w:color="000000"/>
              <w:right w:val="single" w:sz="5" w:space="0" w:color="000000"/>
            </w:tcBorders>
            <w:tcMar>
              <w:top w:w="100" w:type="dxa"/>
              <w:left w:w="100" w:type="dxa"/>
              <w:bottom w:w="100" w:type="dxa"/>
              <w:right w:w="100" w:type="dxa"/>
            </w:tcMar>
          </w:tcPr>
          <w:p w14:paraId="5C675E1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w:t>
            </w:r>
          </w:p>
        </w:tc>
      </w:tr>
      <w:tr w:rsidR="00EA040C" w:rsidRPr="003C6276" w14:paraId="48C34F7E" w14:textId="77777777" w:rsidTr="006A1535">
        <w:trPr>
          <w:trHeight w:val="25"/>
        </w:trPr>
        <w:tc>
          <w:tcPr>
            <w:tcW w:w="2821" w:type="pct"/>
            <w:gridSpan w:val="3"/>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0EF939C"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Total</w:t>
            </w:r>
          </w:p>
        </w:tc>
        <w:tc>
          <w:tcPr>
            <w:tcW w:w="661" w:type="pct"/>
            <w:tcBorders>
              <w:top w:val="nil"/>
              <w:left w:val="nil"/>
              <w:bottom w:val="single" w:sz="5" w:space="0" w:color="000000"/>
              <w:right w:val="single" w:sz="5" w:space="0" w:color="000000"/>
            </w:tcBorders>
            <w:tcMar>
              <w:top w:w="100" w:type="dxa"/>
              <w:left w:w="100" w:type="dxa"/>
              <w:bottom w:w="100" w:type="dxa"/>
              <w:right w:w="100" w:type="dxa"/>
            </w:tcMar>
          </w:tcPr>
          <w:p w14:paraId="61FEBAC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1246</w:t>
            </w:r>
          </w:p>
        </w:tc>
        <w:tc>
          <w:tcPr>
            <w:tcW w:w="783" w:type="pct"/>
            <w:tcBorders>
              <w:top w:val="nil"/>
              <w:left w:val="nil"/>
              <w:bottom w:val="single" w:sz="5" w:space="0" w:color="000000"/>
              <w:right w:val="single" w:sz="5" w:space="0" w:color="000000"/>
            </w:tcBorders>
            <w:tcMar>
              <w:top w:w="100" w:type="dxa"/>
              <w:left w:w="100" w:type="dxa"/>
              <w:bottom w:w="100" w:type="dxa"/>
              <w:right w:w="100" w:type="dxa"/>
            </w:tcMar>
          </w:tcPr>
          <w:p w14:paraId="044FA4AF"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1231</w:t>
            </w:r>
          </w:p>
        </w:tc>
        <w:tc>
          <w:tcPr>
            <w:tcW w:w="734" w:type="pct"/>
            <w:tcBorders>
              <w:top w:val="nil"/>
              <w:left w:val="nil"/>
              <w:bottom w:val="single" w:sz="5" w:space="0" w:color="000000"/>
              <w:right w:val="single" w:sz="5" w:space="0" w:color="000000"/>
            </w:tcBorders>
            <w:tcMar>
              <w:top w:w="100" w:type="dxa"/>
              <w:left w:w="100" w:type="dxa"/>
              <w:bottom w:w="100" w:type="dxa"/>
              <w:right w:w="100" w:type="dxa"/>
            </w:tcMar>
          </w:tcPr>
          <w:p w14:paraId="7E6D78E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15</w:t>
            </w:r>
          </w:p>
        </w:tc>
      </w:tr>
    </w:tbl>
    <w:p w14:paraId="07CD6314" w14:textId="77777777" w:rsidR="00EA040C" w:rsidRPr="003C6276" w:rsidRDefault="00EA040C" w:rsidP="006A1535">
      <w:pPr>
        <w:pStyle w:val="Heading5"/>
      </w:pPr>
      <w:bookmarkStart w:id="127" w:name="_heading=h.rxbfg431b3un" w:colFirst="0" w:colLast="0"/>
      <w:bookmarkStart w:id="128" w:name="_Toc240985947"/>
      <w:bookmarkStart w:id="129" w:name="_Toc241057616"/>
      <w:bookmarkEnd w:id="127"/>
      <w:r w:rsidRPr="003C6276">
        <w:t>Table 3.3: Screening Results</w:t>
      </w:r>
      <w:bookmarkEnd w:id="128"/>
      <w:bookmarkEnd w:id="129"/>
    </w:p>
    <w:p w14:paraId="6D5EA29F"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Self-Developed)</w:t>
      </w:r>
    </w:p>
    <w:p w14:paraId="62919BF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study selection process complied with a PRISMA-informed process that comprised stages including indemnification, screening, eligibility and inclusion stages. The report of Mengiste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outlined that PRISMA framework based systematic reviews enable in accessing, gathering, synthesising and reviewing articles on research topics in systematic and structured manner. In the Stage 1, Identification, records were identified through searches on PubMed, Google Scholar, PubMed Central and MEDLINE, assisting in gathering 1243 records in total. At the screening stages, 563 records were assessed by their titles, out of that 300 were excluded as they lacked information on CKD, adults, determinants and management. Ramasamy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have outlined that PRISMA is a widely used guideline for performing systematic review in clinical journals by improving reporting and assisting in critical appraisal. The remaining 263 records were screened by abstract, resulting in the exclusion of 160 articles due to their misalignment with predefined eligibility criteria. Lastly, 53 studies were removed as they were not meeting the exclusion and inclusion criteria, and lastly, 15 journals were selected due to their precise alignment with screening criteria. </w:t>
      </w:r>
    </w:p>
    <w:p w14:paraId="0719CD85" w14:textId="77777777" w:rsidR="00EA040C" w:rsidRPr="003C6276" w:rsidRDefault="00EA040C" w:rsidP="006A1535">
      <w:pPr>
        <w:pStyle w:val="Heading3"/>
        <w:rPr>
          <w:u w:val="single"/>
        </w:rPr>
      </w:pPr>
      <w:bookmarkStart w:id="130" w:name="_Toc240985902"/>
      <w:bookmarkStart w:id="131" w:name="_Toc241056027"/>
      <w:r w:rsidRPr="003C6276">
        <w:t>3.6.1 Inclusion and Exclusion Criteria</w:t>
      </w:r>
      <w:bookmarkEnd w:id="130"/>
      <w:bookmarkEnd w:id="131"/>
    </w:p>
    <w:tbl>
      <w:tblPr>
        <w:tblW w:w="9781" w:type="dxa"/>
        <w:tblInd w:w="-577" w:type="dxa"/>
        <w:tblBorders>
          <w:top w:val="nil"/>
          <w:left w:val="nil"/>
          <w:bottom w:val="nil"/>
          <w:right w:val="nil"/>
          <w:insideH w:val="nil"/>
          <w:insideV w:val="nil"/>
        </w:tblBorders>
        <w:tblLayout w:type="fixed"/>
        <w:tblLook w:val="0600" w:firstRow="0" w:lastRow="0" w:firstColumn="0" w:lastColumn="0" w:noHBand="1" w:noVBand="1"/>
      </w:tblPr>
      <w:tblGrid>
        <w:gridCol w:w="2127"/>
        <w:gridCol w:w="4110"/>
        <w:gridCol w:w="3544"/>
      </w:tblGrid>
      <w:tr w:rsidR="00EA040C" w:rsidRPr="003C6276" w14:paraId="359F847F" w14:textId="77777777" w:rsidTr="006A1535">
        <w:trPr>
          <w:trHeight w:val="515"/>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E18EC"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lastRenderedPageBreak/>
              <w:t>Criterion</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3ED2A6"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Inclusion</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241DFE" w14:textId="77777777" w:rsidR="00EA040C" w:rsidRPr="003C6276" w:rsidRDefault="00EA040C" w:rsidP="00EA040C">
            <w:pPr>
              <w:spacing w:after="20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Exclusion</w:t>
            </w:r>
          </w:p>
        </w:tc>
      </w:tr>
      <w:tr w:rsidR="00EA040C" w:rsidRPr="003C6276" w14:paraId="3AB521FB" w14:textId="77777777" w:rsidTr="006A1535">
        <w:trPr>
          <w:trHeight w:val="515"/>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AD334"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Population</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54E4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Adults aged 18 years and above</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48D23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Children and adolescents</w:t>
            </w:r>
          </w:p>
        </w:tc>
      </w:tr>
      <w:tr w:rsidR="00EA040C" w:rsidRPr="003C6276" w14:paraId="4CB7E2C2" w14:textId="77777777" w:rsidTr="006A1535">
        <w:trPr>
          <w:trHeight w:val="8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57525"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Condition</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BF9E9"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Information focused on CKD</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F47F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containing exclusively on unrelated renal conditions</w:t>
            </w:r>
          </w:p>
        </w:tc>
      </w:tr>
      <w:tr w:rsidR="00EA040C" w:rsidRPr="003C6276" w14:paraId="3F7BADBF" w14:textId="77777777" w:rsidTr="006A1535">
        <w:trPr>
          <w:trHeight w:val="8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83102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Geography</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0EB22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conducted in the UK</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D57F2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conducted outside the UK</w:t>
            </w:r>
          </w:p>
        </w:tc>
      </w:tr>
      <w:tr w:rsidR="00EA040C" w:rsidRPr="003C6276" w14:paraId="07282DFB" w14:textId="77777777" w:rsidTr="006A1535">
        <w:trPr>
          <w:trHeight w:val="8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5432B"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Publication period</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E86B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2015–2025</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3CA64"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Published before 2015 </w:t>
            </w:r>
          </w:p>
        </w:tc>
      </w:tr>
      <w:tr w:rsidR="00EA040C" w:rsidRPr="003C6276" w14:paraId="44310C9F" w14:textId="77777777" w:rsidTr="006A1535">
        <w:trPr>
          <w:trHeight w:val="515"/>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8ACE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Language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8D2481"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English-language studies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E50D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Non-English studies</w:t>
            </w:r>
          </w:p>
        </w:tc>
      </w:tr>
      <w:tr w:rsidR="00EA040C" w:rsidRPr="003C6276" w14:paraId="2B9F9B2B" w14:textId="77777777" w:rsidTr="006A1535">
        <w:trPr>
          <w:trHeight w:val="1085"/>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DFD9D"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Publication type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73F50"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Peer-reviewed research articles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49A48"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Editorials, opinion pieces, conference abstracts and non-peer-reviewed sources</w:t>
            </w:r>
          </w:p>
        </w:tc>
      </w:tr>
      <w:tr w:rsidR="00EA040C" w:rsidRPr="003C6276" w14:paraId="63B16957" w14:textId="77777777" w:rsidTr="006A1535">
        <w:trPr>
          <w:trHeight w:val="137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08063"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Study design</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A1F8C"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Qualitative, quantitative observational/cohort, cross-sectional and relevant systematic/review evidence, addressing research question</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8FF92"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lacking relevant evidence for the research question</w:t>
            </w:r>
          </w:p>
        </w:tc>
      </w:tr>
      <w:tr w:rsidR="00EA040C" w:rsidRPr="003C6276" w14:paraId="1BA831D9" w14:textId="77777777" w:rsidTr="006A1535">
        <w:trPr>
          <w:trHeight w:val="8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31EA0"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Focus</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5AA8CE"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Determinants, barriers, management challenges or management-related outcomes</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0AC805"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unrelated to CKD determinants or management</w:t>
            </w:r>
          </w:p>
        </w:tc>
      </w:tr>
      <w:tr w:rsidR="00EA040C" w:rsidRPr="003C6276" w14:paraId="398AFDFF" w14:textId="77777777" w:rsidTr="006A1535">
        <w:trPr>
          <w:trHeight w:val="800"/>
        </w:trPr>
        <w:tc>
          <w:tcPr>
            <w:tcW w:w="2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D16FE" w14:textId="77777777" w:rsidR="00EA040C" w:rsidRPr="003C6276" w:rsidRDefault="00EA040C" w:rsidP="006A1535">
            <w:pPr>
              <w:spacing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Full text</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B7DADA" w14:textId="77777777" w:rsidR="00EA040C" w:rsidRPr="003C6276" w:rsidRDefault="00EA040C" w:rsidP="006A1535">
            <w:pPr>
              <w:spacing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Full-text article available</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3A91A" w14:textId="77777777" w:rsidR="00EA040C" w:rsidRPr="003C6276" w:rsidRDefault="00EA040C" w:rsidP="006A1535">
            <w:pPr>
              <w:spacing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Studies contain abstract only and have unavailable full text</w:t>
            </w:r>
          </w:p>
        </w:tc>
      </w:tr>
    </w:tbl>
    <w:p w14:paraId="243EF847" w14:textId="77777777" w:rsidR="00EA040C" w:rsidRPr="003C6276" w:rsidRDefault="00EA040C" w:rsidP="006A1535">
      <w:pPr>
        <w:pStyle w:val="Heading5"/>
        <w:spacing w:after="160"/>
      </w:pPr>
      <w:bookmarkStart w:id="132" w:name="_heading=h.oajtwvm7680x" w:colFirst="0" w:colLast="0"/>
      <w:bookmarkStart w:id="133" w:name="_Toc240985948"/>
      <w:bookmarkStart w:id="134" w:name="_Toc241057617"/>
      <w:bookmarkEnd w:id="132"/>
      <w:r w:rsidRPr="003C6276">
        <w:t>Table 3.4: Inclusion and Exclusion Criteria</w:t>
      </w:r>
      <w:bookmarkEnd w:id="133"/>
      <w:bookmarkEnd w:id="134"/>
    </w:p>
    <w:p w14:paraId="1EC79110" w14:textId="77777777" w:rsidR="00EA040C" w:rsidRPr="003C6276" w:rsidRDefault="00EA040C" w:rsidP="006A1535">
      <w:pPr>
        <w:spacing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Self-developed)</w:t>
      </w:r>
    </w:p>
    <w:p w14:paraId="6914E169"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Defining the inclusion and exclusion criteria including population, intervention, outcome, country, study design, public years, language ensures that the review is reproducible, unbiased and directly answers the research questions. The use of the inclusion and exclusion </w:t>
      </w:r>
      <w:r w:rsidRPr="003C6276">
        <w:rPr>
          <w:rFonts w:ascii="Arial" w:eastAsia="Arial" w:hAnsi="Arial" w:cs="Arial"/>
          <w:kern w:val="0"/>
          <w:lang w:eastAsia="en-IN"/>
          <w14:ligatures w14:val="none"/>
        </w:rPr>
        <w:lastRenderedPageBreak/>
        <w:t>criteria are efficient for setting strategic boundaries to conduct database search and improve search credibility.</w:t>
      </w:r>
    </w:p>
    <w:p w14:paraId="00509B66" w14:textId="56BEE07F" w:rsidR="00EA040C" w:rsidRPr="003C6276" w:rsidRDefault="00EA040C" w:rsidP="006A1535">
      <w:pPr>
        <w:pStyle w:val="Heading2"/>
      </w:pPr>
      <w:bookmarkStart w:id="135" w:name="_Toc240985903"/>
      <w:bookmarkStart w:id="136" w:name="_Toc241056028"/>
      <w:r w:rsidRPr="003C6276">
        <w:t>3.7 Study Selection</w:t>
      </w:r>
      <w:bookmarkEnd w:id="135"/>
      <w:bookmarkEnd w:id="136"/>
    </w:p>
    <w:p w14:paraId="2F665473"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noProof/>
          <w:kern w:val="0"/>
          <w:lang w:eastAsia="en-IN"/>
          <w14:ligatures w14:val="none"/>
        </w:rPr>
        <w:drawing>
          <wp:inline distT="114300" distB="114300" distL="114300" distR="114300" wp14:anchorId="18615B37" wp14:editId="69F508D9">
            <wp:extent cx="4943475" cy="7381875"/>
            <wp:effectExtent l="12700" t="12700" r="12700" b="12700"/>
            <wp:docPr id="14248461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0"/>
                    <a:srcRect/>
                    <a:stretch>
                      <a:fillRect/>
                    </a:stretch>
                  </pic:blipFill>
                  <pic:spPr>
                    <a:xfrm>
                      <a:off x="0" y="0"/>
                      <a:ext cx="4943475" cy="7381875"/>
                    </a:xfrm>
                    <a:prstGeom prst="rect">
                      <a:avLst/>
                    </a:prstGeom>
                    <a:ln w="12700">
                      <a:solidFill>
                        <a:srgbClr val="000000"/>
                      </a:solidFill>
                      <a:prstDash val="solid"/>
                    </a:ln>
                  </pic:spPr>
                </pic:pic>
              </a:graphicData>
            </a:graphic>
          </wp:inline>
        </w:drawing>
      </w:r>
    </w:p>
    <w:p w14:paraId="03C282B2" w14:textId="77777777" w:rsidR="00EA040C" w:rsidRPr="003C6276" w:rsidRDefault="00EA040C" w:rsidP="006A1535">
      <w:pPr>
        <w:pStyle w:val="Heading4"/>
      </w:pPr>
      <w:bookmarkStart w:id="137" w:name="_heading=h.bxfvxplsxglb" w:colFirst="0" w:colLast="0"/>
      <w:bookmarkStart w:id="138" w:name="_Toc240985944"/>
      <w:bookmarkStart w:id="139" w:name="_Toc241054921"/>
      <w:bookmarkStart w:id="140" w:name="_Toc241057606"/>
      <w:bookmarkEnd w:id="137"/>
      <w:r w:rsidRPr="003C6276">
        <w:t>Figure 3.1: PRISMA Chart</w:t>
      </w:r>
      <w:bookmarkEnd w:id="138"/>
      <w:bookmarkEnd w:id="139"/>
      <w:bookmarkEnd w:id="140"/>
    </w:p>
    <w:p w14:paraId="581C8A07" w14:textId="77777777" w:rsidR="00EA040C" w:rsidRPr="003C6276" w:rsidRDefault="00EA040C" w:rsidP="00EA040C">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(Source: Self-created)</w:t>
      </w:r>
    </w:p>
    <w:p w14:paraId="59E8248E" w14:textId="77777777" w:rsidR="00EA040C" w:rsidRPr="003C6276" w:rsidRDefault="00EA040C" w:rsidP="006A1535">
      <w:pPr>
        <w:pStyle w:val="Heading2"/>
      </w:pPr>
      <w:bookmarkStart w:id="141" w:name="_Toc240985904"/>
      <w:bookmarkStart w:id="142" w:name="_Toc241056029"/>
      <w:r w:rsidRPr="003C6276">
        <w:t>3.8 Critical Appraisal</w:t>
      </w:r>
      <w:bookmarkEnd w:id="141"/>
      <w:bookmarkEnd w:id="142"/>
    </w:p>
    <w:p w14:paraId="39CF38A6"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Critical appraisal was undertaken using the CASP checklist for systematically assessing the methodological quality, relevance and validity of the included studies. Humayoun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outlined that there are different critical appraisal tools including CASP and JBI for evaluating the methodological quality, trustworthiness and risks of bias of the included studies. The CASP tool has been integrated for evaluating study quality through a structured criteria by examining aims, objectives, methodology, sampling, data collection, analysis and credibility of findings. Kolaski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have defined that CASP in the systematic review evaluate the validity, trustworthiness and relevance of included studies for minimising the risks of biases. The CASP has been used for evaluating the validity and credibility of the findings obtained from 15 articles on CKD and its management challenges among adults in the UK.</w:t>
      </w:r>
    </w:p>
    <w:p w14:paraId="5DBD02B5" w14:textId="77777777" w:rsidR="00EA040C" w:rsidRPr="003C6276" w:rsidRDefault="00EA040C" w:rsidP="006A1535">
      <w:pPr>
        <w:pStyle w:val="Heading2"/>
      </w:pPr>
      <w:bookmarkStart w:id="143" w:name="_Toc240985905"/>
      <w:bookmarkStart w:id="144" w:name="_Toc241056030"/>
      <w:r w:rsidRPr="003C6276">
        <w:t>3.9 Data Extraction</w:t>
      </w:r>
      <w:bookmarkEnd w:id="143"/>
      <w:bookmarkEnd w:id="144"/>
    </w:p>
    <w:p w14:paraId="371DC1C1" w14:textId="77777777" w:rsidR="00EA040C" w:rsidRPr="003C6276" w:rsidRDefault="00EA040C" w:rsidP="00EA040C">
      <w:pPr>
        <w:spacing w:after="200" w:line="360" w:lineRule="auto"/>
        <w:jc w:val="both"/>
        <w:rPr>
          <w:rFonts w:ascii="Arial" w:eastAsia="Arial" w:hAnsi="Arial" w:cs="Arial"/>
          <w:b/>
          <w:bCs/>
          <w:i/>
          <w:iCs/>
          <w:kern w:val="0"/>
          <w:lang w:eastAsia="en-IN"/>
          <w14:ligatures w14:val="none"/>
        </w:rPr>
      </w:pPr>
      <w:r w:rsidRPr="003C6276">
        <w:rPr>
          <w:rFonts w:ascii="Arial" w:eastAsia="Arial" w:hAnsi="Arial" w:cs="Arial"/>
          <w:kern w:val="0"/>
          <w:lang w:eastAsia="en-IN"/>
          <w14:ligatures w14:val="none"/>
        </w:rPr>
        <w:t>Data extraction is defined as the process of gathering raw data from different and diverse sources for analysing, storing and using the data to develop insights and improve findings. Jansen</w:t>
      </w:r>
      <w:r w:rsidRPr="003C6276">
        <w:rPr>
          <w:rFonts w:ascii="Arial" w:eastAsia="Arial" w:hAnsi="Arial" w:cs="Arial"/>
          <w:i/>
          <w:iCs/>
          <w:kern w:val="0"/>
          <w:lang w:eastAsia="en-IN"/>
          <w14:ligatures w14:val="none"/>
        </w:rPr>
        <w:t xml:space="preserve"> et al.</w:t>
      </w:r>
      <w:r w:rsidRPr="003C6276">
        <w:rPr>
          <w:rFonts w:ascii="Arial" w:eastAsia="Arial" w:hAnsi="Arial" w:cs="Arial"/>
          <w:kern w:val="0"/>
          <w:lang w:eastAsia="en-IN"/>
          <w14:ligatures w14:val="none"/>
        </w:rPr>
        <w:t xml:space="preserve"> (2025) outlined that in systematic reviews, reliability of the findings significantly depends on the data consistency of the extracted data from secondary sources to meet research objectives. Data has been extracted from 15 peer-reviewed articles, using reliable databases and repositories such as Google Scholar, PubMed and PubMed Central to ensure data credibility. A standardised extraction framework was utilised for strengthening consistency cross studies however, variations in study design and outcome may have restricted the comparability of the findings. </w:t>
      </w:r>
      <w:r w:rsidRPr="003C6276">
        <w:rPr>
          <w:rFonts w:ascii="Arial" w:eastAsia="Arial" w:hAnsi="Arial" w:cs="Arial"/>
          <w:b/>
          <w:bCs/>
          <w:i/>
          <w:iCs/>
          <w:kern w:val="0"/>
          <w:lang w:eastAsia="en-IN"/>
          <w14:ligatures w14:val="none"/>
        </w:rPr>
        <w:t>[Refers to Appendix 1]</w:t>
      </w:r>
    </w:p>
    <w:p w14:paraId="0B9EE774" w14:textId="77777777" w:rsidR="00EA040C" w:rsidRPr="003C6276" w:rsidRDefault="00EA040C" w:rsidP="006A1535">
      <w:pPr>
        <w:pStyle w:val="Heading2"/>
      </w:pPr>
      <w:bookmarkStart w:id="145" w:name="_Toc240985906"/>
      <w:bookmarkStart w:id="146" w:name="_Toc241056031"/>
      <w:r w:rsidRPr="003C6276">
        <w:t>3.10 Data Analysis</w:t>
      </w:r>
      <w:bookmarkEnd w:id="145"/>
      <w:bookmarkEnd w:id="146"/>
    </w:p>
    <w:p w14:paraId="6A21F48D"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Data synthesis and analysis is conducted based on thematic analysis based on the six stages of Thematic Analysis by Braun and Clarke. Braun and Clarke (2024) have evaluated the six steps of thematic analysis including familiarisation, generating initial codes, generating themes, reviewing themes, naming themes and writing reports. In the familiarisation stage, findings were evaluated repeatedly for understanding the overall evidence base and moving to the next stage, initial code based on the data patterns. In the searching stage, relevant codes were compared and grouped into broader patterns that assisted in moving to the next stage that is reviewing the themes by extracting evidence. Yuwono and Rachmawati (2023) defined that inductive reasoning allows themes to emerge from extracted evidence instead of being predetermined entirely from the existing theory, producing generalizations about </w:t>
      </w:r>
      <w:r w:rsidRPr="003C6276">
        <w:rPr>
          <w:rFonts w:ascii="Arial" w:eastAsia="Arial" w:hAnsi="Arial" w:cs="Arial"/>
          <w:kern w:val="0"/>
          <w:lang w:eastAsia="en-IN"/>
          <w14:ligatures w14:val="none"/>
        </w:rPr>
        <w:lastRenderedPageBreak/>
        <w:t>phenomena being investigated. Lastly, each final theme was given a clear name and decision affecting the central patterns of the data identified for producing the synthesis and aligning the synthesis with the research objectives. Thus, the thematic analysis has been conducted for identifying patents in data and developing around 4 themes based on the research objectives.</w:t>
      </w:r>
    </w:p>
    <w:p w14:paraId="33AFB3E5" w14:textId="77777777" w:rsidR="00EA040C" w:rsidRPr="003C6276" w:rsidRDefault="00EA040C" w:rsidP="006A1535">
      <w:pPr>
        <w:pStyle w:val="Heading2"/>
      </w:pPr>
      <w:bookmarkStart w:id="147" w:name="_Toc240985907"/>
      <w:bookmarkStart w:id="148" w:name="_Toc241056032"/>
      <w:r w:rsidRPr="003C6276">
        <w:t>3.11 Ethical Considerations</w:t>
      </w:r>
      <w:bookmarkEnd w:id="147"/>
      <w:bookmarkEnd w:id="148"/>
    </w:p>
    <w:p w14:paraId="76951687" w14:textId="77777777" w:rsidR="00EA040C" w:rsidRPr="003C6276" w:rsidRDefault="00EA040C" w:rsidP="00EA040C">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study complies with established principles of required University ethical review/approval process to ensure data integrity and enhance reach validity that was done before the research. Nii Laryeafio and Ogbewe (2023) have defined that the ethical consideration of evidence obtained from secondary sources are significant to ensure validity, credibility and reliability of the synthesised evidence. The compliance with the UK Data Protection Act 2018 has been approached to reduce the ethical risks regarding data storage and protection (GOV, 2025). Lastly, since the study is exclusively based on obtaining secondary data, human participation in the study has not been required and has not used any informed consent form, reducing the risks of individual data risk violation.</w:t>
      </w:r>
    </w:p>
    <w:p w14:paraId="508E3E0A" w14:textId="77777777" w:rsidR="00EA040C" w:rsidRPr="003C6276" w:rsidRDefault="00EA040C" w:rsidP="006A1535">
      <w:pPr>
        <w:pStyle w:val="Heading2"/>
      </w:pPr>
      <w:bookmarkStart w:id="149" w:name="_Toc240985908"/>
      <w:bookmarkStart w:id="150" w:name="_Toc241056033"/>
      <w:r w:rsidRPr="003C6276">
        <w:t>3.12 Chapter summary</w:t>
      </w:r>
      <w:bookmarkEnd w:id="149"/>
      <w:bookmarkEnd w:id="150"/>
    </w:p>
    <w:p w14:paraId="7BEEEF5A" w14:textId="77777777" w:rsidR="00EA040C" w:rsidRPr="003C6276" w:rsidRDefault="00EA040C" w:rsidP="00EA040C">
      <w:pPr>
        <w:spacing w:after="200" w:line="360" w:lineRule="auto"/>
        <w:jc w:val="both"/>
        <w:rPr>
          <w:rFonts w:ascii="Arial" w:eastAsia="Arial" w:hAnsi="Arial" w:cs="Arial"/>
          <w:b/>
          <w:bCs/>
          <w:kern w:val="0"/>
          <w:lang w:eastAsia="en-IN"/>
          <w14:ligatures w14:val="none"/>
        </w:rPr>
      </w:pPr>
      <w:r w:rsidRPr="003C6276">
        <w:rPr>
          <w:rFonts w:ascii="Arial" w:eastAsia="Arial" w:hAnsi="Arial" w:cs="Arial"/>
          <w:kern w:val="0"/>
          <w:lang w:eastAsia="en-IN"/>
          <w14:ligatures w14:val="none"/>
        </w:rPr>
        <w:t>The chapter has established a systematic and transparent methodological approach for analysing and synthesising evidence regarding CKD determinants and the management challenges among UK adults. A structured database search along with predefined eligibility criteria, PRISMA-based screening, thematic synthesis and critical approval has been employed in the study for analysing CKD determinants and management challenges. The systematic review as a research design was used for minimising bias by using strict, pre-planned methods to find, judge and to combine all relevant research questions. The data extraction table has been integrated that is effective for maintaining consistency and improved overview of the chosen study results.</w:t>
      </w:r>
    </w:p>
    <w:p w14:paraId="523AB4EA" w14:textId="7F81F2E0" w:rsidR="009F64C5" w:rsidRPr="003C6276" w:rsidRDefault="009F64C5" w:rsidP="00641B22">
      <w:pPr>
        <w:pStyle w:val="Heading1"/>
      </w:pPr>
      <w:r w:rsidRPr="003C6276">
        <w:t xml:space="preserve"> </w:t>
      </w:r>
      <w:bookmarkEnd w:id="101"/>
    </w:p>
    <w:p w14:paraId="313B54D8" w14:textId="77777777" w:rsidR="009F64C5" w:rsidRPr="003C6276" w:rsidRDefault="009F64C5">
      <w:pPr>
        <w:spacing w:after="158"/>
        <w:rPr>
          <w:rFonts w:asciiTheme="minorBidi" w:hAnsiTheme="minorBidi"/>
        </w:rPr>
      </w:pPr>
      <w:r w:rsidRPr="003C6276">
        <w:rPr>
          <w:rFonts w:asciiTheme="minorBidi" w:eastAsia="Times New Roman" w:hAnsiTheme="minorBidi"/>
          <w:b/>
        </w:rPr>
        <w:t xml:space="preserve"> </w:t>
      </w:r>
    </w:p>
    <w:p w14:paraId="21C8D1D8" w14:textId="77777777" w:rsidR="00EA040C" w:rsidRPr="003C6276" w:rsidRDefault="00EA040C">
      <w:pPr>
        <w:rPr>
          <w:rFonts w:asciiTheme="minorBidi" w:eastAsia="Times New Roman" w:hAnsiTheme="minorBidi"/>
          <w:b/>
          <w:color w:val="000000"/>
          <w:sz w:val="24"/>
        </w:rPr>
      </w:pPr>
      <w:bookmarkStart w:id="151" w:name="_Toc12219"/>
      <w:r w:rsidRPr="003C6276">
        <w:rPr>
          <w:rFonts w:asciiTheme="minorBidi" w:hAnsiTheme="minorBidi"/>
        </w:rPr>
        <w:br w:type="page"/>
      </w:r>
    </w:p>
    <w:p w14:paraId="517FB75A" w14:textId="77777777" w:rsidR="00E25202" w:rsidRPr="003C6276" w:rsidRDefault="00DD7AA5" w:rsidP="00E25202">
      <w:pPr>
        <w:pStyle w:val="Heading1"/>
      </w:pPr>
      <w:bookmarkStart w:id="152" w:name="_Toc241056034"/>
      <w:r w:rsidRPr="003C6276">
        <w:lastRenderedPageBreak/>
        <w:t xml:space="preserve">Chapter 4: </w:t>
      </w:r>
      <w:r w:rsidR="009F64C5" w:rsidRPr="003C6276">
        <w:t>Results</w:t>
      </w:r>
      <w:bookmarkEnd w:id="151"/>
      <w:bookmarkEnd w:id="152"/>
    </w:p>
    <w:p w14:paraId="6CE76F66" w14:textId="77777777" w:rsidR="00E25202" w:rsidRPr="003C6276" w:rsidRDefault="00E25202" w:rsidP="00E25202">
      <w:pPr>
        <w:pStyle w:val="Heading2"/>
      </w:pPr>
      <w:bookmarkStart w:id="153" w:name="_Toc240985910"/>
      <w:bookmarkStart w:id="154" w:name="_Toc241056035"/>
      <w:r w:rsidRPr="003C6276">
        <w:t>4.1 Introduction</w:t>
      </w:r>
      <w:bookmarkEnd w:id="153"/>
      <w:bookmarkEnd w:id="154"/>
    </w:p>
    <w:p w14:paraId="05A98ABB"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following chapter is all about the research findings based on the Systematic Literature Review, along with a critical discussion. This chapter includes thematic analysis of the findings of the articles, which are considered in the Systematic Literature Review. The theme-based critical evaluation is going to be discussed in this chapter by revealing its relation to the existing literature relevant to the research topic, “Determinants and Management Challenges of Chronic Kidney Disease (CKD) Among Adults in the United Kingdom”. Moreover, this chapter is going to analyse the interrelation between the research findings and the existing topic-related literature.</w:t>
      </w:r>
    </w:p>
    <w:p w14:paraId="543BCB86" w14:textId="77777777" w:rsidR="00E25202" w:rsidRPr="003C6276" w:rsidRDefault="00E25202" w:rsidP="00E25202">
      <w:pPr>
        <w:pStyle w:val="Heading2"/>
      </w:pPr>
      <w:bookmarkStart w:id="155" w:name="_Toc240985911"/>
      <w:bookmarkStart w:id="156" w:name="_Toc241056036"/>
      <w:r w:rsidRPr="003C6276">
        <w:t>4.2 Findings</w:t>
      </w:r>
      <w:bookmarkEnd w:id="155"/>
      <w:bookmarkEnd w:id="156"/>
    </w:p>
    <w:tbl>
      <w:tblPr>
        <w:tblW w:w="5739" w:type="pct"/>
        <w:tblInd w:w="-715" w:type="dxa"/>
        <w:tblBorders>
          <w:top w:val="nil"/>
          <w:left w:val="nil"/>
          <w:bottom w:val="nil"/>
          <w:right w:val="nil"/>
          <w:insideH w:val="nil"/>
          <w:insideV w:val="nil"/>
        </w:tblBorders>
        <w:tblLook w:val="0600" w:firstRow="0" w:lastRow="0" w:firstColumn="0" w:lastColumn="0" w:noHBand="1" w:noVBand="1"/>
      </w:tblPr>
      <w:tblGrid>
        <w:gridCol w:w="3544"/>
        <w:gridCol w:w="3969"/>
        <w:gridCol w:w="2833"/>
      </w:tblGrid>
      <w:tr w:rsidR="00E25202" w:rsidRPr="003C6276" w14:paraId="76E75431" w14:textId="77777777" w:rsidTr="00E25202">
        <w:trPr>
          <w:trHeight w:val="345"/>
        </w:trPr>
        <w:tc>
          <w:tcPr>
            <w:tcW w:w="1713"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4FBB83D" w14:textId="77777777" w:rsidR="00E25202" w:rsidRPr="003C6276" w:rsidRDefault="00E25202" w:rsidP="00E25202">
            <w:pPr>
              <w:spacing w:after="200" w:line="360" w:lineRule="auto"/>
              <w:jc w:val="both"/>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Research Objective</w:t>
            </w:r>
          </w:p>
        </w:tc>
        <w:tc>
          <w:tcPr>
            <w:tcW w:w="1918"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7D7A67F" w14:textId="77777777" w:rsidR="00E25202" w:rsidRPr="003C6276" w:rsidRDefault="00E25202" w:rsidP="00E25202">
            <w:pPr>
              <w:spacing w:after="200" w:line="360" w:lineRule="auto"/>
              <w:jc w:val="both"/>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Main Theme</w:t>
            </w:r>
          </w:p>
        </w:tc>
        <w:tc>
          <w:tcPr>
            <w:tcW w:w="136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71B21AA" w14:textId="77777777" w:rsidR="00E25202" w:rsidRPr="003C6276" w:rsidRDefault="00E25202" w:rsidP="00E25202">
            <w:pPr>
              <w:spacing w:after="200" w:line="360" w:lineRule="auto"/>
              <w:jc w:val="both"/>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Subthemes</w:t>
            </w:r>
          </w:p>
        </w:tc>
      </w:tr>
      <w:tr w:rsidR="00E25202" w:rsidRPr="003C6276" w14:paraId="16EFE01B" w14:textId="77777777" w:rsidTr="00E25202">
        <w:trPr>
          <w:trHeight w:val="1335"/>
        </w:trPr>
        <w:tc>
          <w:tcPr>
            <w:tcW w:w="1713"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95C90C"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Objective 1:</w:t>
            </w:r>
            <w:r w:rsidRPr="003C6276">
              <w:rPr>
                <w:rFonts w:ascii="Arial" w:eastAsia="Arial" w:hAnsi="Arial" w:cs="Arial"/>
                <w:kern w:val="0"/>
                <w:lang w:eastAsia="en-IN"/>
                <w14:ligatures w14:val="none"/>
              </w:rPr>
              <w:t xml:space="preserve"> To identify studies relevant biological and lifestyle-related risk factors associated with chronic kidney disease among adults in the UK</w:t>
            </w:r>
          </w:p>
        </w:tc>
        <w:tc>
          <w:tcPr>
            <w:tcW w:w="1918" w:type="pct"/>
            <w:tcBorders>
              <w:top w:val="nil"/>
              <w:left w:val="nil"/>
              <w:bottom w:val="single" w:sz="5" w:space="0" w:color="000000"/>
              <w:right w:val="single" w:sz="5" w:space="0" w:color="000000"/>
            </w:tcBorders>
            <w:tcMar>
              <w:top w:w="0" w:type="dxa"/>
              <w:left w:w="100" w:type="dxa"/>
              <w:bottom w:w="0" w:type="dxa"/>
              <w:right w:w="100" w:type="dxa"/>
            </w:tcMar>
          </w:tcPr>
          <w:p w14:paraId="444EA4E8"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Biological and Lifestyle Risk Factors in CKD Development</w:t>
            </w:r>
          </w:p>
        </w:tc>
        <w:tc>
          <w:tcPr>
            <w:tcW w:w="1369" w:type="pct"/>
            <w:tcBorders>
              <w:top w:val="nil"/>
              <w:left w:val="nil"/>
              <w:bottom w:val="single" w:sz="5" w:space="0" w:color="000000"/>
              <w:right w:val="single" w:sz="5" w:space="0" w:color="000000"/>
            </w:tcBorders>
            <w:tcMar>
              <w:top w:w="0" w:type="dxa"/>
              <w:left w:w="100" w:type="dxa"/>
              <w:bottom w:w="0" w:type="dxa"/>
              <w:right w:w="100" w:type="dxa"/>
            </w:tcMar>
          </w:tcPr>
          <w:p w14:paraId="18192011"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Biological and lifestyle-related risk, CKD Development and management.</w:t>
            </w:r>
          </w:p>
        </w:tc>
      </w:tr>
      <w:tr w:rsidR="00E25202" w:rsidRPr="003C6276" w14:paraId="754B2340" w14:textId="77777777" w:rsidTr="00E25202">
        <w:trPr>
          <w:trHeight w:val="1665"/>
        </w:trPr>
        <w:tc>
          <w:tcPr>
            <w:tcW w:w="1713"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751A91"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Objective 2:</w:t>
            </w:r>
            <w:r w:rsidRPr="003C6276">
              <w:rPr>
                <w:rFonts w:ascii="Arial" w:eastAsia="Arial" w:hAnsi="Arial" w:cs="Arial"/>
                <w:kern w:val="0"/>
                <w:lang w:eastAsia="en-IN"/>
                <w14:ligatures w14:val="none"/>
              </w:rPr>
              <w:t xml:space="preserve"> To critically appraise the socioeconomic and environmental determinants that influence CKD prevalence and progression</w:t>
            </w:r>
          </w:p>
        </w:tc>
        <w:tc>
          <w:tcPr>
            <w:tcW w:w="1918" w:type="pct"/>
            <w:tcBorders>
              <w:top w:val="nil"/>
              <w:left w:val="nil"/>
              <w:bottom w:val="single" w:sz="5" w:space="0" w:color="000000"/>
              <w:right w:val="single" w:sz="5" w:space="0" w:color="000000"/>
            </w:tcBorders>
            <w:tcMar>
              <w:top w:w="0" w:type="dxa"/>
              <w:left w:w="100" w:type="dxa"/>
              <w:bottom w:w="0" w:type="dxa"/>
              <w:right w:w="100" w:type="dxa"/>
            </w:tcMar>
          </w:tcPr>
          <w:p w14:paraId="2688ED57"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Structural, socioeconomic and lifestyle management-related factors influence CKD prevalence and progression among the UK population</w:t>
            </w:r>
          </w:p>
        </w:tc>
        <w:tc>
          <w:tcPr>
            <w:tcW w:w="1369" w:type="pct"/>
            <w:tcBorders>
              <w:top w:val="nil"/>
              <w:left w:val="nil"/>
              <w:bottom w:val="single" w:sz="5" w:space="0" w:color="000000"/>
              <w:right w:val="single" w:sz="5" w:space="0" w:color="000000"/>
            </w:tcBorders>
            <w:tcMar>
              <w:top w:w="0" w:type="dxa"/>
              <w:left w:w="100" w:type="dxa"/>
              <w:bottom w:w="0" w:type="dxa"/>
              <w:right w:w="100" w:type="dxa"/>
            </w:tcMar>
          </w:tcPr>
          <w:p w14:paraId="6E05F313"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Lifestyle management and determinants, socioeconomic factors environmental determinants influence CKD prevalence</w:t>
            </w:r>
          </w:p>
        </w:tc>
      </w:tr>
      <w:tr w:rsidR="00E25202" w:rsidRPr="003C6276" w14:paraId="3D6A7155" w14:textId="77777777" w:rsidTr="00E25202">
        <w:trPr>
          <w:trHeight w:val="2985"/>
        </w:trPr>
        <w:tc>
          <w:tcPr>
            <w:tcW w:w="1713"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94381F" w14:textId="77777777" w:rsidR="00E25202" w:rsidRPr="003C6276" w:rsidRDefault="00E25202" w:rsidP="00E25202">
            <w:pPr>
              <w:spacing w:after="200" w:line="360" w:lineRule="auto"/>
              <w:ind w:firstLine="1395"/>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t>Objective 3:</w:t>
            </w:r>
            <w:r w:rsidRPr="003C6276">
              <w:rPr>
                <w:rFonts w:ascii="Arial" w:eastAsia="Arial" w:hAnsi="Arial" w:cs="Arial"/>
                <w:kern w:val="0"/>
                <w:lang w:eastAsia="en-IN"/>
                <w14:ligatures w14:val="none"/>
              </w:rPr>
              <w:t xml:space="preserve"> To synthesise the existing key challenges in the management and treatment practices of CKD within the UK-based healthcare settings</w:t>
            </w:r>
          </w:p>
        </w:tc>
        <w:tc>
          <w:tcPr>
            <w:tcW w:w="1918" w:type="pct"/>
            <w:tcBorders>
              <w:top w:val="nil"/>
              <w:left w:val="nil"/>
              <w:bottom w:val="single" w:sz="5" w:space="0" w:color="000000"/>
              <w:right w:val="single" w:sz="5" w:space="0" w:color="000000"/>
            </w:tcBorders>
            <w:tcMar>
              <w:top w:w="0" w:type="dxa"/>
              <w:left w:w="100" w:type="dxa"/>
              <w:bottom w:w="0" w:type="dxa"/>
              <w:right w:w="100" w:type="dxa"/>
            </w:tcMar>
          </w:tcPr>
          <w:p w14:paraId="7739F06C"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Poor management and treatment, gaps in prescribing and administration of services, regular diagnostic coding, limitations of measurement, healthcare disparities and diagnosis delay are key challenges for the UK-based CKD treatment practices</w:t>
            </w:r>
          </w:p>
        </w:tc>
        <w:tc>
          <w:tcPr>
            <w:tcW w:w="1369" w:type="pct"/>
            <w:tcBorders>
              <w:top w:val="nil"/>
              <w:left w:val="nil"/>
              <w:bottom w:val="single" w:sz="5" w:space="0" w:color="000000"/>
              <w:right w:val="single" w:sz="5" w:space="0" w:color="000000"/>
            </w:tcBorders>
            <w:tcMar>
              <w:top w:w="0" w:type="dxa"/>
              <w:left w:w="100" w:type="dxa"/>
              <w:bottom w:w="0" w:type="dxa"/>
              <w:right w:w="100" w:type="dxa"/>
            </w:tcMar>
          </w:tcPr>
          <w:p w14:paraId="04C96669"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Prescription, medication gaps and limitations of measurement in UK-based CKD treatment practices</w:t>
            </w:r>
          </w:p>
        </w:tc>
      </w:tr>
      <w:tr w:rsidR="00E25202" w:rsidRPr="003C6276" w14:paraId="4925DDFE" w14:textId="77777777" w:rsidTr="00E25202">
        <w:trPr>
          <w:trHeight w:val="2655"/>
        </w:trPr>
        <w:tc>
          <w:tcPr>
            <w:tcW w:w="1713"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78AA3A5" w14:textId="77777777" w:rsidR="00E25202" w:rsidRPr="003C6276" w:rsidRDefault="00E25202" w:rsidP="00E25202">
            <w:pPr>
              <w:spacing w:after="200" w:line="360" w:lineRule="auto"/>
              <w:ind w:left="141"/>
              <w:jc w:val="both"/>
              <w:rPr>
                <w:rFonts w:ascii="Arial" w:eastAsia="Arial" w:hAnsi="Arial" w:cs="Arial"/>
                <w:kern w:val="0"/>
                <w:lang w:eastAsia="en-IN"/>
                <w14:ligatures w14:val="none"/>
              </w:rPr>
            </w:pPr>
            <w:r w:rsidRPr="003C6276">
              <w:rPr>
                <w:rFonts w:ascii="Arial" w:eastAsia="Arial" w:hAnsi="Arial" w:cs="Arial"/>
                <w:b/>
                <w:bCs/>
                <w:kern w:val="0"/>
                <w:lang w:eastAsia="en-IN"/>
                <w14:ligatures w14:val="none"/>
              </w:rPr>
              <w:lastRenderedPageBreak/>
              <w:t>Objective 4:</w:t>
            </w:r>
            <w:r w:rsidRPr="003C6276">
              <w:rPr>
                <w:rFonts w:ascii="Arial" w:eastAsia="Arial" w:hAnsi="Arial" w:cs="Arial"/>
                <w:kern w:val="0"/>
                <w:lang w:eastAsia="en-IN"/>
                <w14:ligatures w14:val="none"/>
              </w:rPr>
              <w:t xml:space="preserve"> To highlight the evidence-based strategies that can improve the prevention and management of CKD</w:t>
            </w:r>
          </w:p>
        </w:tc>
        <w:tc>
          <w:tcPr>
            <w:tcW w:w="1918" w:type="pct"/>
            <w:tcBorders>
              <w:top w:val="nil"/>
              <w:left w:val="nil"/>
              <w:bottom w:val="single" w:sz="5" w:space="0" w:color="000000"/>
              <w:right w:val="single" w:sz="5" w:space="0" w:color="000000"/>
            </w:tcBorders>
            <w:tcMar>
              <w:top w:w="0" w:type="dxa"/>
              <w:left w:w="100" w:type="dxa"/>
              <w:bottom w:w="0" w:type="dxa"/>
              <w:right w:w="100" w:type="dxa"/>
            </w:tcMar>
          </w:tcPr>
          <w:p w14:paraId="5CB4BBA5" w14:textId="77777777" w:rsidR="00E25202" w:rsidRPr="003C6276" w:rsidRDefault="00E25202" w:rsidP="00E25202">
            <w:pPr>
              <w:spacing w:after="200" w:line="360" w:lineRule="auto"/>
              <w:ind w:left="141"/>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Evidence-based approaches, Kidney Failure Risk Equation (KFRE), interventions at a healthcare-system-level and multidimensional prevention and intervention strategies can improve the prevention and management of CKD</w:t>
            </w:r>
          </w:p>
        </w:tc>
        <w:tc>
          <w:tcPr>
            <w:tcW w:w="1369" w:type="pct"/>
            <w:tcBorders>
              <w:top w:val="nil"/>
              <w:left w:val="nil"/>
              <w:bottom w:val="single" w:sz="5" w:space="0" w:color="000000"/>
              <w:right w:val="single" w:sz="5" w:space="0" w:color="000000"/>
            </w:tcBorders>
            <w:tcMar>
              <w:top w:w="0" w:type="dxa"/>
              <w:left w:w="100" w:type="dxa"/>
              <w:bottom w:w="0" w:type="dxa"/>
              <w:right w:w="100" w:type="dxa"/>
            </w:tcMar>
          </w:tcPr>
          <w:p w14:paraId="1C8F8674"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Evidence-based strategy, Kidney Failure Risk Equation (KFRE) for CKD management and improvement.</w:t>
            </w:r>
          </w:p>
        </w:tc>
      </w:tr>
    </w:tbl>
    <w:p w14:paraId="4CC2288C" w14:textId="77777777" w:rsidR="00E25202" w:rsidRPr="003C6276" w:rsidRDefault="00E25202" w:rsidP="00E25202">
      <w:pPr>
        <w:pStyle w:val="Heading5"/>
      </w:pPr>
      <w:bookmarkStart w:id="157" w:name="_heading=h.si2gzxs024ip" w:colFirst="0" w:colLast="0"/>
      <w:bookmarkStart w:id="158" w:name="_Toc240985949"/>
      <w:bookmarkStart w:id="159" w:name="_Toc241057618"/>
      <w:bookmarkEnd w:id="157"/>
      <w:r w:rsidRPr="003C6276">
        <w:t>Table 4.1: Thematic Table</w:t>
      </w:r>
      <w:bookmarkEnd w:id="158"/>
      <w:bookmarkEnd w:id="159"/>
    </w:p>
    <w:p w14:paraId="4F9A6371" w14:textId="77777777" w:rsidR="00E25202" w:rsidRPr="003C6276" w:rsidRDefault="00E25202" w:rsidP="00E25202">
      <w:pPr>
        <w:spacing w:after="200" w:line="360" w:lineRule="auto"/>
        <w:jc w:val="center"/>
        <w:rPr>
          <w:rFonts w:ascii="Arial" w:eastAsia="Arial" w:hAnsi="Arial" w:cs="Arial"/>
          <w:kern w:val="0"/>
          <w:lang w:eastAsia="en-IN"/>
          <w14:ligatures w14:val="none"/>
        </w:rPr>
      </w:pPr>
      <w:r w:rsidRPr="003C6276">
        <w:rPr>
          <w:rFonts w:ascii="Arial" w:eastAsia="Arial" w:hAnsi="Arial" w:cs="Arial"/>
          <w:kern w:val="0"/>
          <w:lang w:eastAsia="en-IN"/>
          <w14:ligatures w14:val="none"/>
        </w:rPr>
        <w:t>(Source: Self-created)</w:t>
      </w:r>
    </w:p>
    <w:p w14:paraId="70E5C50F" w14:textId="77777777" w:rsidR="00E25202" w:rsidRPr="003C6276" w:rsidRDefault="00E25202" w:rsidP="00E25202">
      <w:pPr>
        <w:pStyle w:val="Heading2"/>
      </w:pPr>
      <w:bookmarkStart w:id="160" w:name="_Toc240985912"/>
      <w:bookmarkStart w:id="161" w:name="_Toc241056037"/>
      <w:r w:rsidRPr="003C6276">
        <w:t>4.3 Theme 1: Biological and Lifestyle Risk Factors in CKD Development</w:t>
      </w:r>
      <w:bookmarkEnd w:id="160"/>
      <w:bookmarkEnd w:id="161"/>
    </w:p>
    <w:p w14:paraId="39C5B694"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derived by Jin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(2025) demonstrated that non-modifiable novel biomarkers account for up to 32% of predictive variance in accelerated eGFR decline, outperforming standard serum creatinine. The quantitative study also found that conditions such as diabetes, hypertension and obesity were consistently aligned with increased CKD risk.</w:t>
      </w:r>
    </w:p>
    <w:p w14:paraId="70FA156B"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of Francis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argued that modifiable lifestyle behaviours remain the principal drivers of population-attributable CKD risk. This includes smoking cessation, adherence to cardioprotective diets and physical activity. Their multidisciplinary synthesis of about 19 studies showcases that lifestyle factors like poor diet, smoking, as well as physical inactivity increase the chances of getting metabolic disorders.</w:t>
      </w:r>
    </w:p>
    <w:p w14:paraId="451498EA"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of Stewart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illustrated that the use of sodium-glucose co-transporter-2 inhibitor (SGLT2i) medication and risk-based care offers promising, cost- effective avenues for improving patient and population- level kidney health. The Mechanistic Synergy of this study relies solely on behavioural changes, risking missing individuals with aggressive metabolic predispositions who lack overt lifestyle risk factors. </w:t>
      </w:r>
    </w:p>
    <w:p w14:paraId="423B2A57"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Liyanage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provided a systematic review and meta-analysis synthesising observational studies across 26 Asian countries, covering an estimated adult population are suffering with CKD. It has been recognised that rapid escalation of biological risk factors, principally diabetes and hypertension alongside population aging, drives severe, under-diagnosed CKD burdens. The ultimate outcome demonstrates that unmanaged cardiometabolic risk factors directly accelerate renal decline, necessitating early multi-risk-factor screening as well as targeted primary care interventions.</w:t>
      </w:r>
    </w:p>
    <w:p w14:paraId="72D42392" w14:textId="77777777" w:rsidR="00E25202" w:rsidRPr="003C6276" w:rsidRDefault="00E25202" w:rsidP="00E25202">
      <w:pPr>
        <w:pStyle w:val="Heading3"/>
      </w:pPr>
      <w:bookmarkStart w:id="162" w:name="_Toc240985913"/>
      <w:bookmarkStart w:id="163" w:name="_Toc241056038"/>
      <w:r w:rsidRPr="003C6276">
        <w:lastRenderedPageBreak/>
        <w:t>4.3.1 Biological and lifestyle-related risk in CKD Development and management</w:t>
      </w:r>
      <w:bookmarkEnd w:id="162"/>
      <w:bookmarkEnd w:id="163"/>
    </w:p>
    <w:p w14:paraId="4F657B52"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Jin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provided a deeper perspective as they examined plasma metabolites as well as lifestyle-related biomarkers in the larger population of the UK with about five lakh participants. Their findings revealed that age, body mass index, as well as the Townsend Deprivation Index together led to the onset of CKD. This suggests that biological markers are one of the stronger predictive influences rather than lifestyle factors, which directly challenges the assumption that behavioural modification alone can reduce the chances of getting CKD. The findings of Francis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(2024) outlined that CKD prevalence among adults is driven by an increase in lifestyle conditions such as smoking, alcohol use, health literacy, access to healthcare and housing. However, high reliance on self-reported lifestyle metrics has systematically underestimated true exposure, such as under-reporting dietary sodium or smoking pack-years in the research of Francis (2024). The management of CKD reduces the economic burden on public healthcare organisations and improves outcomes.</w:t>
      </w:r>
    </w:p>
    <w:p w14:paraId="0338C632"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above contradiction indicates a central conflict in which, while biological factors like hypertension and diabetes emerge as major risk predictors for CKD, lifestyle choices also play an important role in the development of this disease. The study by Jin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investigated lifestyle factors such as diet, alcohol consumption, smoking, BMI, physical activity, and sleep in comparison with biological factors such as plasma metabolites for analysing their impact on the CKD management. This variation makes it difficult to establish the relative importance of individual biological and lifestyle determinants. Liyanage et al. (2022) provided a Systematic review and meta-analysis synthesising observational studies across 26 Asian countries, covering an estimated adult population of 434.3 million individuals with CKD. However, the overall evidence highlights a consistent pattern in which multiple risk factors coexist among adults with CKD. This theme’s findings support Objective 1 by showing that CKD development is associated with a combination of biological vulnerability and modifiable lifestyle-related factors instead of a single determinant. As several included studies used observational and retrospective approaches, the findings need to primarily be interpreted as evidence of association over definitive causation.</w:t>
      </w:r>
    </w:p>
    <w:p w14:paraId="341811A1" w14:textId="77777777" w:rsidR="00E25202" w:rsidRPr="003C6276" w:rsidRDefault="00E25202" w:rsidP="00E25202">
      <w:pPr>
        <w:pStyle w:val="Heading2"/>
      </w:pPr>
      <w:bookmarkStart w:id="164" w:name="_Toc240985914"/>
      <w:bookmarkStart w:id="165" w:name="_Toc241056039"/>
      <w:r w:rsidRPr="003C6276">
        <w:t>4.4 Theme 2: Structural, socioeconomic and lifestyle management-related factors can influence CKD prevalence and progression among the UK population</w:t>
      </w:r>
      <w:bookmarkEnd w:id="164"/>
      <w:bookmarkEnd w:id="165"/>
    </w:p>
    <w:p w14:paraId="1A692070"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research findings reveal that socioeconomic and environmental conditions have a significant impact on the prevalence, the progression and the outcomes of managing chronic kidney disease (CKD) in adults in the UK. The CKD case analysis implies that CKD cannot be solely attributed to biological reasons due to broader </w:t>
      </w:r>
      <w:r w:rsidRPr="003C6276">
        <w:rPr>
          <w:rFonts w:ascii="Arial" w:eastAsia="Arial" w:hAnsi="Arial" w:cs="Arial"/>
          <w:b/>
          <w:bCs/>
          <w:i/>
          <w:iCs/>
          <w:kern w:val="0"/>
          <w:lang w:eastAsia="en-IN"/>
          <w14:ligatures w14:val="none"/>
        </w:rPr>
        <w:t>structural factors</w:t>
      </w:r>
      <w:r w:rsidRPr="003C6276">
        <w:rPr>
          <w:rFonts w:ascii="Arial" w:eastAsia="Arial" w:hAnsi="Arial" w:cs="Arial"/>
          <w:kern w:val="0"/>
          <w:lang w:eastAsia="en-IN"/>
          <w14:ligatures w14:val="none"/>
        </w:rPr>
        <w:t xml:space="preserve">, such as deprivation, </w:t>
      </w:r>
      <w:r w:rsidRPr="003C6276">
        <w:rPr>
          <w:rFonts w:ascii="Arial" w:eastAsia="Arial" w:hAnsi="Arial" w:cs="Arial"/>
          <w:kern w:val="0"/>
          <w:lang w:eastAsia="en-IN"/>
          <w14:ligatures w14:val="none"/>
        </w:rPr>
        <w:lastRenderedPageBreak/>
        <w:t xml:space="preserve">income inequalities, limited access to healthcare and exposure to environmental factors, which cause disproportional vulnerabilities to various groups of people. </w:t>
      </w:r>
    </w:p>
    <w:p w14:paraId="4E0E3617"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of Grant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(2023) have highlighted that socioeconomic deprivation is highly interlinked with amplified CKD prevalence, with citizens in underprivileged communities experiencing quicker development, being misdiagnosed and having lower health outcomes. This implies that social disadvantage also plays a role in CKD in several different ways, such as decreased access to preventive healthcare, poor living conditions and exposure to risk factors.</w:t>
      </w:r>
    </w:p>
    <w:p w14:paraId="123DDC30"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According to Lo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CKD management requires lifestyle changes that also lower the risks of metabolic dysfunction-associated steatotic liver disease (MASLD). The qualitative study also outlined that cumulative adherence to optimal management of lifestyle risk factors, along with modifiable lifestyle risks, exhibited effective management of CKD. The findings helped in identifying the lifestyle management-related factors that are crucial to be addressed and managed for enhancing CKD care management among adults in the UK. </w:t>
      </w:r>
    </w:p>
    <w:p w14:paraId="6A34CA05"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of Rosenberg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(2026) have reflected that non-clinical socioeconomic determinants systematically dictate access, requiring targeted equity-driven healthcare management policies for non-dialysis care uptake. The findings align with research questions by arguing that a major contributor to CKD is socioeconomic factors, increasing risks of CKD diagnosis and accessibility to care from deprived socioeconomic backgrounds.</w:t>
      </w:r>
    </w:p>
    <w:p w14:paraId="0636FE95" w14:textId="77777777" w:rsidR="00E25202" w:rsidRPr="003C6276" w:rsidRDefault="00E25202" w:rsidP="00E25202">
      <w:pPr>
        <w:pStyle w:val="Heading3"/>
      </w:pPr>
      <w:bookmarkStart w:id="166" w:name="_Toc240985915"/>
      <w:bookmarkStart w:id="167" w:name="_Toc241056040"/>
      <w:r w:rsidRPr="003C6276">
        <w:t>4.4.1 Lifestyle management and determinants</w:t>
      </w:r>
      <w:bookmarkEnd w:id="166"/>
      <w:bookmarkEnd w:id="167"/>
    </w:p>
    <w:p w14:paraId="06D148AA"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Lifestyle management and determinant factors have also been found to be major contributors that impact individual health and lead to higher prevalence of CKD among adults in the UK. The findings derived by Lo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have revealed that lifestyle management and improvement through reducing smoking, working out and daily exercise reduce metabolic risk related to disease progression. The findings outlined that lifestyle alteration is positively associated with reducing the risks of CKD among adults in UK primary care. As compared to this view, Huang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outlined that health literacy and education in CKD management can be an effective approach to tackle the socioeconomic determinants of CKD. The development and establishment of health literacy campaigns and NHS-led initiatives in the UK improve the knowledge of the patients, along with empowering communities to identify early symptoms of CKD. Rosenberg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(2026) have provided data through a systematic review and stated a random-effects meta-analysis evaluating 43 studies across databases, encompassing 51,872 participants with kidney failure. Living situations and socioeconomic status critically drive treatment choices and care pathways alongside clinical indicators.</w:t>
      </w:r>
    </w:p>
    <w:p w14:paraId="25DD4D85"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existing studies have focused on key objectives, firstly to introduce a comprehensive framework for assessing national programs and to present key challenges in delivering CKD services to adults. Accordingly, Johnston-Webber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(2025) have outlined that early detection and assertive interventions reduce disease progression; however, CKD screening accessibility to individuals is lacking, limiting early diagnosis of the disease. It has also been analysed that the lack of appropriate incentives leads to insufficient screening of CKD patients in early stages. On the other hand, this demonstrates that non-clinical socioeconomic determinants systematically dictate access, requiring targeted equity-driven healthcare management policies for non-dialysis care uptake. The findings are linked with objective 2 by defining the socioeconomic factors responsible for limiting CKD management, including overstretched primary care, scattered access to required care and delayed CKD diagnosis.</w:t>
      </w:r>
    </w:p>
    <w:p w14:paraId="35F39DCA" w14:textId="77777777" w:rsidR="00E25202" w:rsidRPr="003C6276" w:rsidRDefault="00E25202" w:rsidP="00E25202">
      <w:pPr>
        <w:pStyle w:val="Heading3"/>
      </w:pPr>
      <w:bookmarkStart w:id="168" w:name="_Toc240985916"/>
      <w:bookmarkStart w:id="169" w:name="_Toc241056041"/>
      <w:r w:rsidRPr="003C6276">
        <w:t>4.4.2 Socioeconomic factors impacting CKD management</w:t>
      </w:r>
      <w:bookmarkEnd w:id="168"/>
      <w:bookmarkEnd w:id="169"/>
    </w:p>
    <w:p w14:paraId="5DF92A3E"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Nonetheless, the role of </w:t>
      </w:r>
      <w:r w:rsidRPr="003C6276">
        <w:rPr>
          <w:rFonts w:ascii="Arial" w:eastAsia="Arial" w:hAnsi="Arial" w:cs="Arial"/>
          <w:b/>
          <w:bCs/>
          <w:i/>
          <w:iCs/>
          <w:kern w:val="0"/>
          <w:lang w:eastAsia="en-IN"/>
          <w14:ligatures w14:val="none"/>
        </w:rPr>
        <w:t>socioeconomic factors</w:t>
      </w:r>
      <w:r w:rsidRPr="003C6276">
        <w:rPr>
          <w:rFonts w:ascii="Arial" w:eastAsia="Arial" w:hAnsi="Arial" w:cs="Arial"/>
          <w:kern w:val="0"/>
          <w:lang w:eastAsia="en-IN"/>
          <w14:ligatures w14:val="none"/>
        </w:rPr>
        <w:t xml:space="preserve"> needs to be prioritised in a wider context, with the effect of deprivation being non-autonomous and interacting with underlying biological predispositions. According to the findings of Grant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there is an interlink between deprivation and poor CKD outcomes. However, it has been observed that socioeconomic inequalities are mediated by other factors, including diabetes, obesity and hypertension, to cause the development of kidney diseases. This implies that socioeconomic disadvantage can be considered as an upstream factor leading to increased exposure to biological risks. On the other hand, Johnston-Webber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highlighted new insights into the burden of the disease. Synthesised data from Grant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(2023) and Johnston-Webber et al. (2025) illustrate a clear dose-response relationship between living in areas of high deprivation as well as progressive renal decline. It has been found that CKD poses a multidimensional problem that goes beyond clinical outcomes to include healthcare systems, individual populations, and respective economic well-being. </w:t>
      </w:r>
    </w:p>
    <w:p w14:paraId="3AD680E3"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Comparatively, Lo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(2023) highlighted the field of </w:t>
      </w:r>
      <w:r w:rsidRPr="003C6276">
        <w:rPr>
          <w:rFonts w:ascii="Arial" w:eastAsia="Arial" w:hAnsi="Arial" w:cs="Arial"/>
          <w:b/>
          <w:bCs/>
          <w:i/>
          <w:iCs/>
          <w:kern w:val="0"/>
          <w:lang w:eastAsia="en-IN"/>
          <w14:ligatures w14:val="none"/>
        </w:rPr>
        <w:t xml:space="preserve">lifestyle management </w:t>
      </w:r>
      <w:r w:rsidRPr="003C6276">
        <w:rPr>
          <w:rFonts w:ascii="Arial" w:eastAsia="Arial" w:hAnsi="Arial" w:cs="Arial"/>
          <w:kern w:val="0"/>
          <w:lang w:eastAsia="en-IN"/>
          <w14:ligatures w14:val="none"/>
        </w:rPr>
        <w:t>in CKD patients and showed that the most significant metabolic risks related to disease progression can be decreased with the help of integrated lifestyle interventions. Hence, the findings of this theme asserted stronger and more consistent evidence aligning with socioeconomic determinants than environmental determinants. However, Johnston-Webber</w:t>
      </w:r>
      <w:r w:rsidRPr="003C6276">
        <w:rPr>
          <w:rFonts w:ascii="Arial" w:eastAsia="Arial" w:hAnsi="Arial" w:cs="Arial"/>
          <w:i/>
          <w:iCs/>
          <w:kern w:val="0"/>
          <w:lang w:eastAsia="en-IN"/>
          <w14:ligatures w14:val="none"/>
        </w:rPr>
        <w:t xml:space="preserve"> et al.</w:t>
      </w:r>
      <w:r w:rsidRPr="003C6276">
        <w:rPr>
          <w:rFonts w:ascii="Arial" w:eastAsia="Arial" w:hAnsi="Arial" w:cs="Arial"/>
          <w:kern w:val="0"/>
          <w:lang w:eastAsia="en-IN"/>
          <w14:ligatures w14:val="none"/>
        </w:rPr>
        <w:t xml:space="preserve"> (2025) showcase that individuals in the lowest IMD quintile exhibit a 42% higher hazard ratio for progressing to end-stage renal disease (ESRD) compared to those in the highest quintile. This is found even after controlling for baseline diabetes and hypertension status. The evidence has been demonstrated here on socioeconomic disadvantage, inequalities in healthcare access and differences in the identification and management, more clearly represented as factors </w:t>
      </w:r>
      <w:r w:rsidRPr="003C6276">
        <w:rPr>
          <w:rFonts w:ascii="Arial" w:eastAsia="Arial" w:hAnsi="Arial" w:cs="Arial"/>
          <w:kern w:val="0"/>
          <w:lang w:eastAsia="en-IN"/>
          <w14:ligatures w14:val="none"/>
        </w:rPr>
        <w:lastRenderedPageBreak/>
        <w:t xml:space="preserve">associated with unequal outcomes of CKD. These findings highlight that CKD prevalence and progression cannot be understood by only individual clinical or lifestyle characteristics, as access to timely diagnosis and healthcare also affects management outcomes. </w:t>
      </w:r>
    </w:p>
    <w:p w14:paraId="521B61AD"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As per the contrasting views, direct evidence on environmental determinants among UK adults was comparatively limited across the included studies. However, environmental factors were found across the broader literature review section. The findings of this systematic review did not provide sufficient consistent evidence to determine the extent to which factors such as housing conditions, pollution or occupational exposures directly influence CKD prevalence and progression in the UK population. This differentiation is significant as Objective 2 addresses both socioeconomic and environmental determinants. Therefore, environmental determinants represent a gap in the UK-focused evidence base in an area that has been comprehensively addressed by the review. The included evidence provides substantial support for the influence of socioeconomic inequalities.</w:t>
      </w:r>
    </w:p>
    <w:p w14:paraId="7F7F022F" w14:textId="77777777" w:rsidR="00E25202" w:rsidRPr="003C6276" w:rsidRDefault="00E25202" w:rsidP="00E25202">
      <w:pPr>
        <w:pStyle w:val="Heading2"/>
      </w:pPr>
      <w:bookmarkStart w:id="170" w:name="_Toc240985917"/>
      <w:bookmarkStart w:id="171" w:name="_Toc241056042"/>
      <w:r w:rsidRPr="003C6276">
        <w:t>4.5 Theme 3: Poor management and treatment, gaps in prescribing and administration of services, regular diagnostic coding, and limitations of measurement, healthcare disparities and diagnosis delay are key challenges for the UK-based CKD treatment practices</w:t>
      </w:r>
      <w:bookmarkEnd w:id="170"/>
      <w:bookmarkEnd w:id="171"/>
    </w:p>
    <w:p w14:paraId="4683CB32"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key findings of Sisk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(2024) have demonstrated that diagnosis codes overlook the role of CKD development in as much as the estimated glomerular filtration rate (eGFR)-based evidence in type 2 diabetes patients in UK primary care critically underestimated development based on diagnosis. The quantitative study has aimed to analyse the consistency between the eGFR-based evidence of CKD and CKD diagnosis within the UK primary care setting.</w:t>
      </w:r>
    </w:p>
    <w:p w14:paraId="49171C66"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Cleary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(2022) have found the interrelation between CKD coding practices and later clinical outcomes. The study is concerned on eGFR-based evidence and diagnostic coding suggests that reliance on recorded diagnoses may not always reflect the major burden of CKD by contributing to delayed identification.</w:t>
      </w:r>
    </w:p>
    <w:p w14:paraId="16A949BA"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According to the findings of Mayne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socioeconomic factors, age, and access to healthcare affect disparities in the prevalence and management outcomes of CKD. This agrees with the overall results of this systematic review, in which socioeconomic deprivation and access to healthcare were found to be crucial factors that determine CKD development in adults in the UK. </w:t>
      </w:r>
    </w:p>
    <w:p w14:paraId="777E21C9" w14:textId="77777777" w:rsidR="00E25202" w:rsidRPr="003C6276" w:rsidRDefault="00E25202" w:rsidP="00E25202">
      <w:pPr>
        <w:pStyle w:val="Heading3"/>
      </w:pPr>
      <w:bookmarkStart w:id="172" w:name="_Toc240985918"/>
      <w:bookmarkStart w:id="173" w:name="_Toc241056043"/>
      <w:r w:rsidRPr="003C6276">
        <w:t>4.5.1 Prescription, medication gaps and limited measurement</w:t>
      </w:r>
      <w:bookmarkEnd w:id="172"/>
      <w:bookmarkEnd w:id="173"/>
    </w:p>
    <w:p w14:paraId="3CE30538"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results revealed that the </w:t>
      </w:r>
      <w:r w:rsidRPr="003C6276">
        <w:rPr>
          <w:rFonts w:ascii="Arial" w:eastAsia="Arial" w:hAnsi="Arial" w:cs="Arial"/>
          <w:b/>
          <w:bCs/>
          <w:i/>
          <w:iCs/>
          <w:kern w:val="0"/>
          <w:lang w:eastAsia="en-IN"/>
          <w14:ligatures w14:val="none"/>
        </w:rPr>
        <w:t xml:space="preserve">lack of management and treatment </w:t>
      </w:r>
      <w:r w:rsidRPr="003C6276">
        <w:rPr>
          <w:rFonts w:ascii="Arial" w:eastAsia="Arial" w:hAnsi="Arial" w:cs="Arial"/>
          <w:kern w:val="0"/>
          <w:lang w:eastAsia="en-IN"/>
          <w14:ligatures w14:val="none"/>
        </w:rPr>
        <w:t xml:space="preserve">of chronic kidney disease (CKD) is still a challenging issue in UK healthcare, as the disease is diagnosed late, most primary care centres are not good at identifying it, and national healthcare needs are excessive. According to Sisk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the use of regular diagnostic coding might not be sufficient to tackle people at risk of having progressive kidney deterioration. Even though the UK healthcare system is offering established clinical pathways in managing CKD, there are indications that there are </w:t>
      </w:r>
      <w:r w:rsidRPr="003C6276">
        <w:rPr>
          <w:rFonts w:ascii="Arial" w:eastAsia="Arial" w:hAnsi="Arial" w:cs="Arial"/>
          <w:b/>
          <w:bCs/>
          <w:i/>
          <w:iCs/>
          <w:kern w:val="0"/>
          <w:lang w:eastAsia="en-IN"/>
          <w14:ligatures w14:val="none"/>
        </w:rPr>
        <w:t xml:space="preserve">gaps in prescribing and administration of services </w:t>
      </w:r>
      <w:r w:rsidRPr="003C6276">
        <w:rPr>
          <w:rFonts w:ascii="Arial" w:eastAsia="Arial" w:hAnsi="Arial" w:cs="Arial"/>
          <w:kern w:val="0"/>
          <w:lang w:eastAsia="en-IN"/>
          <w14:ligatures w14:val="none"/>
        </w:rPr>
        <w:t xml:space="preserve">in the system, which is affecting the diagnosis of CKD and patient outcomes. However, Cleary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successful CKD coding in primary health care can aid in better disease awareness and lessen negative outcomes. In addition to this, national audit data indicated that CKD patients were at greater risk of hospitalisation and mortality, indicating the need to ensure the good use of primary care to monitor them. </w:t>
      </w:r>
    </w:p>
    <w:p w14:paraId="6C4C1014"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On the other hand, Cleary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have outlined that CKD is highly prevalent, with other healthcare risks such as health failure, cardiovascular disease and higher rates of acute kidney disease. It has also been identified that financial incentives are provided to GPs for effective CKD coding and registering patients with CKD stage 3 to 5. Sisk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explicitly mentioned the </w:t>
      </w:r>
      <w:r w:rsidRPr="003C6276">
        <w:rPr>
          <w:rFonts w:ascii="Arial" w:eastAsia="Arial" w:hAnsi="Arial" w:cs="Arial"/>
          <w:b/>
          <w:bCs/>
          <w:i/>
          <w:iCs/>
          <w:kern w:val="0"/>
          <w:lang w:eastAsia="en-IN"/>
          <w14:ligatures w14:val="none"/>
        </w:rPr>
        <w:t xml:space="preserve">limitations of measurement </w:t>
      </w:r>
      <w:r w:rsidRPr="003C6276">
        <w:rPr>
          <w:rFonts w:ascii="Arial" w:eastAsia="Arial" w:hAnsi="Arial" w:cs="Arial"/>
          <w:kern w:val="0"/>
          <w:lang w:eastAsia="en-IN"/>
          <w14:ligatures w14:val="none"/>
        </w:rPr>
        <w:t>in the current practices of identifying the CKD prevalence. The evidence highlighted several different challenges in the management and treatment of CKD across the UK healthcare settings. The diagnostic and coding limitations were recognised as barriers to accurate and timely identification. Consequently, incorporating better monitoring frameworks and risk evaluation methods can be used to help in early detection of individuals at high risk and help to prevent deterioration into a more severe kidney disease. Nevertheless, better diagnostic methods in the context of CKD cannot completely solve issues in management since outcomes of CKD are also susceptible to larger social and healthcare disparities.</w:t>
      </w:r>
    </w:p>
    <w:p w14:paraId="3D11CE32" w14:textId="77777777" w:rsidR="00E25202" w:rsidRPr="003C6276" w:rsidRDefault="00E25202" w:rsidP="00E25202">
      <w:pPr>
        <w:pStyle w:val="Heading3"/>
      </w:pPr>
      <w:bookmarkStart w:id="174" w:name="_Toc240985919"/>
      <w:bookmarkStart w:id="175" w:name="_Toc241056044"/>
      <w:r w:rsidRPr="003C6276">
        <w:t>4.5.2 Healthcare disparities and socioeconomic deprivation</w:t>
      </w:r>
      <w:bookmarkEnd w:id="174"/>
      <w:bookmarkEnd w:id="175"/>
    </w:p>
    <w:p w14:paraId="6F20229D"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b/>
          <w:bCs/>
          <w:i/>
          <w:iCs/>
          <w:kern w:val="0"/>
          <w:lang w:eastAsia="en-IN"/>
          <w14:ligatures w14:val="none"/>
        </w:rPr>
        <w:t xml:space="preserve">Healthcare disparities </w:t>
      </w:r>
      <w:r w:rsidRPr="003C6276">
        <w:rPr>
          <w:rFonts w:ascii="Arial" w:eastAsia="Arial" w:hAnsi="Arial" w:cs="Arial"/>
          <w:kern w:val="0"/>
          <w:lang w:eastAsia="en-IN"/>
          <w14:ligatures w14:val="none"/>
        </w:rPr>
        <w:t xml:space="preserve">can be considered as another important challenge that impacts CKD treatment practices. Mayne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outlined that CKD prevalence among adults and especially among female patients, was found to be high, which was impacted by the high disparities related to socio-economic status. The prevalence of CKD is at 13.0% and 6.6% in low- and middle-income countries as compared to high-income countries. Likewise, healthcare inequalities represented a separate management challenge. The analysed evidence indicated that socioeconomic circumstances and differences in access to healthcare may negatively affect opportunities for early diagnosis and management. These inequalities </w:t>
      </w:r>
      <w:r w:rsidRPr="003C6276">
        <w:rPr>
          <w:rFonts w:ascii="Arial" w:eastAsia="Arial" w:hAnsi="Arial" w:cs="Arial"/>
          <w:kern w:val="0"/>
          <w:lang w:eastAsia="en-IN"/>
          <w14:ligatures w14:val="none"/>
        </w:rPr>
        <w:lastRenderedPageBreak/>
        <w:t>are different from diagnostic limitations as they concern differences in access to services rather than the technical accuracy of disease identification.</w:t>
      </w:r>
    </w:p>
    <w:p w14:paraId="3EDCC1B1"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Furthermore, the findings of Mayne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were considered in aligning with the gaps relevant to the review population and research question. This article highlighted differences associated with socioeconomic status and demographic characteristics in CKD prevalence and management outcomes. The evidence is relevant as it demonstrates that </w:t>
      </w:r>
      <w:r w:rsidRPr="003C6276">
        <w:rPr>
          <w:rFonts w:ascii="Arial" w:eastAsia="Arial" w:hAnsi="Arial" w:cs="Arial"/>
          <w:b/>
          <w:bCs/>
          <w:i/>
          <w:iCs/>
          <w:kern w:val="0"/>
          <w:lang w:eastAsia="en-IN"/>
          <w14:ligatures w14:val="none"/>
        </w:rPr>
        <w:t xml:space="preserve">inequalities </w:t>
      </w:r>
      <w:r w:rsidRPr="003C6276">
        <w:rPr>
          <w:rFonts w:ascii="Arial" w:eastAsia="Arial" w:hAnsi="Arial" w:cs="Arial"/>
          <w:kern w:val="0"/>
          <w:lang w:eastAsia="en-IN"/>
          <w14:ligatures w14:val="none"/>
        </w:rPr>
        <w:t xml:space="preserve">may influence access to diagnosis and healthcare among populations affected by CKD. Restricting the interpretation to evidence supporting the review eligibility criteria ensures that the findings address the UK-focused research question. In comparison to this view, Sisk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have outlined that adults who had higher risks of CKD stage with higher eGFR-based criteria had an observed urine albumin-to-creatinine ratio (A1). Treatment and service pressures created further challenges for effective CKD management. Therefore, the evidence suggests that high demand for renal care can place pressure on healthcare services, especially where patients require complex and long-term monitoring or treatment. Finally, patient-level management challenges such as the complexity of treatment pathways and self-management requirements may negatively influence continuity of care. These findings of the third theme reflect that CKD management challenges operate across diagnostic, access-related, service and patient-management levels. These challenges provide a clearer understanding of the reason behind improvements in one particular area that may not address all barriers identified across these findings.</w:t>
      </w:r>
    </w:p>
    <w:p w14:paraId="35FF896E" w14:textId="77777777" w:rsidR="00E25202" w:rsidRPr="003C6276" w:rsidRDefault="00E25202" w:rsidP="00E25202">
      <w:pPr>
        <w:pStyle w:val="Heading2"/>
      </w:pPr>
      <w:bookmarkStart w:id="176" w:name="_Toc240985920"/>
      <w:bookmarkStart w:id="177" w:name="_Toc241056045"/>
      <w:r w:rsidRPr="003C6276">
        <w:t>4.6 Theme 4: Evidence-based approaches, Kidney Failure Risk Equation (KFRE), interventions at a healthcare-system-level and multidimensional prevention and intervention strategy can improve the prevention and management of CKD</w:t>
      </w:r>
      <w:bookmarkEnd w:id="176"/>
      <w:bookmarkEnd w:id="177"/>
    </w:p>
    <w:p w14:paraId="27480A8B"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study by Walker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highlighted the presence of disparities in CKD care, and the predictive tools alone are incapable of eradicating disparities unless there is an improvement in access to health care and the processes of its implementation. Furthermore, pharmacological treatment is also another valuable evidence-based practice towards slowing the progression of CKD. As per the discussion by Gentile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the management of CKD was emphasised by showing that intensive blood pressure management can lead to better renal outcomes and fewer cardiovascular complications. The study evaluates the role of key international guidelines for formulating clinical guidelines for the blood pressure target management among patients with CKD. This implies that the management of CKD helps to argue that the modifiable clinical risk factors should be controlled to avoid the development of the disease. However, Czupryniak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highlighted that the effectiveness of medications relies on timely diagnosis, proper patient selection and the availability of renal-</w:t>
      </w:r>
      <w:r w:rsidRPr="003C6276">
        <w:rPr>
          <w:rFonts w:ascii="Arial" w:eastAsia="Arial" w:hAnsi="Arial" w:cs="Arial"/>
          <w:kern w:val="0"/>
          <w:lang w:eastAsia="en-IN"/>
          <w14:ligatures w14:val="none"/>
        </w:rPr>
        <w:lastRenderedPageBreak/>
        <w:t>protective medications. Thus, pharmacological approaches can have essential clinical value; however, their effect might not be as high when healthcare systems of health care neglect the obstacles to diagnosis and intervention.</w:t>
      </w:r>
    </w:p>
    <w:p w14:paraId="11C93836"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findings of Gentile</w:t>
      </w:r>
      <w:r w:rsidRPr="003C6276">
        <w:rPr>
          <w:rFonts w:ascii="Arial" w:eastAsia="Arial" w:hAnsi="Arial" w:cs="Arial"/>
          <w:i/>
          <w:iCs/>
          <w:kern w:val="0"/>
          <w:lang w:eastAsia="en-IN"/>
          <w14:ligatures w14:val="none"/>
        </w:rPr>
        <w:t xml:space="preserve"> et al. </w:t>
      </w:r>
      <w:r w:rsidRPr="003C6276">
        <w:rPr>
          <w:rFonts w:ascii="Arial" w:eastAsia="Arial" w:hAnsi="Arial" w:cs="Arial"/>
          <w:kern w:val="0"/>
          <w:lang w:eastAsia="en-IN"/>
          <w14:ligatures w14:val="none"/>
        </w:rPr>
        <w:t>(2022) show that hypertension that affects 1.39 billion people worldwide is a leading cause of CKD that needs to be managed to reduce the prevalence and risks of CKD. It has also been argued in existing studies that an ambitious systolic blood pressure targets lower than 120 mmHg is an effective approach among adults to minimise the risks of renal and cardiovascular events along with CKD. The findings of the studies address the research objectives regarding evidence-based strategies by outlining that the management of blood pressure reduces the risks of hypertension that is considered a leading cause of CKD.</w:t>
      </w:r>
    </w:p>
    <w:p w14:paraId="6F7E2E8E" w14:textId="77777777" w:rsidR="00E25202" w:rsidRPr="003C6276" w:rsidRDefault="00E25202" w:rsidP="00E25202">
      <w:pPr>
        <w:pStyle w:val="Heading3"/>
      </w:pPr>
      <w:bookmarkStart w:id="178" w:name="_Toc240985921"/>
      <w:bookmarkStart w:id="179" w:name="_Toc241056046"/>
      <w:r w:rsidRPr="003C6276">
        <w:t>4.6.1 Evidence-based strategy, Kidney Failure Risk Equation (KFRE) for CKD management and improvement.</w:t>
      </w:r>
      <w:bookmarkEnd w:id="178"/>
      <w:bookmarkEnd w:id="179"/>
    </w:p>
    <w:p w14:paraId="56CCED9A"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results suggest that the burden of chronic kidney disease (CKD) can only be reduced by providing </w:t>
      </w:r>
      <w:r w:rsidRPr="003C6276">
        <w:rPr>
          <w:rFonts w:ascii="Arial" w:eastAsia="Arial" w:hAnsi="Arial" w:cs="Arial"/>
          <w:b/>
          <w:bCs/>
          <w:i/>
          <w:iCs/>
          <w:kern w:val="0"/>
          <w:lang w:eastAsia="en-IN"/>
          <w14:ligatures w14:val="none"/>
        </w:rPr>
        <w:t xml:space="preserve">evidence-based approaches </w:t>
      </w:r>
      <w:r w:rsidRPr="003C6276">
        <w:rPr>
          <w:rFonts w:ascii="Arial" w:eastAsia="Arial" w:hAnsi="Arial" w:cs="Arial"/>
          <w:kern w:val="0"/>
          <w:lang w:eastAsia="en-IN"/>
          <w14:ligatures w14:val="none"/>
        </w:rPr>
        <w:t xml:space="preserve">to its prevention and management in adults in the UK. The literature reviewed can help to appreciate that CKD management through a combination of early diagnosis, clinical risk evaluation, pharmacological treatment, and equal access to healthcare facilities is an element of effective CKD management. Despite major advancements made in the form of better treatment methods, there are still gaps in diagnosis and execution that hamper the success of CKD preventive measures. According to the findings of Czupryniak </w:t>
      </w:r>
      <w:r w:rsidRPr="003C6276">
        <w:rPr>
          <w:rFonts w:ascii="Arial" w:eastAsia="Arial" w:hAnsi="Arial" w:cs="Arial"/>
          <w:i/>
          <w:iCs/>
          <w:kern w:val="0"/>
          <w:lang w:eastAsia="en-IN"/>
          <w14:ligatures w14:val="none"/>
        </w:rPr>
        <w:t xml:space="preserve">et al. </w:t>
      </w:r>
      <w:r w:rsidRPr="003C6276">
        <w:rPr>
          <w:rFonts w:ascii="Arial" w:eastAsia="Arial" w:hAnsi="Arial" w:cs="Arial"/>
          <w:kern w:val="0"/>
          <w:lang w:eastAsia="en-IN"/>
          <w14:ligatures w14:val="none"/>
        </w:rPr>
        <w:t xml:space="preserve">(2024), the obstacles to early CKD diagnostics continue to be a significant issue, especially with a lack of screening practices, limited awareness and late activation of protective measures against renal injury. Their article pinpointed the need to enhance CKD awareness and to increase the adequate use of sodium-glucose cotransporter-2 (SGLT2) inhibitors to slow down renal damage. George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synthesised literature across databases using the Wilson and Jungner criteria to evaluate system-level screening, early diagnosis, and prediction models for diabetic CKD. The authors of this article stated that early detection and risk prediction are urgent, cost-effective economic incentives for preventing progression to end-stage kidney failure where replacement therapies are unaffordable.</w:t>
      </w:r>
    </w:p>
    <w:p w14:paraId="0EC41C11"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Supporting this argument, Walker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looked at the introduction of the </w:t>
      </w:r>
      <w:r w:rsidRPr="003C6276">
        <w:rPr>
          <w:rFonts w:ascii="Arial" w:eastAsia="Arial" w:hAnsi="Arial" w:cs="Arial"/>
          <w:b/>
          <w:bCs/>
          <w:i/>
          <w:iCs/>
          <w:kern w:val="0"/>
          <w:lang w:eastAsia="en-IN"/>
          <w14:ligatures w14:val="none"/>
        </w:rPr>
        <w:t xml:space="preserve">Kidney Failure Risk Equation (KFRE) </w:t>
      </w:r>
      <w:r w:rsidRPr="003C6276">
        <w:rPr>
          <w:rFonts w:ascii="Arial" w:eastAsia="Arial" w:hAnsi="Arial" w:cs="Arial"/>
          <w:kern w:val="0"/>
          <w:lang w:eastAsia="en-IN"/>
          <w14:ligatures w14:val="none"/>
        </w:rPr>
        <w:t xml:space="preserve">into mainstream clinical practice to understand that assessments of risk could be used to better identify high-risk patients with kidney failure. Thus, healthcare systems have implemented KFRE into clinical practice and evaluate the effectiveness of albuminuria testing among CKD patients and especially for underserviced groups. Walker </w:t>
      </w:r>
      <w:r w:rsidRPr="003C6276">
        <w:rPr>
          <w:rFonts w:ascii="Arial" w:eastAsia="Arial" w:hAnsi="Arial" w:cs="Arial"/>
          <w:i/>
          <w:iCs/>
          <w:kern w:val="0"/>
          <w:lang w:eastAsia="en-IN"/>
          <w14:ligatures w14:val="none"/>
        </w:rPr>
        <w:t xml:space="preserve">et </w:t>
      </w:r>
      <w:r w:rsidRPr="003C6276">
        <w:rPr>
          <w:rFonts w:ascii="Arial" w:eastAsia="Arial" w:hAnsi="Arial" w:cs="Arial"/>
          <w:i/>
          <w:iCs/>
          <w:kern w:val="0"/>
          <w:lang w:eastAsia="en-IN"/>
          <w14:ligatures w14:val="none"/>
        </w:rPr>
        <w:lastRenderedPageBreak/>
        <w:t>al.</w:t>
      </w:r>
      <w:r w:rsidRPr="003C6276">
        <w:rPr>
          <w:rFonts w:ascii="Arial" w:eastAsia="Arial" w:hAnsi="Arial" w:cs="Arial"/>
          <w:kern w:val="0"/>
          <w:lang w:eastAsia="en-IN"/>
          <w14:ligatures w14:val="none"/>
        </w:rPr>
        <w:t xml:space="preserve"> (2025) have also outlined that individuals with CKD can benefit from integrating kidney failure risk equations (KFRE) into referral guidelines, as it is efficient for helping identify high-risk patients’ early and providing significant care for improving outcome. The use of KFRE can be effective as compared to albuminuria testing, by addressing the accessibility inequalities of albuminuria testing among deprived and underserved communities in the UK. The findings fulfil the research objectives by highlighting evidence-based strategies through recommending KFRE in place of albuminuria testing that addresses the inequities associated with CKD management in UK primary care. In contrast, George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have stated that while prediction algorithms and simple point-of-care tools can transform preventive care, screening remains infrequent because of too high out-of-pocket costs, fragmented health infrastructure, and workforce shortages.</w:t>
      </w:r>
    </w:p>
    <w:p w14:paraId="147579F7" w14:textId="77777777" w:rsidR="00E25202" w:rsidRPr="003C6276" w:rsidRDefault="00E25202" w:rsidP="00E25202">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 contrast to previous studies, Walker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(2025) demonstrated </w:t>
      </w:r>
      <w:r w:rsidRPr="003C6276">
        <w:rPr>
          <w:rFonts w:ascii="Arial" w:eastAsia="Arial" w:hAnsi="Arial" w:cs="Arial"/>
          <w:b/>
          <w:bCs/>
          <w:i/>
          <w:iCs/>
          <w:kern w:val="0"/>
          <w:lang w:eastAsia="en-IN"/>
          <w14:ligatures w14:val="none"/>
        </w:rPr>
        <w:t xml:space="preserve">interventions at a healthcare-system level </w:t>
      </w:r>
      <w:r w:rsidRPr="003C6276">
        <w:rPr>
          <w:rFonts w:ascii="Arial" w:eastAsia="Arial" w:hAnsi="Arial" w:cs="Arial"/>
          <w:kern w:val="0"/>
          <w:lang w:eastAsia="en-IN"/>
          <w14:ligatures w14:val="none"/>
        </w:rPr>
        <w:t xml:space="preserve">with the incorporation of risk prediction methods. Supporting this argument, Gentile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highlighted the clinical management aspect with the use of blood pressure optimization. Based on these studies, CKD prevention needs to be a coordination of both proper identification of the risks and good therapeutic care. On the other hand, Czupryniak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demonstrated the significance of overcoming the obstacles in terms of awareness and the adoption of screening and treatment programs to enhance the outcomes of CKD. Similarly, George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provide the ultimate outcome, emphasising prediction models in primary healthcare systems to enable targeted, and multidimensional prevention strategies and drastically reduce population-level CKD morbidity and mortality. Therefore, a </w:t>
      </w:r>
      <w:r w:rsidRPr="003C6276">
        <w:rPr>
          <w:rFonts w:ascii="Arial" w:eastAsia="Arial" w:hAnsi="Arial" w:cs="Arial"/>
          <w:b/>
          <w:bCs/>
          <w:i/>
          <w:iCs/>
          <w:kern w:val="0"/>
          <w:lang w:eastAsia="en-IN"/>
          <w14:ligatures w14:val="none"/>
        </w:rPr>
        <w:t xml:space="preserve">multidimensional prevention and intervention strategy </w:t>
      </w:r>
      <w:r w:rsidRPr="003C6276">
        <w:rPr>
          <w:rFonts w:ascii="Arial" w:eastAsia="Arial" w:hAnsi="Arial" w:cs="Arial"/>
          <w:kern w:val="0"/>
          <w:lang w:eastAsia="en-IN"/>
          <w14:ligatures w14:val="none"/>
        </w:rPr>
        <w:t xml:space="preserve">is needed to prevent and manage CKD, which involves the timely identification of the disease, individual risk evaluation, socio-lifestyle change, medical therapy and equal access to healthcare services. </w:t>
      </w:r>
    </w:p>
    <w:p w14:paraId="79D4BEA3" w14:textId="77777777" w:rsidR="00E25202" w:rsidRPr="003C6276" w:rsidRDefault="00E25202" w:rsidP="00E25202">
      <w:pPr>
        <w:pStyle w:val="Heading2"/>
      </w:pPr>
      <w:bookmarkStart w:id="180" w:name="_Toc240985922"/>
      <w:bookmarkStart w:id="181" w:name="_Toc241056047"/>
      <w:r w:rsidRPr="003C6276">
        <w:t>4.7 Chapter Summary</w:t>
      </w:r>
      <w:bookmarkEnd w:id="180"/>
      <w:bookmarkEnd w:id="181"/>
    </w:p>
    <w:p w14:paraId="529ACF8E" w14:textId="71A25F1C" w:rsidR="009F64C5" w:rsidRPr="003C6276" w:rsidRDefault="00E25202" w:rsidP="00DA423B">
      <w:pPr>
        <w:spacing w:line="360" w:lineRule="auto"/>
        <w:jc w:val="both"/>
        <w:rPr>
          <w:rFonts w:ascii="Arial" w:hAnsi="Arial" w:cs="Arial"/>
        </w:rPr>
      </w:pPr>
      <w:r w:rsidRPr="003C6276">
        <w:rPr>
          <w:rFonts w:ascii="Arial" w:hAnsi="Arial" w:cs="Arial"/>
          <w:lang w:eastAsia="en-IN"/>
        </w:rPr>
        <w:t xml:space="preserve">This chapter has addressed the findings from the included studies by four themes aligned with the research objectives. The evidence has described that CKD development was associated with interacting biological and lifestyle-related factors. On the other hand, these findings have also analysed how socioeconomic inequalities influenced differences in access, identification and management. The evidence on environmental determinants was comparatively limited, representing an important gap within the UK-focused evidence base. The findings also identified distinct management challenges involving diagnostic and coding limitations, healthcare inequalities, service pressures and patient-level self-management demands. Therefore, the included evidence highlighted approaches relating to risk identification and clinical management. Hence, this chapter has focused on presenting and analysing the </w:t>
      </w:r>
      <w:r w:rsidRPr="003C6276">
        <w:rPr>
          <w:rFonts w:ascii="Arial" w:hAnsi="Arial" w:cs="Arial"/>
          <w:lang w:eastAsia="en-IN"/>
        </w:rPr>
        <w:lastRenderedPageBreak/>
        <w:t>evidence from the included studies. The broad interpretation of these findings and their relationship with prior literature is developed in the subsequent chapter.</w:t>
      </w:r>
      <w:r w:rsidR="009F64C5" w:rsidRPr="003C6276">
        <w:rPr>
          <w:rFonts w:ascii="Arial" w:hAnsi="Arial" w:cs="Arial"/>
        </w:rPr>
        <w:t xml:space="preserve"> </w:t>
      </w:r>
    </w:p>
    <w:p w14:paraId="18194F8F" w14:textId="77777777" w:rsidR="009F64C5" w:rsidRPr="003C6276" w:rsidRDefault="009F64C5">
      <w:pPr>
        <w:spacing w:after="0"/>
        <w:rPr>
          <w:rFonts w:asciiTheme="minorBidi" w:hAnsiTheme="minorBidi"/>
        </w:rPr>
      </w:pPr>
      <w:r w:rsidRPr="003C6276">
        <w:rPr>
          <w:rFonts w:asciiTheme="minorBidi" w:eastAsia="Calibri" w:hAnsiTheme="minorBidi"/>
        </w:rPr>
        <w:t xml:space="preserve"> </w:t>
      </w:r>
      <w:r w:rsidRPr="003C6276">
        <w:rPr>
          <w:rFonts w:asciiTheme="minorBidi" w:eastAsia="Calibri" w:hAnsiTheme="minorBidi"/>
        </w:rPr>
        <w:tab/>
      </w:r>
      <w:r w:rsidRPr="003C6276">
        <w:rPr>
          <w:rFonts w:asciiTheme="minorBidi" w:eastAsia="Times New Roman" w:hAnsiTheme="minorBidi"/>
          <w:b/>
        </w:rPr>
        <w:t xml:space="preserve"> </w:t>
      </w:r>
    </w:p>
    <w:p w14:paraId="6F2446E6" w14:textId="77777777" w:rsidR="009706D0" w:rsidRPr="003C6276" w:rsidRDefault="009706D0">
      <w:pPr>
        <w:rPr>
          <w:rFonts w:asciiTheme="minorBidi" w:eastAsia="Times New Roman" w:hAnsiTheme="minorBidi"/>
          <w:b/>
          <w:color w:val="000000"/>
          <w:sz w:val="24"/>
        </w:rPr>
      </w:pPr>
      <w:bookmarkStart w:id="182" w:name="_Toc12220"/>
      <w:r w:rsidRPr="003C6276">
        <w:rPr>
          <w:rFonts w:asciiTheme="minorBidi" w:hAnsiTheme="minorBidi"/>
        </w:rPr>
        <w:br w:type="page"/>
      </w:r>
    </w:p>
    <w:p w14:paraId="702980AA" w14:textId="77777777" w:rsidR="00202CE5" w:rsidRPr="003C6276" w:rsidRDefault="00DD7AA5" w:rsidP="00202CE5">
      <w:pPr>
        <w:pStyle w:val="Heading1"/>
      </w:pPr>
      <w:bookmarkStart w:id="183" w:name="_Toc241056048"/>
      <w:r w:rsidRPr="003C6276">
        <w:lastRenderedPageBreak/>
        <w:t xml:space="preserve">Chapter 5: </w:t>
      </w:r>
      <w:r w:rsidR="009F64C5" w:rsidRPr="003C6276">
        <w:t>Discussion</w:t>
      </w:r>
      <w:bookmarkEnd w:id="182"/>
      <w:bookmarkEnd w:id="183"/>
    </w:p>
    <w:p w14:paraId="2B06BD0B" w14:textId="77777777" w:rsidR="00202CE5" w:rsidRPr="003C6276" w:rsidRDefault="00202CE5" w:rsidP="00202CE5">
      <w:pPr>
        <w:pStyle w:val="Heading2"/>
        <w:rPr>
          <w:color w:val="000000" w:themeColor="text1"/>
        </w:rPr>
      </w:pPr>
      <w:bookmarkStart w:id="184" w:name="_Toc240985924"/>
      <w:bookmarkStart w:id="185" w:name="_Toc241056049"/>
      <w:r w:rsidRPr="003C6276">
        <w:rPr>
          <w:color w:val="000000" w:themeColor="text1"/>
        </w:rPr>
        <w:t>5.1 Introduction</w:t>
      </w:r>
      <w:bookmarkEnd w:id="184"/>
      <w:bookmarkEnd w:id="185"/>
    </w:p>
    <w:p w14:paraId="3C8F235E"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The chapter focuses on evaluating and outlining the key findings obtained from the theme and discussing the deep insights obtained regarding CKD management among adults in the UK healthcare setting. The findings of the study have been developed using themes and subthemes for the interpretation of the findings and gaining valuable insights regarding CKD management among adults.</w:t>
      </w:r>
    </w:p>
    <w:p w14:paraId="5A4CABDB" w14:textId="77777777" w:rsidR="00202CE5" w:rsidRPr="003C6276" w:rsidRDefault="00202CE5" w:rsidP="00202CE5">
      <w:pPr>
        <w:pStyle w:val="Heading2"/>
        <w:rPr>
          <w:color w:val="000000" w:themeColor="text1"/>
        </w:rPr>
      </w:pPr>
      <w:bookmarkStart w:id="186" w:name="_Toc240985925"/>
      <w:bookmarkStart w:id="187" w:name="_Toc241056050"/>
      <w:r w:rsidRPr="003C6276">
        <w:rPr>
          <w:color w:val="000000" w:themeColor="text1"/>
        </w:rPr>
        <w:t>5.2 Discussion</w:t>
      </w:r>
      <w:bookmarkEnd w:id="186"/>
      <w:bookmarkEnd w:id="187"/>
    </w:p>
    <w:p w14:paraId="4A69E12D" w14:textId="77777777" w:rsidR="00202CE5" w:rsidRPr="003C6276" w:rsidRDefault="00202CE5" w:rsidP="00202CE5">
      <w:pPr>
        <w:spacing w:after="200" w:line="360" w:lineRule="auto"/>
        <w:jc w:val="both"/>
        <w:rPr>
          <w:rFonts w:ascii="Arial" w:eastAsia="Arial" w:hAnsi="Arial" w:cs="Arial"/>
          <w:b/>
          <w:bCs/>
          <w:i/>
          <w:iCs/>
          <w:color w:val="000000" w:themeColor="text1"/>
          <w:kern w:val="0"/>
          <w:lang w:eastAsia="en-IN"/>
          <w14:ligatures w14:val="none"/>
        </w:rPr>
      </w:pPr>
      <w:r w:rsidRPr="003C6276">
        <w:rPr>
          <w:rFonts w:ascii="Arial" w:eastAsia="Arial" w:hAnsi="Arial" w:cs="Arial"/>
          <w:b/>
          <w:bCs/>
          <w:i/>
          <w:iCs/>
          <w:color w:val="000000" w:themeColor="text1"/>
          <w:kern w:val="0"/>
          <w:lang w:eastAsia="en-IN"/>
          <w14:ligatures w14:val="none"/>
        </w:rPr>
        <w:t>Discussion of theme 1:</w:t>
      </w:r>
    </w:p>
    <w:p w14:paraId="5AF05569"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empirical analysis of the key findings highlighted that the development of CKD within the UK is considered to be driven by an intricate interaction between biological susceptibility as well as modifiable lifestyle factors (Jin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2025). Apart from this, the findings highlight that novel non-modifiable plasma biomarkers as well as established cardiometabolic conditions serve as primary biological determinants.  However, contradicting existing literature, Lengton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have established that cardiometabolic disorders do not act in isolation. However, diabetes as well as hypertension mediate the relationship between adiposity and progressive renal impairment. This empirical observation strongly aligns with the conceptual foundation that is outlined in the literature review chapter, especially the Dahlgren and Whitehead Social Determinants of Health (SDH) Framework and the Social-Ecological Model.</w:t>
      </w:r>
    </w:p>
    <w:p w14:paraId="510983B8"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primary research findings of Lengton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have extended this argument by illustrating that biological markers’ clinical manifestation is heavily conditioned by behavioural exposures such as Cystatin C. From the perspective of the Dahlgren and Whitehead SDH Framework,  individual biological vulnerabilities are considered to be continuously shaped by lifestyle choices. However, the presence of critical divergence is associated with the relative weighting of these factors. The empirical findings of Jin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(2025) have argued that biological biomarkers possess a significantly higher predictive strength. The contradiction signifies that behavioural adjustment alone is considered to be insufficient in terms of arresting renal decline without the influence of direct metabolic as well as pharmacological management.  Thus, the development of CKD among UK adults has been driven by an interaction where upstream socioeconomic deprivation exposes individuals to elevated behavioural risks. </w:t>
      </w:r>
    </w:p>
    <w:p w14:paraId="750F1D3B"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The central debate within the existing literature revolves around whether behavioural choices or non-modifiable biological predispositions exercise dominant control over CKD trajectory. As argued by Seidu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(2023) and Neale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(2023), lifestyle modifications can independently weaken metabolic risks, slow renal decline as well as reverse early-stage pathology, particularly within physical activities and dietary interventions. Conversely, Jin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(2025) argued that genetic susceptibility, intrinsic metabolic variability and unalterable biomarker profiles exert an overriding influence. Thus, the presence of highly compliant patients adhering to optimal lifestyle regimens remains at substantial risk of progression if underlying genetic as well as cardiometabolic drivers are left unmanaged.</w:t>
      </w:r>
    </w:p>
    <w:p w14:paraId="5FE15625" w14:textId="77777777" w:rsidR="00202CE5" w:rsidRPr="003C6276" w:rsidRDefault="00202CE5" w:rsidP="00202CE5">
      <w:pPr>
        <w:spacing w:after="200" w:line="360" w:lineRule="auto"/>
        <w:jc w:val="both"/>
        <w:rPr>
          <w:rFonts w:ascii="Arial" w:eastAsia="Arial" w:hAnsi="Arial" w:cs="Arial"/>
          <w:b/>
          <w:bCs/>
          <w:i/>
          <w:iCs/>
          <w:color w:val="000000" w:themeColor="text1"/>
          <w:kern w:val="0"/>
          <w:lang w:eastAsia="en-IN"/>
          <w14:ligatures w14:val="none"/>
        </w:rPr>
      </w:pPr>
      <w:r w:rsidRPr="003C6276">
        <w:rPr>
          <w:rFonts w:ascii="Arial" w:eastAsia="Arial" w:hAnsi="Arial" w:cs="Arial"/>
          <w:b/>
          <w:bCs/>
          <w:i/>
          <w:iCs/>
          <w:color w:val="000000" w:themeColor="text1"/>
          <w:kern w:val="0"/>
          <w:lang w:eastAsia="en-IN"/>
          <w14:ligatures w14:val="none"/>
        </w:rPr>
        <w:t>Discussion of Theme 2</w:t>
      </w:r>
    </w:p>
    <w:p w14:paraId="62B2B111"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synthesis from findings and literature review section confirms that healthcare access inequities, structural disadvantages and socioeconomic deprivation are primary drivers of CKD prevalence. The delay in diagnosis, alongside adverse clinical outcomes across the UK, is also influenced by these primary factors. Individuals living in the most deprived communities exhibited a significantly higher hazard ratio in order to progress to ESRD and also experienced barriers in accessing specialist non-dialysis and pre-transplant care. The findings from Rosenberg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(2026) and Johnston-Webber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(2025) reinforce the demonstration of a clear dose-response relationship between accelerated eGFR loss and neighbourhood-level deprivation even after controlling for baseline clinical variables such as diabetes and hypertension. This signifies that failure within primary care to translate laboratory eGFR findings into formal diagnostic coding can lead to widespread undiagnosed disease.</w:t>
      </w:r>
    </w:p>
    <w:p w14:paraId="7C3FBB07"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In addition, a critical gap has been created when evaluating environmental determinants. The theoretical literature by Raihan (2023) and WHO (2018) investigate that housing quality, air pollution as well as workplace toxin exposures induce nephrotoxicity. On the other hand, empirical evidence from macro-levels of the Social-Ecological Model has provided direct evidence supporting environmental factors as primary independent drivers of CKD. </w:t>
      </w:r>
    </w:p>
    <w:p w14:paraId="33F7044A"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These combined data have demonstrated a structural divide regarding the mechanism through which deprivation affects health. Huang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have emphasised patient-level agency and argue on improving health literacy with educational campaigns to overcome socioeconomic barriers. Empowering early symptom recognition is also outlined by Dahlgren and Whitehead Framework. In contrast, Shishkin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(2025) and Kanagaratnam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(2023) reflected on a robust counterargument and stated that maintaining individual-focused educational strategies fundamentally addresses structural healthcare inequalities. It can be related to the maldistribution of nephrology clinics, linguistic barriers and systemic primary care resource constraints.  Thus, the downplaying of occupational and environmental hazards </w:t>
      </w:r>
      <w:r w:rsidRPr="003C6276">
        <w:rPr>
          <w:rFonts w:ascii="Arial" w:eastAsia="Arial" w:hAnsi="Arial" w:cs="Arial"/>
          <w:color w:val="000000" w:themeColor="text1"/>
          <w:kern w:val="0"/>
          <w:lang w:eastAsia="en-IN"/>
          <w14:ligatures w14:val="none"/>
        </w:rPr>
        <w:lastRenderedPageBreak/>
        <w:t xml:space="preserve">is in favour of metabolic risk factors, whereas failing to monitor occupational exposures reflects ignorance of systemic workplace health risks in manual labour sectors.  </w:t>
      </w:r>
    </w:p>
    <w:p w14:paraId="266C5164" w14:textId="77777777" w:rsidR="00202CE5" w:rsidRPr="003C6276" w:rsidRDefault="00202CE5" w:rsidP="00202CE5">
      <w:pPr>
        <w:spacing w:after="200" w:line="360" w:lineRule="auto"/>
        <w:jc w:val="both"/>
        <w:rPr>
          <w:rFonts w:ascii="Arial" w:eastAsia="Arial" w:hAnsi="Arial" w:cs="Arial"/>
          <w:b/>
          <w:bCs/>
          <w:i/>
          <w:iCs/>
          <w:color w:val="000000" w:themeColor="text1"/>
          <w:kern w:val="0"/>
          <w:lang w:eastAsia="en-IN"/>
          <w14:ligatures w14:val="none"/>
        </w:rPr>
      </w:pPr>
      <w:r w:rsidRPr="003C6276">
        <w:rPr>
          <w:rFonts w:ascii="Arial" w:eastAsia="Arial" w:hAnsi="Arial" w:cs="Arial"/>
          <w:b/>
          <w:bCs/>
          <w:i/>
          <w:iCs/>
          <w:color w:val="000000" w:themeColor="text1"/>
          <w:kern w:val="0"/>
          <w:lang w:eastAsia="en-IN"/>
          <w14:ligatures w14:val="none"/>
        </w:rPr>
        <w:t>Discussion of theme 3</w:t>
      </w:r>
    </w:p>
    <w:p w14:paraId="247B403F"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qualitative findings identify major systemic bottlenecks in UK primary care. This includes inconsistent diagnostic coding, widespread reliance on reactive care, severe workforce shortages as well as substantial diagnostic delays (Stewart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However, contradicting existing literature, early-stage CKD is considered to be asymptomatic that leads to late presentations when renal function is irreversibly compromised (Maringhini and Zoccali, 2024). These empirical insights have directly substantiated the organisational and policy-level challenges in existing literature. The application of the Social-Ecological Model has highlighted that diagnostic failure signifies an organisational-level barrier that cascades down to affect individual patient outcomes. This demonstrates that primary care providers frequently fail to assign formal diagnostic codes, even when laboratory data signifies progressive renal impairment. </w:t>
      </w:r>
    </w:p>
    <w:p w14:paraId="275C7F57"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A critical empirical finding highlighted that eGFR-based laboratory criteria reveal a vastly higher incidence of CKD than official primary care diagnostic codes. This has shown that routine administrative coding severely underrepresents the true population disease burden. The application of the social-ecological model also highlights that patients are excluded from structured Quality and Outcomes Framework (QOF) monitoring registers in terms of preventing timely initiation of evidence-based therapies. However, the argument by Pollock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(2022) and Wei</w:t>
      </w:r>
      <w:r w:rsidRPr="003C6276">
        <w:rPr>
          <w:rFonts w:ascii="Arial" w:eastAsia="Arial" w:hAnsi="Arial" w:cs="Arial"/>
          <w:i/>
          <w:iCs/>
          <w:color w:val="000000" w:themeColor="text1"/>
          <w:kern w:val="0"/>
          <w:lang w:eastAsia="en-IN"/>
          <w14:ligatures w14:val="none"/>
        </w:rPr>
        <w:t xml:space="preserve"> et al.</w:t>
      </w:r>
      <w:r w:rsidRPr="003C6276">
        <w:rPr>
          <w:rFonts w:ascii="Arial" w:eastAsia="Arial" w:hAnsi="Arial" w:cs="Arial"/>
          <w:color w:val="000000" w:themeColor="text1"/>
          <w:kern w:val="0"/>
          <w:lang w:eastAsia="en-IN"/>
          <w14:ligatures w14:val="none"/>
        </w:rPr>
        <w:t xml:space="preserve"> (2024) has highlighted that workforce constraints such as shortages of specialist renal nurses, exacerbate diagnostic delays by restricting consultation times as well as continuity of care. This signifies that cumulative social risk factors such as unemployment and food insecurity exponentially increase the odds of progressing to advanced multi-system disease. It reinforces that upstream structural disadvantage directly accelerates organ damage.</w:t>
      </w:r>
    </w:p>
    <w:p w14:paraId="228DE6E7"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research findings highlighted that the problems of CKD management are not only limited to clinical treatment but also indicate there are systemic problems with healthcare delivery. However, Cleary </w:t>
      </w:r>
      <w:r w:rsidRPr="003C6276">
        <w:rPr>
          <w:rFonts w:ascii="Arial" w:eastAsia="Arial" w:hAnsi="Arial" w:cs="Arial"/>
          <w:i/>
          <w:iCs/>
          <w:color w:val="000000" w:themeColor="text1"/>
          <w:kern w:val="0"/>
          <w:lang w:eastAsia="en-IN"/>
          <w14:ligatures w14:val="none"/>
        </w:rPr>
        <w:t xml:space="preserve">et al. </w:t>
      </w:r>
      <w:r w:rsidRPr="003C6276">
        <w:rPr>
          <w:rFonts w:ascii="Arial" w:eastAsia="Arial" w:hAnsi="Arial" w:cs="Arial"/>
          <w:color w:val="000000" w:themeColor="text1"/>
          <w:kern w:val="0"/>
          <w:lang w:eastAsia="en-IN"/>
          <w14:ligatures w14:val="none"/>
        </w:rPr>
        <w:t xml:space="preserve">(2022) have argued that expanding financial incentives for GP practices will resolve diagnostic under-reporting as well as improve clinical outcomes. On the other hand, Sisk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and Holt (2021) have found that the influence of financial incentives often encourages box-ticking exercises without improving care integration. Thus, CKD management issues need to be tackled in a holistic way, which involves better primary care detection, efficient risk management, equal opportunities to access specialist care and patient-driven management techniques.</w:t>
      </w:r>
    </w:p>
    <w:p w14:paraId="38DFEB88" w14:textId="77777777" w:rsidR="00202CE5" w:rsidRPr="003C6276" w:rsidRDefault="00202CE5" w:rsidP="00202CE5">
      <w:pPr>
        <w:spacing w:after="200" w:line="360" w:lineRule="auto"/>
        <w:jc w:val="both"/>
        <w:rPr>
          <w:rFonts w:ascii="Arial" w:eastAsia="Arial" w:hAnsi="Arial" w:cs="Arial"/>
          <w:b/>
          <w:bCs/>
          <w:i/>
          <w:iCs/>
          <w:color w:val="000000" w:themeColor="text1"/>
          <w:kern w:val="0"/>
          <w:lang w:eastAsia="en-IN"/>
          <w14:ligatures w14:val="none"/>
        </w:rPr>
      </w:pPr>
      <w:r w:rsidRPr="003C6276">
        <w:rPr>
          <w:rFonts w:ascii="Arial" w:eastAsia="Arial" w:hAnsi="Arial" w:cs="Arial"/>
          <w:b/>
          <w:bCs/>
          <w:i/>
          <w:iCs/>
          <w:color w:val="000000" w:themeColor="text1"/>
          <w:kern w:val="0"/>
          <w:lang w:eastAsia="en-IN"/>
          <w14:ligatures w14:val="none"/>
        </w:rPr>
        <w:lastRenderedPageBreak/>
        <w:t>Discussion of theme 4</w:t>
      </w:r>
    </w:p>
    <w:p w14:paraId="015BA26B"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The empirical findings of Czupryniak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Walker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(2025) and Gentile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(2022) expand upon the algorithmic tools, such as the KFRE enhance clinical decision-making by replacing static eGFR thresholds with individualised 2-to-5-year risk projections for ESRD. It has been recognised that the Social-Ecological Model highlights that the implementation of KFRE at the policy and organisational level directly improves individual-level clinical management. This signifies that conditions such as hypertension, diabetes, obesity, increased biological vulnerability, limited health literacy, health deprivation and unequal access to care can intensify these risks. The CKD management issues have to be tackled in a holistic way, which involves better primary care detection, efficient risk management, equal opportunities to access specialist care and patient-driven management techniques. This combination of solutions is critical towards slowing CKD progression and achieving optimal health outcomes in adulthood in the UK. Thus, effective management of CKD requires an integrated, preventive and equitable approach combining clinical intervention with broader social and systems-level actions.</w:t>
      </w:r>
    </w:p>
    <w:p w14:paraId="33728677" w14:textId="77777777" w:rsidR="00202CE5" w:rsidRPr="003C6276" w:rsidRDefault="00202CE5" w:rsidP="00202CE5">
      <w:pPr>
        <w:spacing w:before="240" w:after="24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On the other hand, a major point of contention involves universal versus targeted screening. The research in the findings section by Bobrowska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(2022) and Yeo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(2023) argues for population-wide eGFR along with urine albumin screening, which are highly cost-effective and essential for early detection. In George </w:t>
      </w:r>
      <w:r w:rsidRPr="003C6276">
        <w:rPr>
          <w:rFonts w:ascii="Arial" w:eastAsia="Arial" w:hAnsi="Arial" w:cs="Arial"/>
          <w:i/>
          <w:iCs/>
          <w:color w:val="000000" w:themeColor="text1"/>
          <w:kern w:val="0"/>
          <w:lang w:eastAsia="en-IN"/>
          <w14:ligatures w14:val="none"/>
        </w:rPr>
        <w:t xml:space="preserve">et al. </w:t>
      </w:r>
      <w:r w:rsidRPr="003C6276">
        <w:rPr>
          <w:rFonts w:ascii="Arial" w:eastAsia="Arial" w:hAnsi="Arial" w:cs="Arial"/>
          <w:color w:val="000000" w:themeColor="text1"/>
          <w:kern w:val="0"/>
          <w:lang w:eastAsia="en-IN"/>
          <w14:ligatures w14:val="none"/>
        </w:rPr>
        <w:t xml:space="preserve">(2022) and Mayne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xml:space="preserve"> (2024), the perspective defines universal screening as generating high rates of over-diagnosis and unsustainable costs for NHS primary care. These findings have advocated that targeted screening strictly confined to high-risk cohorts is more effective. On the other hand, the disparities in CKD care in the UK through integrating predictive tools along with evidence-based approaches and KFRE intervention can be effective for enhancing CKD management (Walker </w:t>
      </w:r>
      <w:r w:rsidRPr="003C6276">
        <w:rPr>
          <w:rFonts w:ascii="Arial" w:eastAsia="Arial" w:hAnsi="Arial" w:cs="Arial"/>
          <w:i/>
          <w:iCs/>
          <w:color w:val="000000" w:themeColor="text1"/>
          <w:kern w:val="0"/>
          <w:lang w:eastAsia="en-IN"/>
          <w14:ligatures w14:val="none"/>
        </w:rPr>
        <w:t>et al</w:t>
      </w:r>
      <w:r w:rsidRPr="003C6276">
        <w:rPr>
          <w:rFonts w:ascii="Arial" w:eastAsia="Arial" w:hAnsi="Arial" w:cs="Arial"/>
          <w:color w:val="000000" w:themeColor="text1"/>
          <w:kern w:val="0"/>
          <w:lang w:eastAsia="en-IN"/>
          <w14:ligatures w14:val="none"/>
        </w:rPr>
        <w:t>. 2025). The contradiction highlights that healthcare systems must transition from reactive, single-marker monitoring to proactive, multidimensional care in terms of optimising CKD management in the UK. In addition, the theme-based analysis illustrated the relevance of incorporating risk prediction strategies into mainstream healthcare management. It has been demonstrated that conditions such as hypertension, diabetes, obesity, increased biological vulnerability, limited health literacy, health deprivation and unequal access to care can intensify these risks. Thus, effective management of CKD requires an integrated, preventive and equitable approach combining clinical intervention with broader social and systems-level actions.</w:t>
      </w:r>
    </w:p>
    <w:p w14:paraId="4B9D416C" w14:textId="77777777" w:rsidR="00202CE5" w:rsidRPr="003C6276" w:rsidRDefault="00202CE5" w:rsidP="00202CE5">
      <w:pPr>
        <w:pStyle w:val="Heading2"/>
        <w:rPr>
          <w:color w:val="000000" w:themeColor="text1"/>
        </w:rPr>
      </w:pPr>
      <w:bookmarkStart w:id="188" w:name="_Toc240985926"/>
      <w:bookmarkStart w:id="189" w:name="_Toc241056051"/>
      <w:r w:rsidRPr="003C6276">
        <w:rPr>
          <w:color w:val="000000" w:themeColor="text1"/>
        </w:rPr>
        <w:lastRenderedPageBreak/>
        <w:t>5.3 Chapter Summary</w:t>
      </w:r>
      <w:bookmarkEnd w:id="188"/>
      <w:bookmarkEnd w:id="189"/>
    </w:p>
    <w:p w14:paraId="6AE3A86E" w14:textId="77777777" w:rsidR="00202CE5" w:rsidRPr="003C6276" w:rsidRDefault="00202CE5" w:rsidP="00202CE5">
      <w:pPr>
        <w:spacing w:after="20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The chapter has outlined the key results that are obtained from conducting the secondary research by gathering and analysing 15 peer- reviewed articles from secondary sources. It has been outlined that a proper approach to medication management has the potential to decrease drug complications and achieve better patient outcomes for CKD management among adults in the UK. Even though the UK healthcare system provides universal access, achieved by the developed services available, patient outcomes are still influenced by disparities in the utilisation of healthcare services, awareness and intervention in a timely manner. Overall, the findings of the systematic review outlined that CKD management among UK adults is determined by an interconnected combination of lifestyle, socioeconomic, healthcare system and biological factors.</w:t>
      </w:r>
    </w:p>
    <w:p w14:paraId="15E79A31" w14:textId="1983CBAE" w:rsidR="009F64C5" w:rsidRPr="003C6276" w:rsidRDefault="009F64C5" w:rsidP="00202CE5">
      <w:pPr>
        <w:pStyle w:val="Heading1"/>
        <w:jc w:val="both"/>
      </w:pPr>
      <w:r w:rsidRPr="003C6276">
        <w:t xml:space="preserve"> </w:t>
      </w:r>
    </w:p>
    <w:p w14:paraId="4C2CB5F2" w14:textId="77777777" w:rsidR="009706D0" w:rsidRPr="003C6276" w:rsidRDefault="009706D0">
      <w:pPr>
        <w:rPr>
          <w:rFonts w:asciiTheme="minorBidi" w:eastAsia="Times New Roman" w:hAnsiTheme="minorBidi"/>
          <w:b/>
          <w:color w:val="000000"/>
          <w:sz w:val="24"/>
        </w:rPr>
      </w:pPr>
      <w:bookmarkStart w:id="190" w:name="_Toc12221"/>
      <w:r w:rsidRPr="003C6276">
        <w:rPr>
          <w:rFonts w:asciiTheme="minorBidi" w:hAnsiTheme="minorBidi"/>
        </w:rPr>
        <w:br w:type="page"/>
      </w:r>
    </w:p>
    <w:p w14:paraId="0BF6AA81" w14:textId="77777777" w:rsidR="00BB0CF6" w:rsidRPr="003C6276" w:rsidRDefault="00DD7AA5" w:rsidP="00BB0CF6">
      <w:pPr>
        <w:pStyle w:val="Heading1"/>
      </w:pPr>
      <w:bookmarkStart w:id="191" w:name="_Toc241056052"/>
      <w:r w:rsidRPr="003C6276">
        <w:lastRenderedPageBreak/>
        <w:t xml:space="preserve">Chapter 6: </w:t>
      </w:r>
      <w:r w:rsidR="009F64C5" w:rsidRPr="003C6276">
        <w:t>Conclusion</w:t>
      </w:r>
      <w:bookmarkEnd w:id="190"/>
      <w:bookmarkEnd w:id="191"/>
    </w:p>
    <w:p w14:paraId="61966151" w14:textId="77777777" w:rsidR="00BB0CF6" w:rsidRPr="003C6276" w:rsidRDefault="00BB0CF6" w:rsidP="00BB0CF6">
      <w:pPr>
        <w:pStyle w:val="Heading2"/>
      </w:pPr>
      <w:bookmarkStart w:id="192" w:name="_Toc240985928"/>
      <w:bookmarkStart w:id="193" w:name="_Toc241056053"/>
      <w:r w:rsidRPr="003C6276">
        <w:t>6.1 Conclusion</w:t>
      </w:r>
      <w:bookmarkEnd w:id="192"/>
      <w:bookmarkEnd w:id="193"/>
    </w:p>
    <w:p w14:paraId="61204DAB"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In conclusion, it can be said that the study effectively answered the research question by identifying the key determinants which shape chronic kidney disease (CKD) among adults in the UK. The findings confirmed that CKD is not driven by a single determinant; rather, it developed through the interaction of biological, behavioural and socio-economic determinants. These determinants together shape disease onset, progression and management effectiveness. Biological determinants, including diabetes, hypertension, and obesity, along with lifestyle aspects such as poor diet, physical inactivity and smoking, remain the critical contributors to CKD prevalence. Socioeconomic disadvantage further intensifies this vulnerability by increasing exposure to lifestyle risks while simultaneously creating structural barriers to prevention, screening and continuity of care. The socio-economic factors, including Income inequality, poor housing and regional disparities, disproportionately impact vulnerable populations. Thus, socioeconomic deprivation has been identified as an upstream determinant which shapes the downstream biological and behavioural outcomes of CKD among the adult population in the UK.</w:t>
      </w:r>
    </w:p>
    <w:p w14:paraId="2F5092E2"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development of CKD is caused by biological, behavioural, and socio-economic determinants. On the other hand, management of CKD in the UK is affected by the challenges related to diagnostic, workforce, access and adherence barriers within the NHS. Limited screening and diagnosis, shortages of the workforce, and patient non-adherence pose a challenge for successful management. This means that despite the correlation of these two elements, they should be addressed differently from the policy perspective. The findings also confirm the Social-Ecological Model since they demonstrate that outcomes of CKD depend on individual, social, and institutional aspects.</w:t>
      </w:r>
    </w:p>
    <w:p w14:paraId="411FA1F2"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Evidence-based practices, such as early screening, stratifying risks, delivering multidisciplinary care and using medications, provide a possible route to improve the outcome of CKD in adults within the UK. However, the findings suggest that the challenges associated with the management of CKD cannot be solved exclusively through clinical intervention since implementation of such strategies depends on the healthcare capabilities and equal access to healthcare facilities. Therefore, it is important to adopt an integrated approach, considering biological, socio-economic and institutional variables together.</w:t>
      </w:r>
    </w:p>
    <w:p w14:paraId="7594A371" w14:textId="77777777" w:rsidR="00BB0CF6" w:rsidRPr="003C6276" w:rsidRDefault="00BB0CF6" w:rsidP="00BB0CF6">
      <w:pPr>
        <w:pStyle w:val="Heading2"/>
      </w:pPr>
      <w:bookmarkStart w:id="194" w:name="_Toc240985929"/>
      <w:bookmarkStart w:id="195" w:name="_Toc241056054"/>
      <w:r w:rsidRPr="003C6276">
        <w:lastRenderedPageBreak/>
        <w:t>6.2 Linking with objectives</w:t>
      </w:r>
      <w:bookmarkEnd w:id="194"/>
      <w:bookmarkEnd w:id="195"/>
    </w:p>
    <w:p w14:paraId="624F20C8"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first objective of finding biological and lifestyle risk factors is fulfilled by establishing that high blood pressure, diabetes, hypertension and obesity interact with lifestyle factors, including smoking, poor dietary habits and lack of physical activity and hasten the development of CKD. Additionally, factors such as BMI and cystatin C have been revealed to fast-track the development of the disease. Thus, the objective has been effectively achieved by demonstrating that biological and behavioural risks compound each other, having a significant negative impact on kidney function and contributing in CKD development. </w:t>
      </w:r>
    </w:p>
    <w:p w14:paraId="10A986E1"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second objective of assessing socioeconomic and environmental determinants is fulfilled by the finding that economic inequality, poor housing, and geographical differences contribute to biological risk factors rather than being independent. Furthermore, the study revealed that lifestyle interventions alone cannot completely overcome structural disadvantages without addressing wider accessibility barriers. Overall, it can be said that the second objective has been achieved through the establishment of socioeconomic deprivation as an upstream determinant requiring integrated public health responses.</w:t>
      </w:r>
    </w:p>
    <w:p w14:paraId="52A820A2"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third objective was to synthesise key challenges in managing and treating CKD within UK healthcare settings. The objective was achieved through the findings of late diagnosis, lack of screening, workforce shortage, and poor adherence by patients. Additionally, diagnostic coding issues and health care inequities were found to be obstacles to timely intervention and negative renal outcomes. Therefore, it can be said that the third objective has been effectively achieved through thematic evidence highlighting structural weaknesses within existing NHS care pathways.</w:t>
      </w:r>
    </w:p>
    <w:p w14:paraId="16F8B7DA"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fourth objective was focused on highlighting evidence-based strategies that can improve the management and prevention of CKD. The objective has been achieved through the findings revealing that early detection, the Kidney Failure Risk Equation, pharmacological management and multidisciplinary care are effective intervention strategies for adults with CKD. Additionally, measures including blood pressure optimization and patient education have been found as critical strategies for slowing down the development of CKD and reducing instances of hospitalisation. However, the evidence suggests that implementation of these strategies is insufficient without the provision of accessible healthcare</w:t>
      </w:r>
    </w:p>
    <w:p w14:paraId="5EB1E73B" w14:textId="77777777" w:rsidR="00BB0CF6" w:rsidRPr="003C6276" w:rsidRDefault="00BB0CF6" w:rsidP="00BB0CF6">
      <w:pPr>
        <w:pStyle w:val="Heading2"/>
      </w:pPr>
      <w:bookmarkStart w:id="196" w:name="_Toc240985930"/>
      <w:bookmarkStart w:id="197" w:name="_Toc241056055"/>
      <w:r w:rsidRPr="003C6276">
        <w:t>6.3 Recommendations</w:t>
      </w:r>
      <w:bookmarkEnd w:id="196"/>
      <w:bookmarkEnd w:id="197"/>
    </w:p>
    <w:p w14:paraId="6A00B5BF" w14:textId="77777777" w:rsidR="00BB0CF6" w:rsidRPr="003C6276" w:rsidRDefault="00BB0CF6" w:rsidP="00BB0CF6">
      <w:pPr>
        <w:pStyle w:val="Heading3"/>
      </w:pPr>
      <w:bookmarkStart w:id="198" w:name="_Toc240985931"/>
      <w:bookmarkStart w:id="199" w:name="_Toc241056056"/>
      <w:r w:rsidRPr="003C6276">
        <w:t>6.3.1 Recommendation of extension of eGRF and albuminuria screening for mitigating Late Diagnosis and Limited Screening</w:t>
      </w:r>
      <w:bookmarkEnd w:id="198"/>
      <w:bookmarkEnd w:id="199"/>
    </w:p>
    <w:p w14:paraId="38494F22"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Limited screening and late diagnosis are imposing serious issues since most of the CKD cases are asymptomatic until renal function is significantly impaired. According to Stewart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(2024), delayed identification of CKD diagnosis in primary care is one of the most enduring challenges to CKD management in the UK. From this insight, it can be said at-risk adults, disease progression can go undetected due to inconsistent screening procedures. NHS primary care providers are recommended to systematically extend eGFR and urine albumin-to-creatinine ratio screening to high-risk adults with diabetes, hypertension or cardiovascular disease, in line with KDIGO guidelines. This recommendation directly addresses the diagnostic and coding gaps identified under Theme 3, and its success should be evaluated through routine monitoring of screening uptake and the proportion of previously unrecognised cases identified.</w:t>
      </w:r>
    </w:p>
    <w:p w14:paraId="6F6D90A8" w14:textId="77777777" w:rsidR="00BB0CF6" w:rsidRPr="003C6276" w:rsidRDefault="00BB0CF6" w:rsidP="00BB0CF6">
      <w:pPr>
        <w:pStyle w:val="Heading3"/>
      </w:pPr>
      <w:bookmarkStart w:id="200" w:name="_Toc240985932"/>
      <w:bookmarkStart w:id="201" w:name="_Toc241056057"/>
      <w:r w:rsidRPr="003C6276">
        <w:t>6.3.2 Recommendation of nephrology workforce planning for mitigating Resource Constraints and Workforce Shortages</w:t>
      </w:r>
      <w:bookmarkEnd w:id="200"/>
      <w:bookmarkEnd w:id="201"/>
    </w:p>
    <w:p w14:paraId="59537DE8"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Resource limitations and workforce shortages impose a significant and growing problem, as ongoing specialist and infrastructure provision is needed to address CKD management. Pollock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stated that the management of CKD is a resource-consuming process, which involves dialysis units, transplant programmes, and nephrology specialist services. Thus, in the short term, NHS trusts are recommended to prioritise improved multidisciplinary workforce utilisation to redistribute clinical workload. In the medium term, investment in renal nursing training and nephrology specialist numbers is recommended to expand service capacity. In the long term, sustainable recruitment and retention strategies need to be developed to prevent recurring shortages. This approach can help to alleviate the challenge by spreading out clinical workload and enhancing continuity of care for patients and related to the workforce and resource-capacity gaps identified under Theme 3. Therefore, there is a need to invest in renal nursing training programs and multidisciplinary staffing in NHS trusts to meet the demand for capacity.</w:t>
      </w:r>
    </w:p>
    <w:p w14:paraId="7312174D" w14:textId="77777777" w:rsidR="00BB0CF6" w:rsidRPr="003C6276" w:rsidRDefault="00BB0CF6" w:rsidP="00BB0CF6">
      <w:pPr>
        <w:pStyle w:val="Heading3"/>
      </w:pPr>
      <w:bookmarkStart w:id="202" w:name="_Toc240985933"/>
      <w:bookmarkStart w:id="203" w:name="_Toc241056058"/>
      <w:r w:rsidRPr="003C6276">
        <w:t>6.3.3 Recommendation for improving Patient Adherence and Self-Management</w:t>
      </w:r>
      <w:bookmarkEnd w:id="202"/>
      <w:bookmarkEnd w:id="203"/>
    </w:p>
    <w:p w14:paraId="1814E600"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Compliance or Self-Management is a significant challenge, and poor Adherence to multiple complex treatment regimens is a major driver of poor outcomes in CKD. According to Schrauben </w:t>
      </w:r>
      <w:r w:rsidRPr="003C6276">
        <w:rPr>
          <w:rFonts w:ascii="Arial" w:eastAsia="Arial" w:hAnsi="Arial" w:cs="Arial"/>
          <w:i/>
          <w:iCs/>
          <w:kern w:val="0"/>
          <w:lang w:eastAsia="en-IN"/>
          <w14:ligatures w14:val="none"/>
        </w:rPr>
        <w:t>et al.</w:t>
      </w:r>
      <w:r w:rsidRPr="003C6276">
        <w:rPr>
          <w:rFonts w:ascii="Arial" w:eastAsia="Arial" w:hAnsi="Arial" w:cs="Arial"/>
          <w:kern w:val="0"/>
          <w:lang w:eastAsia="en-IN"/>
          <w14:ligatures w14:val="none"/>
        </w:rPr>
        <w:t xml:space="preserve"> (2022), the importance of healthcare access, family support and community resources as facilitators for successful self-management in CKD patients. This is associated with disease management because a lack of health literacy, psychological stress, and burden negatively affect adherence in adults. NHS primary care and renal specialist nurses should routinely embed personalised patient education and psychological support within their usual care for people with CKD, instead of using generic information about the condition. This </w:t>
      </w:r>
      <w:r w:rsidRPr="003C6276">
        <w:rPr>
          <w:rFonts w:ascii="Arial" w:eastAsia="Arial" w:hAnsi="Arial" w:cs="Arial"/>
          <w:kern w:val="0"/>
          <w:lang w:eastAsia="en-IN"/>
          <w14:ligatures w14:val="none"/>
        </w:rPr>
        <w:lastRenderedPageBreak/>
        <w:t>approach can ease the challenge by making patients more aware and responsive to their treatment by improving Self-Management among CKD patients. This approach is related to the adherence and health-literacy gaps identified under Theme 3. Personalised education and psychological support need to be integrated into routine CKD consultations.</w:t>
      </w:r>
    </w:p>
    <w:p w14:paraId="74C85FBE" w14:textId="77777777" w:rsidR="00BB0CF6" w:rsidRPr="003C6276" w:rsidRDefault="00BB0CF6" w:rsidP="00BB0CF6">
      <w:pPr>
        <w:pStyle w:val="Heading2"/>
      </w:pPr>
      <w:bookmarkStart w:id="204" w:name="_Toc240985934"/>
      <w:bookmarkStart w:id="205" w:name="_Toc241056059"/>
      <w:r w:rsidRPr="003C6276">
        <w:t>6.4 Implication</w:t>
      </w:r>
      <w:bookmarkEnd w:id="204"/>
      <w:bookmarkEnd w:id="205"/>
    </w:p>
    <w:p w14:paraId="460E02BF"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implications of the findings of the study exist on different levels of the healthcare system in the UK. On the practice level, the findings can be utilised by practitioners to improve the screening, personalise education and ensure continuity of care. On the policy level, the findings can be useful for those commissioning care services in order to plan their workforce and resources and integrate the models of risk prediction such as the Kidney Failure Risk Equation into their referral pathways. On the level of public health, the findings once again stress the need to tackle such factors as socioeconomic inequality, poor housing and healthcare access.</w:t>
      </w:r>
    </w:p>
    <w:p w14:paraId="228C23A5" w14:textId="77777777" w:rsidR="00BB0CF6" w:rsidRPr="003C6276" w:rsidRDefault="00BB0CF6" w:rsidP="00BB0CF6">
      <w:pPr>
        <w:pStyle w:val="Heading2"/>
      </w:pPr>
      <w:bookmarkStart w:id="206" w:name="_Toc240985935"/>
      <w:bookmarkStart w:id="207" w:name="_Toc241056060"/>
      <w:r w:rsidRPr="003C6276">
        <w:t>6.5 Limitation</w:t>
      </w:r>
      <w:bookmarkEnd w:id="206"/>
      <w:bookmarkEnd w:id="207"/>
    </w:p>
    <w:p w14:paraId="754024A4" w14:textId="77777777" w:rsidR="00BB0CF6" w:rsidRPr="003C6276" w:rsidRDefault="00BB0CF6" w:rsidP="00BB0CF6">
      <w:pPr>
        <w:spacing w:after="20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One of the major limitations of this study is that it did not consider primary empirical data collected from patients of the UK. In contrast, it is based on secondary data that makes the integration of the real-life experience of the patients limited. Moreover, there is an inherent limitation of the systematic review methodology, which is concerned with the inference of causality because many of the outcomes are observational and correlational rather than experimental. Finally, the articles used in the research have various populations, settings, and methodologies, which limits its generalisability.</w:t>
      </w:r>
    </w:p>
    <w:p w14:paraId="38CA8E28" w14:textId="77777777" w:rsidR="00BB0CF6" w:rsidRPr="003C6276" w:rsidRDefault="00BB0CF6" w:rsidP="00BB0CF6">
      <w:pPr>
        <w:pStyle w:val="Heading2"/>
      </w:pPr>
      <w:bookmarkStart w:id="208" w:name="_Toc240985936"/>
      <w:bookmarkStart w:id="209" w:name="_Toc241056061"/>
      <w:r w:rsidRPr="003C6276">
        <w:t>6.6 Future Scope</w:t>
      </w:r>
      <w:bookmarkEnd w:id="208"/>
      <w:bookmarkEnd w:id="209"/>
    </w:p>
    <w:p w14:paraId="2ABBE9A3" w14:textId="4DBC61A2" w:rsidR="009F64C5" w:rsidRPr="003C6276" w:rsidRDefault="00BB0CF6" w:rsidP="00BB0CF6">
      <w:pPr>
        <w:spacing w:line="360" w:lineRule="auto"/>
        <w:jc w:val="both"/>
        <w:rPr>
          <w:rFonts w:ascii="Arial" w:hAnsi="Arial" w:cs="Arial"/>
        </w:rPr>
      </w:pPr>
      <w:r w:rsidRPr="003C6276">
        <w:rPr>
          <w:rFonts w:ascii="Arial" w:hAnsi="Arial" w:cs="Arial"/>
          <w:lang w:eastAsia="en-IN"/>
        </w:rPr>
        <w:t>Future research needs to address the identified limitations of the present systematic review by effectively incorporating primary empirical studies focused on CKD patients in the UK. Additionally, there is scope for longitudinal and cohort-based studies, which can strengthen the understanding of the way biological, socioeconomic, and behavioural determinants interact over time. Moreover, future studies can explore the real-world effectiveness of NHS-led screening and workforce initiatives through comparative evaluation across the regions of the UK. Future research should include not only the examination of medical interventions, but also patient-centred interventions in dealing with health literacy and adherence issues.</w:t>
      </w:r>
      <w:r w:rsidR="009F64C5" w:rsidRPr="003C6276">
        <w:rPr>
          <w:rFonts w:ascii="Arial" w:hAnsi="Arial" w:cs="Arial"/>
        </w:rPr>
        <w:t xml:space="preserve"> </w:t>
      </w:r>
    </w:p>
    <w:p w14:paraId="05FED6EE" w14:textId="77777777" w:rsidR="009F64C5" w:rsidRPr="003C6276" w:rsidRDefault="009F64C5">
      <w:pPr>
        <w:spacing w:after="0"/>
        <w:rPr>
          <w:rFonts w:asciiTheme="minorBidi" w:hAnsiTheme="minorBidi"/>
        </w:rPr>
      </w:pPr>
      <w:r w:rsidRPr="003C6276">
        <w:rPr>
          <w:rFonts w:asciiTheme="minorBidi" w:hAnsiTheme="minorBidi"/>
        </w:rPr>
        <w:t xml:space="preserve"> </w:t>
      </w:r>
      <w:r w:rsidRPr="003C6276">
        <w:rPr>
          <w:rFonts w:asciiTheme="minorBidi" w:hAnsiTheme="minorBidi"/>
        </w:rPr>
        <w:tab/>
      </w:r>
      <w:r w:rsidRPr="003C6276">
        <w:rPr>
          <w:rFonts w:asciiTheme="minorBidi" w:eastAsia="Calibri" w:hAnsiTheme="minorBidi"/>
        </w:rPr>
        <w:t xml:space="preserve"> </w:t>
      </w:r>
    </w:p>
    <w:p w14:paraId="21668B29" w14:textId="77777777" w:rsidR="009706D0" w:rsidRPr="003C6276" w:rsidRDefault="009706D0">
      <w:pPr>
        <w:rPr>
          <w:rFonts w:asciiTheme="minorBidi" w:eastAsia="Times New Roman" w:hAnsiTheme="minorBidi"/>
          <w:b/>
          <w:color w:val="000000"/>
          <w:sz w:val="24"/>
        </w:rPr>
      </w:pPr>
      <w:bookmarkStart w:id="210" w:name="_Toc12222"/>
      <w:r w:rsidRPr="003C6276">
        <w:rPr>
          <w:rFonts w:asciiTheme="minorBidi" w:hAnsiTheme="minorBidi"/>
        </w:rPr>
        <w:br w:type="page"/>
      </w:r>
    </w:p>
    <w:p w14:paraId="186D603E" w14:textId="56E759B9" w:rsidR="009F64C5" w:rsidRPr="003C6276" w:rsidRDefault="009F64C5" w:rsidP="007F1C63">
      <w:pPr>
        <w:pStyle w:val="Heading1"/>
      </w:pPr>
      <w:bookmarkStart w:id="211" w:name="_Toc241056062"/>
      <w:r w:rsidRPr="003C6276">
        <w:lastRenderedPageBreak/>
        <w:t>Reference list</w:t>
      </w:r>
      <w:bookmarkEnd w:id="210"/>
      <w:bookmarkEnd w:id="211"/>
    </w:p>
    <w:p w14:paraId="6A063D2B"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Alarabi, A.A., Alamri, A.A., Jumah, S.A., Aljohani, W.M., Mohammed, A. and Badarb, A.M.B. (2024). ‘The impact of cultural beliefs on medical ethics and patient care’. </w:t>
      </w:r>
      <w:r w:rsidRPr="003C6276">
        <w:rPr>
          <w:rFonts w:ascii="Arial" w:eastAsia="Arial" w:hAnsi="Arial" w:cs="Arial"/>
          <w:i/>
          <w:iCs/>
          <w:color w:val="000000"/>
          <w:kern w:val="0"/>
          <w:lang w:eastAsia="en-IN"/>
          <w14:ligatures w14:val="none"/>
        </w:rPr>
        <w:t>Journal of Healthcare Sciences</w:t>
      </w:r>
      <w:r w:rsidRPr="003C6276">
        <w:rPr>
          <w:rFonts w:ascii="Arial" w:eastAsia="Arial" w:hAnsi="Arial" w:cs="Arial"/>
          <w:color w:val="000000"/>
          <w:kern w:val="0"/>
          <w:lang w:eastAsia="en-IN"/>
          <w14:ligatures w14:val="none"/>
        </w:rPr>
        <w:t>, 4(12), pp.918–924. Available at:</w:t>
      </w:r>
      <w:hyperlink r:id="rId21">
        <w:r w:rsidRPr="003C6276">
          <w:rPr>
            <w:rFonts w:ascii="Arial" w:eastAsia="Arial" w:hAnsi="Arial" w:cs="Arial"/>
            <w:color w:val="FF0000"/>
            <w:kern w:val="0"/>
            <w:lang w:eastAsia="en-IN"/>
            <w14:ligatures w14:val="none"/>
          </w:rPr>
          <w:t xml:space="preserve"> </w:t>
        </w:r>
      </w:hyperlink>
      <w:hyperlink r:id="rId22">
        <w:r w:rsidRPr="003C6276">
          <w:rPr>
            <w:rFonts w:ascii="Arial" w:eastAsia="Arial" w:hAnsi="Arial" w:cs="Arial"/>
            <w:color w:val="1155CC"/>
            <w:kern w:val="0"/>
            <w:u w:val="single"/>
            <w:lang w:eastAsia="en-IN"/>
            <w14:ligatures w14:val="none"/>
          </w:rPr>
          <w:t>https://www.johs.com.sa/admin/public/uploads/187/356_pdf.pdf</w:t>
        </w:r>
      </w:hyperlink>
    </w:p>
    <w:p w14:paraId="0C658672"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FF0000"/>
          <w:kern w:val="0"/>
          <w:lang w:eastAsia="en-IN"/>
          <w14:ligatures w14:val="none"/>
        </w:rPr>
      </w:pPr>
      <w:r w:rsidRPr="003C6276">
        <w:rPr>
          <w:rFonts w:ascii="Arial" w:eastAsia="Arial" w:hAnsi="Arial" w:cs="Arial"/>
          <w:kern w:val="0"/>
          <w:lang w:eastAsia="en-IN"/>
          <w14:ligatures w14:val="none"/>
        </w:rPr>
        <w:t xml:space="preserve">Anger, W.K., Dimoff, J.K. and Alley, L., (2024). Addressing health care workers’ mental health: A systematic review of evidence-based interventions and current resources. </w:t>
      </w:r>
      <w:r w:rsidRPr="003C6276">
        <w:rPr>
          <w:rFonts w:ascii="Arial" w:eastAsia="Arial" w:hAnsi="Arial" w:cs="Arial"/>
          <w:i/>
          <w:iCs/>
          <w:kern w:val="0"/>
          <w:lang w:eastAsia="en-IN"/>
          <w14:ligatures w14:val="none"/>
        </w:rPr>
        <w:t>American journal of public health</w:t>
      </w:r>
      <w:r w:rsidRPr="003C6276">
        <w:rPr>
          <w:rFonts w:ascii="Arial" w:eastAsia="Arial" w:hAnsi="Arial" w:cs="Arial"/>
          <w:kern w:val="0"/>
          <w:lang w:eastAsia="en-IN"/>
          <w14:ligatures w14:val="none"/>
        </w:rPr>
        <w:t xml:space="preserve">, </w:t>
      </w:r>
      <w:r w:rsidRPr="003C6276">
        <w:rPr>
          <w:rFonts w:ascii="Arial" w:eastAsia="Arial" w:hAnsi="Arial" w:cs="Arial"/>
          <w:i/>
          <w:iCs/>
          <w:kern w:val="0"/>
          <w:lang w:eastAsia="en-IN"/>
          <w14:ligatures w14:val="none"/>
        </w:rPr>
        <w:t>114</w:t>
      </w:r>
      <w:r w:rsidRPr="003C6276">
        <w:rPr>
          <w:rFonts w:ascii="Arial" w:eastAsia="Arial" w:hAnsi="Arial" w:cs="Arial"/>
          <w:kern w:val="0"/>
          <w:lang w:eastAsia="en-IN"/>
          <w14:ligatures w14:val="none"/>
        </w:rPr>
        <w:t xml:space="preserve">(S2), pp.213-226. </w:t>
      </w:r>
      <w:hyperlink r:id="rId23">
        <w:r w:rsidRPr="003C6276">
          <w:rPr>
            <w:rFonts w:ascii="Arial" w:eastAsia="Arial" w:hAnsi="Arial" w:cs="Arial"/>
            <w:color w:val="1155CC"/>
            <w:kern w:val="0"/>
            <w:u w:val="single"/>
            <w:lang w:eastAsia="en-IN"/>
            <w14:ligatures w14:val="none"/>
          </w:rPr>
          <w:t>https://doi.org/10.2105/AJPH.2023.307556</w:t>
        </w:r>
      </w:hyperlink>
      <w:r w:rsidRPr="003C6276">
        <w:rPr>
          <w:rFonts w:ascii="Arial" w:eastAsia="Arial" w:hAnsi="Arial" w:cs="Arial"/>
          <w:color w:val="FF0000"/>
          <w:kern w:val="0"/>
          <w:lang w:eastAsia="en-IN"/>
          <w14:ligatures w14:val="none"/>
        </w:rPr>
        <w:t xml:space="preserve"> </w:t>
      </w:r>
    </w:p>
    <w:p w14:paraId="2DE38581"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Bailey, R.K., Clemens, K.M., Portela, B., Bowrey, H., Pfeiffer, S.N., Geonnotti, G., Riley, A., Sminchak, J., Lakey Kevo, S. and Naranjo, R.R. (2024). ‘Motivators and barriers to help-seeking and treatment adherence in major depressive disorder: A patient perspective;. </w:t>
      </w:r>
      <w:r w:rsidRPr="003C6276">
        <w:rPr>
          <w:rFonts w:ascii="Arial" w:eastAsia="Arial" w:hAnsi="Arial" w:cs="Arial"/>
          <w:i/>
          <w:iCs/>
          <w:color w:val="000000"/>
          <w:kern w:val="0"/>
          <w:lang w:eastAsia="en-IN"/>
          <w14:ligatures w14:val="none"/>
        </w:rPr>
        <w:t>Psychiatry Research Communications</w:t>
      </w:r>
      <w:r w:rsidRPr="003C6276">
        <w:rPr>
          <w:rFonts w:ascii="Arial" w:eastAsia="Arial" w:hAnsi="Arial" w:cs="Arial"/>
          <w:color w:val="000000"/>
          <w:kern w:val="0"/>
          <w:lang w:eastAsia="en-IN"/>
          <w14:ligatures w14:val="none"/>
        </w:rPr>
        <w:t xml:space="preserve">, 4(4), p.100200. Available at: </w:t>
      </w:r>
      <w:hyperlink r:id="rId24">
        <w:r w:rsidRPr="003C6276">
          <w:rPr>
            <w:rFonts w:ascii="Arial" w:eastAsia="Arial" w:hAnsi="Arial" w:cs="Arial"/>
            <w:color w:val="1155CC"/>
            <w:kern w:val="0"/>
            <w:u w:val="single"/>
            <w:lang w:eastAsia="en-IN"/>
            <w14:ligatures w14:val="none"/>
          </w:rPr>
          <w:t>https://doi.org/10.1016/j.psycom.2024.100200</w:t>
        </w:r>
      </w:hyperlink>
    </w:p>
    <w:p w14:paraId="0C856149"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Bobrowska, A., Murton, M., Seedat, F., Visintin, C., Mackie, A., Steele, R. and Marshall, J. (2022). ‘Targeted screening in the UK: A narrow concept with broad application’. </w:t>
      </w:r>
      <w:r w:rsidRPr="003C6276">
        <w:rPr>
          <w:rFonts w:ascii="Arial" w:eastAsia="Arial" w:hAnsi="Arial" w:cs="Arial"/>
          <w:i/>
          <w:iCs/>
          <w:color w:val="000000"/>
          <w:kern w:val="0"/>
          <w:lang w:eastAsia="en-IN"/>
          <w14:ligatures w14:val="none"/>
        </w:rPr>
        <w:t>The Lancet Regional Health - Europe</w:t>
      </w:r>
      <w:r w:rsidRPr="003C6276">
        <w:rPr>
          <w:rFonts w:ascii="Arial" w:eastAsia="Arial" w:hAnsi="Arial" w:cs="Arial"/>
          <w:color w:val="000000"/>
          <w:kern w:val="0"/>
          <w:lang w:eastAsia="en-IN"/>
          <w14:ligatures w14:val="none"/>
        </w:rPr>
        <w:t>, 16, p.100353. Available at:</w:t>
      </w:r>
      <w:hyperlink r:id="rId25">
        <w:r w:rsidRPr="003C6276">
          <w:rPr>
            <w:rFonts w:ascii="Arial" w:eastAsia="Arial" w:hAnsi="Arial" w:cs="Arial"/>
            <w:color w:val="1155CC"/>
            <w:kern w:val="0"/>
            <w:u w:val="single"/>
            <w:lang w:eastAsia="en-IN"/>
            <w14:ligatures w14:val="none"/>
          </w:rPr>
          <w:t>https://doi.org/10.1016/j.lanepe.2022.100353</w:t>
        </w:r>
      </w:hyperlink>
    </w:p>
    <w:p w14:paraId="73F1E291"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highlight w:val="white"/>
          <w:lang w:eastAsia="en-IN"/>
          <w14:ligatures w14:val="none"/>
        </w:rPr>
        <w:t xml:space="preserve">Braun, V. and Clarke, V., (2024) ‘A critical review of the reporting of reflexive thematic analysis in Health Promotion International’. </w:t>
      </w:r>
      <w:r w:rsidRPr="003C6276">
        <w:rPr>
          <w:rFonts w:ascii="Arial" w:eastAsia="Arial" w:hAnsi="Arial" w:cs="Arial"/>
          <w:i/>
          <w:iCs/>
          <w:color w:val="000000"/>
          <w:kern w:val="0"/>
          <w:highlight w:val="white"/>
          <w:lang w:eastAsia="en-IN"/>
          <w14:ligatures w14:val="none"/>
        </w:rPr>
        <w:t>Health Promotion International</w:t>
      </w:r>
      <w:r w:rsidRPr="003C6276">
        <w:rPr>
          <w:rFonts w:ascii="Arial" w:eastAsia="Arial" w:hAnsi="Arial" w:cs="Arial"/>
          <w:color w:val="000000"/>
          <w:kern w:val="0"/>
          <w:highlight w:val="white"/>
          <w:lang w:eastAsia="en-IN"/>
          <w14:ligatures w14:val="none"/>
        </w:rPr>
        <w:t xml:space="preserve">, </w:t>
      </w:r>
      <w:r w:rsidRPr="003C6276">
        <w:rPr>
          <w:rFonts w:ascii="Arial" w:eastAsia="Arial" w:hAnsi="Arial" w:cs="Arial"/>
          <w:i/>
          <w:iCs/>
          <w:color w:val="000000"/>
          <w:kern w:val="0"/>
          <w:highlight w:val="white"/>
          <w:lang w:eastAsia="en-IN"/>
          <w14:ligatures w14:val="none"/>
        </w:rPr>
        <w:t>39</w:t>
      </w:r>
      <w:r w:rsidRPr="003C6276">
        <w:rPr>
          <w:rFonts w:ascii="Arial" w:eastAsia="Arial" w:hAnsi="Arial" w:cs="Arial"/>
          <w:color w:val="000000"/>
          <w:kern w:val="0"/>
          <w:highlight w:val="white"/>
          <w:lang w:eastAsia="en-IN"/>
          <w14:ligatures w14:val="none"/>
        </w:rPr>
        <w:t>(3), p.daae049.</w:t>
      </w:r>
      <w:r w:rsidRPr="003C6276">
        <w:rPr>
          <w:rFonts w:ascii="Arial" w:eastAsia="Arial" w:hAnsi="Arial" w:cs="Arial"/>
          <w:color w:val="000000"/>
          <w:kern w:val="0"/>
          <w:lang w:eastAsia="en-IN"/>
          <w14:ligatures w14:val="none"/>
        </w:rPr>
        <w:t xml:space="preserve"> </w:t>
      </w:r>
      <w:r w:rsidRPr="003C6276">
        <w:rPr>
          <w:rFonts w:ascii="Arial" w:eastAsia="Arial" w:hAnsi="Arial" w:cs="Arial"/>
          <w:kern w:val="0"/>
          <w:lang w:eastAsia="en-IN"/>
          <w14:ligatures w14:val="none"/>
        </w:rPr>
        <w:t xml:space="preserve">Available at: </w:t>
      </w:r>
      <w:hyperlink r:id="rId26">
        <w:r w:rsidRPr="003C6276">
          <w:rPr>
            <w:rFonts w:ascii="Arial" w:eastAsia="Arial" w:hAnsi="Arial" w:cs="Arial"/>
            <w:color w:val="1155CC"/>
            <w:kern w:val="0"/>
            <w:u w:val="single"/>
            <w:lang w:eastAsia="en-IN"/>
            <w14:ligatures w14:val="none"/>
          </w:rPr>
          <w:t>https://doi.org/10.1093/heapro/daae049</w:t>
        </w:r>
      </w:hyperlink>
      <w:r w:rsidRPr="003C6276">
        <w:rPr>
          <w:rFonts w:ascii="Arial" w:eastAsia="Arial" w:hAnsi="Arial" w:cs="Arial"/>
          <w:kern w:val="0"/>
          <w:lang w:eastAsia="en-IN"/>
          <w14:ligatures w14:val="none"/>
        </w:rPr>
        <w:t xml:space="preserve"> </w:t>
      </w:r>
    </w:p>
    <w:p w14:paraId="218DC598"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FF0000"/>
          <w:kern w:val="0"/>
          <w:u w:val="single"/>
          <w:lang w:eastAsia="en-IN"/>
          <w14:ligatures w14:val="none"/>
        </w:rPr>
      </w:pPr>
      <w:r w:rsidRPr="003C6276">
        <w:rPr>
          <w:rFonts w:ascii="Arial" w:eastAsia="Arial" w:hAnsi="Arial" w:cs="Arial"/>
          <w:kern w:val="0"/>
          <w:lang w:eastAsia="en-IN"/>
          <w14:ligatures w14:val="none"/>
        </w:rPr>
        <w:t xml:space="preserve">Carrillo-Alvarez, E., Rifà-Ros, R., Salinas-Roca, B., Costa-Tutusaus, L., Lamas, M. and Rodriguez-Monforte, M. (2025). ‘Diet-related health inequalities in high-income countries: a scoping review of observational studies.’ </w:t>
      </w:r>
      <w:r w:rsidRPr="003C6276">
        <w:rPr>
          <w:rFonts w:ascii="Arial" w:eastAsia="Arial" w:hAnsi="Arial" w:cs="Arial"/>
          <w:i/>
          <w:iCs/>
          <w:kern w:val="0"/>
          <w:lang w:eastAsia="en-IN"/>
          <w14:ligatures w14:val="none"/>
        </w:rPr>
        <w:t>Advances in Nutrition</w:t>
      </w:r>
      <w:r w:rsidRPr="003C6276">
        <w:rPr>
          <w:rFonts w:ascii="Arial" w:eastAsia="Arial" w:hAnsi="Arial" w:cs="Arial"/>
          <w:kern w:val="0"/>
          <w:lang w:eastAsia="en-IN"/>
          <w14:ligatures w14:val="none"/>
        </w:rPr>
        <w:t xml:space="preserve">, 16(6), p.100439. Available at: </w:t>
      </w:r>
      <w:hyperlink r:id="rId27">
        <w:r w:rsidRPr="003C6276">
          <w:rPr>
            <w:rFonts w:ascii="Arial" w:eastAsia="Arial" w:hAnsi="Arial" w:cs="Arial"/>
            <w:color w:val="1155CC"/>
            <w:kern w:val="0"/>
            <w:u w:val="single"/>
            <w:lang w:eastAsia="en-IN"/>
            <w14:ligatures w14:val="none"/>
          </w:rPr>
          <w:t>https://doi.org/10.1016/j.advnut.2025.100439</w:t>
        </w:r>
      </w:hyperlink>
      <w:r w:rsidRPr="003C6276">
        <w:rPr>
          <w:rFonts w:ascii="Arial" w:eastAsia="Arial" w:hAnsi="Arial" w:cs="Arial"/>
          <w:kern w:val="0"/>
          <w:lang w:eastAsia="en-IN"/>
          <w14:ligatures w14:val="none"/>
        </w:rPr>
        <w:t xml:space="preserve"> </w:t>
      </w:r>
    </w:p>
    <w:p w14:paraId="56E227DE"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Chan, M.M., Sadeghi-Alavijeh, O., Evans, R.D., Davenport, A. and Nitsch, D. (2025). ‘The future of nephrology in 2050’. </w:t>
      </w:r>
      <w:r w:rsidRPr="003C6276">
        <w:rPr>
          <w:rFonts w:ascii="Arial" w:eastAsia="Arial" w:hAnsi="Arial" w:cs="Arial"/>
          <w:i/>
          <w:iCs/>
          <w:color w:val="000000"/>
          <w:kern w:val="0"/>
          <w:lang w:eastAsia="en-IN"/>
          <w14:ligatures w14:val="none"/>
        </w:rPr>
        <w:t>Future Healthcare Journal</w:t>
      </w:r>
      <w:r w:rsidRPr="003C6276">
        <w:rPr>
          <w:rFonts w:ascii="Arial" w:eastAsia="Arial" w:hAnsi="Arial" w:cs="Arial"/>
          <w:color w:val="000000"/>
          <w:kern w:val="0"/>
          <w:lang w:eastAsia="en-IN"/>
          <w14:ligatures w14:val="none"/>
        </w:rPr>
        <w:t xml:space="preserve">, 12(1), p.100236. Available at: </w:t>
      </w:r>
      <w:hyperlink r:id="rId28">
        <w:r w:rsidRPr="003C6276">
          <w:rPr>
            <w:rFonts w:ascii="Arial" w:eastAsia="Arial" w:hAnsi="Arial" w:cs="Arial"/>
            <w:color w:val="1155CC"/>
            <w:kern w:val="0"/>
            <w:u w:val="single"/>
            <w:lang w:eastAsia="en-IN"/>
            <w14:ligatures w14:val="none"/>
          </w:rPr>
          <w:t>https://doi.org/10.1016/j.fhj.2025.100236</w:t>
        </w:r>
      </w:hyperlink>
    </w:p>
    <w:p w14:paraId="3D204CB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FF0000"/>
          <w:kern w:val="0"/>
          <w:highlight w:val="white"/>
          <w:lang w:eastAsia="en-IN"/>
          <w14:ligatures w14:val="none"/>
        </w:rPr>
      </w:pPr>
      <w:r w:rsidRPr="003C6276">
        <w:rPr>
          <w:rFonts w:ascii="Arial" w:eastAsia="Arial" w:hAnsi="Arial" w:cs="Arial"/>
          <w:kern w:val="0"/>
          <w:highlight w:val="white"/>
          <w:lang w:eastAsia="en-IN"/>
          <w14:ligatures w14:val="none"/>
        </w:rPr>
        <w:t xml:space="preserve">Cheng, F.C., Shih, C.H., Shen, Y.J. and Chiang, C.P., (2025). ‘Application model of reading the medical images from the National Health Insurance (NHI) MediCloud System for clinic dentists: A case report’. </w:t>
      </w:r>
      <w:r w:rsidRPr="003C6276">
        <w:rPr>
          <w:rFonts w:ascii="Arial" w:eastAsia="Arial" w:hAnsi="Arial" w:cs="Arial"/>
          <w:i/>
          <w:iCs/>
          <w:kern w:val="0"/>
          <w:highlight w:val="white"/>
          <w:lang w:eastAsia="en-IN"/>
          <w14:ligatures w14:val="none"/>
        </w:rPr>
        <w:t>Journal of Dental Sciences</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20</w:t>
      </w:r>
      <w:r w:rsidRPr="003C6276">
        <w:rPr>
          <w:rFonts w:ascii="Arial" w:eastAsia="Arial" w:hAnsi="Arial" w:cs="Arial"/>
          <w:kern w:val="0"/>
          <w:highlight w:val="white"/>
          <w:lang w:eastAsia="en-IN"/>
          <w14:ligatures w14:val="none"/>
        </w:rPr>
        <w:t>(4), p.2508. Available at:</w:t>
      </w:r>
      <w:r w:rsidRPr="003C6276">
        <w:rPr>
          <w:rFonts w:ascii="Arial" w:eastAsia="Arial" w:hAnsi="Arial" w:cs="Arial"/>
          <w:kern w:val="0"/>
          <w:lang w:eastAsia="en-IN"/>
          <w14:ligatures w14:val="none"/>
        </w:rPr>
        <w:t xml:space="preserve"> </w:t>
      </w:r>
      <w:hyperlink r:id="rId29">
        <w:r w:rsidRPr="003C6276">
          <w:rPr>
            <w:rFonts w:ascii="Arial" w:eastAsia="Arial" w:hAnsi="Arial" w:cs="Arial"/>
            <w:color w:val="0000FF"/>
            <w:kern w:val="0"/>
            <w:highlight w:val="white"/>
            <w:u w:val="single"/>
            <w:lang w:eastAsia="en-IN"/>
            <w14:ligatures w14:val="none"/>
          </w:rPr>
          <w:t>https://doi.org/10.1016/j.jds.2025.08.004</w:t>
        </w:r>
      </w:hyperlink>
      <w:r w:rsidRPr="003C6276">
        <w:rPr>
          <w:rFonts w:ascii="Arial" w:eastAsia="Arial" w:hAnsi="Arial" w:cs="Arial"/>
          <w:color w:val="FF0000"/>
          <w:kern w:val="0"/>
          <w:highlight w:val="white"/>
          <w:lang w:eastAsia="en-IN"/>
          <w14:ligatures w14:val="none"/>
        </w:rPr>
        <w:t xml:space="preserve"> </w:t>
      </w:r>
    </w:p>
    <w:p w14:paraId="1B2BAC86"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lastRenderedPageBreak/>
        <w:t xml:space="preserve">Cleary, F., Kim, L., Prieto-Merino, D., Wheeler, D., Steenkamp, R., Fluck, R., Adlam, D., Denaxas, S., Griffith, K., Loud, F. and Hull, S., (2022) ‘Association between practice coding of chronic kidney disease (CKD) in primary care and subsequent hospitalisations and death: a cohort analysis using national audit data’. </w:t>
      </w:r>
      <w:r w:rsidRPr="003C6276">
        <w:rPr>
          <w:rFonts w:ascii="Arial" w:eastAsia="Arial" w:hAnsi="Arial" w:cs="Arial"/>
          <w:i/>
          <w:iCs/>
          <w:kern w:val="0"/>
          <w:highlight w:val="white"/>
          <w:lang w:eastAsia="en-IN"/>
          <w14:ligatures w14:val="none"/>
        </w:rPr>
        <w:t>BMJ open</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12</w:t>
      </w:r>
      <w:r w:rsidRPr="003C6276">
        <w:rPr>
          <w:rFonts w:ascii="Arial" w:eastAsia="Arial" w:hAnsi="Arial" w:cs="Arial"/>
          <w:kern w:val="0"/>
          <w:highlight w:val="white"/>
          <w:lang w:eastAsia="en-IN"/>
          <w14:ligatures w14:val="none"/>
        </w:rPr>
        <w:t>(10), p.e064513.</w:t>
      </w:r>
      <w:r w:rsidRPr="003C6276">
        <w:rPr>
          <w:rFonts w:ascii="Arial" w:eastAsia="Arial" w:hAnsi="Arial" w:cs="Arial"/>
          <w:kern w:val="0"/>
          <w:lang w:eastAsia="en-IN"/>
          <w14:ligatures w14:val="none"/>
        </w:rPr>
        <w:t xml:space="preserve"> Available at: </w:t>
      </w:r>
      <w:hyperlink r:id="rId30">
        <w:r w:rsidRPr="003C6276">
          <w:rPr>
            <w:rFonts w:ascii="Arial" w:eastAsia="Arial" w:hAnsi="Arial" w:cs="Arial"/>
            <w:color w:val="1155CC"/>
            <w:kern w:val="0"/>
            <w:u w:val="single"/>
            <w:lang w:eastAsia="en-IN"/>
            <w14:ligatures w14:val="none"/>
          </w:rPr>
          <w:t>https://doi.org/10.1136/bmjopen-2022-064513</w:t>
        </w:r>
      </w:hyperlink>
      <w:r w:rsidRPr="003C6276">
        <w:rPr>
          <w:rFonts w:ascii="Arial" w:eastAsia="Arial" w:hAnsi="Arial" w:cs="Arial"/>
          <w:kern w:val="0"/>
          <w:lang w:eastAsia="en-IN"/>
          <w14:ligatures w14:val="none"/>
        </w:rPr>
        <w:t xml:space="preserve"> </w:t>
      </w:r>
    </w:p>
    <w:p w14:paraId="75865250"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Czupryniak, L., Mosenzon, O., Rychlík, I., Clodi, M., Ebrahimi, F., Janez, A., Kempler, P., Małecki, M., Moshkovich, E., Prázný, M. and Sourij, H., (2024) ‘Barriers to early diagnosis of chronic kidney disease and use of sodium</w:t>
      </w:r>
      <w:r w:rsidRPr="003C6276">
        <w:rPr>
          <w:rFonts w:ascii="Cambria Math" w:eastAsia="Cambria Math" w:hAnsi="Cambria Math" w:cs="Cambria Math"/>
          <w:kern w:val="0"/>
          <w:highlight w:val="white"/>
          <w:lang w:eastAsia="en-IN"/>
          <w14:ligatures w14:val="none"/>
        </w:rPr>
        <w:t>‐</w:t>
      </w:r>
      <w:r w:rsidRPr="003C6276">
        <w:rPr>
          <w:rFonts w:ascii="Arial" w:eastAsia="Arial" w:hAnsi="Arial" w:cs="Arial"/>
          <w:kern w:val="0"/>
          <w:highlight w:val="white"/>
          <w:lang w:eastAsia="en-IN"/>
          <w14:ligatures w14:val="none"/>
        </w:rPr>
        <w:t>glucose cotransporter</w:t>
      </w:r>
      <w:r w:rsidRPr="003C6276">
        <w:rPr>
          <w:rFonts w:ascii="Cambria Math" w:eastAsia="Cambria Math" w:hAnsi="Cambria Math" w:cs="Cambria Math"/>
          <w:kern w:val="0"/>
          <w:highlight w:val="white"/>
          <w:lang w:eastAsia="en-IN"/>
          <w14:ligatures w14:val="none"/>
        </w:rPr>
        <w:t>‐</w:t>
      </w:r>
      <w:r w:rsidRPr="003C6276">
        <w:rPr>
          <w:rFonts w:ascii="Arial" w:eastAsia="Arial" w:hAnsi="Arial" w:cs="Arial"/>
          <w:kern w:val="0"/>
          <w:highlight w:val="white"/>
          <w:lang w:eastAsia="en-IN"/>
          <w14:ligatures w14:val="none"/>
        </w:rPr>
        <w:t xml:space="preserve">2 inhibitors for renal protection: a comprehensive review and call to action’. </w:t>
      </w:r>
      <w:r w:rsidRPr="003C6276">
        <w:rPr>
          <w:rFonts w:ascii="Arial" w:eastAsia="Arial" w:hAnsi="Arial" w:cs="Arial"/>
          <w:i/>
          <w:iCs/>
          <w:kern w:val="0"/>
          <w:highlight w:val="white"/>
          <w:lang w:eastAsia="en-IN"/>
          <w14:ligatures w14:val="none"/>
        </w:rPr>
        <w:t>Diabetes, Obesity and Metabolism</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26</w:t>
      </w:r>
      <w:r w:rsidRPr="003C6276">
        <w:rPr>
          <w:rFonts w:ascii="Arial" w:eastAsia="Arial" w:hAnsi="Arial" w:cs="Arial"/>
          <w:kern w:val="0"/>
          <w:highlight w:val="white"/>
          <w:lang w:eastAsia="en-IN"/>
          <w14:ligatures w14:val="none"/>
        </w:rPr>
        <w:t>(10), pp.4165-4177.</w:t>
      </w:r>
      <w:r w:rsidRPr="003C6276">
        <w:rPr>
          <w:rFonts w:ascii="Arial" w:eastAsia="Arial" w:hAnsi="Arial" w:cs="Arial"/>
          <w:kern w:val="0"/>
          <w:lang w:eastAsia="en-IN"/>
          <w14:ligatures w14:val="none"/>
        </w:rPr>
        <w:t xml:space="preserve"> Available at: </w:t>
      </w:r>
      <w:hyperlink r:id="rId31">
        <w:r w:rsidRPr="003C6276">
          <w:rPr>
            <w:rFonts w:ascii="Arial" w:eastAsia="Arial" w:hAnsi="Arial" w:cs="Arial"/>
            <w:color w:val="1155CC"/>
            <w:kern w:val="0"/>
            <w:u w:val="single"/>
            <w:lang w:eastAsia="en-IN"/>
            <w14:ligatures w14:val="none"/>
          </w:rPr>
          <w:t>https://doi.org/10.1111/dom.15789</w:t>
        </w:r>
      </w:hyperlink>
      <w:r w:rsidRPr="003C6276">
        <w:rPr>
          <w:rFonts w:ascii="Arial" w:eastAsia="Arial" w:hAnsi="Arial" w:cs="Arial"/>
          <w:kern w:val="0"/>
          <w:lang w:eastAsia="en-IN"/>
          <w14:ligatures w14:val="none"/>
        </w:rPr>
        <w:t xml:space="preserve"> </w:t>
      </w:r>
    </w:p>
    <w:p w14:paraId="3D10CBC3"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Eneanya, N.D., Boulware, L.E., Tsai, J., Bruce, M.A., Ford, C.L., Harris, C., Morales, L.S., Ryan, M.J., Reese, P.P., Thorpe Jr, R.J. and Morse, M. (2022) ‘Health inequities and the inappropriate use of race in nephrology’, </w:t>
      </w:r>
      <w:r w:rsidRPr="003C6276">
        <w:rPr>
          <w:rFonts w:ascii="Arial" w:eastAsia="Arial" w:hAnsi="Arial" w:cs="Arial"/>
          <w:i/>
          <w:iCs/>
          <w:color w:val="000000"/>
          <w:kern w:val="0"/>
          <w:lang w:eastAsia="en-IN"/>
          <w14:ligatures w14:val="none"/>
        </w:rPr>
        <w:t>Nature Reviews Nephrology</w:t>
      </w:r>
      <w:r w:rsidRPr="003C6276">
        <w:rPr>
          <w:rFonts w:ascii="Arial" w:eastAsia="Arial" w:hAnsi="Arial" w:cs="Arial"/>
          <w:color w:val="000000"/>
          <w:kern w:val="0"/>
          <w:lang w:eastAsia="en-IN"/>
          <w14:ligatures w14:val="none"/>
        </w:rPr>
        <w:t>, 18(2), pp.84–94. Available at:</w:t>
      </w:r>
      <w:hyperlink r:id="rId32">
        <w:r w:rsidRPr="003C6276">
          <w:rPr>
            <w:rFonts w:ascii="Arial" w:eastAsia="Arial" w:hAnsi="Arial" w:cs="Arial"/>
            <w:color w:val="0563C1"/>
            <w:kern w:val="0"/>
            <w:u w:val="single"/>
            <w:lang w:eastAsia="en-IN"/>
            <w14:ligatures w14:val="none"/>
          </w:rPr>
          <w:t xml:space="preserve"> https://doi.org/10.1038/s41581-021-00501-8</w:t>
        </w:r>
      </w:hyperlink>
    </w:p>
    <w:p w14:paraId="4865C5B1"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Etemadi, M., Abkenar, S.B., Ahmadzadeh, A., Kashani, M.H., Asghari, P., Akbari, M. and Mahdipour, E., (2023) ‘A systematic review of healthcare recommender systems: Open issues, challenges, and techniques.’ </w:t>
      </w:r>
      <w:r w:rsidRPr="003C6276">
        <w:rPr>
          <w:rFonts w:ascii="Arial" w:eastAsia="Arial" w:hAnsi="Arial" w:cs="Arial"/>
          <w:i/>
          <w:iCs/>
          <w:kern w:val="0"/>
          <w:highlight w:val="white"/>
          <w:lang w:eastAsia="en-IN"/>
          <w14:ligatures w14:val="none"/>
        </w:rPr>
        <w:t>Expert Systems with Applications</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213</w:t>
      </w:r>
      <w:r w:rsidRPr="003C6276">
        <w:rPr>
          <w:rFonts w:ascii="Arial" w:eastAsia="Arial" w:hAnsi="Arial" w:cs="Arial"/>
          <w:kern w:val="0"/>
          <w:highlight w:val="white"/>
          <w:lang w:eastAsia="en-IN"/>
          <w14:ligatures w14:val="none"/>
        </w:rPr>
        <w:t>, p.118823.</w:t>
      </w:r>
      <w:r w:rsidRPr="003C6276">
        <w:rPr>
          <w:rFonts w:ascii="Arial" w:eastAsia="Arial" w:hAnsi="Arial" w:cs="Arial"/>
          <w:kern w:val="0"/>
          <w:lang w:eastAsia="en-IN"/>
          <w14:ligatures w14:val="none"/>
        </w:rPr>
        <w:t xml:space="preserve"> Available at: </w:t>
      </w:r>
      <w:hyperlink r:id="rId33">
        <w:r w:rsidRPr="003C6276">
          <w:rPr>
            <w:rFonts w:ascii="Arial" w:eastAsia="Arial" w:hAnsi="Arial" w:cs="Arial"/>
            <w:color w:val="1155CC"/>
            <w:kern w:val="0"/>
            <w:u w:val="single"/>
            <w:lang w:eastAsia="en-IN"/>
            <w14:ligatures w14:val="none"/>
          </w:rPr>
          <w:t>https://doi.org/10.1016/j.eswa.2022.118823</w:t>
        </w:r>
      </w:hyperlink>
      <w:r w:rsidRPr="003C6276">
        <w:rPr>
          <w:rFonts w:ascii="Arial" w:eastAsia="Arial" w:hAnsi="Arial" w:cs="Arial"/>
          <w:kern w:val="0"/>
          <w:lang w:eastAsia="en-IN"/>
          <w14:ligatures w14:val="none"/>
        </w:rPr>
        <w:t xml:space="preserve"> </w:t>
      </w:r>
    </w:p>
    <w:p w14:paraId="035DE694"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highlight w:val="white"/>
          <w:lang w:eastAsia="en-IN"/>
          <w14:ligatures w14:val="none"/>
        </w:rPr>
        <w:t>Ewald, D.R., Orsini, M.M. and Strack, R.W., (2023). ‘The path to good health: Shifting the dialogue and promoting social ecological thinking’. </w:t>
      </w:r>
      <w:r w:rsidRPr="003C6276">
        <w:rPr>
          <w:rFonts w:ascii="Arial" w:eastAsia="Arial" w:hAnsi="Arial" w:cs="Arial"/>
          <w:i/>
          <w:iCs/>
          <w:color w:val="000000"/>
          <w:kern w:val="0"/>
          <w:highlight w:val="white"/>
          <w:lang w:eastAsia="en-IN"/>
          <w14:ligatures w14:val="none"/>
        </w:rPr>
        <w:t>SSM-Population health</w:t>
      </w:r>
      <w:r w:rsidRPr="003C6276">
        <w:rPr>
          <w:rFonts w:ascii="Arial" w:eastAsia="Arial" w:hAnsi="Arial" w:cs="Arial"/>
          <w:color w:val="000000"/>
          <w:kern w:val="0"/>
          <w:highlight w:val="white"/>
          <w:lang w:eastAsia="en-IN"/>
          <w14:ligatures w14:val="none"/>
        </w:rPr>
        <w:t>, </w:t>
      </w:r>
      <w:r w:rsidRPr="003C6276">
        <w:rPr>
          <w:rFonts w:ascii="Arial" w:eastAsia="Arial" w:hAnsi="Arial" w:cs="Arial"/>
          <w:i/>
          <w:iCs/>
          <w:color w:val="000000"/>
          <w:kern w:val="0"/>
          <w:highlight w:val="white"/>
          <w:lang w:eastAsia="en-IN"/>
          <w14:ligatures w14:val="none"/>
        </w:rPr>
        <w:t>22</w:t>
      </w:r>
      <w:r w:rsidRPr="003C6276">
        <w:rPr>
          <w:rFonts w:ascii="Arial" w:eastAsia="Arial" w:hAnsi="Arial" w:cs="Arial"/>
          <w:color w:val="000000"/>
          <w:kern w:val="0"/>
          <w:highlight w:val="white"/>
          <w:lang w:eastAsia="en-IN"/>
          <w14:ligatures w14:val="none"/>
        </w:rPr>
        <w:t xml:space="preserve">, p.101378. </w:t>
      </w:r>
      <w:r w:rsidRPr="003C6276">
        <w:rPr>
          <w:rFonts w:ascii="Arial" w:eastAsia="Arial" w:hAnsi="Arial" w:cs="Arial"/>
          <w:color w:val="000000"/>
          <w:kern w:val="0"/>
          <w:lang w:eastAsia="en-IN"/>
          <w14:ligatures w14:val="none"/>
        </w:rPr>
        <w:t xml:space="preserve">Available at: </w:t>
      </w:r>
      <w:hyperlink r:id="rId34">
        <w:r w:rsidRPr="003C6276">
          <w:rPr>
            <w:rFonts w:ascii="Arial" w:eastAsia="Arial" w:hAnsi="Arial" w:cs="Arial"/>
            <w:color w:val="0000FF"/>
            <w:kern w:val="0"/>
            <w:highlight w:val="white"/>
            <w:u w:val="single"/>
            <w:lang w:eastAsia="en-IN"/>
            <w14:ligatures w14:val="none"/>
          </w:rPr>
          <w:t>https://www.researchgate.net/figure/The-Social-Ecological-Model-Note-The-social-ecological-model-depicting-the_fig1_369238312</w:t>
        </w:r>
      </w:hyperlink>
      <w:r w:rsidRPr="003C6276">
        <w:rPr>
          <w:rFonts w:ascii="Arial" w:eastAsia="Arial" w:hAnsi="Arial" w:cs="Arial"/>
          <w:kern w:val="0"/>
          <w:highlight w:val="white"/>
          <w:lang w:eastAsia="en-IN"/>
          <w14:ligatures w14:val="none"/>
        </w:rPr>
        <w:t xml:space="preserve"> </w:t>
      </w:r>
      <w:r w:rsidRPr="003C6276">
        <w:rPr>
          <w:rFonts w:ascii="Arial" w:eastAsia="Arial" w:hAnsi="Arial" w:cs="Arial"/>
          <w:color w:val="000000"/>
          <w:kern w:val="0"/>
          <w:lang w:eastAsia="en-IN"/>
          <w14:ligatures w14:val="none"/>
        </w:rPr>
        <w:t>(Accessed 17 June 2026).</w:t>
      </w:r>
    </w:p>
    <w:p w14:paraId="446375FC"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Farrell, D. and Vassalotti, J.A. (2024). ‘Screening, identifying, and treating chronic kidney disease: why, who, when, how, and what?’ </w:t>
      </w:r>
      <w:r w:rsidRPr="003C6276">
        <w:rPr>
          <w:rFonts w:ascii="Arial" w:eastAsia="Arial" w:hAnsi="Arial" w:cs="Arial"/>
          <w:i/>
          <w:iCs/>
          <w:color w:val="000000"/>
          <w:kern w:val="0"/>
          <w:lang w:eastAsia="en-IN"/>
          <w14:ligatures w14:val="none"/>
        </w:rPr>
        <w:t>BMC Nephrology</w:t>
      </w:r>
      <w:r w:rsidRPr="003C6276">
        <w:rPr>
          <w:rFonts w:ascii="Arial" w:eastAsia="Arial" w:hAnsi="Arial" w:cs="Arial"/>
          <w:color w:val="000000"/>
          <w:kern w:val="0"/>
          <w:lang w:eastAsia="en-IN"/>
          <w14:ligatures w14:val="none"/>
        </w:rPr>
        <w:t xml:space="preserve">, 25(1), p.34. Available at: </w:t>
      </w:r>
      <w:hyperlink r:id="rId35">
        <w:r w:rsidRPr="003C6276">
          <w:rPr>
            <w:rFonts w:ascii="Arial" w:eastAsia="Arial" w:hAnsi="Arial" w:cs="Arial"/>
            <w:color w:val="1155CC"/>
            <w:kern w:val="0"/>
            <w:u w:val="single"/>
            <w:lang w:eastAsia="en-IN"/>
            <w14:ligatures w14:val="none"/>
          </w:rPr>
          <w:t>https://doi.org/10.1186/s12882-024-03466-5</w:t>
        </w:r>
      </w:hyperlink>
    </w:p>
    <w:p w14:paraId="36B2238F"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Francis, A., Harhay, M.N., Ong, A.C., Tummalapalli, S.L., Ortiz, A., Fogo, A.B., Fliser, D., Roy-Chaudhury, P., Fontana, M., Nangaku, M. and Wanner, C., (2024) ‘Chronic kidney disease and the global public health agenda: an international consensus’. </w:t>
      </w:r>
      <w:r w:rsidRPr="003C6276">
        <w:rPr>
          <w:rFonts w:ascii="Arial" w:eastAsia="Arial" w:hAnsi="Arial" w:cs="Arial"/>
          <w:i/>
          <w:iCs/>
          <w:kern w:val="0"/>
          <w:highlight w:val="white"/>
          <w:lang w:eastAsia="en-IN"/>
          <w14:ligatures w14:val="none"/>
        </w:rPr>
        <w:t>Nature Reviews Nephrology</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20</w:t>
      </w:r>
      <w:r w:rsidRPr="003C6276">
        <w:rPr>
          <w:rFonts w:ascii="Arial" w:eastAsia="Arial" w:hAnsi="Arial" w:cs="Arial"/>
          <w:kern w:val="0"/>
          <w:highlight w:val="white"/>
          <w:lang w:eastAsia="en-IN"/>
          <w14:ligatures w14:val="none"/>
        </w:rPr>
        <w:t>(7), pp.473-485.</w:t>
      </w:r>
      <w:r w:rsidRPr="003C6276">
        <w:rPr>
          <w:rFonts w:ascii="Arial" w:eastAsia="Arial" w:hAnsi="Arial" w:cs="Arial"/>
          <w:kern w:val="0"/>
          <w:lang w:eastAsia="en-IN"/>
          <w14:ligatures w14:val="none"/>
        </w:rPr>
        <w:t xml:space="preserve"> Available at: </w:t>
      </w:r>
      <w:hyperlink r:id="rId36">
        <w:r w:rsidRPr="003C6276">
          <w:rPr>
            <w:rFonts w:ascii="Arial" w:eastAsia="Arial" w:hAnsi="Arial" w:cs="Arial"/>
            <w:color w:val="1155CC"/>
            <w:kern w:val="0"/>
            <w:u w:val="single"/>
            <w:lang w:eastAsia="en-IN"/>
            <w14:ligatures w14:val="none"/>
          </w:rPr>
          <w:t>https://doi.org/10.1093/ckj/sfad028</w:t>
        </w:r>
      </w:hyperlink>
      <w:r w:rsidRPr="003C6276">
        <w:rPr>
          <w:rFonts w:ascii="Arial" w:eastAsia="Arial" w:hAnsi="Arial" w:cs="Arial"/>
          <w:kern w:val="0"/>
          <w:lang w:eastAsia="en-IN"/>
          <w14:ligatures w14:val="none"/>
        </w:rPr>
        <w:t xml:space="preserve"> </w:t>
      </w:r>
    </w:p>
    <w:p w14:paraId="6B0AE4B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Fu, Y.-C., Xu, Z.-L., Zhao, M.-Y. and Xu, K. (2022). ‘The Association Between Smoking and Renal Function in People Over 20 Years Old’. </w:t>
      </w:r>
      <w:r w:rsidRPr="003C6276">
        <w:rPr>
          <w:rFonts w:ascii="Arial" w:eastAsia="Arial" w:hAnsi="Arial" w:cs="Arial"/>
          <w:i/>
          <w:iCs/>
          <w:color w:val="000000"/>
          <w:kern w:val="0"/>
          <w:lang w:eastAsia="en-IN"/>
          <w14:ligatures w14:val="none"/>
        </w:rPr>
        <w:t>Frontiers in Medicine</w:t>
      </w:r>
      <w:r w:rsidRPr="003C6276">
        <w:rPr>
          <w:rFonts w:ascii="Arial" w:eastAsia="Arial" w:hAnsi="Arial" w:cs="Arial"/>
          <w:color w:val="000000"/>
          <w:kern w:val="0"/>
          <w:lang w:eastAsia="en-IN"/>
          <w14:ligatures w14:val="none"/>
        </w:rPr>
        <w:t>, 9, p.870278. Available at:</w:t>
      </w:r>
      <w:hyperlink r:id="rId37">
        <w:r w:rsidRPr="003C6276">
          <w:rPr>
            <w:rFonts w:ascii="Arial" w:eastAsia="Arial" w:hAnsi="Arial" w:cs="Arial"/>
            <w:color w:val="1155CC"/>
            <w:kern w:val="0"/>
            <w:u w:val="single"/>
            <w:lang w:eastAsia="en-IN"/>
            <w14:ligatures w14:val="none"/>
          </w:rPr>
          <w:t>https://doi.org/10.3389/fmed.2022.870278</w:t>
        </w:r>
      </w:hyperlink>
    </w:p>
    <w:p w14:paraId="1BF50A10"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lastRenderedPageBreak/>
        <w:t xml:space="preserve">Gentile, G., Mckinney, K. and Reboldi, G., (2022) ‘Tight blood pressure control in chronic kidney disease’. </w:t>
      </w:r>
      <w:r w:rsidRPr="003C6276">
        <w:rPr>
          <w:rFonts w:ascii="Arial" w:eastAsia="Arial" w:hAnsi="Arial" w:cs="Arial"/>
          <w:i/>
          <w:iCs/>
          <w:kern w:val="0"/>
          <w:highlight w:val="white"/>
          <w:lang w:eastAsia="en-IN"/>
          <w14:ligatures w14:val="none"/>
        </w:rPr>
        <w:t>Journal of Cardiovascular Development and disease</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9</w:t>
      </w:r>
      <w:r w:rsidRPr="003C6276">
        <w:rPr>
          <w:rFonts w:ascii="Arial" w:eastAsia="Arial" w:hAnsi="Arial" w:cs="Arial"/>
          <w:kern w:val="0"/>
          <w:highlight w:val="white"/>
          <w:lang w:eastAsia="en-IN"/>
          <w14:ligatures w14:val="none"/>
        </w:rPr>
        <w:t>(5), p.139.</w:t>
      </w:r>
      <w:r w:rsidRPr="003C6276">
        <w:rPr>
          <w:rFonts w:ascii="Arial" w:eastAsia="Arial" w:hAnsi="Arial" w:cs="Arial"/>
          <w:kern w:val="0"/>
          <w:lang w:eastAsia="en-IN"/>
          <w14:ligatures w14:val="none"/>
        </w:rPr>
        <w:t xml:space="preserve"> Available at: </w:t>
      </w:r>
      <w:hyperlink r:id="rId38">
        <w:r w:rsidRPr="003C6276">
          <w:rPr>
            <w:rFonts w:ascii="Arial" w:eastAsia="Arial" w:hAnsi="Arial" w:cs="Arial"/>
            <w:color w:val="1155CC"/>
            <w:kern w:val="0"/>
            <w:u w:val="single"/>
            <w:lang w:eastAsia="en-IN"/>
            <w14:ligatures w14:val="none"/>
          </w:rPr>
          <w:t>https://doi.org/10.3390/jcdd9050139</w:t>
        </w:r>
      </w:hyperlink>
      <w:r w:rsidRPr="003C6276">
        <w:rPr>
          <w:rFonts w:ascii="Arial" w:eastAsia="Arial" w:hAnsi="Arial" w:cs="Arial"/>
          <w:kern w:val="0"/>
          <w:lang w:eastAsia="en-IN"/>
          <w14:ligatures w14:val="none"/>
        </w:rPr>
        <w:t xml:space="preserve"> </w:t>
      </w:r>
    </w:p>
    <w:p w14:paraId="228FC9AD" w14:textId="77777777" w:rsidR="007F1C63" w:rsidRPr="003C6276" w:rsidRDefault="007F1C63" w:rsidP="007F1C63">
      <w:pPr>
        <w:spacing w:before="240" w:after="240" w:line="360" w:lineRule="auto"/>
        <w:jc w:val="both"/>
        <w:rPr>
          <w:rFonts w:ascii="Arial" w:eastAsia="Arial" w:hAnsi="Arial" w:cs="Arial"/>
          <w:color w:val="FF0000"/>
          <w:kern w:val="0"/>
          <w:lang w:eastAsia="en-IN"/>
          <w14:ligatures w14:val="none"/>
        </w:rPr>
      </w:pPr>
      <w:r w:rsidRPr="003C6276">
        <w:rPr>
          <w:rFonts w:ascii="Arial" w:eastAsia="Arial" w:hAnsi="Arial" w:cs="Arial"/>
          <w:color w:val="000000" w:themeColor="text1"/>
          <w:kern w:val="0"/>
          <w:lang w:eastAsia="en-IN"/>
          <w14:ligatures w14:val="none"/>
        </w:rPr>
        <w:t xml:space="preserve">George, C., Echouffo-Tcheugui, J.B., Jaar, B.G., Okpechi, I.G. and Kengne, A.P., (2022). ‘The need for screening, early diagnosis, and prediction of chronic kidney disease in people with diabetes in low-and middle-income countries—a review of the current literature’. </w:t>
      </w:r>
      <w:r w:rsidRPr="003C6276">
        <w:rPr>
          <w:rFonts w:ascii="Arial" w:eastAsia="Arial" w:hAnsi="Arial" w:cs="Arial"/>
          <w:i/>
          <w:iCs/>
          <w:color w:val="000000" w:themeColor="text1"/>
          <w:kern w:val="0"/>
          <w:lang w:eastAsia="en-IN"/>
          <w14:ligatures w14:val="none"/>
        </w:rPr>
        <w:t>BMC medicine</w:t>
      </w:r>
      <w:r w:rsidRPr="003C6276">
        <w:rPr>
          <w:rFonts w:ascii="Arial" w:eastAsia="Arial" w:hAnsi="Arial" w:cs="Arial"/>
          <w:color w:val="000000" w:themeColor="text1"/>
          <w:kern w:val="0"/>
          <w:lang w:eastAsia="en-IN"/>
          <w14:ligatures w14:val="none"/>
        </w:rPr>
        <w:t xml:space="preserve">, 20(1), p.247. </w:t>
      </w:r>
      <w:hyperlink r:id="rId39">
        <w:r w:rsidRPr="003C6276">
          <w:rPr>
            <w:rFonts w:ascii="Arial" w:eastAsia="Arial" w:hAnsi="Arial" w:cs="Arial"/>
            <w:color w:val="1155CC"/>
            <w:kern w:val="0"/>
            <w:u w:val="single"/>
            <w:lang w:eastAsia="en-IN"/>
            <w14:ligatures w14:val="none"/>
          </w:rPr>
          <w:t>https://doi.org/10.1186/s12916-022-02438-6</w:t>
        </w:r>
      </w:hyperlink>
      <w:r w:rsidRPr="003C6276">
        <w:rPr>
          <w:rFonts w:ascii="Arial" w:eastAsia="Arial" w:hAnsi="Arial" w:cs="Arial"/>
          <w:color w:val="FF0000"/>
          <w:kern w:val="0"/>
          <w:lang w:eastAsia="en-IN"/>
          <w14:ligatures w14:val="none"/>
        </w:rPr>
        <w:t xml:space="preserve"> </w:t>
      </w:r>
    </w:p>
    <w:p w14:paraId="0138BEBA"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GOV (2025) </w:t>
      </w:r>
      <w:r w:rsidRPr="003C6276">
        <w:rPr>
          <w:rFonts w:ascii="Arial" w:eastAsia="Arial" w:hAnsi="Arial" w:cs="Arial"/>
          <w:i/>
          <w:iCs/>
          <w:kern w:val="0"/>
          <w:lang w:eastAsia="en-IN"/>
          <w14:ligatures w14:val="none"/>
        </w:rPr>
        <w:t xml:space="preserve">Data protection. </w:t>
      </w:r>
      <w:r w:rsidRPr="003C6276">
        <w:rPr>
          <w:rFonts w:ascii="Arial" w:eastAsia="Arial" w:hAnsi="Arial" w:cs="Arial"/>
          <w:kern w:val="0"/>
          <w:lang w:eastAsia="en-IN"/>
          <w14:ligatures w14:val="none"/>
        </w:rPr>
        <w:t xml:space="preserve">Available at: </w:t>
      </w:r>
      <w:hyperlink r:id="rId40">
        <w:r w:rsidRPr="003C6276">
          <w:rPr>
            <w:rFonts w:ascii="Arial" w:eastAsia="Arial" w:hAnsi="Arial" w:cs="Arial"/>
            <w:color w:val="1155CC"/>
            <w:kern w:val="0"/>
            <w:u w:val="single"/>
            <w:lang w:eastAsia="en-IN"/>
            <w14:ligatures w14:val="none"/>
          </w:rPr>
          <w:t>https://www.gov.uk/data-protection</w:t>
        </w:r>
      </w:hyperlink>
      <w:r w:rsidRPr="003C6276">
        <w:rPr>
          <w:rFonts w:ascii="Arial" w:eastAsia="Arial" w:hAnsi="Arial" w:cs="Arial"/>
          <w:kern w:val="0"/>
          <w:lang w:eastAsia="en-IN"/>
          <w14:ligatures w14:val="none"/>
        </w:rPr>
        <w:t xml:space="preserve"> (Accessed 10 July 2026).</w:t>
      </w:r>
    </w:p>
    <w:p w14:paraId="78F9A6FB"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Grant, C.H., Salim, E., Lees, J.S. and Stevens, K.I., (2023) ‘Deprivation and chronic kidney disease—a review of the evidence’. </w:t>
      </w:r>
      <w:r w:rsidRPr="003C6276">
        <w:rPr>
          <w:rFonts w:ascii="Arial" w:eastAsia="Arial" w:hAnsi="Arial" w:cs="Arial"/>
          <w:i/>
          <w:iCs/>
          <w:kern w:val="0"/>
          <w:highlight w:val="white"/>
          <w:lang w:eastAsia="en-IN"/>
          <w14:ligatures w14:val="none"/>
        </w:rPr>
        <w:t>Clinical Kidney Journal</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16</w:t>
      </w:r>
      <w:r w:rsidRPr="003C6276">
        <w:rPr>
          <w:rFonts w:ascii="Arial" w:eastAsia="Arial" w:hAnsi="Arial" w:cs="Arial"/>
          <w:kern w:val="0"/>
          <w:highlight w:val="white"/>
          <w:lang w:eastAsia="en-IN"/>
          <w14:ligatures w14:val="none"/>
        </w:rPr>
        <w:t>(7), pp.1081-1091.</w:t>
      </w:r>
      <w:r w:rsidRPr="003C6276">
        <w:rPr>
          <w:rFonts w:ascii="Arial" w:eastAsia="Arial" w:hAnsi="Arial" w:cs="Arial"/>
          <w:kern w:val="0"/>
          <w:lang w:eastAsia="en-IN"/>
          <w14:ligatures w14:val="none"/>
        </w:rPr>
        <w:t xml:space="preserve"> Available at: </w:t>
      </w:r>
      <w:hyperlink r:id="rId41">
        <w:r w:rsidRPr="003C6276">
          <w:rPr>
            <w:rFonts w:ascii="Arial" w:eastAsia="Arial" w:hAnsi="Arial" w:cs="Arial"/>
            <w:color w:val="1155CC"/>
            <w:kern w:val="0"/>
            <w:u w:val="single"/>
            <w:lang w:eastAsia="en-IN"/>
            <w14:ligatures w14:val="none"/>
          </w:rPr>
          <w:t>https://doi.org/10.1093/ckj/sfad028</w:t>
        </w:r>
      </w:hyperlink>
      <w:r w:rsidRPr="003C6276">
        <w:rPr>
          <w:rFonts w:ascii="Arial" w:eastAsia="Arial" w:hAnsi="Arial" w:cs="Arial"/>
          <w:kern w:val="0"/>
          <w:lang w:eastAsia="en-IN"/>
          <w14:ligatures w14:val="none"/>
        </w:rPr>
        <w:t xml:space="preserve"> </w:t>
      </w:r>
    </w:p>
    <w:p w14:paraId="1C87DAFB"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Habte-Asres, H., Murrells, T., Nitsch, D., Wheeler, D. and Forbes, A. (2022) ‘Diabetes Research and Clinical Practice’, 191, p.110117. Available at: </w:t>
      </w:r>
      <w:hyperlink r:id="rId42">
        <w:r w:rsidRPr="003C6276">
          <w:rPr>
            <w:rFonts w:ascii="Arial" w:eastAsia="Arial" w:hAnsi="Arial" w:cs="Arial"/>
            <w:color w:val="0563C1"/>
            <w:kern w:val="0"/>
            <w:u w:val="single"/>
            <w:lang w:eastAsia="en-IN"/>
            <w14:ligatures w14:val="none"/>
          </w:rPr>
          <w:t>https://pubmed.ncbi.nlm.nih.gov/36243232/</w:t>
        </w:r>
      </w:hyperlink>
    </w:p>
    <w:p w14:paraId="22E88E80" w14:textId="77777777" w:rsidR="007F1C63" w:rsidRPr="003C6276" w:rsidRDefault="007F1C63" w:rsidP="007F1C63">
      <w:pPr>
        <w:spacing w:after="240" w:line="360" w:lineRule="auto"/>
        <w:jc w:val="both"/>
        <w:rPr>
          <w:rFonts w:ascii="Arial" w:eastAsia="Arial" w:hAnsi="Arial" w:cs="Arial"/>
          <w:color w:val="0000FF"/>
          <w:kern w:val="0"/>
          <w:u w:val="single"/>
          <w:lang w:eastAsia="en-IN"/>
          <w14:ligatures w14:val="none"/>
        </w:rPr>
      </w:pPr>
      <w:r w:rsidRPr="003C6276">
        <w:rPr>
          <w:rFonts w:ascii="Arial" w:eastAsia="Arial" w:hAnsi="Arial" w:cs="Arial"/>
          <w:color w:val="000000"/>
          <w:kern w:val="0"/>
          <w:lang w:eastAsia="en-IN"/>
          <w14:ligatures w14:val="none"/>
        </w:rPr>
        <w:t xml:space="preserve">Haileamlak, A. (2018). ‘Chronic kidney disease is on the rise’. </w:t>
      </w:r>
      <w:r w:rsidRPr="003C6276">
        <w:rPr>
          <w:rFonts w:ascii="Arial" w:eastAsia="Arial" w:hAnsi="Arial" w:cs="Arial"/>
          <w:i/>
          <w:iCs/>
          <w:color w:val="000000"/>
          <w:kern w:val="0"/>
          <w:lang w:eastAsia="en-IN"/>
          <w14:ligatures w14:val="none"/>
        </w:rPr>
        <w:t>Ethiopian Journal of Health Sciences</w:t>
      </w:r>
      <w:r w:rsidRPr="003C6276">
        <w:rPr>
          <w:rFonts w:ascii="Arial" w:eastAsia="Arial" w:hAnsi="Arial" w:cs="Arial"/>
          <w:color w:val="000000"/>
          <w:kern w:val="0"/>
          <w:lang w:eastAsia="en-IN"/>
          <w14:ligatures w14:val="none"/>
        </w:rPr>
        <w:t>, 28(6), pp.681–682. Available at</w:t>
      </w:r>
      <w:r w:rsidRPr="003C6276">
        <w:rPr>
          <w:rFonts w:ascii="Arial" w:eastAsia="Arial" w:hAnsi="Arial" w:cs="Arial"/>
          <w:color w:val="0000FF"/>
          <w:kern w:val="0"/>
          <w:lang w:eastAsia="en-IN"/>
          <w14:ligatures w14:val="none"/>
        </w:rPr>
        <w:t>:</w:t>
      </w:r>
      <w:hyperlink r:id="rId43">
        <w:r w:rsidRPr="003C6276">
          <w:rPr>
            <w:rFonts w:ascii="Arial" w:eastAsia="Arial" w:hAnsi="Arial" w:cs="Arial"/>
            <w:color w:val="0000FF"/>
            <w:kern w:val="0"/>
            <w:lang w:eastAsia="en-IN"/>
            <w14:ligatures w14:val="none"/>
          </w:rPr>
          <w:t xml:space="preserve"> </w:t>
        </w:r>
      </w:hyperlink>
      <w:hyperlink r:id="rId44">
        <w:r w:rsidRPr="003C6276">
          <w:rPr>
            <w:rFonts w:ascii="Arial" w:eastAsia="Arial" w:hAnsi="Arial" w:cs="Arial"/>
            <w:color w:val="0000FF"/>
            <w:kern w:val="0"/>
            <w:u w:val="single"/>
            <w:lang w:eastAsia="en-IN"/>
            <w14:ligatures w14:val="none"/>
          </w:rPr>
          <w:t>https://doi.org.10.4314/ejhs.v28i6.1</w:t>
        </w:r>
      </w:hyperlink>
    </w:p>
    <w:p w14:paraId="4EAF8AA2"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Holt, A. (2021). </w:t>
      </w:r>
      <w:r w:rsidRPr="003C6276">
        <w:rPr>
          <w:rFonts w:ascii="Arial" w:eastAsia="Arial" w:hAnsi="Arial" w:cs="Arial"/>
          <w:i/>
          <w:iCs/>
          <w:color w:val="000000"/>
          <w:kern w:val="0"/>
          <w:lang w:eastAsia="en-IN"/>
          <w14:ligatures w14:val="none"/>
        </w:rPr>
        <w:t>Care staff shortages pile pressure on NHS, say hospital managers.</w:t>
      </w:r>
      <w:r w:rsidRPr="003C6276">
        <w:rPr>
          <w:rFonts w:ascii="Arial" w:eastAsia="Arial" w:hAnsi="Arial" w:cs="Arial"/>
          <w:color w:val="000000"/>
          <w:kern w:val="0"/>
          <w:lang w:eastAsia="en-IN"/>
          <w14:ligatures w14:val="none"/>
        </w:rPr>
        <w:t xml:space="preserve"> Available at</w:t>
      </w:r>
      <w:r w:rsidRPr="003C6276">
        <w:rPr>
          <w:rFonts w:ascii="Arial" w:eastAsia="Arial" w:hAnsi="Arial" w:cs="Arial"/>
          <w:color w:val="0000FF"/>
          <w:kern w:val="0"/>
          <w:lang w:eastAsia="en-IN"/>
          <w14:ligatures w14:val="none"/>
        </w:rPr>
        <w:t>:</w:t>
      </w:r>
      <w:hyperlink r:id="rId45">
        <w:r w:rsidRPr="003C6276">
          <w:rPr>
            <w:rFonts w:ascii="Arial" w:eastAsia="Arial" w:hAnsi="Arial" w:cs="Arial"/>
            <w:color w:val="0000FF"/>
            <w:kern w:val="0"/>
            <w:lang w:eastAsia="en-IN"/>
            <w14:ligatures w14:val="none"/>
          </w:rPr>
          <w:t xml:space="preserve"> </w:t>
        </w:r>
      </w:hyperlink>
      <w:hyperlink r:id="rId46">
        <w:r w:rsidRPr="003C6276">
          <w:rPr>
            <w:rFonts w:ascii="Arial" w:eastAsia="Arial" w:hAnsi="Arial" w:cs="Arial"/>
            <w:color w:val="0000FF"/>
            <w:kern w:val="0"/>
            <w:u w:val="single"/>
            <w:lang w:eastAsia="en-IN"/>
            <w14:ligatures w14:val="none"/>
          </w:rPr>
          <w:t>https://www.bbc.com/news/health-58884651</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3F66434A"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Huang, H.L., Hsu, Y.H., Yang, C.W., Hsu, M.F. and Chung, Y.C. (2024) ‘Effects of a health literacy education program on mental health and renal function in patients with chronic kidney disease: A randomized controlled trial’, </w:t>
      </w:r>
      <w:r w:rsidRPr="003C6276">
        <w:rPr>
          <w:rFonts w:ascii="Arial" w:eastAsia="Arial" w:hAnsi="Arial" w:cs="Arial"/>
          <w:i/>
          <w:iCs/>
          <w:color w:val="000000"/>
          <w:kern w:val="0"/>
          <w:lang w:eastAsia="en-IN"/>
          <w14:ligatures w14:val="none"/>
        </w:rPr>
        <w:t>Journal of Nursing Research</w:t>
      </w:r>
      <w:r w:rsidRPr="003C6276">
        <w:rPr>
          <w:rFonts w:ascii="Arial" w:eastAsia="Arial" w:hAnsi="Arial" w:cs="Arial"/>
          <w:color w:val="000000"/>
          <w:kern w:val="0"/>
          <w:lang w:eastAsia="en-IN"/>
          <w14:ligatures w14:val="none"/>
        </w:rPr>
        <w:t>, 32(1), p.e310. Available at:</w:t>
      </w:r>
      <w:hyperlink r:id="rId47">
        <w:r w:rsidRPr="003C6276">
          <w:rPr>
            <w:rFonts w:ascii="Arial" w:eastAsia="Arial" w:hAnsi="Arial" w:cs="Arial"/>
            <w:color w:val="0563C1"/>
            <w:kern w:val="0"/>
            <w:u w:val="single"/>
            <w:lang w:eastAsia="en-IN"/>
            <w14:ligatures w14:val="none"/>
          </w:rPr>
          <w:t xml:space="preserve"> https://doi.org/10.1097/jnr.000000000000031</w:t>
        </w:r>
      </w:hyperlink>
    </w:p>
    <w:p w14:paraId="513050F0" w14:textId="77777777" w:rsidR="007F1C63" w:rsidRPr="003C6276" w:rsidRDefault="007F1C63" w:rsidP="007F1C63">
      <w:pPr>
        <w:spacing w:before="240" w:after="240" w:line="360" w:lineRule="auto"/>
        <w:jc w:val="both"/>
        <w:rPr>
          <w:rFonts w:ascii="Arial" w:eastAsia="Arial" w:hAnsi="Arial" w:cs="Arial"/>
          <w:b/>
          <w:bCs/>
          <w:kern w:val="0"/>
          <w:lang w:eastAsia="en-IN"/>
          <w14:ligatures w14:val="none"/>
        </w:rPr>
      </w:pPr>
      <w:r w:rsidRPr="003C6276">
        <w:rPr>
          <w:rFonts w:ascii="Arial" w:eastAsia="Arial" w:hAnsi="Arial" w:cs="Arial"/>
          <w:kern w:val="0"/>
          <w:lang w:eastAsia="en-IN"/>
          <w14:ligatures w14:val="none"/>
        </w:rPr>
        <w:t xml:space="preserve">Humayoun, S., Yaqoob, B., Abbasi, N., Sajid, M., Aman, K. and Noor, N., (2024) ‘Critical appraisal of a qualitative review: a systematic review’. </w:t>
      </w:r>
      <w:r w:rsidRPr="003C6276">
        <w:rPr>
          <w:rFonts w:ascii="Arial" w:eastAsia="Arial" w:hAnsi="Arial" w:cs="Arial"/>
          <w:i/>
          <w:iCs/>
          <w:kern w:val="0"/>
          <w:lang w:eastAsia="en-IN"/>
          <w14:ligatures w14:val="none"/>
        </w:rPr>
        <w:t>Pakistan Oral &amp; Dental Journal,</w:t>
      </w:r>
      <w:r w:rsidRPr="003C6276">
        <w:rPr>
          <w:rFonts w:ascii="Arial" w:eastAsia="Arial" w:hAnsi="Arial" w:cs="Arial"/>
          <w:kern w:val="0"/>
          <w:lang w:eastAsia="en-IN"/>
          <w14:ligatures w14:val="none"/>
        </w:rPr>
        <w:t xml:space="preserve"> 44(4), pp.9-18</w:t>
      </w:r>
      <w:r w:rsidRPr="003C6276">
        <w:rPr>
          <w:rFonts w:ascii="Arial" w:eastAsia="Arial" w:hAnsi="Arial" w:cs="Arial"/>
          <w:color w:val="0000FF"/>
          <w:kern w:val="0"/>
          <w:lang w:eastAsia="en-IN"/>
          <w14:ligatures w14:val="none"/>
        </w:rPr>
        <w:t xml:space="preserve">. </w:t>
      </w:r>
      <w:hyperlink r:id="rId48">
        <w:r w:rsidRPr="003C6276">
          <w:rPr>
            <w:rFonts w:ascii="Arial" w:eastAsia="Arial" w:hAnsi="Arial" w:cs="Arial"/>
            <w:color w:val="1155CC"/>
            <w:kern w:val="0"/>
            <w:u w:val="single"/>
            <w:lang w:eastAsia="en-IN"/>
            <w14:ligatures w14:val="none"/>
          </w:rPr>
          <w:t>https://www.podj.com.pk/index.php/podj/article/download/811/592/</w:t>
        </w:r>
      </w:hyperlink>
      <w:r w:rsidRPr="003C6276">
        <w:rPr>
          <w:rFonts w:ascii="Arial" w:eastAsia="Arial" w:hAnsi="Arial" w:cs="Arial"/>
          <w:color w:val="0000FF"/>
          <w:kern w:val="0"/>
          <w:lang w:eastAsia="en-IN"/>
          <w14:ligatures w14:val="none"/>
        </w:rPr>
        <w:t xml:space="preserve"> </w:t>
      </w:r>
    </w:p>
    <w:p w14:paraId="459DE5F9"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ISPOR, (2023)</w:t>
      </w:r>
      <w:r w:rsidRPr="003C6276">
        <w:rPr>
          <w:rFonts w:ascii="Arial" w:eastAsia="Arial" w:hAnsi="Arial" w:cs="Arial"/>
          <w:i/>
          <w:iCs/>
          <w:kern w:val="0"/>
          <w:lang w:eastAsia="en-IN"/>
          <w14:ligatures w14:val="none"/>
        </w:rPr>
        <w:t xml:space="preserve"> Projected Prevalence of Acute, Chronic, and End-Stage Kidney Disease in the UK From 2023 to 2033.</w:t>
      </w:r>
      <w:r w:rsidRPr="003C6276">
        <w:rPr>
          <w:rFonts w:ascii="Arial" w:eastAsia="Arial" w:hAnsi="Arial" w:cs="Arial"/>
          <w:kern w:val="0"/>
          <w:lang w:eastAsia="en-IN"/>
          <w14:ligatures w14:val="none"/>
        </w:rPr>
        <w:t xml:space="preserve"> Available at:</w:t>
      </w:r>
      <w:r w:rsidRPr="003C6276">
        <w:rPr>
          <w:rFonts w:ascii="Arial" w:eastAsia="Arial" w:hAnsi="Arial" w:cs="Arial"/>
          <w:color w:val="FF0000"/>
          <w:kern w:val="0"/>
          <w:lang w:eastAsia="en-IN"/>
          <w14:ligatures w14:val="none"/>
        </w:rPr>
        <w:t xml:space="preserve"> </w:t>
      </w:r>
      <w:hyperlink r:id="rId49">
        <w:r w:rsidRPr="003C6276">
          <w:rPr>
            <w:rFonts w:ascii="Arial" w:eastAsia="Arial" w:hAnsi="Arial" w:cs="Arial"/>
            <w:color w:val="1155CC"/>
            <w:kern w:val="0"/>
            <w:u w:val="single"/>
            <w:lang w:eastAsia="en-IN"/>
            <w14:ligatures w14:val="none"/>
          </w:rPr>
          <w:t>https://www.ispor.org/docs/default-source/euro2023/projected-prevalence-of-acute-chronic-and-end-stage-kidney-disease-in-the-uk-from-2023-to-2033132375-pdf.pdf</w:t>
        </w:r>
      </w:hyperlink>
      <w:r w:rsidRPr="003C6276">
        <w:rPr>
          <w:rFonts w:ascii="Arial" w:eastAsia="Arial" w:hAnsi="Arial" w:cs="Arial"/>
          <w:color w:val="FF0000"/>
          <w:kern w:val="0"/>
          <w:lang w:eastAsia="en-IN"/>
          <w14:ligatures w14:val="none"/>
        </w:rPr>
        <w:t xml:space="preserve"> </w:t>
      </w:r>
      <w:r w:rsidRPr="003C6276">
        <w:rPr>
          <w:rFonts w:ascii="Arial" w:eastAsia="Arial" w:hAnsi="Arial" w:cs="Arial"/>
          <w:kern w:val="0"/>
          <w:lang w:eastAsia="en-IN"/>
          <w14:ligatures w14:val="none"/>
        </w:rPr>
        <w:t>(Accessed 17 June 2026).</w:t>
      </w:r>
    </w:p>
    <w:p w14:paraId="558C52AE"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Jansen, T., Liebenow, L.W., Mertens, U., Schmidt, F.T., Lohmann, J.F., Fleckenstein, J. and Meyer, J., (2025). ‘Data extraction by generative artificial intelligence: Assessing determinants of accuracy using human-extracted data from systematic review databases.’ </w:t>
      </w:r>
      <w:r w:rsidRPr="003C6276">
        <w:rPr>
          <w:rFonts w:ascii="Arial" w:eastAsia="Arial" w:hAnsi="Arial" w:cs="Arial"/>
          <w:i/>
          <w:iCs/>
          <w:kern w:val="0"/>
          <w:lang w:eastAsia="en-IN"/>
          <w14:ligatures w14:val="none"/>
        </w:rPr>
        <w:t>Psychological Bulletin</w:t>
      </w:r>
      <w:r w:rsidRPr="003C6276">
        <w:rPr>
          <w:rFonts w:ascii="Arial" w:eastAsia="Arial" w:hAnsi="Arial" w:cs="Arial"/>
          <w:kern w:val="0"/>
          <w:lang w:eastAsia="en-IN"/>
          <w14:ligatures w14:val="none"/>
        </w:rPr>
        <w:t xml:space="preserve">, </w:t>
      </w:r>
      <w:r w:rsidRPr="003C6276">
        <w:rPr>
          <w:rFonts w:ascii="Arial" w:eastAsia="Arial" w:hAnsi="Arial" w:cs="Arial"/>
          <w:i/>
          <w:iCs/>
          <w:kern w:val="0"/>
          <w:lang w:eastAsia="en-IN"/>
          <w14:ligatures w14:val="none"/>
        </w:rPr>
        <w:t>151</w:t>
      </w:r>
      <w:r w:rsidRPr="003C6276">
        <w:rPr>
          <w:rFonts w:ascii="Arial" w:eastAsia="Arial" w:hAnsi="Arial" w:cs="Arial"/>
          <w:kern w:val="0"/>
          <w:lang w:eastAsia="en-IN"/>
          <w14:ligatures w14:val="none"/>
        </w:rPr>
        <w:t xml:space="preserve">(10), p.1280. </w:t>
      </w:r>
      <w:hyperlink r:id="rId50">
        <w:r w:rsidRPr="003C6276">
          <w:rPr>
            <w:rFonts w:ascii="Arial" w:eastAsia="Arial" w:hAnsi="Arial" w:cs="Arial"/>
            <w:color w:val="1155CC"/>
            <w:kern w:val="0"/>
            <w:u w:val="single"/>
            <w:lang w:eastAsia="en-IN"/>
            <w14:ligatures w14:val="none"/>
          </w:rPr>
          <w:t>https://doi.org/10.1037/bul0000501</w:t>
        </w:r>
      </w:hyperlink>
      <w:r w:rsidRPr="003C6276">
        <w:rPr>
          <w:rFonts w:ascii="Arial" w:eastAsia="Arial" w:hAnsi="Arial" w:cs="Arial"/>
          <w:kern w:val="0"/>
          <w:lang w:eastAsia="en-IN"/>
          <w14:ligatures w14:val="none"/>
        </w:rPr>
        <w:t xml:space="preserve"> </w:t>
      </w:r>
    </w:p>
    <w:p w14:paraId="034CB328"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Jha, V., Al-Ghamdi, S., Li, G., Wu, M.-S., Stafylas, P., Retat, L., Card-Gowers, J., Barone, S., Cabrera, C. and Jose, J. (2023). ‘Global Economic Burden Associated with Chronic Kidney disease: a Pragmatic Review of Medical Costs for the inside CKD Research Programme’. </w:t>
      </w:r>
      <w:r w:rsidRPr="003C6276">
        <w:rPr>
          <w:rFonts w:ascii="Arial" w:eastAsia="Arial" w:hAnsi="Arial" w:cs="Arial"/>
          <w:i/>
          <w:iCs/>
          <w:color w:val="000000"/>
          <w:kern w:val="0"/>
          <w:lang w:eastAsia="en-IN"/>
          <w14:ligatures w14:val="none"/>
        </w:rPr>
        <w:t>Advances in Therapy</w:t>
      </w:r>
      <w:r w:rsidRPr="003C6276">
        <w:rPr>
          <w:rFonts w:ascii="Arial" w:eastAsia="Arial" w:hAnsi="Arial" w:cs="Arial"/>
          <w:color w:val="000000"/>
          <w:kern w:val="0"/>
          <w:lang w:eastAsia="en-IN"/>
          <w14:ligatures w14:val="none"/>
        </w:rPr>
        <w:t xml:space="preserve">, 40(10), pp.4405–4420. Available at: </w:t>
      </w:r>
      <w:hyperlink r:id="rId51">
        <w:r w:rsidRPr="003C6276">
          <w:rPr>
            <w:rFonts w:ascii="Arial" w:eastAsia="Arial" w:hAnsi="Arial" w:cs="Arial"/>
            <w:color w:val="0000FF"/>
            <w:kern w:val="0"/>
            <w:u w:val="single"/>
            <w:lang w:eastAsia="en-IN"/>
            <w14:ligatures w14:val="none"/>
          </w:rPr>
          <w:t>https://doi.org/10.1007/s12325-023-02608-9</w:t>
        </w:r>
      </w:hyperlink>
    </w:p>
    <w:p w14:paraId="3081C61F"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Jiang, Z., Wang, Y., Zhao, X., Cui, H., Han, M., Ren, X., Gang, X. and Wang, G. (2023) ‘Obesity and chronic kidney disease’, </w:t>
      </w:r>
      <w:r w:rsidRPr="003C6276">
        <w:rPr>
          <w:rFonts w:ascii="Arial" w:eastAsia="Arial" w:hAnsi="Arial" w:cs="Arial"/>
          <w:i/>
          <w:iCs/>
          <w:color w:val="000000"/>
          <w:kern w:val="0"/>
          <w:lang w:eastAsia="en-IN"/>
          <w14:ligatures w14:val="none"/>
        </w:rPr>
        <w:t>American Journal of Physiology – Endocrinology and Metabolism</w:t>
      </w:r>
      <w:r w:rsidRPr="003C6276">
        <w:rPr>
          <w:rFonts w:ascii="Arial" w:eastAsia="Arial" w:hAnsi="Arial" w:cs="Arial"/>
          <w:color w:val="000000"/>
          <w:kern w:val="0"/>
          <w:lang w:eastAsia="en-IN"/>
          <w14:ligatures w14:val="none"/>
        </w:rPr>
        <w:t>. Available at:</w:t>
      </w:r>
      <w:hyperlink r:id="rId52">
        <w:r w:rsidRPr="003C6276">
          <w:rPr>
            <w:rFonts w:ascii="Arial" w:eastAsia="Arial" w:hAnsi="Arial" w:cs="Arial"/>
            <w:color w:val="0563C1"/>
            <w:kern w:val="0"/>
            <w:u w:val="single"/>
            <w:lang w:eastAsia="en-IN"/>
            <w14:ligatures w14:val="none"/>
          </w:rPr>
          <w:t xml:space="preserve"> https://doi.org/10.1152/ajpendo.00179.2022</w:t>
        </w:r>
      </w:hyperlink>
    </w:p>
    <w:p w14:paraId="7D9A5CC4"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Jin, T., Wu, Y., Zhang, S., Peng, Y., Lin, Y., Zhou, S., Liu, H. and Yu, P., (2025) ‘The association between metabolomic profiles of lifestyle and the latent phase of incident chronic kidney disease in the UK Population’. </w:t>
      </w:r>
      <w:r w:rsidRPr="003C6276">
        <w:rPr>
          <w:rFonts w:ascii="Arial" w:eastAsia="Arial" w:hAnsi="Arial" w:cs="Arial"/>
          <w:i/>
          <w:iCs/>
          <w:kern w:val="0"/>
          <w:highlight w:val="white"/>
          <w:lang w:eastAsia="en-IN"/>
          <w14:ligatures w14:val="none"/>
        </w:rPr>
        <w:t>Scientific Reports</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15</w:t>
      </w:r>
      <w:r w:rsidRPr="003C6276">
        <w:rPr>
          <w:rFonts w:ascii="Arial" w:eastAsia="Arial" w:hAnsi="Arial" w:cs="Arial"/>
          <w:kern w:val="0"/>
          <w:highlight w:val="white"/>
          <w:lang w:eastAsia="en-IN"/>
          <w14:ligatures w14:val="none"/>
        </w:rPr>
        <w:t>(1), p.2299.</w:t>
      </w:r>
      <w:r w:rsidRPr="003C6276">
        <w:rPr>
          <w:rFonts w:ascii="Arial" w:eastAsia="Arial" w:hAnsi="Arial" w:cs="Arial"/>
          <w:kern w:val="0"/>
          <w:lang w:eastAsia="en-IN"/>
          <w14:ligatures w14:val="none"/>
        </w:rPr>
        <w:t xml:space="preserve"> Available at: </w:t>
      </w:r>
      <w:hyperlink r:id="rId53">
        <w:r w:rsidRPr="003C6276">
          <w:rPr>
            <w:rFonts w:ascii="Arial" w:eastAsia="Arial" w:hAnsi="Arial" w:cs="Arial"/>
            <w:color w:val="1155CC"/>
            <w:kern w:val="0"/>
            <w:u w:val="single"/>
            <w:lang w:eastAsia="en-IN"/>
            <w14:ligatures w14:val="none"/>
          </w:rPr>
          <w:t>https://doi.org/10.1038/s41598-025-86030-x</w:t>
        </w:r>
      </w:hyperlink>
      <w:r w:rsidRPr="003C6276">
        <w:rPr>
          <w:rFonts w:ascii="Arial" w:eastAsia="Arial" w:hAnsi="Arial" w:cs="Arial"/>
          <w:kern w:val="0"/>
          <w:lang w:eastAsia="en-IN"/>
          <w14:ligatures w14:val="none"/>
        </w:rPr>
        <w:t xml:space="preserve"> </w:t>
      </w:r>
    </w:p>
    <w:p w14:paraId="25E5C351"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Johnston-Webber, C., Bencomo-Bermudez, I., Wharton, G., van Kessel, R., Barone, S., Muntó, F.B., Chadban, S., Sanchez, J.J.G., Kocks, J.W., Obolensky, K. and Sandow, P., (2025) ‘A conceptual framework to assess the health, socioeconomic and environmental burden of chronic kidney disease’. </w:t>
      </w:r>
      <w:r w:rsidRPr="003C6276">
        <w:rPr>
          <w:rFonts w:ascii="Arial" w:eastAsia="Arial" w:hAnsi="Arial" w:cs="Arial"/>
          <w:i/>
          <w:iCs/>
          <w:kern w:val="0"/>
          <w:highlight w:val="white"/>
          <w:lang w:eastAsia="en-IN"/>
          <w14:ligatures w14:val="none"/>
        </w:rPr>
        <w:t>Health Policy</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152</w:t>
      </w:r>
      <w:r w:rsidRPr="003C6276">
        <w:rPr>
          <w:rFonts w:ascii="Arial" w:eastAsia="Arial" w:hAnsi="Arial" w:cs="Arial"/>
          <w:kern w:val="0"/>
          <w:highlight w:val="white"/>
          <w:lang w:eastAsia="en-IN"/>
          <w14:ligatures w14:val="none"/>
        </w:rPr>
        <w:t>, p.105244.</w:t>
      </w:r>
      <w:r w:rsidRPr="003C6276">
        <w:rPr>
          <w:rFonts w:ascii="Arial" w:eastAsia="Arial" w:hAnsi="Arial" w:cs="Arial"/>
          <w:kern w:val="0"/>
          <w:lang w:eastAsia="en-IN"/>
          <w14:ligatures w14:val="none"/>
        </w:rPr>
        <w:t xml:space="preserve"> Available at: </w:t>
      </w:r>
      <w:hyperlink r:id="rId54">
        <w:r w:rsidRPr="003C6276">
          <w:rPr>
            <w:rFonts w:ascii="Arial" w:eastAsia="Arial" w:hAnsi="Arial" w:cs="Arial"/>
            <w:color w:val="1155CC"/>
            <w:kern w:val="0"/>
            <w:u w:val="single"/>
            <w:lang w:eastAsia="en-IN"/>
            <w14:ligatures w14:val="none"/>
          </w:rPr>
          <w:t>https://doi.org/10.1016/j.healthpol.2024.105244</w:t>
        </w:r>
      </w:hyperlink>
      <w:r w:rsidRPr="003C6276">
        <w:rPr>
          <w:rFonts w:ascii="Arial" w:eastAsia="Arial" w:hAnsi="Arial" w:cs="Arial"/>
          <w:kern w:val="0"/>
          <w:lang w:eastAsia="en-IN"/>
          <w14:ligatures w14:val="none"/>
        </w:rPr>
        <w:t xml:space="preserve"> </w:t>
      </w:r>
    </w:p>
    <w:p w14:paraId="7A82B47E"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Kanagaratnam, R., Zwi, S., Webster, A.C., Isautier, J., Lambert, K., Shepherd, H.L., McCaffery, K., Sud, K. and Muscat, D.M. (2023) ‘Interventions to support decision-making, health literacy and self-management in ethnic-minority adults living with chronic kidney disease: a systematic review’, </w:t>
      </w:r>
      <w:r w:rsidRPr="003C6276">
        <w:rPr>
          <w:rFonts w:ascii="Arial" w:eastAsia="Arial" w:hAnsi="Arial" w:cs="Arial"/>
          <w:i/>
          <w:iCs/>
          <w:color w:val="000000"/>
          <w:kern w:val="0"/>
          <w:lang w:eastAsia="en-IN"/>
          <w14:ligatures w14:val="none"/>
        </w:rPr>
        <w:t>Clinical Kidney Journal</w:t>
      </w:r>
      <w:r w:rsidRPr="003C6276">
        <w:rPr>
          <w:rFonts w:ascii="Arial" w:eastAsia="Arial" w:hAnsi="Arial" w:cs="Arial"/>
          <w:color w:val="000000"/>
          <w:kern w:val="0"/>
          <w:lang w:eastAsia="en-IN"/>
          <w14:ligatures w14:val="none"/>
        </w:rPr>
        <w:t>, 16(6), pp.914–927. Available at:</w:t>
      </w:r>
      <w:hyperlink r:id="rId55">
        <w:r w:rsidRPr="003C6276">
          <w:rPr>
            <w:rFonts w:ascii="Arial" w:eastAsia="Arial" w:hAnsi="Arial" w:cs="Arial"/>
            <w:color w:val="0563C1"/>
            <w:kern w:val="0"/>
            <w:u w:val="single"/>
            <w:lang w:eastAsia="en-IN"/>
            <w14:ligatures w14:val="none"/>
          </w:rPr>
          <w:t xml:space="preserve"> https://doi.org/10.1093/ckj/sfac276</w:t>
        </w:r>
      </w:hyperlink>
    </w:p>
    <w:p w14:paraId="03533D37"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lang w:eastAsia="en-IN"/>
          <w14:ligatures w14:val="none"/>
        </w:rPr>
        <w:t xml:space="preserve">Kern, L.M., Bynum, J. and Pincus, H.A. (2024). ‘Care fragmentation, care continuity, and care coordination—how they differ and why it matters’. </w:t>
      </w:r>
      <w:r w:rsidRPr="003C6276">
        <w:rPr>
          <w:rFonts w:ascii="Arial" w:eastAsia="Arial" w:hAnsi="Arial" w:cs="Arial"/>
          <w:i/>
          <w:iCs/>
          <w:color w:val="000000"/>
          <w:kern w:val="0"/>
          <w:lang w:eastAsia="en-IN"/>
          <w14:ligatures w14:val="none"/>
        </w:rPr>
        <w:t>JAMA Internal Medicine</w:t>
      </w:r>
      <w:r w:rsidRPr="003C6276">
        <w:rPr>
          <w:rFonts w:ascii="Arial" w:eastAsia="Arial" w:hAnsi="Arial" w:cs="Arial"/>
          <w:color w:val="000000"/>
          <w:kern w:val="0"/>
          <w:lang w:eastAsia="en-IN"/>
          <w14:ligatures w14:val="none"/>
        </w:rPr>
        <w:t xml:space="preserve">, 184(3), pp.236–237. Available at: </w:t>
      </w:r>
      <w:hyperlink r:id="rId56">
        <w:r w:rsidRPr="003C6276">
          <w:rPr>
            <w:rFonts w:ascii="Arial" w:eastAsia="Arial" w:hAnsi="Arial" w:cs="Arial"/>
            <w:color w:val="0000FF"/>
            <w:kern w:val="0"/>
            <w:u w:val="single"/>
            <w:lang w:eastAsia="en-IN"/>
            <w14:ligatures w14:val="none"/>
          </w:rPr>
          <w:t>https://doi.org/10.1001/jamainternmed.2023.7628</w:t>
        </w:r>
      </w:hyperlink>
      <w:r w:rsidRPr="003C6276">
        <w:rPr>
          <w:rFonts w:ascii="Arial" w:eastAsia="Arial" w:hAnsi="Arial" w:cs="Arial"/>
          <w:color w:val="1155CC"/>
          <w:kern w:val="0"/>
          <w:u w:val="single"/>
          <w:lang w:eastAsia="en-IN"/>
          <w14:ligatures w14:val="none"/>
        </w:rPr>
        <w:br/>
      </w:r>
      <w:r w:rsidRPr="003C6276">
        <w:rPr>
          <w:rFonts w:ascii="Arial" w:eastAsia="Arial" w:hAnsi="Arial" w:cs="Arial"/>
          <w:color w:val="000000"/>
          <w:kern w:val="0"/>
          <w:lang w:eastAsia="en-IN"/>
          <w14:ligatures w14:val="none"/>
        </w:rPr>
        <w:t xml:space="preserve">Polsook, R. and Aungsuroch, Y. (2024). ‘The effect of a self-management programme on blood pressure levels among people with hypertension: a randomised controlled trial’. </w:t>
      </w:r>
      <w:r w:rsidRPr="003C6276">
        <w:rPr>
          <w:rFonts w:ascii="Arial" w:eastAsia="Arial" w:hAnsi="Arial" w:cs="Arial"/>
          <w:i/>
          <w:iCs/>
          <w:color w:val="000000"/>
          <w:kern w:val="0"/>
          <w:lang w:eastAsia="en-IN"/>
          <w14:ligatures w14:val="none"/>
        </w:rPr>
        <w:t>Journal of research in nursing</w:t>
      </w:r>
      <w:r w:rsidRPr="003C6276">
        <w:rPr>
          <w:rFonts w:ascii="Arial" w:eastAsia="Arial" w:hAnsi="Arial" w:cs="Arial"/>
          <w:color w:val="000000"/>
          <w:kern w:val="0"/>
          <w:lang w:eastAsia="en-IN"/>
          <w14:ligatures w14:val="none"/>
        </w:rPr>
        <w:t xml:space="preserve">, 29(6), pp.452–466. Available at: </w:t>
      </w:r>
      <w:hyperlink r:id="rId57">
        <w:r w:rsidRPr="003C6276">
          <w:rPr>
            <w:rFonts w:ascii="Arial" w:eastAsia="Arial" w:hAnsi="Arial" w:cs="Arial"/>
            <w:color w:val="0000FF"/>
            <w:kern w:val="0"/>
            <w:u w:val="single"/>
            <w:lang w:eastAsia="en-IN"/>
            <w14:ligatures w14:val="none"/>
          </w:rPr>
          <w:t>https://doi.org/10.1177/17449871241261668</w:t>
        </w:r>
      </w:hyperlink>
    </w:p>
    <w:p w14:paraId="2B6008C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lastRenderedPageBreak/>
        <w:t>Kidney Research UK (2023)</w:t>
      </w:r>
      <w:r w:rsidRPr="003C6276">
        <w:rPr>
          <w:rFonts w:ascii="Arial" w:eastAsia="Arial" w:hAnsi="Arial" w:cs="Arial"/>
          <w:i/>
          <w:iCs/>
          <w:color w:val="000000"/>
          <w:kern w:val="0"/>
          <w:lang w:eastAsia="en-IN"/>
          <w14:ligatures w14:val="none"/>
        </w:rPr>
        <w:t xml:space="preserve"> Economics-of-Kidney-Disease.</w:t>
      </w:r>
      <w:r w:rsidRPr="003C6276">
        <w:rPr>
          <w:rFonts w:ascii="Arial" w:eastAsia="Arial" w:hAnsi="Arial" w:cs="Arial"/>
          <w:color w:val="000000"/>
          <w:kern w:val="0"/>
          <w:lang w:eastAsia="en-IN"/>
          <w14:ligatures w14:val="none"/>
        </w:rPr>
        <w:t xml:space="preserve"> Available at: </w:t>
      </w:r>
      <w:hyperlink r:id="rId58">
        <w:r w:rsidRPr="003C6276">
          <w:rPr>
            <w:rFonts w:ascii="Arial" w:eastAsia="Arial" w:hAnsi="Arial" w:cs="Arial"/>
            <w:color w:val="1155CC"/>
            <w:kern w:val="0"/>
            <w:u w:val="single"/>
            <w:lang w:eastAsia="en-IN"/>
            <w14:ligatures w14:val="none"/>
          </w:rPr>
          <w:t>https://www.kidneyresearchuk.org/wp-content/uploads/2023/06/Economics-of-Kidney-Disease-full-report_accessible.pdf</w:t>
        </w:r>
      </w:hyperlink>
      <w:r w:rsidRPr="003C6276">
        <w:rPr>
          <w:rFonts w:ascii="Arial" w:eastAsia="Arial" w:hAnsi="Arial" w:cs="Arial"/>
          <w:color w:val="000000"/>
          <w:kern w:val="0"/>
          <w:lang w:eastAsia="en-IN"/>
          <w14:ligatures w14:val="none"/>
        </w:rPr>
        <w:t xml:space="preserve"> (Accessed: 17 June 2026)</w:t>
      </w:r>
    </w:p>
    <w:p w14:paraId="1E3D6AB4"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Kidneyresearch UK, (2023) </w:t>
      </w:r>
      <w:r w:rsidRPr="003C6276">
        <w:rPr>
          <w:rFonts w:ascii="Arial" w:eastAsia="Arial" w:hAnsi="Arial" w:cs="Arial"/>
          <w:i/>
          <w:iCs/>
          <w:color w:val="000000" w:themeColor="text1"/>
          <w:kern w:val="0"/>
          <w:lang w:eastAsia="en-IN"/>
          <w14:ligatures w14:val="none"/>
        </w:rPr>
        <w:t>Kidney disease is a public health emergency that threatens to overwhelm the NHS, major new report reveals.</w:t>
      </w:r>
      <w:r w:rsidRPr="003C6276">
        <w:rPr>
          <w:rFonts w:ascii="Arial" w:eastAsia="Arial" w:hAnsi="Arial" w:cs="Arial"/>
          <w:color w:val="000000" w:themeColor="text1"/>
          <w:kern w:val="0"/>
          <w:lang w:eastAsia="en-IN"/>
          <w14:ligatures w14:val="none"/>
        </w:rPr>
        <w:t xml:space="preserve"> Available at: </w:t>
      </w:r>
      <w:hyperlink r:id="rId59">
        <w:r w:rsidRPr="003C6276">
          <w:rPr>
            <w:rFonts w:ascii="Arial" w:eastAsia="Arial" w:hAnsi="Arial" w:cs="Arial"/>
            <w:color w:val="1155CC"/>
            <w:kern w:val="0"/>
            <w:u w:val="single"/>
            <w:lang w:eastAsia="en-IN"/>
            <w14:ligatures w14:val="none"/>
          </w:rPr>
          <w:t>https://www.kidneyresearchuk.org/2023/06/05/kidney-disease-is-a-public-health-emergency-that-threatens-to-overwhelm-the-nhs-major-new-report-reveals/</w:t>
        </w:r>
      </w:hyperlink>
      <w:r w:rsidRPr="003C6276">
        <w:rPr>
          <w:rFonts w:ascii="Arial" w:eastAsia="Arial" w:hAnsi="Arial" w:cs="Arial"/>
          <w:kern w:val="0"/>
          <w:lang w:eastAsia="en-IN"/>
          <w14:ligatures w14:val="none"/>
        </w:rPr>
        <w:t xml:space="preserve"> </w:t>
      </w:r>
      <w:r w:rsidRPr="003C6276">
        <w:rPr>
          <w:rFonts w:ascii="Arial" w:eastAsia="Arial" w:hAnsi="Arial" w:cs="Arial"/>
          <w:color w:val="000000" w:themeColor="text1"/>
          <w:kern w:val="0"/>
          <w:lang w:eastAsia="en-IN"/>
          <w14:ligatures w14:val="none"/>
        </w:rPr>
        <w:t>(Accessed 16 September 2026).</w:t>
      </w:r>
    </w:p>
    <w:p w14:paraId="35332C8B"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Knechtle, S.J. and Marson, L.P. eds., (2024). </w:t>
      </w:r>
      <w:r w:rsidRPr="003C6276">
        <w:rPr>
          <w:rFonts w:ascii="Arial" w:eastAsia="Arial" w:hAnsi="Arial" w:cs="Arial"/>
          <w:i/>
          <w:iCs/>
          <w:kern w:val="0"/>
          <w:lang w:eastAsia="en-IN"/>
          <w14:ligatures w14:val="none"/>
        </w:rPr>
        <w:t>Kidney Transplantation-E-Book: Principles and Practice</w:t>
      </w:r>
      <w:r w:rsidRPr="003C6276">
        <w:rPr>
          <w:rFonts w:ascii="Arial" w:eastAsia="Arial" w:hAnsi="Arial" w:cs="Arial"/>
          <w:kern w:val="0"/>
          <w:lang w:eastAsia="en-IN"/>
          <w14:ligatures w14:val="none"/>
        </w:rPr>
        <w:t xml:space="preserve">. Elsevier Health Sciences. </w:t>
      </w:r>
    </w:p>
    <w:p w14:paraId="0740B055" w14:textId="77777777" w:rsidR="007F1C63" w:rsidRPr="003C6276" w:rsidRDefault="007F1C63" w:rsidP="007F1C63">
      <w:pPr>
        <w:spacing w:before="240" w:after="240" w:line="360" w:lineRule="auto"/>
        <w:jc w:val="both"/>
        <w:rPr>
          <w:rFonts w:ascii="Arial" w:eastAsia="Arial" w:hAnsi="Arial" w:cs="Arial"/>
          <w:color w:val="0000FF"/>
          <w:kern w:val="0"/>
          <w:lang w:eastAsia="en-IN"/>
          <w14:ligatures w14:val="none"/>
        </w:rPr>
      </w:pPr>
      <w:r w:rsidRPr="003C6276">
        <w:rPr>
          <w:rFonts w:ascii="Arial" w:eastAsia="Arial" w:hAnsi="Arial" w:cs="Arial"/>
          <w:kern w:val="0"/>
          <w:lang w:eastAsia="en-IN"/>
          <w14:ligatures w14:val="none"/>
        </w:rPr>
        <w:t xml:space="preserve">Kolaski, K., Logan, L.R. and Ioannidis, J.P.A. (2023) ‘Guidance to best tools and practices for systematic reviews.’ </w:t>
      </w:r>
      <w:r w:rsidRPr="003C6276">
        <w:rPr>
          <w:rFonts w:ascii="Arial" w:eastAsia="Arial" w:hAnsi="Arial" w:cs="Arial"/>
          <w:i/>
          <w:iCs/>
          <w:kern w:val="0"/>
          <w:lang w:eastAsia="en-IN"/>
          <w14:ligatures w14:val="none"/>
        </w:rPr>
        <w:t>Systematic Reviews</w:t>
      </w:r>
      <w:r w:rsidRPr="003C6276">
        <w:rPr>
          <w:rFonts w:ascii="Arial" w:eastAsia="Arial" w:hAnsi="Arial" w:cs="Arial"/>
          <w:kern w:val="0"/>
          <w:lang w:eastAsia="en-IN"/>
          <w14:ligatures w14:val="none"/>
        </w:rPr>
        <w:t xml:space="preserve">, 12(1), pp.1–29. Available at: </w:t>
      </w:r>
      <w:hyperlink r:id="rId60">
        <w:r w:rsidRPr="003C6276">
          <w:rPr>
            <w:rFonts w:ascii="Arial" w:eastAsia="Arial" w:hAnsi="Arial" w:cs="Arial"/>
            <w:color w:val="1155CC"/>
            <w:kern w:val="0"/>
            <w:u w:val="single"/>
            <w:lang w:eastAsia="en-IN"/>
            <w14:ligatures w14:val="none"/>
          </w:rPr>
          <w:t>https://doi.org/10.1186/s13643-023-02255-9</w:t>
        </w:r>
      </w:hyperlink>
      <w:r w:rsidRPr="003C6276">
        <w:rPr>
          <w:rFonts w:ascii="Arial" w:eastAsia="Arial" w:hAnsi="Arial" w:cs="Arial"/>
          <w:kern w:val="0"/>
          <w:lang w:eastAsia="en-IN"/>
          <w14:ligatures w14:val="none"/>
        </w:rPr>
        <w:t xml:space="preserve"> </w:t>
      </w:r>
    </w:p>
    <w:p w14:paraId="57B96C91"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222222"/>
          <w:kern w:val="0"/>
          <w:highlight w:val="white"/>
          <w:lang w:eastAsia="en-IN"/>
          <w14:ligatures w14:val="none"/>
        </w:rPr>
        <w:t xml:space="preserve">Kumar, M., Dev, S., Khalid, M.U., Siddenthi, S.M., Noman, M., John, C., Akubuiro, C., Haider, A., Rani, R., Kashif, M. and Varrassi, G., (2023). ‘The bidirectional link between diabetes and kidney disease: mechanisms and management’. </w:t>
      </w:r>
      <w:r w:rsidRPr="003C6276">
        <w:rPr>
          <w:rFonts w:ascii="Arial" w:eastAsia="Arial" w:hAnsi="Arial" w:cs="Arial"/>
          <w:i/>
          <w:iCs/>
          <w:color w:val="222222"/>
          <w:kern w:val="0"/>
          <w:highlight w:val="white"/>
          <w:lang w:eastAsia="en-IN"/>
          <w14:ligatures w14:val="none"/>
        </w:rPr>
        <w:t>Cureus</w:t>
      </w:r>
      <w:r w:rsidRPr="003C6276">
        <w:rPr>
          <w:rFonts w:ascii="Arial" w:eastAsia="Arial" w:hAnsi="Arial" w:cs="Arial"/>
          <w:color w:val="222222"/>
          <w:kern w:val="0"/>
          <w:highlight w:val="white"/>
          <w:lang w:eastAsia="en-IN"/>
          <w14:ligatures w14:val="none"/>
        </w:rPr>
        <w:t xml:space="preserve">, </w:t>
      </w:r>
      <w:r w:rsidRPr="003C6276">
        <w:rPr>
          <w:rFonts w:ascii="Arial" w:eastAsia="Arial" w:hAnsi="Arial" w:cs="Arial"/>
          <w:i/>
          <w:iCs/>
          <w:color w:val="222222"/>
          <w:kern w:val="0"/>
          <w:highlight w:val="white"/>
          <w:lang w:eastAsia="en-IN"/>
          <w14:ligatures w14:val="none"/>
        </w:rPr>
        <w:t>15</w:t>
      </w:r>
      <w:r w:rsidRPr="003C6276">
        <w:rPr>
          <w:rFonts w:ascii="Arial" w:eastAsia="Arial" w:hAnsi="Arial" w:cs="Arial"/>
          <w:color w:val="222222"/>
          <w:kern w:val="0"/>
          <w:highlight w:val="white"/>
          <w:lang w:eastAsia="en-IN"/>
          <w14:ligatures w14:val="none"/>
        </w:rPr>
        <w:t>(9).</w:t>
      </w:r>
      <w:r w:rsidRPr="003C6276">
        <w:rPr>
          <w:rFonts w:ascii="Arial" w:eastAsia="Arial" w:hAnsi="Arial" w:cs="Arial"/>
          <w:color w:val="000000"/>
          <w:kern w:val="0"/>
          <w:lang w:eastAsia="en-IN"/>
          <w14:ligatures w14:val="none"/>
        </w:rPr>
        <w:t xml:space="preserve"> Available at: </w:t>
      </w:r>
      <w:hyperlink r:id="rId61">
        <w:r w:rsidRPr="003C6276">
          <w:rPr>
            <w:rFonts w:ascii="Arial" w:eastAsia="Arial" w:hAnsi="Arial" w:cs="Arial"/>
            <w:color w:val="1155CC"/>
            <w:kern w:val="0"/>
            <w:u w:val="single"/>
            <w:lang w:eastAsia="en-IN"/>
            <w14:ligatures w14:val="none"/>
          </w:rPr>
          <w:t>https://assets.cureus.com/uploads/review_article/pdf/190120/20240724-319105-osug8d.pdf</w:t>
        </w:r>
      </w:hyperlink>
    </w:p>
    <w:p w14:paraId="7F86DFA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222222"/>
          <w:kern w:val="0"/>
          <w:lang w:eastAsia="en-IN"/>
          <w14:ligatures w14:val="none"/>
        </w:rPr>
        <w:t xml:space="preserve">Lengton, R., Dekker, F.W., van Rossum, E.F., de Fijter, J.W., Rosendaal, F.R., van Dijk, K.W., Rabelink, T.J., Le Cessie, S., de Mutsert, R. and Hoogeveen, E.K., (2024). ‘Hypertension and diabetes, but not leptin and adiponectin, mediate the relationship between body fat and chronic kidney disease’. </w:t>
      </w:r>
      <w:r w:rsidRPr="003C6276">
        <w:rPr>
          <w:rFonts w:ascii="Arial" w:eastAsia="Arial" w:hAnsi="Arial" w:cs="Arial"/>
          <w:i/>
          <w:iCs/>
          <w:color w:val="000000"/>
          <w:kern w:val="0"/>
          <w:lang w:eastAsia="en-IN"/>
          <w14:ligatures w14:val="none"/>
        </w:rPr>
        <w:t>Endocrine</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85</w:t>
      </w:r>
      <w:r w:rsidRPr="003C6276">
        <w:rPr>
          <w:rFonts w:ascii="Arial" w:eastAsia="Arial" w:hAnsi="Arial" w:cs="Arial"/>
          <w:color w:val="000000"/>
          <w:kern w:val="0"/>
          <w:lang w:eastAsia="en-IN"/>
          <w14:ligatures w14:val="none"/>
        </w:rPr>
        <w:t>(3), pp.1141-1153.</w:t>
      </w:r>
      <w:hyperlink r:id="rId62">
        <w:r w:rsidRPr="003C6276">
          <w:rPr>
            <w:rFonts w:ascii="Arial" w:eastAsia="Arial" w:hAnsi="Arial" w:cs="Arial"/>
            <w:color w:val="000000"/>
            <w:kern w:val="0"/>
            <w:lang w:eastAsia="en-IN"/>
            <w14:ligatures w14:val="none"/>
          </w:rPr>
          <w:t xml:space="preserve"> Available at: </w:t>
        </w:r>
      </w:hyperlink>
      <w:hyperlink r:id="rId63">
        <w:r w:rsidRPr="003C6276">
          <w:rPr>
            <w:rFonts w:ascii="Arial" w:eastAsia="Arial" w:hAnsi="Arial" w:cs="Arial"/>
            <w:color w:val="1155CC"/>
            <w:kern w:val="0"/>
            <w:u w:val="single"/>
            <w:lang w:eastAsia="en-IN"/>
            <w14:ligatures w14:val="none"/>
          </w:rPr>
          <w:t>https://link.springer.com/article/10.1007/s12020-024-03811-6</w:t>
        </w:r>
      </w:hyperlink>
    </w:p>
    <w:p w14:paraId="743ECF80"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222222"/>
          <w:kern w:val="0"/>
          <w:lang w:eastAsia="en-IN"/>
          <w14:ligatures w14:val="none"/>
        </w:rPr>
        <w:t xml:space="preserve">Liu, C., He, Y., Venn, A.J., Jose, M.D. and Tian, J., (2023). ‘Childhood modifiable risk factors and later life chronic kidney disease: a systematic review’. </w:t>
      </w:r>
      <w:r w:rsidRPr="003C6276">
        <w:rPr>
          <w:rFonts w:ascii="Arial" w:eastAsia="Arial" w:hAnsi="Arial" w:cs="Arial"/>
          <w:i/>
          <w:iCs/>
          <w:color w:val="000000"/>
          <w:kern w:val="0"/>
          <w:lang w:eastAsia="en-IN"/>
          <w14:ligatures w14:val="none"/>
        </w:rPr>
        <w:t>BMC nephrology</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24</w:t>
      </w:r>
      <w:r w:rsidRPr="003C6276">
        <w:rPr>
          <w:rFonts w:ascii="Arial" w:eastAsia="Arial" w:hAnsi="Arial" w:cs="Arial"/>
          <w:color w:val="000000"/>
          <w:kern w:val="0"/>
          <w:lang w:eastAsia="en-IN"/>
          <w14:ligatures w14:val="none"/>
        </w:rPr>
        <w:t xml:space="preserve">(1), p.184. Available at: </w:t>
      </w:r>
      <w:hyperlink r:id="rId64">
        <w:r w:rsidRPr="003C6276">
          <w:rPr>
            <w:rFonts w:ascii="Arial" w:eastAsia="Arial" w:hAnsi="Arial" w:cs="Arial"/>
            <w:color w:val="1155CC"/>
            <w:kern w:val="0"/>
            <w:u w:val="single"/>
            <w:lang w:eastAsia="en-IN"/>
            <w14:ligatures w14:val="none"/>
          </w:rPr>
          <w:t>https://link.springer.com/article/10.1186/s12882-023-03232-z</w:t>
        </w:r>
      </w:hyperlink>
    </w:p>
    <w:p w14:paraId="28AB466E" w14:textId="77777777" w:rsidR="007F1C63" w:rsidRPr="003C6276" w:rsidRDefault="007F1C63" w:rsidP="007F1C63">
      <w:pPr>
        <w:spacing w:before="240" w:after="240" w:line="360" w:lineRule="auto"/>
        <w:jc w:val="both"/>
        <w:rPr>
          <w:rFonts w:ascii="Arial" w:eastAsia="Arial" w:hAnsi="Arial" w:cs="Arial"/>
          <w:color w:val="FF0000"/>
          <w:kern w:val="0"/>
          <w:lang w:eastAsia="en-IN"/>
          <w14:ligatures w14:val="none"/>
        </w:rPr>
      </w:pPr>
      <w:r w:rsidRPr="003C6276">
        <w:rPr>
          <w:rFonts w:ascii="Arial" w:eastAsia="Arial" w:hAnsi="Arial" w:cs="Arial"/>
          <w:color w:val="000000" w:themeColor="text1"/>
          <w:kern w:val="0"/>
          <w:lang w:eastAsia="en-IN"/>
          <w14:ligatures w14:val="none"/>
        </w:rPr>
        <w:t xml:space="preserve">Liyanage, T., Toyama, T., Hockham, C., Ninomiya, T., Perkovic, V., Woodward, M., Fukagawa, M., Matsushita, K., Praditpornsilpa, K., Hooi, L.S. and Iseki, K., (2022). ‘Prevalence of chronic kidney disease in Asia: a systematic review and analysis’. </w:t>
      </w:r>
      <w:r w:rsidRPr="003C6276">
        <w:rPr>
          <w:rFonts w:ascii="Arial" w:eastAsia="Arial" w:hAnsi="Arial" w:cs="Arial"/>
          <w:i/>
          <w:iCs/>
          <w:color w:val="000000" w:themeColor="text1"/>
          <w:kern w:val="0"/>
          <w:lang w:eastAsia="en-IN"/>
          <w14:ligatures w14:val="none"/>
        </w:rPr>
        <w:t>BMJ global health</w:t>
      </w:r>
      <w:r w:rsidRPr="003C6276">
        <w:rPr>
          <w:rFonts w:ascii="Arial" w:eastAsia="Arial" w:hAnsi="Arial" w:cs="Arial"/>
          <w:color w:val="000000" w:themeColor="text1"/>
          <w:kern w:val="0"/>
          <w:lang w:eastAsia="en-IN"/>
          <w14:ligatures w14:val="none"/>
        </w:rPr>
        <w:t>, 7(1), p.e007525</w:t>
      </w:r>
      <w:r w:rsidRPr="003C6276">
        <w:rPr>
          <w:rFonts w:ascii="Arial" w:eastAsia="Arial" w:hAnsi="Arial" w:cs="Arial"/>
          <w:color w:val="FF0000"/>
          <w:kern w:val="0"/>
          <w:lang w:eastAsia="en-IN"/>
          <w14:ligatures w14:val="none"/>
        </w:rPr>
        <w:t xml:space="preserve">. </w:t>
      </w:r>
      <w:hyperlink r:id="rId65">
        <w:r w:rsidRPr="003C6276">
          <w:rPr>
            <w:rFonts w:ascii="Arial" w:eastAsia="Arial" w:hAnsi="Arial" w:cs="Arial"/>
            <w:color w:val="1155CC"/>
            <w:kern w:val="0"/>
            <w:u w:val="single"/>
            <w:lang w:eastAsia="en-IN"/>
            <w14:ligatures w14:val="none"/>
          </w:rPr>
          <w:t>https://doi.org/10.1136/bmjgh-2021-007525</w:t>
        </w:r>
      </w:hyperlink>
      <w:r w:rsidRPr="003C6276">
        <w:rPr>
          <w:rFonts w:ascii="Arial" w:eastAsia="Arial" w:hAnsi="Arial" w:cs="Arial"/>
          <w:color w:val="FF0000"/>
          <w:kern w:val="0"/>
          <w:lang w:eastAsia="en-IN"/>
          <w14:ligatures w14:val="none"/>
        </w:rPr>
        <w:t xml:space="preserve"> </w:t>
      </w:r>
    </w:p>
    <w:p w14:paraId="4DB9B736" w14:textId="77777777" w:rsidR="007F1C63" w:rsidRPr="003C6276" w:rsidRDefault="007F1C63" w:rsidP="007F1C63">
      <w:pPr>
        <w:spacing w:before="240" w:after="240" w:line="360" w:lineRule="auto"/>
        <w:jc w:val="both"/>
        <w:rPr>
          <w:rFonts w:ascii="Arial" w:eastAsia="Arial" w:hAnsi="Arial" w:cs="Arial"/>
          <w:color w:val="0000FF"/>
          <w:kern w:val="0"/>
          <w:lang w:eastAsia="en-IN"/>
          <w14:ligatures w14:val="none"/>
        </w:rPr>
      </w:pPr>
      <w:r w:rsidRPr="003C6276">
        <w:rPr>
          <w:rFonts w:ascii="Arial" w:eastAsia="Arial" w:hAnsi="Arial" w:cs="Arial"/>
          <w:color w:val="000000"/>
          <w:kern w:val="0"/>
          <w:lang w:eastAsia="en-IN"/>
          <w14:ligatures w14:val="none"/>
        </w:rPr>
        <w:t xml:space="preserve">Lo, R., Narasaki, Y., Lei, S. and Rhee, C.M., (2023). Management of traditional risk factors for the development and progression of chronic kidney disease. </w:t>
      </w:r>
      <w:r w:rsidRPr="003C6276">
        <w:rPr>
          <w:rFonts w:ascii="Arial" w:eastAsia="Arial" w:hAnsi="Arial" w:cs="Arial"/>
          <w:i/>
          <w:iCs/>
          <w:color w:val="000000"/>
          <w:kern w:val="0"/>
          <w:lang w:eastAsia="en-IN"/>
          <w14:ligatures w14:val="none"/>
        </w:rPr>
        <w:t>Clinical kidney journal</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16</w:t>
      </w:r>
      <w:r w:rsidRPr="003C6276">
        <w:rPr>
          <w:rFonts w:ascii="Arial" w:eastAsia="Arial" w:hAnsi="Arial" w:cs="Arial"/>
          <w:color w:val="000000"/>
          <w:kern w:val="0"/>
          <w:lang w:eastAsia="en-IN"/>
          <w14:ligatures w14:val="none"/>
        </w:rPr>
        <w:t xml:space="preserve">(11), pp.1737-1750. </w:t>
      </w:r>
      <w:hyperlink r:id="rId66">
        <w:r w:rsidRPr="003C6276">
          <w:rPr>
            <w:rFonts w:ascii="Arial" w:eastAsia="Arial" w:hAnsi="Arial" w:cs="Arial"/>
            <w:color w:val="1155CC"/>
            <w:kern w:val="0"/>
            <w:u w:val="single"/>
            <w:lang w:eastAsia="en-IN"/>
            <w14:ligatures w14:val="none"/>
          </w:rPr>
          <w:t>https://academic.oup.com/ckj/article-pdf/16/11/1737/52692016/sfad101.pdf</w:t>
        </w:r>
      </w:hyperlink>
      <w:r w:rsidRPr="003C6276">
        <w:rPr>
          <w:rFonts w:ascii="Arial" w:eastAsia="Arial" w:hAnsi="Arial" w:cs="Arial"/>
          <w:color w:val="0000FF"/>
          <w:kern w:val="0"/>
          <w:lang w:eastAsia="en-IN"/>
          <w14:ligatures w14:val="none"/>
        </w:rPr>
        <w:t xml:space="preserve"> </w:t>
      </w:r>
    </w:p>
    <w:p w14:paraId="68B676DE" w14:textId="77777777" w:rsidR="007F1C63" w:rsidRPr="003C6276" w:rsidRDefault="007F1C63" w:rsidP="007F1C63">
      <w:pPr>
        <w:spacing w:after="240" w:line="360" w:lineRule="auto"/>
        <w:jc w:val="both"/>
        <w:rPr>
          <w:rFonts w:ascii="Arial" w:eastAsia="Arial" w:hAnsi="Arial" w:cs="Arial"/>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Lorenzen, H., Jacobsen, D. and Ellegaard, M., (2025). An inductive approach to developing students’ awareness of useful written peer feedback. </w:t>
      </w:r>
      <w:r w:rsidRPr="003C6276">
        <w:rPr>
          <w:rFonts w:ascii="Arial" w:eastAsia="Arial" w:hAnsi="Arial" w:cs="Arial"/>
          <w:i/>
          <w:iCs/>
          <w:color w:val="000000" w:themeColor="text1"/>
          <w:kern w:val="0"/>
          <w:lang w:eastAsia="en-IN"/>
          <w14:ligatures w14:val="none"/>
        </w:rPr>
        <w:t>Assessment &amp; Evaluation in Higher Education</w:t>
      </w:r>
      <w:r w:rsidRPr="003C6276">
        <w:rPr>
          <w:rFonts w:ascii="Arial" w:eastAsia="Arial" w:hAnsi="Arial" w:cs="Arial"/>
          <w:color w:val="000000" w:themeColor="text1"/>
          <w:kern w:val="0"/>
          <w:lang w:eastAsia="en-IN"/>
          <w14:ligatures w14:val="none"/>
        </w:rPr>
        <w:t xml:space="preserve">, </w:t>
      </w:r>
      <w:r w:rsidRPr="003C6276">
        <w:rPr>
          <w:rFonts w:ascii="Arial" w:eastAsia="Arial" w:hAnsi="Arial" w:cs="Arial"/>
          <w:i/>
          <w:iCs/>
          <w:color w:val="000000" w:themeColor="text1"/>
          <w:kern w:val="0"/>
          <w:lang w:eastAsia="en-IN"/>
          <w14:ligatures w14:val="none"/>
        </w:rPr>
        <w:t>50</w:t>
      </w:r>
      <w:r w:rsidRPr="003C6276">
        <w:rPr>
          <w:rFonts w:ascii="Arial" w:eastAsia="Arial" w:hAnsi="Arial" w:cs="Arial"/>
          <w:color w:val="000000" w:themeColor="text1"/>
          <w:kern w:val="0"/>
          <w:lang w:eastAsia="en-IN"/>
          <w14:ligatures w14:val="none"/>
        </w:rPr>
        <w:t xml:space="preserve">(7), pp.1052-1065. Available at: </w:t>
      </w:r>
      <w:hyperlink r:id="rId67">
        <w:r w:rsidRPr="003C6276">
          <w:rPr>
            <w:rFonts w:ascii="Arial" w:eastAsia="Arial" w:hAnsi="Arial" w:cs="Arial"/>
            <w:color w:val="1155CC"/>
            <w:kern w:val="0"/>
            <w:u w:val="single"/>
            <w:lang w:eastAsia="en-IN"/>
            <w14:ligatures w14:val="none"/>
          </w:rPr>
          <w:t>https://www.tandfonline.com/doi/pdf/10.1080/02602938.2025.2501685</w:t>
        </w:r>
      </w:hyperlink>
      <w:r w:rsidRPr="003C6276">
        <w:rPr>
          <w:rFonts w:ascii="Arial" w:eastAsia="Arial" w:hAnsi="Arial" w:cs="Arial"/>
          <w:kern w:val="0"/>
          <w:lang w:eastAsia="en-IN"/>
          <w14:ligatures w14:val="none"/>
        </w:rPr>
        <w:t xml:space="preserve"> </w:t>
      </w:r>
    </w:p>
    <w:p w14:paraId="3AFB2433"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Lyssenko, V. and Vaag, A. (2023) ‘Genetics of diabetes-associated microvascular complications’, </w:t>
      </w:r>
      <w:r w:rsidRPr="003C6276">
        <w:rPr>
          <w:rFonts w:ascii="Arial" w:eastAsia="Arial" w:hAnsi="Arial" w:cs="Arial"/>
          <w:i/>
          <w:iCs/>
          <w:color w:val="000000"/>
          <w:kern w:val="0"/>
          <w:lang w:eastAsia="en-IN"/>
          <w14:ligatures w14:val="none"/>
        </w:rPr>
        <w:t>Diabetologia</w:t>
      </w:r>
      <w:r w:rsidRPr="003C6276">
        <w:rPr>
          <w:rFonts w:ascii="Arial" w:eastAsia="Arial" w:hAnsi="Arial" w:cs="Arial"/>
          <w:color w:val="000000"/>
          <w:kern w:val="0"/>
          <w:lang w:eastAsia="en-IN"/>
          <w14:ligatures w14:val="none"/>
        </w:rPr>
        <w:t>, 66(9), pp.1601–1613. Available at:</w:t>
      </w:r>
      <w:hyperlink r:id="rId68">
        <w:r w:rsidRPr="003C6276">
          <w:rPr>
            <w:rFonts w:ascii="Arial" w:eastAsia="Arial" w:hAnsi="Arial" w:cs="Arial"/>
            <w:color w:val="0563C1"/>
            <w:kern w:val="0"/>
            <w:u w:val="single"/>
            <w:lang w:eastAsia="en-IN"/>
            <w14:ligatures w14:val="none"/>
          </w:rPr>
          <w:t xml:space="preserve"> https://doi.org/10.1007/s00125-023-05964-x</w:t>
        </w:r>
      </w:hyperlink>
    </w:p>
    <w:p w14:paraId="4FA8948A"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Magalhães, L.M.C.A., Silva Costa, K.T.D., Capistrano, G.N., Leal, M.D. and de Andrade, F.B. (2022) ‘A study on occupational health and safety’, </w:t>
      </w:r>
      <w:r w:rsidRPr="003C6276">
        <w:rPr>
          <w:rFonts w:ascii="Arial" w:eastAsia="Arial" w:hAnsi="Arial" w:cs="Arial"/>
          <w:i/>
          <w:iCs/>
          <w:color w:val="000000"/>
          <w:kern w:val="0"/>
          <w:lang w:eastAsia="en-IN"/>
          <w14:ligatures w14:val="none"/>
        </w:rPr>
        <w:t>BMC Public Health</w:t>
      </w:r>
      <w:r w:rsidRPr="003C6276">
        <w:rPr>
          <w:rFonts w:ascii="Arial" w:eastAsia="Arial" w:hAnsi="Arial" w:cs="Arial"/>
          <w:color w:val="000000"/>
          <w:kern w:val="0"/>
          <w:lang w:eastAsia="en-IN"/>
          <w14:ligatures w14:val="none"/>
        </w:rPr>
        <w:t>, 22(1), p.2186. Available at:</w:t>
      </w:r>
      <w:hyperlink r:id="rId69">
        <w:r w:rsidRPr="003C6276">
          <w:rPr>
            <w:rFonts w:ascii="Arial" w:eastAsia="Arial" w:hAnsi="Arial" w:cs="Arial"/>
            <w:color w:val="0563C1"/>
            <w:kern w:val="0"/>
            <w:u w:val="single"/>
            <w:lang w:eastAsia="en-IN"/>
            <w14:ligatures w14:val="none"/>
          </w:rPr>
          <w:t xml:space="preserve"> https://doi.org/10.1186/s12889-022-14584-w</w:t>
        </w:r>
      </w:hyperlink>
    </w:p>
    <w:p w14:paraId="11574E13"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Mantula, F., Mpofu, A.C., Mpofu, F.Y. and Shava, G.N., (2024) ‘Qualitative research approach in higher education: Application, challenges and opportunities.’ </w:t>
      </w:r>
      <w:r w:rsidRPr="003C6276">
        <w:rPr>
          <w:rFonts w:ascii="Arial" w:eastAsia="Arial" w:hAnsi="Arial" w:cs="Arial"/>
          <w:i/>
          <w:iCs/>
          <w:kern w:val="0"/>
          <w:highlight w:val="white"/>
          <w:lang w:eastAsia="en-IN"/>
          <w14:ligatures w14:val="none"/>
        </w:rPr>
        <w:t>East African Journal of Education and Social Sciences</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5</w:t>
      </w:r>
      <w:r w:rsidRPr="003C6276">
        <w:rPr>
          <w:rFonts w:ascii="Arial" w:eastAsia="Arial" w:hAnsi="Arial" w:cs="Arial"/>
          <w:kern w:val="0"/>
          <w:highlight w:val="white"/>
          <w:lang w:eastAsia="en-IN"/>
          <w14:ligatures w14:val="none"/>
        </w:rPr>
        <w:t>(1), pp.1-10.</w:t>
      </w:r>
      <w:r w:rsidRPr="003C6276">
        <w:rPr>
          <w:rFonts w:ascii="Arial" w:eastAsia="Arial" w:hAnsi="Arial" w:cs="Arial"/>
          <w:kern w:val="0"/>
          <w:lang w:eastAsia="en-IN"/>
          <w14:ligatures w14:val="none"/>
        </w:rPr>
        <w:t xml:space="preserve"> Available at: </w:t>
      </w:r>
      <w:hyperlink r:id="rId70">
        <w:r w:rsidRPr="003C6276">
          <w:rPr>
            <w:rFonts w:ascii="Arial" w:eastAsia="Arial" w:hAnsi="Arial" w:cs="Arial"/>
            <w:color w:val="1155CC"/>
            <w:kern w:val="0"/>
            <w:u w:val="single"/>
            <w:lang w:eastAsia="en-IN"/>
            <w14:ligatures w14:val="none"/>
          </w:rPr>
          <w:t>https://doi.org/10.46606/eajess2024v05i01.0343</w:t>
        </w:r>
      </w:hyperlink>
      <w:r w:rsidRPr="003C6276">
        <w:rPr>
          <w:rFonts w:ascii="Arial" w:eastAsia="Arial" w:hAnsi="Arial" w:cs="Arial"/>
          <w:kern w:val="0"/>
          <w:lang w:eastAsia="en-IN"/>
          <w14:ligatures w14:val="none"/>
        </w:rPr>
        <w:t xml:space="preserve"> </w:t>
      </w:r>
    </w:p>
    <w:p w14:paraId="5D5ADD82"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Maringhini, S., and Zoccali, C. (2024) ‘Chronic kidney disease progression—A challenge’. </w:t>
      </w:r>
      <w:r w:rsidRPr="003C6276">
        <w:rPr>
          <w:rFonts w:ascii="Arial" w:eastAsia="Arial" w:hAnsi="Arial" w:cs="Arial"/>
          <w:i/>
          <w:iCs/>
          <w:kern w:val="0"/>
          <w:lang w:eastAsia="en-IN"/>
          <w14:ligatures w14:val="none"/>
        </w:rPr>
        <w:t>Biomedicines</w:t>
      </w:r>
      <w:r w:rsidRPr="003C6276">
        <w:rPr>
          <w:rFonts w:ascii="Arial" w:eastAsia="Arial" w:hAnsi="Arial" w:cs="Arial"/>
          <w:kern w:val="0"/>
          <w:lang w:eastAsia="en-IN"/>
          <w14:ligatures w14:val="none"/>
        </w:rPr>
        <w:t xml:space="preserve">, </w:t>
      </w:r>
      <w:r w:rsidRPr="003C6276">
        <w:rPr>
          <w:rFonts w:ascii="Arial" w:eastAsia="Arial" w:hAnsi="Arial" w:cs="Arial"/>
          <w:i/>
          <w:iCs/>
          <w:kern w:val="0"/>
          <w:lang w:eastAsia="en-IN"/>
          <w14:ligatures w14:val="none"/>
        </w:rPr>
        <w:t>12</w:t>
      </w:r>
      <w:r w:rsidRPr="003C6276">
        <w:rPr>
          <w:rFonts w:ascii="Arial" w:eastAsia="Arial" w:hAnsi="Arial" w:cs="Arial"/>
          <w:kern w:val="0"/>
          <w:lang w:eastAsia="en-IN"/>
          <w14:ligatures w14:val="none"/>
        </w:rPr>
        <w:t>(10), 2203.</w:t>
      </w:r>
      <w:hyperlink r:id="rId71">
        <w:r w:rsidRPr="003C6276">
          <w:rPr>
            <w:rFonts w:ascii="Arial" w:eastAsia="Arial" w:hAnsi="Arial" w:cs="Arial"/>
            <w:kern w:val="0"/>
            <w:lang w:eastAsia="en-IN"/>
            <w14:ligatures w14:val="none"/>
          </w:rPr>
          <w:t xml:space="preserve"> Available at: </w:t>
        </w:r>
      </w:hyperlink>
      <w:hyperlink r:id="rId72">
        <w:r w:rsidRPr="003C6276">
          <w:rPr>
            <w:rFonts w:ascii="Arial" w:eastAsia="Arial" w:hAnsi="Arial" w:cs="Arial"/>
            <w:color w:val="1155CC"/>
            <w:kern w:val="0"/>
            <w:u w:val="single"/>
            <w:lang w:eastAsia="en-IN"/>
            <w14:ligatures w14:val="none"/>
          </w:rPr>
          <w:t>https://www.mdpi.com/2227-9059/12/10/2203</w:t>
        </w:r>
      </w:hyperlink>
    </w:p>
    <w:p w14:paraId="01F09D52"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Mayne, K.J., Hanlon, P. and Lees, J.S. (2024). ‘Detecting and managing the patient with chronic kidney disease in primary care: A review of the latest guidelines’. </w:t>
      </w:r>
      <w:r w:rsidRPr="003C6276">
        <w:rPr>
          <w:rFonts w:ascii="Arial" w:eastAsia="Arial" w:hAnsi="Arial" w:cs="Arial"/>
          <w:i/>
          <w:iCs/>
          <w:color w:val="000000"/>
          <w:kern w:val="0"/>
          <w:lang w:eastAsia="en-IN"/>
          <w14:ligatures w14:val="none"/>
        </w:rPr>
        <w:t>Diabetes, Obesity and Metabolism</w:t>
      </w:r>
      <w:r w:rsidRPr="003C6276">
        <w:rPr>
          <w:rFonts w:ascii="Arial" w:eastAsia="Arial" w:hAnsi="Arial" w:cs="Arial"/>
          <w:color w:val="000000"/>
          <w:kern w:val="0"/>
          <w:lang w:eastAsia="en-IN"/>
          <w14:ligatures w14:val="none"/>
        </w:rPr>
        <w:t>, 26, pp.43–54. Available at:</w:t>
      </w:r>
      <w:hyperlink r:id="rId73">
        <w:r w:rsidRPr="003C6276">
          <w:rPr>
            <w:rFonts w:ascii="Arial" w:eastAsia="Arial" w:hAnsi="Arial" w:cs="Arial"/>
            <w:color w:val="FF0000"/>
            <w:kern w:val="0"/>
            <w:lang w:eastAsia="en-IN"/>
            <w14:ligatures w14:val="none"/>
          </w:rPr>
          <w:t xml:space="preserve"> </w:t>
        </w:r>
      </w:hyperlink>
      <w:hyperlink r:id="rId74">
        <w:r w:rsidRPr="003C6276">
          <w:rPr>
            <w:rFonts w:ascii="Arial" w:eastAsia="Arial" w:hAnsi="Arial" w:cs="Arial"/>
            <w:color w:val="1155CC"/>
            <w:kern w:val="0"/>
            <w:u w:val="single"/>
            <w:lang w:eastAsia="en-IN"/>
            <w14:ligatures w14:val="none"/>
          </w:rPr>
          <w:t>https://doi.org/10.1111/dom.15625</w:t>
        </w:r>
      </w:hyperlink>
    </w:p>
    <w:p w14:paraId="06D00525" w14:textId="6A2E8914" w:rsidR="007F1C63" w:rsidRPr="003C6276" w:rsidRDefault="007F1C63" w:rsidP="007F1C63">
      <w:pPr>
        <w:spacing w:before="240" w:after="240" w:line="360" w:lineRule="auto"/>
        <w:jc w:val="both"/>
        <w:rPr>
          <w:rFonts w:ascii="Arial" w:eastAsia="Arial" w:hAnsi="Arial" w:cs="Arial"/>
          <w:color w:val="FF0000"/>
          <w:kern w:val="0"/>
          <w:lang w:eastAsia="en-IN"/>
          <w14:ligatures w14:val="none"/>
        </w:rPr>
      </w:pPr>
      <w:r w:rsidRPr="003C6276">
        <w:rPr>
          <w:rFonts w:ascii="Arial" w:eastAsia="Arial" w:hAnsi="Arial" w:cs="Arial"/>
          <w:color w:val="000000" w:themeColor="text1"/>
          <w:kern w:val="0"/>
          <w:lang w:eastAsia="en-IN"/>
          <w14:ligatures w14:val="none"/>
        </w:rPr>
        <w:t xml:space="preserve">Mayne, K.J., Walker, H., Elyan, B.M., Mark, P.B., Welsh, P., Lang, N.N., Sattar, N.A., Pell, J.P., Ho, F.K. and Lees, J.S., (2025). ‘Cardiovascular–kidney–metabolic syndrome and mortality in a prospective UK cohort study’. </w:t>
      </w:r>
      <w:r w:rsidRPr="003C6276">
        <w:rPr>
          <w:rFonts w:ascii="Arial" w:eastAsia="Arial" w:hAnsi="Arial" w:cs="Arial"/>
          <w:i/>
          <w:iCs/>
          <w:color w:val="000000" w:themeColor="text1"/>
          <w:kern w:val="0"/>
          <w:lang w:eastAsia="en-IN"/>
          <w14:ligatures w14:val="none"/>
        </w:rPr>
        <w:t>European Journal of Preventive Cardiology</w:t>
      </w:r>
      <w:r w:rsidRPr="003C6276">
        <w:rPr>
          <w:rFonts w:ascii="Arial" w:eastAsia="Arial" w:hAnsi="Arial" w:cs="Arial"/>
          <w:color w:val="000000" w:themeColor="text1"/>
          <w:kern w:val="0"/>
          <w:lang w:eastAsia="en-IN"/>
          <w14:ligatures w14:val="none"/>
        </w:rPr>
        <w:t>, p.zwaf514.</w:t>
      </w:r>
      <w:r w:rsidRPr="003C6276">
        <w:rPr>
          <w:rFonts w:ascii="Arial" w:eastAsia="Arial" w:hAnsi="Arial" w:cs="Arial"/>
          <w:color w:val="FF0000"/>
          <w:kern w:val="0"/>
          <w:lang w:eastAsia="en-IN"/>
          <w14:ligatures w14:val="none"/>
        </w:rPr>
        <w:t xml:space="preserve"> </w:t>
      </w:r>
      <w:hyperlink r:id="rId75" w:history="1">
        <w:r w:rsidR="003C6276" w:rsidRPr="003C6276">
          <w:rPr>
            <w:rStyle w:val="Hyperlink"/>
            <w:rFonts w:ascii="Arial" w:hAnsi="Arial" w:cs="Arial"/>
          </w:rPr>
          <w:t>https://doi.org/10.1093/eurjpc/zwaf514</w:t>
        </w:r>
      </w:hyperlink>
      <w:r w:rsidR="003C6276">
        <w:t xml:space="preserve"> </w:t>
      </w:r>
      <w:r w:rsidRPr="003C6276">
        <w:rPr>
          <w:rFonts w:ascii="Arial" w:eastAsia="Arial" w:hAnsi="Arial" w:cs="Arial"/>
          <w:color w:val="FF0000"/>
          <w:kern w:val="0"/>
          <w:lang w:eastAsia="en-IN"/>
          <w14:ligatures w14:val="none"/>
        </w:rPr>
        <w:t xml:space="preserve"> </w:t>
      </w:r>
    </w:p>
    <w:p w14:paraId="75621250"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222222"/>
          <w:kern w:val="0"/>
          <w:highlight w:val="white"/>
          <w:lang w:eastAsia="en-IN"/>
          <w14:ligatures w14:val="none"/>
        </w:rPr>
        <w:t xml:space="preserve">Mengiste, S.A., Antypas, K., Johannessen, M.R., Klein, J. and Kazemi, G., (2023) ‘eHealth policy framework in Low and Lower Middle-Income Countries; a PRISMA systematic review and analysis’. </w:t>
      </w:r>
      <w:r w:rsidRPr="003C6276">
        <w:rPr>
          <w:rFonts w:ascii="Arial" w:eastAsia="Arial" w:hAnsi="Arial" w:cs="Arial"/>
          <w:i/>
          <w:iCs/>
          <w:color w:val="222222"/>
          <w:kern w:val="0"/>
          <w:highlight w:val="white"/>
          <w:lang w:eastAsia="en-IN"/>
          <w14:ligatures w14:val="none"/>
        </w:rPr>
        <w:t>BMC Health Services Research</w:t>
      </w:r>
      <w:r w:rsidRPr="003C6276">
        <w:rPr>
          <w:rFonts w:ascii="Arial" w:eastAsia="Arial" w:hAnsi="Arial" w:cs="Arial"/>
          <w:color w:val="222222"/>
          <w:kern w:val="0"/>
          <w:highlight w:val="white"/>
          <w:lang w:eastAsia="en-IN"/>
          <w14:ligatures w14:val="none"/>
        </w:rPr>
        <w:t xml:space="preserve">, </w:t>
      </w:r>
      <w:r w:rsidRPr="003C6276">
        <w:rPr>
          <w:rFonts w:ascii="Arial" w:eastAsia="Arial" w:hAnsi="Arial" w:cs="Arial"/>
          <w:i/>
          <w:iCs/>
          <w:color w:val="222222"/>
          <w:kern w:val="0"/>
          <w:highlight w:val="white"/>
          <w:lang w:eastAsia="en-IN"/>
          <w14:ligatures w14:val="none"/>
        </w:rPr>
        <w:t>23</w:t>
      </w:r>
      <w:r w:rsidRPr="003C6276">
        <w:rPr>
          <w:rFonts w:ascii="Arial" w:eastAsia="Arial" w:hAnsi="Arial" w:cs="Arial"/>
          <w:color w:val="222222"/>
          <w:kern w:val="0"/>
          <w:highlight w:val="white"/>
          <w:lang w:eastAsia="en-IN"/>
          <w14:ligatures w14:val="none"/>
        </w:rPr>
        <w:t>(1), p.328.</w:t>
      </w:r>
      <w:r w:rsidRPr="003C6276">
        <w:rPr>
          <w:rFonts w:ascii="Arial" w:eastAsia="Arial" w:hAnsi="Arial" w:cs="Arial"/>
          <w:kern w:val="0"/>
          <w:lang w:eastAsia="en-IN"/>
          <w14:ligatures w14:val="none"/>
        </w:rPr>
        <w:t xml:space="preserve"> Available at: </w:t>
      </w:r>
      <w:hyperlink r:id="rId76">
        <w:r w:rsidRPr="003C6276">
          <w:rPr>
            <w:rFonts w:ascii="Arial" w:eastAsia="Arial" w:hAnsi="Arial" w:cs="Arial"/>
            <w:color w:val="1155CC"/>
            <w:kern w:val="0"/>
            <w:u w:val="single"/>
            <w:lang w:eastAsia="en-IN"/>
            <w14:ligatures w14:val="none"/>
          </w:rPr>
          <w:t>https://doi.org/10.1186/s12913-023-09325-7</w:t>
        </w:r>
      </w:hyperlink>
      <w:r w:rsidRPr="003C6276">
        <w:rPr>
          <w:rFonts w:ascii="Arial" w:eastAsia="Arial" w:hAnsi="Arial" w:cs="Arial"/>
          <w:kern w:val="0"/>
          <w:lang w:eastAsia="en-IN"/>
          <w14:ligatures w14:val="none"/>
        </w:rPr>
        <w:t xml:space="preserve"> </w:t>
      </w:r>
    </w:p>
    <w:p w14:paraId="4E658EE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Naidoo, D., Meyer-Weitz, A. and Govender, K., (2023). ‘The social ecological model: a framework for understanding COVID-19 vaccine uptake among healthcare workers—a scoping review’. </w:t>
      </w:r>
      <w:r w:rsidRPr="003C6276">
        <w:rPr>
          <w:rFonts w:ascii="Arial" w:eastAsia="Arial" w:hAnsi="Arial" w:cs="Arial"/>
          <w:i/>
          <w:iCs/>
          <w:color w:val="000000"/>
          <w:kern w:val="0"/>
          <w:lang w:eastAsia="en-IN"/>
          <w14:ligatures w14:val="none"/>
        </w:rPr>
        <w:t>Vaccines</w:t>
      </w:r>
      <w:r w:rsidRPr="003C6276">
        <w:rPr>
          <w:rFonts w:ascii="Arial" w:eastAsia="Arial" w:hAnsi="Arial" w:cs="Arial"/>
          <w:color w:val="000000"/>
          <w:kern w:val="0"/>
          <w:lang w:eastAsia="en-IN"/>
          <w14:ligatures w14:val="none"/>
        </w:rPr>
        <w:t>, </w:t>
      </w:r>
      <w:r w:rsidRPr="003C6276">
        <w:rPr>
          <w:rFonts w:ascii="Arial" w:eastAsia="Arial" w:hAnsi="Arial" w:cs="Arial"/>
          <w:i/>
          <w:iCs/>
          <w:color w:val="000000"/>
          <w:kern w:val="0"/>
          <w:lang w:eastAsia="en-IN"/>
          <w14:ligatures w14:val="none"/>
        </w:rPr>
        <w:t>11</w:t>
      </w:r>
      <w:r w:rsidRPr="003C6276">
        <w:rPr>
          <w:rFonts w:ascii="Arial" w:eastAsia="Arial" w:hAnsi="Arial" w:cs="Arial"/>
          <w:color w:val="000000"/>
          <w:kern w:val="0"/>
          <w:lang w:eastAsia="en-IN"/>
          <w14:ligatures w14:val="none"/>
        </w:rPr>
        <w:t xml:space="preserve">(9), p.1491. Available at: </w:t>
      </w:r>
      <w:hyperlink r:id="rId77">
        <w:r w:rsidRPr="003C6276">
          <w:rPr>
            <w:rFonts w:ascii="Arial" w:eastAsia="Arial" w:hAnsi="Arial" w:cs="Arial"/>
            <w:color w:val="1155CC"/>
            <w:kern w:val="0"/>
            <w:u w:val="single"/>
            <w:lang w:eastAsia="en-IN"/>
            <w14:ligatures w14:val="none"/>
          </w:rPr>
          <w:t>https://www.mdpi.com/2076-393X/11/9/1491</w:t>
        </w:r>
      </w:hyperlink>
    </w:p>
    <w:p w14:paraId="2927E440"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lastRenderedPageBreak/>
        <w:t xml:space="preserve">National Kidney Foundation (2023). </w:t>
      </w:r>
      <w:r w:rsidRPr="003C6276">
        <w:rPr>
          <w:rFonts w:ascii="Arial" w:eastAsia="Arial" w:hAnsi="Arial" w:cs="Arial"/>
          <w:i/>
          <w:iCs/>
          <w:color w:val="000000"/>
          <w:kern w:val="0"/>
          <w:lang w:eastAsia="en-IN"/>
          <w14:ligatures w14:val="none"/>
        </w:rPr>
        <w:t>Chronic kidney disease (CKD)</w:t>
      </w:r>
      <w:r w:rsidRPr="003C6276">
        <w:rPr>
          <w:rFonts w:ascii="Arial" w:eastAsia="Arial" w:hAnsi="Arial" w:cs="Arial"/>
          <w:color w:val="000000"/>
          <w:kern w:val="0"/>
          <w:lang w:eastAsia="en-IN"/>
          <w14:ligatures w14:val="none"/>
        </w:rPr>
        <w:t>. Available at:</w:t>
      </w:r>
      <w:hyperlink r:id="rId78">
        <w:r w:rsidRPr="003C6276">
          <w:rPr>
            <w:rFonts w:ascii="Arial" w:eastAsia="Arial" w:hAnsi="Arial" w:cs="Arial"/>
            <w:color w:val="1155CC"/>
            <w:kern w:val="0"/>
            <w:u w:val="single"/>
            <w:lang w:eastAsia="en-IN"/>
            <w14:ligatures w14:val="none"/>
          </w:rPr>
          <w:t>https://www.kidney.org/kidney-topics/chronic-kidney-disease-ckd</w:t>
        </w:r>
      </w:hyperlink>
      <w:r w:rsidRPr="003C6276">
        <w:rPr>
          <w:rFonts w:ascii="Arial" w:eastAsia="Arial" w:hAnsi="Arial" w:cs="Arial"/>
          <w:color w:val="000000"/>
          <w:kern w:val="0"/>
          <w:lang w:eastAsia="en-IN"/>
          <w14:ligatures w14:val="none"/>
        </w:rPr>
        <w:t xml:space="preserve"> (Accessed 17 June 2026).</w:t>
      </w:r>
    </w:p>
    <w:p w14:paraId="7A6C24CB" w14:textId="77777777" w:rsidR="007F1C63" w:rsidRPr="003C6276" w:rsidRDefault="007F1C63" w:rsidP="007F1C63">
      <w:pPr>
        <w:spacing w:after="240" w:line="360" w:lineRule="auto"/>
        <w:jc w:val="both"/>
        <w:rPr>
          <w:rFonts w:ascii="Arial" w:eastAsia="Arial" w:hAnsi="Arial" w:cs="Arial"/>
          <w:color w:val="0000FF"/>
          <w:kern w:val="0"/>
          <w:lang w:eastAsia="en-IN"/>
          <w14:ligatures w14:val="none"/>
        </w:rPr>
      </w:pPr>
      <w:r w:rsidRPr="003C6276">
        <w:rPr>
          <w:rFonts w:ascii="Arial" w:eastAsia="Arial" w:hAnsi="Arial" w:cs="Arial"/>
          <w:color w:val="000000"/>
          <w:kern w:val="0"/>
          <w:lang w:eastAsia="en-IN"/>
          <w14:ligatures w14:val="none"/>
        </w:rPr>
        <w:t xml:space="preserve">National Kidney Foundation (2024) </w:t>
      </w:r>
      <w:r w:rsidRPr="003C6276">
        <w:rPr>
          <w:rFonts w:ascii="Arial" w:eastAsia="Arial" w:hAnsi="Arial" w:cs="Arial"/>
          <w:i/>
          <w:iCs/>
          <w:color w:val="000000"/>
          <w:kern w:val="0"/>
          <w:lang w:eastAsia="en-IN"/>
          <w14:ligatures w14:val="none"/>
        </w:rPr>
        <w:t>Global facts: About kidney disease</w:t>
      </w:r>
      <w:r w:rsidRPr="003C6276">
        <w:rPr>
          <w:rFonts w:ascii="Arial" w:eastAsia="Arial" w:hAnsi="Arial" w:cs="Arial"/>
          <w:color w:val="000000"/>
          <w:kern w:val="0"/>
          <w:lang w:eastAsia="en-IN"/>
          <w14:ligatures w14:val="none"/>
        </w:rPr>
        <w:t>. Available at:</w:t>
      </w:r>
      <w:hyperlink r:id="rId79">
        <w:r w:rsidRPr="003C6276">
          <w:rPr>
            <w:rFonts w:ascii="Arial" w:eastAsia="Arial" w:hAnsi="Arial" w:cs="Arial"/>
            <w:color w:val="000000"/>
            <w:kern w:val="0"/>
            <w:lang w:eastAsia="en-IN"/>
            <w14:ligatures w14:val="none"/>
          </w:rPr>
          <w:t xml:space="preserve"> </w:t>
        </w:r>
      </w:hyperlink>
      <w:hyperlink r:id="rId80">
        <w:r w:rsidRPr="003C6276">
          <w:rPr>
            <w:rFonts w:ascii="Arial" w:eastAsia="Arial" w:hAnsi="Arial" w:cs="Arial"/>
            <w:color w:val="0000FF"/>
            <w:kern w:val="0"/>
            <w:u w:val="single"/>
            <w:lang w:eastAsia="en-IN"/>
            <w14:ligatures w14:val="none"/>
          </w:rPr>
          <w:t>https://www.kidney.org/global-facts-about-kidney-disease</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21CC6CC5"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Neale, E.P., Do Rosario, V., Probst, Y., Beck, E., Tran, T.B. and Lambert, K., (2023). ‘Lifestyle interventions, kidney disease progression, and quality of life: a systematic review and meta-analysis’. </w:t>
      </w:r>
      <w:r w:rsidRPr="003C6276">
        <w:rPr>
          <w:rFonts w:ascii="Arial" w:eastAsia="Arial" w:hAnsi="Arial" w:cs="Arial"/>
          <w:i/>
          <w:iCs/>
          <w:color w:val="000000"/>
          <w:kern w:val="0"/>
          <w:lang w:eastAsia="en-IN"/>
          <w14:ligatures w14:val="none"/>
        </w:rPr>
        <w:t>Kidney Medicine</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5</w:t>
      </w:r>
      <w:r w:rsidRPr="003C6276">
        <w:rPr>
          <w:rFonts w:ascii="Arial" w:eastAsia="Arial" w:hAnsi="Arial" w:cs="Arial"/>
          <w:color w:val="000000"/>
          <w:kern w:val="0"/>
          <w:lang w:eastAsia="en-IN"/>
          <w14:ligatures w14:val="none"/>
        </w:rPr>
        <w:t>(6), p.100643.</w:t>
      </w:r>
      <w:hyperlink r:id="rId81">
        <w:r w:rsidRPr="003C6276">
          <w:rPr>
            <w:rFonts w:ascii="Arial" w:eastAsia="Arial" w:hAnsi="Arial" w:cs="Arial"/>
            <w:color w:val="000000"/>
            <w:kern w:val="0"/>
            <w:lang w:eastAsia="en-IN"/>
            <w14:ligatures w14:val="none"/>
          </w:rPr>
          <w:t xml:space="preserve"> Available at: </w:t>
        </w:r>
      </w:hyperlink>
      <w:hyperlink r:id="rId82">
        <w:r w:rsidRPr="003C6276">
          <w:rPr>
            <w:rFonts w:ascii="Arial" w:eastAsia="Arial" w:hAnsi="Arial" w:cs="Arial"/>
            <w:color w:val="1155CC"/>
            <w:kern w:val="0"/>
            <w:u w:val="single"/>
            <w:lang w:eastAsia="en-IN"/>
            <w14:ligatures w14:val="none"/>
          </w:rPr>
          <w:t>https://www.sciencedirect.com/science/article/pii/S2590059523000535</w:t>
        </w:r>
      </w:hyperlink>
    </w:p>
    <w:p w14:paraId="3A758022"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NHS England (2019) </w:t>
      </w:r>
      <w:r w:rsidRPr="003C6276">
        <w:rPr>
          <w:rFonts w:ascii="Arial" w:eastAsia="Arial" w:hAnsi="Arial" w:cs="Arial"/>
          <w:i/>
          <w:iCs/>
          <w:color w:val="000000"/>
          <w:kern w:val="0"/>
          <w:lang w:eastAsia="en-IN"/>
          <w14:ligatures w14:val="none"/>
        </w:rPr>
        <w:t>National Healthcare Inequalities Improvement Programme</w:t>
      </w:r>
      <w:r w:rsidRPr="003C6276">
        <w:rPr>
          <w:rFonts w:ascii="Arial" w:eastAsia="Arial" w:hAnsi="Arial" w:cs="Arial"/>
          <w:color w:val="000000"/>
          <w:kern w:val="0"/>
          <w:lang w:eastAsia="en-IN"/>
          <w14:ligatures w14:val="none"/>
        </w:rPr>
        <w:t>. Available at:</w:t>
      </w:r>
      <w:hyperlink r:id="rId83">
        <w:r w:rsidRPr="003C6276">
          <w:rPr>
            <w:rFonts w:ascii="Arial" w:eastAsia="Arial" w:hAnsi="Arial" w:cs="Arial"/>
            <w:color w:val="0000FF"/>
            <w:kern w:val="0"/>
            <w:lang w:eastAsia="en-IN"/>
            <w14:ligatures w14:val="none"/>
          </w:rPr>
          <w:t xml:space="preserve"> </w:t>
        </w:r>
      </w:hyperlink>
      <w:hyperlink r:id="rId84">
        <w:r w:rsidRPr="003C6276">
          <w:rPr>
            <w:rFonts w:ascii="Arial" w:eastAsia="Arial" w:hAnsi="Arial" w:cs="Arial"/>
            <w:color w:val="0000FF"/>
            <w:kern w:val="0"/>
            <w:u w:val="single"/>
            <w:lang w:eastAsia="en-IN"/>
            <w14:ligatures w14:val="none"/>
          </w:rPr>
          <w:t>https://www.england.nhs.uk/about/equality/equality-hub/national-healthcare-inequalities-improvement-programme/</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48C16587"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NHS England (2023) </w:t>
      </w:r>
      <w:r w:rsidRPr="003C6276">
        <w:rPr>
          <w:rFonts w:ascii="Arial" w:eastAsia="Arial" w:hAnsi="Arial" w:cs="Arial"/>
          <w:i/>
          <w:iCs/>
          <w:color w:val="000000"/>
          <w:kern w:val="0"/>
          <w:lang w:eastAsia="en-IN"/>
          <w14:ligatures w14:val="none"/>
        </w:rPr>
        <w:t>NHS England » guide to implementing personalised follow-up for chronic kidney disease in adults</w:t>
      </w:r>
      <w:r w:rsidRPr="003C6276">
        <w:rPr>
          <w:rFonts w:ascii="Arial" w:eastAsia="Arial" w:hAnsi="Arial" w:cs="Arial"/>
          <w:color w:val="000000"/>
          <w:kern w:val="0"/>
          <w:lang w:eastAsia="en-IN"/>
          <w14:ligatures w14:val="none"/>
        </w:rPr>
        <w:t>. Available at:</w:t>
      </w:r>
      <w:hyperlink r:id="rId85">
        <w:r w:rsidRPr="003C6276">
          <w:rPr>
            <w:rFonts w:ascii="Arial" w:eastAsia="Arial" w:hAnsi="Arial" w:cs="Arial"/>
            <w:color w:val="0000FF"/>
            <w:kern w:val="0"/>
            <w:lang w:eastAsia="en-IN"/>
            <w14:ligatures w14:val="none"/>
          </w:rPr>
          <w:t xml:space="preserve"> </w:t>
        </w:r>
      </w:hyperlink>
      <w:hyperlink r:id="rId86">
        <w:r w:rsidRPr="003C6276">
          <w:rPr>
            <w:rFonts w:ascii="Arial" w:eastAsia="Arial" w:hAnsi="Arial" w:cs="Arial"/>
            <w:color w:val="0000FF"/>
            <w:kern w:val="0"/>
            <w:u w:val="single"/>
            <w:lang w:eastAsia="en-IN"/>
            <w14:ligatures w14:val="none"/>
          </w:rPr>
          <w:t>https://www.england.nhs.uk/long-read/guide-to-implementing-personalised-follow-up-for-chronic-kidney-disease-in-adults/</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3E60C954" w14:textId="77777777" w:rsidR="007F1C63" w:rsidRPr="003C6276" w:rsidRDefault="007F1C63" w:rsidP="007F1C63">
      <w:pPr>
        <w:spacing w:after="240" w:line="360" w:lineRule="auto"/>
        <w:jc w:val="both"/>
        <w:rPr>
          <w:rFonts w:ascii="Arial" w:eastAsia="Arial" w:hAnsi="Arial" w:cs="Arial"/>
          <w:color w:val="0000FF"/>
          <w:kern w:val="0"/>
          <w:lang w:eastAsia="en-IN"/>
          <w14:ligatures w14:val="none"/>
        </w:rPr>
      </w:pPr>
      <w:r w:rsidRPr="003C6276">
        <w:rPr>
          <w:rFonts w:ascii="Arial" w:eastAsia="Arial" w:hAnsi="Arial" w:cs="Arial"/>
          <w:color w:val="000000"/>
          <w:kern w:val="0"/>
          <w:lang w:eastAsia="en-IN"/>
          <w14:ligatures w14:val="none"/>
        </w:rPr>
        <w:t xml:space="preserve">NHS England (2025) </w:t>
      </w:r>
      <w:r w:rsidRPr="003C6276">
        <w:rPr>
          <w:rFonts w:ascii="Arial" w:eastAsia="Arial" w:hAnsi="Arial" w:cs="Arial"/>
          <w:i/>
          <w:iCs/>
          <w:color w:val="000000"/>
          <w:kern w:val="0"/>
          <w:lang w:eastAsia="en-IN"/>
          <w14:ligatures w14:val="none"/>
        </w:rPr>
        <w:t>Welcome to zscaler directory authentication</w:t>
      </w:r>
      <w:r w:rsidRPr="003C6276">
        <w:rPr>
          <w:rFonts w:ascii="Arial" w:eastAsia="Arial" w:hAnsi="Arial" w:cs="Arial"/>
          <w:color w:val="000000"/>
          <w:kern w:val="0"/>
          <w:lang w:eastAsia="en-IN"/>
          <w14:ligatures w14:val="none"/>
        </w:rPr>
        <w:t>. Available at:</w:t>
      </w:r>
      <w:hyperlink r:id="rId87">
        <w:r w:rsidRPr="003C6276">
          <w:rPr>
            <w:rFonts w:ascii="Arial" w:eastAsia="Arial" w:hAnsi="Arial" w:cs="Arial"/>
            <w:color w:val="000000"/>
            <w:kern w:val="0"/>
            <w:lang w:eastAsia="en-IN"/>
            <w14:ligatures w14:val="none"/>
          </w:rPr>
          <w:t xml:space="preserve"> </w:t>
        </w:r>
      </w:hyperlink>
      <w:hyperlink r:id="rId88">
        <w:r w:rsidRPr="003C6276">
          <w:rPr>
            <w:rFonts w:ascii="Arial" w:eastAsia="Arial" w:hAnsi="Arial" w:cs="Arial"/>
            <w:color w:val="0000FF"/>
            <w:kern w:val="0"/>
            <w:u w:val="single"/>
            <w:lang w:eastAsia="en-IN"/>
            <w14:ligatures w14:val="none"/>
          </w:rPr>
          <w:t>https://digital.nhs.uk/data-and-information/publications/statistical/health-survey-for-england/2022-part-2/kidney-disease</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22187AD4"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NHS England Digital (2024) </w:t>
      </w:r>
      <w:r w:rsidRPr="003C6276">
        <w:rPr>
          <w:rFonts w:ascii="Arial" w:eastAsia="Arial" w:hAnsi="Arial" w:cs="Arial"/>
          <w:i/>
          <w:iCs/>
          <w:color w:val="000000"/>
          <w:kern w:val="0"/>
          <w:lang w:eastAsia="en-IN"/>
          <w14:ligatures w14:val="none"/>
        </w:rPr>
        <w:t>Health Survey for England: Chronic Kidney Disease Report.</w:t>
      </w:r>
      <w:r w:rsidRPr="003C6276">
        <w:rPr>
          <w:rFonts w:ascii="Arial" w:eastAsia="Arial" w:hAnsi="Arial" w:cs="Arial"/>
          <w:color w:val="000000"/>
          <w:kern w:val="0"/>
          <w:lang w:eastAsia="en-IN"/>
          <w14:ligatures w14:val="none"/>
        </w:rPr>
        <w:t xml:space="preserve"> Available at:</w:t>
      </w:r>
      <w:hyperlink r:id="rId89">
        <w:r w:rsidRPr="003C6276">
          <w:rPr>
            <w:rFonts w:ascii="Arial" w:eastAsia="Arial" w:hAnsi="Arial" w:cs="Arial"/>
            <w:color w:val="1155CC"/>
            <w:kern w:val="0"/>
            <w:u w:val="single"/>
            <w:lang w:eastAsia="en-IN"/>
            <w14:ligatures w14:val="none"/>
          </w:rPr>
          <w:t>https://digital.nhs.uk/data-and-information/publications/statistical/health-survey-for-england</w:t>
        </w:r>
      </w:hyperlink>
      <w:r w:rsidRPr="003C6276">
        <w:rPr>
          <w:rFonts w:ascii="Arial" w:eastAsia="Arial" w:hAnsi="Arial" w:cs="Arial"/>
          <w:color w:val="000000"/>
          <w:kern w:val="0"/>
          <w:lang w:eastAsia="en-IN"/>
          <w14:ligatures w14:val="none"/>
        </w:rPr>
        <w:t xml:space="preserve"> (Accessed: 17 June 2026) </w:t>
      </w:r>
    </w:p>
    <w:p w14:paraId="202CCC4B" w14:textId="77777777" w:rsidR="007F1C63" w:rsidRPr="003C6276" w:rsidRDefault="007F1C63" w:rsidP="007F1C63">
      <w:pPr>
        <w:spacing w:after="240" w:line="360" w:lineRule="auto"/>
        <w:jc w:val="both"/>
        <w:rPr>
          <w:rFonts w:ascii="Arial" w:eastAsia="Arial" w:hAnsi="Arial" w:cs="Arial"/>
          <w:color w:val="0000FF"/>
          <w:kern w:val="0"/>
          <w:lang w:eastAsia="en-IN"/>
          <w14:ligatures w14:val="none"/>
        </w:rPr>
      </w:pPr>
      <w:r w:rsidRPr="003C6276">
        <w:rPr>
          <w:rFonts w:ascii="Arial" w:eastAsia="Arial" w:hAnsi="Arial" w:cs="Arial"/>
          <w:color w:val="000000"/>
          <w:kern w:val="0"/>
          <w:lang w:eastAsia="en-IN"/>
          <w14:ligatures w14:val="none"/>
        </w:rPr>
        <w:t xml:space="preserve">NHS RightCare (2025) </w:t>
      </w:r>
      <w:r w:rsidRPr="003C6276">
        <w:rPr>
          <w:rFonts w:ascii="Arial" w:eastAsia="Arial" w:hAnsi="Arial" w:cs="Arial"/>
          <w:i/>
          <w:iCs/>
          <w:color w:val="000000"/>
          <w:kern w:val="0"/>
          <w:lang w:eastAsia="en-IN"/>
          <w14:ligatures w14:val="none"/>
        </w:rPr>
        <w:t>NHS RightCare » high value intervention in chronic kidney disease</w:t>
      </w:r>
      <w:r w:rsidRPr="003C6276">
        <w:rPr>
          <w:rFonts w:ascii="Arial" w:eastAsia="Arial" w:hAnsi="Arial" w:cs="Arial"/>
          <w:color w:val="000000"/>
          <w:kern w:val="0"/>
          <w:lang w:eastAsia="en-IN"/>
          <w14:ligatures w14:val="none"/>
        </w:rPr>
        <w:t>. Available at:</w:t>
      </w:r>
      <w:hyperlink r:id="rId90">
        <w:r w:rsidRPr="003C6276">
          <w:rPr>
            <w:rFonts w:ascii="Arial" w:eastAsia="Arial" w:hAnsi="Arial" w:cs="Arial"/>
            <w:color w:val="000000"/>
            <w:kern w:val="0"/>
            <w:lang w:eastAsia="en-IN"/>
            <w14:ligatures w14:val="none"/>
          </w:rPr>
          <w:t xml:space="preserve"> </w:t>
        </w:r>
      </w:hyperlink>
      <w:hyperlink r:id="rId91">
        <w:r w:rsidRPr="003C6276">
          <w:rPr>
            <w:rFonts w:ascii="Arial" w:eastAsia="Arial" w:hAnsi="Arial" w:cs="Arial"/>
            <w:color w:val="0000FF"/>
            <w:kern w:val="0"/>
            <w:u w:val="single"/>
            <w:lang w:eastAsia="en-IN"/>
            <w14:ligatures w14:val="none"/>
          </w:rPr>
          <w:t>https://www.england.nhs.uk/rightcare/cvd-pathway/ckd/</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71A61257"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NIDDK (2016) </w:t>
      </w:r>
      <w:r w:rsidRPr="003C6276">
        <w:rPr>
          <w:rFonts w:ascii="Arial" w:eastAsia="Arial" w:hAnsi="Arial" w:cs="Arial"/>
          <w:i/>
          <w:iCs/>
          <w:color w:val="000000"/>
          <w:kern w:val="0"/>
          <w:lang w:eastAsia="en-IN"/>
          <w14:ligatures w14:val="none"/>
        </w:rPr>
        <w:t>Causes of Chronic Kidney Disease</w:t>
      </w:r>
      <w:r w:rsidRPr="003C6276">
        <w:rPr>
          <w:rFonts w:ascii="Arial" w:eastAsia="Arial" w:hAnsi="Arial" w:cs="Arial"/>
          <w:color w:val="000000"/>
          <w:kern w:val="0"/>
          <w:lang w:eastAsia="en-IN"/>
          <w14:ligatures w14:val="none"/>
        </w:rPr>
        <w:t>. Available at:</w:t>
      </w:r>
      <w:hyperlink r:id="rId92">
        <w:r w:rsidRPr="003C6276">
          <w:rPr>
            <w:rFonts w:ascii="Arial" w:eastAsia="Arial" w:hAnsi="Arial" w:cs="Arial"/>
            <w:color w:val="000000"/>
            <w:kern w:val="0"/>
            <w:lang w:eastAsia="en-IN"/>
            <w14:ligatures w14:val="none"/>
          </w:rPr>
          <w:t xml:space="preserve"> </w:t>
        </w:r>
      </w:hyperlink>
      <w:hyperlink r:id="rId93">
        <w:r w:rsidRPr="003C6276">
          <w:rPr>
            <w:rFonts w:ascii="Arial" w:eastAsia="Arial" w:hAnsi="Arial" w:cs="Arial"/>
            <w:color w:val="0000FF"/>
            <w:kern w:val="0"/>
            <w:u w:val="single"/>
            <w:lang w:eastAsia="en-IN"/>
            <w14:ligatures w14:val="none"/>
          </w:rPr>
          <w:t>https://www.niddk.nih.gov/health-information/kidney-disease/chronic-kidney-disease-ckd/causes</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0B1A7D2F"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Nightingale, K., Stephenson, J., Sivaprakasam, R., Brown, T., Inston, N., Hamsho, A., Ravanan, R., Nicholson, M., Asderakis, A., Browne, S., Hunter, J., Marson, L.P., Connor, K.L., Kelleher, M., Sutherland, A., Norton, W., Maple, H., Calder, F., Dor, F.J.M.F., Barlow, A., </w:t>
      </w:r>
      <w:r w:rsidRPr="003C6276">
        <w:rPr>
          <w:rFonts w:ascii="Arial" w:eastAsia="Arial" w:hAnsi="Arial" w:cs="Arial"/>
          <w:color w:val="000000"/>
          <w:kern w:val="0"/>
          <w:lang w:eastAsia="en-IN"/>
          <w14:ligatures w14:val="none"/>
        </w:rPr>
        <w:lastRenderedPageBreak/>
        <w:t xml:space="preserve">Wijetunga, I., Youngs, R., Falconer, S., Boardman, V., Smith, M.W., Bagul, A., Sharma, H., Mehra, S., Moinuddin, Z., Campbell, T., van Dellen, D., Rogers, A., Burnapp, L., Haq, K., Yates, J., Sinha, S., Malik, S., Saif, I., Gibbs, P., Khan, K., Harvitkar, R., Shrestha, B., Ghazanfar, A., Siddiky, A., Motallebzadeh, R., Moneke, M., Bhatia, K., and Augustine, T. (2025) ‘The variation in practice of the living donor kidney transplant pathway in the UK: results of a national survey’, </w:t>
      </w:r>
      <w:r w:rsidRPr="003C6276">
        <w:rPr>
          <w:rFonts w:ascii="Arial" w:eastAsia="Arial" w:hAnsi="Arial" w:cs="Arial"/>
          <w:i/>
          <w:iCs/>
          <w:color w:val="000000"/>
          <w:kern w:val="0"/>
          <w:lang w:eastAsia="en-IN"/>
          <w14:ligatures w14:val="none"/>
        </w:rPr>
        <w:t>Transplant International</w:t>
      </w:r>
      <w:r w:rsidRPr="003C6276">
        <w:rPr>
          <w:rFonts w:ascii="Arial" w:eastAsia="Arial" w:hAnsi="Arial" w:cs="Arial"/>
          <w:color w:val="000000"/>
          <w:kern w:val="0"/>
          <w:lang w:eastAsia="en-IN"/>
          <w14:ligatures w14:val="none"/>
        </w:rPr>
        <w:t>, 38, p.15341. Available at:</w:t>
      </w:r>
      <w:hyperlink r:id="rId94">
        <w:r w:rsidRPr="003C6276">
          <w:rPr>
            <w:rFonts w:ascii="Arial" w:eastAsia="Arial" w:hAnsi="Arial" w:cs="Arial"/>
            <w:color w:val="0563C1"/>
            <w:kern w:val="0"/>
            <w:u w:val="single"/>
            <w:lang w:eastAsia="en-IN"/>
            <w14:ligatures w14:val="none"/>
          </w:rPr>
          <w:t xml:space="preserve"> https://doi.org/10.3389/ti.2025.15341</w:t>
        </w:r>
      </w:hyperlink>
    </w:p>
    <w:p w14:paraId="12412501" w14:textId="77777777" w:rsidR="007F1C63" w:rsidRPr="003C6276" w:rsidRDefault="007F1C63" w:rsidP="007F1C63">
      <w:pPr>
        <w:spacing w:before="240" w:after="240" w:line="360" w:lineRule="auto"/>
        <w:jc w:val="both"/>
        <w:rPr>
          <w:rFonts w:ascii="Arial" w:eastAsia="Arial" w:hAnsi="Arial" w:cs="Arial"/>
          <w:kern w:val="0"/>
          <w:highlight w:val="white"/>
          <w:lang w:eastAsia="en-IN"/>
          <w14:ligatures w14:val="none"/>
        </w:rPr>
      </w:pPr>
      <w:r w:rsidRPr="003C6276">
        <w:rPr>
          <w:rFonts w:ascii="Arial" w:eastAsia="Arial" w:hAnsi="Arial" w:cs="Arial"/>
          <w:kern w:val="0"/>
          <w:lang w:eastAsia="en-IN"/>
          <w14:ligatures w14:val="none"/>
        </w:rPr>
        <w:t xml:space="preserve">NIHR (2024). </w:t>
      </w:r>
      <w:r w:rsidRPr="003C6276">
        <w:rPr>
          <w:rFonts w:ascii="Arial" w:eastAsia="Arial" w:hAnsi="Arial" w:cs="Arial"/>
          <w:i/>
          <w:iCs/>
          <w:kern w:val="0"/>
          <w:lang w:eastAsia="en-IN"/>
          <w14:ligatures w14:val="none"/>
        </w:rPr>
        <w:t xml:space="preserve">Dialysis for kidney failure: evidence to improve care. </w:t>
      </w:r>
      <w:r w:rsidRPr="003C6276">
        <w:rPr>
          <w:rFonts w:ascii="Arial" w:eastAsia="Arial" w:hAnsi="Arial" w:cs="Arial"/>
          <w:kern w:val="0"/>
          <w:lang w:eastAsia="en-IN"/>
          <w14:ligatures w14:val="none"/>
        </w:rPr>
        <w:t xml:space="preserve">Available at: </w:t>
      </w:r>
      <w:hyperlink r:id="rId95">
        <w:r w:rsidRPr="003C6276">
          <w:rPr>
            <w:rFonts w:ascii="Arial" w:eastAsia="Arial" w:hAnsi="Arial" w:cs="Arial"/>
            <w:color w:val="1155CC"/>
            <w:kern w:val="0"/>
            <w:u w:val="single"/>
            <w:lang w:eastAsia="en-IN"/>
            <w14:ligatures w14:val="none"/>
          </w:rPr>
          <w:t>https://evidence.nihr.ac.uk/collection/dialysis-for-kidney-failure-evidence-to-improve-care/</w:t>
        </w:r>
      </w:hyperlink>
      <w:r w:rsidRPr="003C6276">
        <w:rPr>
          <w:rFonts w:ascii="Arial" w:eastAsia="Arial" w:hAnsi="Arial" w:cs="Arial"/>
          <w:kern w:val="0"/>
          <w:lang w:eastAsia="en-IN"/>
          <w14:ligatures w14:val="none"/>
        </w:rPr>
        <w:t xml:space="preserve"> (Accessed: 19 August 2026)</w:t>
      </w:r>
    </w:p>
    <w:p w14:paraId="6835624A"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Nii Laryeafio, M. and Ogbewe, O.C., (2023) ‘Ethical consideration dilemma: systematic review of ethics in qualitative data collection through interviews.’ </w:t>
      </w:r>
      <w:r w:rsidRPr="003C6276">
        <w:rPr>
          <w:rFonts w:ascii="Arial" w:eastAsia="Arial" w:hAnsi="Arial" w:cs="Arial"/>
          <w:i/>
          <w:iCs/>
          <w:kern w:val="0"/>
          <w:highlight w:val="white"/>
          <w:lang w:eastAsia="en-IN"/>
          <w14:ligatures w14:val="none"/>
        </w:rPr>
        <w:t>Journal of Ethics in Entrepreneurship and Technology</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3</w:t>
      </w:r>
      <w:r w:rsidRPr="003C6276">
        <w:rPr>
          <w:rFonts w:ascii="Arial" w:eastAsia="Arial" w:hAnsi="Arial" w:cs="Arial"/>
          <w:kern w:val="0"/>
          <w:highlight w:val="white"/>
          <w:lang w:eastAsia="en-IN"/>
          <w14:ligatures w14:val="none"/>
        </w:rPr>
        <w:t>(2), pp.94-110.</w:t>
      </w:r>
      <w:r w:rsidRPr="003C6276">
        <w:rPr>
          <w:rFonts w:ascii="Arial" w:eastAsia="Arial" w:hAnsi="Arial" w:cs="Arial"/>
          <w:kern w:val="0"/>
          <w:lang w:eastAsia="en-IN"/>
          <w14:ligatures w14:val="none"/>
        </w:rPr>
        <w:t xml:space="preserve"> Available at: </w:t>
      </w:r>
      <w:hyperlink r:id="rId96">
        <w:r w:rsidRPr="003C6276">
          <w:rPr>
            <w:rFonts w:ascii="Arial" w:eastAsia="Arial" w:hAnsi="Arial" w:cs="Arial"/>
            <w:color w:val="1155CC"/>
            <w:kern w:val="0"/>
            <w:u w:val="single"/>
            <w:lang w:eastAsia="en-IN"/>
            <w14:ligatures w14:val="none"/>
          </w:rPr>
          <w:t>http://dx.doi.org/10.1108/JEET-09-2022-0014</w:t>
        </w:r>
      </w:hyperlink>
      <w:r w:rsidRPr="003C6276">
        <w:rPr>
          <w:rFonts w:ascii="Arial" w:eastAsia="Arial" w:hAnsi="Arial" w:cs="Arial"/>
          <w:kern w:val="0"/>
          <w:lang w:eastAsia="en-IN"/>
          <w14:ligatures w14:val="none"/>
        </w:rPr>
        <w:t xml:space="preserve"> </w:t>
      </w:r>
    </w:p>
    <w:p w14:paraId="6308A34C"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Nursing Practice (2017) </w:t>
      </w:r>
      <w:r w:rsidRPr="003C6276">
        <w:rPr>
          <w:rFonts w:ascii="Arial" w:eastAsia="Arial" w:hAnsi="Arial" w:cs="Arial"/>
          <w:i/>
          <w:iCs/>
          <w:color w:val="000000"/>
          <w:kern w:val="0"/>
          <w:lang w:eastAsia="en-IN"/>
          <w14:ligatures w14:val="none"/>
        </w:rPr>
        <w:t>Clinical: Understanding chronic kidney disease</w:t>
      </w:r>
      <w:r w:rsidRPr="003C6276">
        <w:rPr>
          <w:rFonts w:ascii="Arial" w:eastAsia="Arial" w:hAnsi="Arial" w:cs="Arial"/>
          <w:color w:val="000000"/>
          <w:kern w:val="0"/>
          <w:lang w:eastAsia="en-IN"/>
          <w14:ligatures w14:val="none"/>
        </w:rPr>
        <w:t>. Available at:</w:t>
      </w:r>
      <w:hyperlink r:id="rId97">
        <w:r w:rsidRPr="003C6276">
          <w:rPr>
            <w:rFonts w:ascii="Arial" w:eastAsia="Arial" w:hAnsi="Arial" w:cs="Arial"/>
            <w:color w:val="000000"/>
            <w:kern w:val="0"/>
            <w:lang w:eastAsia="en-IN"/>
            <w14:ligatures w14:val="none"/>
          </w:rPr>
          <w:t xml:space="preserve"> </w:t>
        </w:r>
      </w:hyperlink>
      <w:hyperlink r:id="rId98">
        <w:r w:rsidRPr="003C6276">
          <w:rPr>
            <w:rFonts w:ascii="Arial" w:eastAsia="Arial" w:hAnsi="Arial" w:cs="Arial"/>
            <w:color w:val="0000FF"/>
            <w:kern w:val="0"/>
            <w:u w:val="single"/>
            <w:lang w:eastAsia="en-IN"/>
            <w14:ligatures w14:val="none"/>
          </w:rPr>
          <w:t>https://www.nursinginpractice.com/clinical/clinical-understanding-chronic-kidney-disease/</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5D6D8275"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Ortiz, A., Guerra, J.M.A., Chan, J.C., Jha, V., Kramer, H., Nicholas, S.B., Pavkov, M.E., Wanner, C., Wong, L.P., Cheung, M. and King, J.M., (2025). ‘Preventing chronic kidney disease and maintaining kidney health: conclusions from a Kidney Disease: Improving Global Outcomes (KDIGO) Controversies Conference.’ </w:t>
      </w:r>
      <w:r w:rsidRPr="003C6276">
        <w:rPr>
          <w:rFonts w:ascii="Arial" w:eastAsia="Arial" w:hAnsi="Arial" w:cs="Arial"/>
          <w:i/>
          <w:iCs/>
          <w:kern w:val="0"/>
          <w:lang w:eastAsia="en-IN"/>
          <w14:ligatures w14:val="none"/>
        </w:rPr>
        <w:t>Kidney International.</w:t>
      </w:r>
      <w:r w:rsidRPr="003C6276">
        <w:rPr>
          <w:rFonts w:ascii="Arial" w:eastAsia="Arial" w:hAnsi="Arial" w:cs="Arial"/>
          <w:kern w:val="0"/>
          <w:lang w:eastAsia="en-IN"/>
          <w14:ligatures w14:val="none"/>
        </w:rPr>
        <w:t xml:space="preserve"> Available at: </w:t>
      </w:r>
      <w:hyperlink r:id="rId99">
        <w:r w:rsidRPr="003C6276">
          <w:rPr>
            <w:rFonts w:ascii="Arial" w:eastAsia="Arial" w:hAnsi="Arial" w:cs="Arial"/>
            <w:color w:val="1155CC"/>
            <w:kern w:val="0"/>
            <w:u w:val="single"/>
            <w:lang w:eastAsia="en-IN"/>
            <w14:ligatures w14:val="none"/>
          </w:rPr>
          <w:t>https://doi.org/10.1016/j.kint.2025.04.005</w:t>
        </w:r>
      </w:hyperlink>
      <w:r w:rsidRPr="003C6276">
        <w:rPr>
          <w:rFonts w:ascii="Arial" w:eastAsia="Arial" w:hAnsi="Arial" w:cs="Arial"/>
          <w:kern w:val="0"/>
          <w:lang w:eastAsia="en-IN"/>
          <w14:ligatures w14:val="none"/>
        </w:rPr>
        <w:t xml:space="preserve"> </w:t>
      </w:r>
    </w:p>
    <w:p w14:paraId="4D32B944"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Patel, S., Huang, M. and Miliara, S. (2025). ‘Understanding Treatment Adherence in Chronic Diseases: Challenges, Consequences, and Strategies for Improvement’. </w:t>
      </w:r>
      <w:r w:rsidRPr="003C6276">
        <w:rPr>
          <w:rFonts w:ascii="Arial" w:eastAsia="Arial" w:hAnsi="Arial" w:cs="Arial"/>
          <w:i/>
          <w:iCs/>
          <w:color w:val="000000"/>
          <w:kern w:val="0"/>
          <w:lang w:eastAsia="en-IN"/>
          <w14:ligatures w14:val="none"/>
        </w:rPr>
        <w:t>Journal of Clinical Medicine</w:t>
      </w:r>
      <w:r w:rsidRPr="003C6276">
        <w:rPr>
          <w:rFonts w:ascii="Arial" w:eastAsia="Arial" w:hAnsi="Arial" w:cs="Arial"/>
          <w:color w:val="000000"/>
          <w:kern w:val="0"/>
          <w:lang w:eastAsia="en-IN"/>
          <w14:ligatures w14:val="none"/>
        </w:rPr>
        <w:t>, 14(17), p.6034. Available at:</w:t>
      </w:r>
      <w:hyperlink r:id="rId100">
        <w:r w:rsidRPr="003C6276">
          <w:rPr>
            <w:rFonts w:ascii="Arial" w:eastAsia="Arial" w:hAnsi="Arial" w:cs="Arial"/>
            <w:color w:val="1155CC"/>
            <w:kern w:val="0"/>
            <w:u w:val="single"/>
            <w:lang w:eastAsia="en-IN"/>
            <w14:ligatures w14:val="none"/>
          </w:rPr>
          <w:t>https://doi.org/10.3390/jcm14176034</w:t>
        </w:r>
      </w:hyperlink>
    </w:p>
    <w:p w14:paraId="2DFA3BB9"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Persaud, N., Sabir, A., Woods, H., Sayani, A., Agarwal, A., Chowdhury, M., de Leon-Demare, K., Ibezi, S., Jan, S.H., Katz, A. and LaFortune, F.D. (2023) ‘Preventive care recommendations to promote health equity’, </w:t>
      </w:r>
      <w:r w:rsidRPr="003C6276">
        <w:rPr>
          <w:rFonts w:ascii="Arial" w:eastAsia="Arial" w:hAnsi="Arial" w:cs="Arial"/>
          <w:i/>
          <w:iCs/>
          <w:color w:val="000000"/>
          <w:kern w:val="0"/>
          <w:lang w:eastAsia="en-IN"/>
          <w14:ligatures w14:val="none"/>
        </w:rPr>
        <w:t>CMAJ</w:t>
      </w:r>
      <w:r w:rsidRPr="003C6276">
        <w:rPr>
          <w:rFonts w:ascii="Arial" w:eastAsia="Arial" w:hAnsi="Arial" w:cs="Arial"/>
          <w:color w:val="000000"/>
          <w:kern w:val="0"/>
          <w:lang w:eastAsia="en-IN"/>
          <w14:ligatures w14:val="none"/>
        </w:rPr>
        <w:t>, 195(37), pp.E1250–E1273. Available at:</w:t>
      </w:r>
      <w:hyperlink r:id="rId101">
        <w:r w:rsidRPr="003C6276">
          <w:rPr>
            <w:rFonts w:ascii="Arial" w:eastAsia="Arial" w:hAnsi="Arial" w:cs="Arial"/>
            <w:color w:val="0563C1"/>
            <w:kern w:val="0"/>
            <w:u w:val="single"/>
            <w:lang w:eastAsia="en-IN"/>
            <w14:ligatures w14:val="none"/>
          </w:rPr>
          <w:t xml:space="preserve"> https://doi.org/10.1503/cmaj.230576</w:t>
        </w:r>
      </w:hyperlink>
    </w:p>
    <w:p w14:paraId="73D1EFC3"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Pethő, Á.G., Tapolyai, M., Csongrádi, É. and Orosz, P. (2024) ‘Management of chronic kidney disease: The current novel and forgotten therapies’. </w:t>
      </w:r>
      <w:r w:rsidRPr="003C6276">
        <w:rPr>
          <w:rFonts w:ascii="Arial" w:eastAsia="Arial" w:hAnsi="Arial" w:cs="Arial"/>
          <w:i/>
          <w:iCs/>
          <w:color w:val="000000"/>
          <w:kern w:val="0"/>
          <w:lang w:eastAsia="en-IN"/>
          <w14:ligatures w14:val="none"/>
        </w:rPr>
        <w:t>Journal of Clinical &amp; Translational Endocrinology</w:t>
      </w:r>
      <w:r w:rsidRPr="003C6276">
        <w:rPr>
          <w:rFonts w:ascii="Arial" w:eastAsia="Arial" w:hAnsi="Arial" w:cs="Arial"/>
          <w:color w:val="000000"/>
          <w:kern w:val="0"/>
          <w:lang w:eastAsia="en-IN"/>
          <w14:ligatures w14:val="none"/>
        </w:rPr>
        <w:t>, 36, p.100354. Available at:</w:t>
      </w:r>
      <w:hyperlink r:id="rId102">
        <w:r w:rsidRPr="003C6276">
          <w:rPr>
            <w:rFonts w:ascii="Arial" w:eastAsia="Arial" w:hAnsi="Arial" w:cs="Arial"/>
            <w:color w:val="1155CC"/>
            <w:kern w:val="0"/>
            <w:u w:val="single"/>
            <w:lang w:eastAsia="en-IN"/>
            <w14:ligatures w14:val="none"/>
          </w:rPr>
          <w:t>https://doi.org/10.1016/j.jcte.2024.100354</w:t>
        </w:r>
      </w:hyperlink>
    </w:p>
    <w:p w14:paraId="57E7F79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lang w:eastAsia="en-IN"/>
          <w14:ligatures w14:val="none"/>
        </w:rPr>
        <w:lastRenderedPageBreak/>
        <w:t xml:space="preserve">Pollock, C., James, G., Garcia Sanchez, J.J., Carrero, J.J., Arnold, M., Lam, C.S., Chen, H., Nolan, S., Pecoits-Filho, R. and Wheeler, D.C. (2022) ‘Healthcare resource utilisation and related costs of patients with CKD from the UK: a report from the DISCOVER CKD retrospective cohort’, </w:t>
      </w:r>
      <w:r w:rsidRPr="003C6276">
        <w:rPr>
          <w:rFonts w:ascii="Arial" w:eastAsia="Arial" w:hAnsi="Arial" w:cs="Arial"/>
          <w:i/>
          <w:iCs/>
          <w:color w:val="000000"/>
          <w:kern w:val="0"/>
          <w:lang w:eastAsia="en-IN"/>
          <w14:ligatures w14:val="none"/>
        </w:rPr>
        <w:t>Clinical Kidney Journal</w:t>
      </w:r>
      <w:r w:rsidRPr="003C6276">
        <w:rPr>
          <w:rFonts w:ascii="Arial" w:eastAsia="Arial" w:hAnsi="Arial" w:cs="Arial"/>
          <w:color w:val="000000"/>
          <w:kern w:val="0"/>
          <w:lang w:eastAsia="en-IN"/>
          <w14:ligatures w14:val="none"/>
        </w:rPr>
        <w:t>, 15(11), pp.2124–2134. Available at:</w:t>
      </w:r>
      <w:hyperlink r:id="rId103">
        <w:r w:rsidRPr="003C6276">
          <w:rPr>
            <w:rFonts w:ascii="Arial" w:eastAsia="Arial" w:hAnsi="Arial" w:cs="Arial"/>
            <w:color w:val="0563C1"/>
            <w:kern w:val="0"/>
            <w:u w:val="single"/>
            <w:lang w:eastAsia="en-IN"/>
            <w14:ligatures w14:val="none"/>
          </w:rPr>
          <w:t xml:space="preserve"> </w:t>
        </w:r>
      </w:hyperlink>
      <w:hyperlink r:id="rId104">
        <w:r w:rsidRPr="003C6276">
          <w:rPr>
            <w:rFonts w:ascii="Arial" w:eastAsia="Arial" w:hAnsi="Arial" w:cs="Arial"/>
            <w:color w:val="0563C1"/>
            <w:kern w:val="0"/>
            <w:u w:val="single"/>
            <w:lang w:eastAsia="en-IN"/>
            <w14:ligatures w14:val="none"/>
          </w:rPr>
          <w:t>https://doi.org/10.1093/ckj/sfac168</w:t>
        </w:r>
      </w:hyperlink>
    </w:p>
    <w:p w14:paraId="7912171F" w14:textId="77777777" w:rsidR="007F1C63" w:rsidRPr="003C6276" w:rsidRDefault="007F1C63" w:rsidP="007F1C63">
      <w:pPr>
        <w:spacing w:after="240" w:line="360" w:lineRule="auto"/>
        <w:jc w:val="both"/>
        <w:rPr>
          <w:rFonts w:ascii="Arial" w:eastAsia="Arial" w:hAnsi="Arial" w:cs="Arial"/>
          <w:kern w:val="0"/>
          <w:lang w:eastAsia="en-IN"/>
          <w14:ligatures w14:val="none"/>
        </w:rPr>
      </w:pPr>
      <w:r w:rsidRPr="003C6276">
        <w:rPr>
          <w:rFonts w:ascii="Arial" w:eastAsia="Arial" w:hAnsi="Arial" w:cs="Arial"/>
          <w:color w:val="000000" w:themeColor="text1"/>
          <w:kern w:val="0"/>
          <w:lang w:eastAsia="en-IN"/>
          <w14:ligatures w14:val="none"/>
        </w:rPr>
        <w:t xml:space="preserve">Pratiwi, R., Hidayat, F. and Siswadi, S., (2025). Bridging East and West: A Comparative Study of Pragmatism of Ibn Khaldun and John Dewey in the Philosophy of Education. </w:t>
      </w:r>
      <w:r w:rsidRPr="003C6276">
        <w:rPr>
          <w:rFonts w:ascii="Arial" w:eastAsia="Arial" w:hAnsi="Arial" w:cs="Arial"/>
          <w:i/>
          <w:iCs/>
          <w:color w:val="000000" w:themeColor="text1"/>
          <w:kern w:val="0"/>
          <w:lang w:eastAsia="en-IN"/>
          <w14:ligatures w14:val="none"/>
        </w:rPr>
        <w:t>J-PAI: Jurnal Pendidikan Agama Islam</w:t>
      </w:r>
      <w:r w:rsidRPr="003C6276">
        <w:rPr>
          <w:rFonts w:ascii="Arial" w:eastAsia="Arial" w:hAnsi="Arial" w:cs="Arial"/>
          <w:color w:val="000000" w:themeColor="text1"/>
          <w:kern w:val="0"/>
          <w:lang w:eastAsia="en-IN"/>
          <w14:ligatures w14:val="none"/>
        </w:rPr>
        <w:t xml:space="preserve">, </w:t>
      </w:r>
      <w:r w:rsidRPr="003C6276">
        <w:rPr>
          <w:rFonts w:ascii="Arial" w:eastAsia="Arial" w:hAnsi="Arial" w:cs="Arial"/>
          <w:i/>
          <w:iCs/>
          <w:color w:val="000000" w:themeColor="text1"/>
          <w:kern w:val="0"/>
          <w:lang w:eastAsia="en-IN"/>
          <w14:ligatures w14:val="none"/>
        </w:rPr>
        <w:t>12</w:t>
      </w:r>
      <w:r w:rsidRPr="003C6276">
        <w:rPr>
          <w:rFonts w:ascii="Arial" w:eastAsia="Arial" w:hAnsi="Arial" w:cs="Arial"/>
          <w:color w:val="000000" w:themeColor="text1"/>
          <w:kern w:val="0"/>
          <w:lang w:eastAsia="en-IN"/>
          <w14:ligatures w14:val="none"/>
        </w:rPr>
        <w:t xml:space="preserve">(1). Available at: </w:t>
      </w:r>
      <w:hyperlink r:id="rId105">
        <w:r w:rsidRPr="003C6276">
          <w:rPr>
            <w:rFonts w:ascii="Arial" w:eastAsia="Arial" w:hAnsi="Arial" w:cs="Arial"/>
            <w:color w:val="1155CC"/>
            <w:kern w:val="0"/>
            <w:u w:val="single"/>
            <w:lang w:eastAsia="en-IN"/>
            <w14:ligatures w14:val="none"/>
          </w:rPr>
          <w:t>http://ejournal.uin-malang.ac.id/index.php/jpai/article/download/37893/13357</w:t>
        </w:r>
      </w:hyperlink>
      <w:r w:rsidRPr="003C6276">
        <w:rPr>
          <w:rFonts w:ascii="Arial" w:eastAsia="Arial" w:hAnsi="Arial" w:cs="Arial"/>
          <w:kern w:val="0"/>
          <w:lang w:eastAsia="en-IN"/>
          <w14:ligatures w14:val="none"/>
        </w:rPr>
        <w:t xml:space="preserve"> </w:t>
      </w:r>
    </w:p>
    <w:p w14:paraId="460DF41A"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Raihan, A. (2023) ‘A review of the global climate change impacts, adaptation strategies, and mitigation options in the socio-economic and environmental sectors’, </w:t>
      </w:r>
      <w:r w:rsidRPr="003C6276">
        <w:rPr>
          <w:rFonts w:ascii="Arial" w:eastAsia="Arial" w:hAnsi="Arial" w:cs="Arial"/>
          <w:i/>
          <w:iCs/>
          <w:color w:val="000000"/>
          <w:kern w:val="0"/>
          <w:lang w:eastAsia="en-IN"/>
          <w14:ligatures w14:val="none"/>
        </w:rPr>
        <w:t>Journal of Environmental Science and Economics</w:t>
      </w:r>
      <w:r w:rsidRPr="003C6276">
        <w:rPr>
          <w:rFonts w:ascii="Arial" w:eastAsia="Arial" w:hAnsi="Arial" w:cs="Arial"/>
          <w:color w:val="000000"/>
          <w:kern w:val="0"/>
          <w:lang w:eastAsia="en-IN"/>
          <w14:ligatures w14:val="none"/>
        </w:rPr>
        <w:t>, 2(3), pp.36–58. Available at:</w:t>
      </w:r>
      <w:hyperlink r:id="rId106">
        <w:r w:rsidRPr="003C6276">
          <w:rPr>
            <w:rFonts w:ascii="Arial" w:eastAsia="Arial" w:hAnsi="Arial" w:cs="Arial"/>
            <w:color w:val="0563C1"/>
            <w:kern w:val="0"/>
            <w:u w:val="single"/>
            <w:lang w:eastAsia="en-IN"/>
            <w14:ligatures w14:val="none"/>
          </w:rPr>
          <w:t xml:space="preserve"> https://doi.org/10.56556/jescae.v2i3.587</w:t>
        </w:r>
      </w:hyperlink>
    </w:p>
    <w:p w14:paraId="205A5C65"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Ramasamy, A., (2022). ‘Prisma 2020: Key changes and implementation aspects’. </w:t>
      </w:r>
      <w:r w:rsidRPr="003C6276">
        <w:rPr>
          <w:rFonts w:ascii="Arial" w:eastAsia="Arial" w:hAnsi="Arial" w:cs="Arial"/>
          <w:i/>
          <w:iCs/>
          <w:kern w:val="0"/>
          <w:highlight w:val="white"/>
          <w:lang w:eastAsia="en-IN"/>
          <w14:ligatures w14:val="none"/>
        </w:rPr>
        <w:t>Journal of Oral and Maxillofacial Surgery</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80</w:t>
      </w:r>
      <w:r w:rsidRPr="003C6276">
        <w:rPr>
          <w:rFonts w:ascii="Arial" w:eastAsia="Arial" w:hAnsi="Arial" w:cs="Arial"/>
          <w:kern w:val="0"/>
          <w:highlight w:val="white"/>
          <w:lang w:eastAsia="en-IN"/>
          <w14:ligatures w14:val="none"/>
        </w:rPr>
        <w:t>(5), pp.795-797.</w:t>
      </w:r>
      <w:r w:rsidRPr="003C6276">
        <w:rPr>
          <w:rFonts w:ascii="Arial" w:eastAsia="Arial" w:hAnsi="Arial" w:cs="Arial"/>
          <w:kern w:val="0"/>
          <w:lang w:eastAsia="en-IN"/>
          <w14:ligatures w14:val="none"/>
        </w:rPr>
        <w:t xml:space="preserve"> Available at: </w:t>
      </w:r>
      <w:hyperlink r:id="rId107">
        <w:r w:rsidRPr="003C6276">
          <w:rPr>
            <w:rFonts w:ascii="Arial" w:eastAsia="Arial" w:hAnsi="Arial" w:cs="Arial"/>
            <w:color w:val="1155CC"/>
            <w:kern w:val="0"/>
            <w:u w:val="single"/>
            <w:lang w:eastAsia="en-IN"/>
            <w14:ligatures w14:val="none"/>
          </w:rPr>
          <w:t>https://www.joms.org/article/S0278-2391(22)00001-5/pdf</w:t>
        </w:r>
      </w:hyperlink>
      <w:r w:rsidRPr="003C6276">
        <w:rPr>
          <w:rFonts w:ascii="Arial" w:eastAsia="Arial" w:hAnsi="Arial" w:cs="Arial"/>
          <w:kern w:val="0"/>
          <w:lang w:eastAsia="en-IN"/>
          <w14:ligatures w14:val="none"/>
        </w:rPr>
        <w:t xml:space="preserve"> </w:t>
      </w:r>
    </w:p>
    <w:p w14:paraId="45974517"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Rao, I.R., Bangera, A., Nagaraju, S.P., Shenoy, S.V., Prabhu, R.A., Rangaswamy, D. and Bhojaraja, M.V. (2023) ‘Chronic kidney disease of unknown aetiology: a comprehensive review of a global public health problem’, </w:t>
      </w:r>
      <w:r w:rsidRPr="003C6276">
        <w:rPr>
          <w:rFonts w:ascii="Arial" w:eastAsia="Arial" w:hAnsi="Arial" w:cs="Arial"/>
          <w:i/>
          <w:iCs/>
          <w:color w:val="000000"/>
          <w:kern w:val="0"/>
          <w:lang w:eastAsia="en-IN"/>
          <w14:ligatures w14:val="none"/>
        </w:rPr>
        <w:t>Tropical Medicine &amp; International Health</w:t>
      </w:r>
      <w:r w:rsidRPr="003C6276">
        <w:rPr>
          <w:rFonts w:ascii="Arial" w:eastAsia="Arial" w:hAnsi="Arial" w:cs="Arial"/>
          <w:color w:val="000000"/>
          <w:kern w:val="0"/>
          <w:lang w:eastAsia="en-IN"/>
          <w14:ligatures w14:val="none"/>
        </w:rPr>
        <w:t>, 28(8), pp.588–600. Available at:</w:t>
      </w:r>
      <w:hyperlink r:id="rId108">
        <w:r w:rsidRPr="003C6276">
          <w:rPr>
            <w:rFonts w:ascii="Arial" w:eastAsia="Arial" w:hAnsi="Arial" w:cs="Arial"/>
            <w:color w:val="0563C1"/>
            <w:kern w:val="0"/>
            <w:u w:val="single"/>
            <w:lang w:eastAsia="en-IN"/>
            <w14:ligatures w14:val="none"/>
          </w:rPr>
          <w:t xml:space="preserve"> https://doi.org/10.1111/tmi.13913</w:t>
        </w:r>
      </w:hyperlink>
    </w:p>
    <w:p w14:paraId="57425840"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Rao, N., Brotons-Munto, F., Moura, A.F., Kocks, J.W., Zhao, M.H., Chadban, S., Guiang, H., Priest, S. and Brown, S. (2025) ‘Holistic impact of CKD: a clinical, economic, and environmental analysis by impact CKD’. </w:t>
      </w:r>
      <w:r w:rsidRPr="003C6276">
        <w:rPr>
          <w:rFonts w:ascii="Arial" w:eastAsia="Arial" w:hAnsi="Arial" w:cs="Arial"/>
          <w:i/>
          <w:iCs/>
          <w:color w:val="000000"/>
          <w:kern w:val="0"/>
          <w:lang w:eastAsia="en-IN"/>
          <w14:ligatures w14:val="none"/>
        </w:rPr>
        <w:t>Kidney International Reports</w:t>
      </w:r>
      <w:r w:rsidRPr="003C6276">
        <w:rPr>
          <w:rFonts w:ascii="Arial" w:eastAsia="Arial" w:hAnsi="Arial" w:cs="Arial"/>
          <w:color w:val="000000"/>
          <w:kern w:val="0"/>
          <w:lang w:eastAsia="en-IN"/>
          <w14:ligatures w14:val="none"/>
        </w:rPr>
        <w:t>, 10(7), pp.2116–2127. Available at</w:t>
      </w:r>
      <w:r w:rsidRPr="003C6276">
        <w:rPr>
          <w:rFonts w:ascii="Arial" w:eastAsia="Arial" w:hAnsi="Arial" w:cs="Arial"/>
          <w:color w:val="FF0000"/>
          <w:kern w:val="0"/>
          <w:lang w:eastAsia="en-IN"/>
          <w14:ligatures w14:val="none"/>
        </w:rPr>
        <w:t>:</w:t>
      </w:r>
      <w:hyperlink r:id="rId109">
        <w:r w:rsidRPr="003C6276">
          <w:rPr>
            <w:rFonts w:ascii="Arial" w:eastAsia="Arial" w:hAnsi="Arial" w:cs="Arial"/>
            <w:color w:val="FF0000"/>
            <w:kern w:val="0"/>
            <w:lang w:eastAsia="en-IN"/>
            <w14:ligatures w14:val="none"/>
          </w:rPr>
          <w:t xml:space="preserve"> </w:t>
        </w:r>
      </w:hyperlink>
      <w:hyperlink r:id="rId110">
        <w:r w:rsidRPr="003C6276">
          <w:rPr>
            <w:rFonts w:ascii="Arial" w:eastAsia="Arial" w:hAnsi="Arial" w:cs="Arial"/>
            <w:color w:val="1155CC"/>
            <w:kern w:val="0"/>
            <w:u w:val="single"/>
            <w:lang w:eastAsia="en-IN"/>
            <w14:ligatures w14:val="none"/>
          </w:rPr>
          <w:t>https://doi.org/10.1016/j.ekir.2025.03.051</w:t>
        </w:r>
      </w:hyperlink>
    </w:p>
    <w:p w14:paraId="27406160" w14:textId="77777777" w:rsidR="007F1C63" w:rsidRPr="003C6276" w:rsidRDefault="007F1C63" w:rsidP="007F1C63">
      <w:pP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kern w:val="0"/>
          <w:lang w:eastAsia="en-IN"/>
          <w14:ligatures w14:val="none"/>
        </w:rPr>
        <w:t xml:space="preserve">Rivera, E., Clark-Cutaia, M.N., Schrauben, S.J., Townsend, R.R., Lash, J.P., Hannan, M., Jaar, B.G., Rincon-Choles, H., Kansal, S., He, J., Chen, J. and Hirschman, K.B. (2022). ‘Treatment Adherence in CKD and Support From Health care Providers: A Qualitative Study.’ </w:t>
      </w:r>
      <w:r w:rsidRPr="003C6276">
        <w:rPr>
          <w:rFonts w:ascii="Arial" w:eastAsia="Arial" w:hAnsi="Arial" w:cs="Arial"/>
          <w:i/>
          <w:iCs/>
          <w:kern w:val="0"/>
          <w:lang w:eastAsia="en-IN"/>
          <w14:ligatures w14:val="none"/>
        </w:rPr>
        <w:t>Kidney Medicine</w:t>
      </w:r>
      <w:r w:rsidRPr="003C6276">
        <w:rPr>
          <w:rFonts w:ascii="Arial" w:eastAsia="Arial" w:hAnsi="Arial" w:cs="Arial"/>
          <w:kern w:val="0"/>
          <w:lang w:eastAsia="en-IN"/>
          <w14:ligatures w14:val="none"/>
        </w:rPr>
        <w:t xml:space="preserve">, 4(11), p.100545. Available at: </w:t>
      </w:r>
      <w:hyperlink r:id="rId111">
        <w:r w:rsidRPr="003C6276">
          <w:rPr>
            <w:rFonts w:ascii="Arial" w:eastAsia="Arial" w:hAnsi="Arial" w:cs="Arial"/>
            <w:color w:val="1155CC"/>
            <w:kern w:val="0"/>
            <w:u w:val="single"/>
            <w:lang w:eastAsia="en-IN"/>
            <w14:ligatures w14:val="none"/>
          </w:rPr>
          <w:t>https://doi.org/10.1016/j.xkme.2022.100545</w:t>
        </w:r>
      </w:hyperlink>
    </w:p>
    <w:p w14:paraId="6BE45658" w14:textId="77777777" w:rsidR="007F1C63" w:rsidRPr="003C6276" w:rsidRDefault="007F1C63" w:rsidP="007F1C63">
      <w:pPr>
        <w:spacing w:after="240" w:line="360" w:lineRule="auto"/>
        <w:jc w:val="both"/>
        <w:rPr>
          <w:rFonts w:ascii="Arial" w:eastAsia="Arial" w:hAnsi="Arial" w:cs="Arial"/>
          <w:color w:val="0000FF"/>
          <w:kern w:val="0"/>
          <w:u w:val="single"/>
          <w:lang w:eastAsia="en-IN"/>
          <w14:ligatures w14:val="none"/>
        </w:rPr>
      </w:pPr>
      <w:r w:rsidRPr="003C6276">
        <w:rPr>
          <w:rFonts w:ascii="Arial" w:eastAsia="Arial" w:hAnsi="Arial" w:cs="Arial"/>
          <w:color w:val="000000"/>
          <w:kern w:val="0"/>
          <w:lang w:eastAsia="en-IN"/>
          <w14:ligatures w14:val="none"/>
        </w:rPr>
        <w:t xml:space="preserve">Rivera, E., Clark-Cutaia, M.N., Schrauben, S.J., Townsend, R.R., Lash, J.P., Hannan, M., Jaar, B.G., Rincon-Choles, H., Kansal, S., He, J., Chen, J. and Hirschman, K.B. (2022). ‘Treatment adherence in CKD and support from health care providers: A qualitative study’. </w:t>
      </w:r>
      <w:r w:rsidRPr="003C6276">
        <w:rPr>
          <w:rFonts w:ascii="Arial" w:eastAsia="Arial" w:hAnsi="Arial" w:cs="Arial"/>
          <w:i/>
          <w:iCs/>
          <w:color w:val="000000"/>
          <w:kern w:val="0"/>
          <w:lang w:eastAsia="en-IN"/>
          <w14:ligatures w14:val="none"/>
        </w:rPr>
        <w:lastRenderedPageBreak/>
        <w:t>Kidney Medicine</w:t>
      </w:r>
      <w:r w:rsidRPr="003C6276">
        <w:rPr>
          <w:rFonts w:ascii="Arial" w:eastAsia="Arial" w:hAnsi="Arial" w:cs="Arial"/>
          <w:color w:val="000000"/>
          <w:kern w:val="0"/>
          <w:lang w:eastAsia="en-IN"/>
          <w14:ligatures w14:val="none"/>
        </w:rPr>
        <w:t>, 4(11), p.100545. Available at:</w:t>
      </w:r>
      <w:hyperlink r:id="rId112">
        <w:r w:rsidRPr="003C6276">
          <w:rPr>
            <w:rFonts w:ascii="Arial" w:eastAsia="Arial" w:hAnsi="Arial" w:cs="Arial"/>
            <w:color w:val="000000"/>
            <w:kern w:val="0"/>
            <w:lang w:eastAsia="en-IN"/>
            <w14:ligatures w14:val="none"/>
          </w:rPr>
          <w:t xml:space="preserve"> </w:t>
        </w:r>
      </w:hyperlink>
      <w:hyperlink r:id="rId113">
        <w:r w:rsidRPr="003C6276">
          <w:rPr>
            <w:rFonts w:ascii="Arial" w:eastAsia="Arial" w:hAnsi="Arial" w:cs="Arial"/>
            <w:color w:val="0000FF"/>
            <w:kern w:val="0"/>
            <w:u w:val="single"/>
            <w:lang w:eastAsia="en-IN"/>
            <w14:ligatures w14:val="none"/>
          </w:rPr>
          <w:t>https://pmc.ncbi.nlm.nih.gov/articles/PMC9630784/</w:t>
        </w:r>
      </w:hyperlink>
    </w:p>
    <w:p w14:paraId="31D17032" w14:textId="76DF4966" w:rsidR="007F1C63" w:rsidRPr="003C6276" w:rsidRDefault="007F1C63" w:rsidP="007F1C63">
      <w:pPr>
        <w:spacing w:before="240" w:after="240" w:line="360" w:lineRule="auto"/>
        <w:jc w:val="both"/>
        <w:rPr>
          <w:rFonts w:ascii="Arial" w:eastAsia="Arial" w:hAnsi="Arial" w:cs="Arial"/>
          <w:color w:val="FF0000"/>
          <w:kern w:val="0"/>
          <w:lang w:eastAsia="en-IN"/>
          <w14:ligatures w14:val="none"/>
        </w:rPr>
      </w:pPr>
      <w:r w:rsidRPr="003C6276">
        <w:rPr>
          <w:rFonts w:ascii="Arial" w:eastAsia="Arial" w:hAnsi="Arial" w:cs="Arial"/>
          <w:color w:val="000000" w:themeColor="text1"/>
          <w:kern w:val="0"/>
          <w:lang w:eastAsia="en-IN"/>
          <w14:ligatures w14:val="none"/>
        </w:rPr>
        <w:t>Rosenberg, K.L., Mukadam, N., Paterson, G., Sneddon, J., Xu, D., Anwari, K., Burns, A. and Caplin, B., (2026). ‘Global Variation in Predictors of Uptake of Conservative Kidney Management: A Systematic Review and Meta</w:t>
      </w:r>
      <w:r w:rsidRPr="003C6276">
        <w:rPr>
          <w:rFonts w:ascii="Cambria Math" w:eastAsia="Cambria Math" w:hAnsi="Cambria Math" w:cs="Cambria Math"/>
          <w:color w:val="000000" w:themeColor="text1"/>
          <w:kern w:val="0"/>
          <w:lang w:eastAsia="en-IN"/>
          <w14:ligatures w14:val="none"/>
        </w:rPr>
        <w:t>‐</w:t>
      </w:r>
      <w:r w:rsidRPr="003C6276">
        <w:rPr>
          <w:rFonts w:ascii="Arial" w:eastAsia="Arial" w:hAnsi="Arial" w:cs="Arial"/>
          <w:color w:val="000000" w:themeColor="text1"/>
          <w:kern w:val="0"/>
          <w:lang w:eastAsia="en-IN"/>
          <w14:ligatures w14:val="none"/>
        </w:rPr>
        <w:t xml:space="preserve">Analysis’. </w:t>
      </w:r>
      <w:r w:rsidRPr="003C6276">
        <w:rPr>
          <w:rFonts w:ascii="Arial" w:eastAsia="Arial" w:hAnsi="Arial" w:cs="Arial"/>
          <w:i/>
          <w:iCs/>
          <w:color w:val="000000" w:themeColor="text1"/>
          <w:kern w:val="0"/>
          <w:lang w:eastAsia="en-IN"/>
          <w14:ligatures w14:val="none"/>
        </w:rPr>
        <w:t>Journal of Renal Care</w:t>
      </w:r>
      <w:r w:rsidRPr="003C6276">
        <w:rPr>
          <w:rFonts w:ascii="Arial" w:eastAsia="Arial" w:hAnsi="Arial" w:cs="Arial"/>
          <w:color w:val="000000" w:themeColor="text1"/>
          <w:kern w:val="0"/>
          <w:lang w:eastAsia="en-IN"/>
          <w14:ligatures w14:val="none"/>
        </w:rPr>
        <w:t xml:space="preserve">, 52(3), p.e70071. </w:t>
      </w:r>
      <w:r w:rsidR="003C6276" w:rsidRPr="003C6276">
        <w:rPr>
          <w:rFonts w:ascii="Arial" w:eastAsia="Arial" w:hAnsi="Arial" w:cs="Arial"/>
          <w:color w:val="000000" w:themeColor="text1"/>
          <w:kern w:val="0"/>
          <w:lang w:eastAsia="en-IN"/>
          <w14:ligatures w14:val="none"/>
        </w:rPr>
        <w:t>Available at:</w:t>
      </w:r>
      <w:r w:rsidR="003C6276">
        <w:rPr>
          <w:rFonts w:ascii="Arial" w:eastAsia="Arial" w:hAnsi="Arial" w:cs="Arial"/>
          <w:color w:val="000000" w:themeColor="text1"/>
          <w:kern w:val="0"/>
          <w:lang w:eastAsia="en-IN"/>
          <w14:ligatures w14:val="none"/>
        </w:rPr>
        <w:t xml:space="preserve"> </w:t>
      </w:r>
      <w:hyperlink r:id="rId114">
        <w:r w:rsidRPr="003C6276">
          <w:rPr>
            <w:rFonts w:ascii="Arial" w:eastAsia="Arial" w:hAnsi="Arial" w:cs="Arial"/>
            <w:color w:val="1155CC"/>
            <w:kern w:val="0"/>
            <w:u w:val="single"/>
            <w:lang w:eastAsia="en-IN"/>
            <w14:ligatures w14:val="none"/>
          </w:rPr>
          <w:t>https://onlinelibrary.wiley.com/doi/pdf/10.1111/jorc.70071</w:t>
        </w:r>
      </w:hyperlink>
      <w:r w:rsidRPr="003C6276">
        <w:rPr>
          <w:rFonts w:ascii="Arial" w:eastAsia="Arial" w:hAnsi="Arial" w:cs="Arial"/>
          <w:color w:val="FF0000"/>
          <w:kern w:val="0"/>
          <w:lang w:eastAsia="en-IN"/>
          <w14:ligatures w14:val="none"/>
        </w:rPr>
        <w:t xml:space="preserve"> </w:t>
      </w:r>
    </w:p>
    <w:p w14:paraId="4AC9FC50"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Sallam, M., (2023) ‘The utility of ChatGPT as an example of large language models in healthcare education, research and practice: Systematic review on the future perspectives and potential limitations’. </w:t>
      </w:r>
      <w:r w:rsidRPr="003C6276">
        <w:rPr>
          <w:rFonts w:ascii="Arial" w:eastAsia="Arial" w:hAnsi="Arial" w:cs="Arial"/>
          <w:i/>
          <w:iCs/>
          <w:kern w:val="0"/>
          <w:highlight w:val="white"/>
          <w:lang w:eastAsia="en-IN"/>
          <w14:ligatures w14:val="none"/>
        </w:rPr>
        <w:t>MedRxiv</w:t>
      </w:r>
      <w:r w:rsidRPr="003C6276">
        <w:rPr>
          <w:rFonts w:ascii="Arial" w:eastAsia="Arial" w:hAnsi="Arial" w:cs="Arial"/>
          <w:kern w:val="0"/>
          <w:highlight w:val="white"/>
          <w:lang w:eastAsia="en-IN"/>
          <w14:ligatures w14:val="none"/>
        </w:rPr>
        <w:t>, pp.2023-02.</w:t>
      </w:r>
      <w:r w:rsidRPr="003C6276">
        <w:rPr>
          <w:rFonts w:ascii="Arial" w:eastAsia="Arial" w:hAnsi="Arial" w:cs="Arial"/>
          <w:kern w:val="0"/>
          <w:lang w:eastAsia="en-IN"/>
          <w14:ligatures w14:val="none"/>
        </w:rPr>
        <w:t xml:space="preserve"> Available at: </w:t>
      </w:r>
      <w:hyperlink r:id="rId115">
        <w:r w:rsidRPr="003C6276">
          <w:rPr>
            <w:rFonts w:ascii="Arial" w:eastAsia="Arial" w:hAnsi="Arial" w:cs="Arial"/>
            <w:color w:val="1155CC"/>
            <w:kern w:val="0"/>
            <w:u w:val="single"/>
            <w:lang w:eastAsia="en-IN"/>
            <w14:ligatures w14:val="none"/>
          </w:rPr>
          <w:t>https://www.medrxiv.org/content/medrxiv/early/2023/02/21/2023.02.19.23286155.full.pdf</w:t>
        </w:r>
      </w:hyperlink>
      <w:r w:rsidRPr="003C6276">
        <w:rPr>
          <w:rFonts w:ascii="Arial" w:eastAsia="Arial" w:hAnsi="Arial" w:cs="Arial"/>
          <w:kern w:val="0"/>
          <w:lang w:eastAsia="en-IN"/>
          <w14:ligatures w14:val="none"/>
        </w:rPr>
        <w:t xml:space="preserve"> </w:t>
      </w:r>
    </w:p>
    <w:p w14:paraId="41E17436"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Sawaf, H., Gudura, T.T., Dorobisz, S., Sandy, D., Wang, X. and Bobart, S.A. (2023) ‘Genetic susceptibility to chronic kidney disease: links, risks and management’, </w:t>
      </w:r>
      <w:r w:rsidRPr="003C6276">
        <w:rPr>
          <w:rFonts w:ascii="Arial" w:eastAsia="Arial" w:hAnsi="Arial" w:cs="Arial"/>
          <w:i/>
          <w:iCs/>
          <w:color w:val="000000"/>
          <w:kern w:val="0"/>
          <w:lang w:eastAsia="en-IN"/>
          <w14:ligatures w14:val="none"/>
        </w:rPr>
        <w:t>International Journal of Nephrology and Renovascular Disease</w:t>
      </w:r>
      <w:r w:rsidRPr="003C6276">
        <w:rPr>
          <w:rFonts w:ascii="Arial" w:eastAsia="Arial" w:hAnsi="Arial" w:cs="Arial"/>
          <w:color w:val="000000"/>
          <w:kern w:val="0"/>
          <w:lang w:eastAsia="en-IN"/>
          <w14:ligatures w14:val="none"/>
        </w:rPr>
        <w:t>, pp.1–15. Available at:</w:t>
      </w:r>
      <w:hyperlink r:id="rId116">
        <w:r w:rsidRPr="003C6276">
          <w:rPr>
            <w:rFonts w:ascii="Arial" w:eastAsia="Arial" w:hAnsi="Arial" w:cs="Arial"/>
            <w:color w:val="0563C1"/>
            <w:kern w:val="0"/>
            <w:u w:val="single"/>
            <w:lang w:eastAsia="en-IN"/>
            <w14:ligatures w14:val="none"/>
          </w:rPr>
          <w:t xml:space="preserve"> https://doi.org/10.2147/IJNRD.S363041</w:t>
        </w:r>
      </w:hyperlink>
    </w:p>
    <w:p w14:paraId="01340BB8" w14:textId="77777777" w:rsidR="007F1C63" w:rsidRPr="003C6276" w:rsidRDefault="007F1C63" w:rsidP="007F1C63">
      <w:pPr>
        <w:spacing w:after="240" w:line="360" w:lineRule="auto"/>
        <w:jc w:val="both"/>
        <w:rPr>
          <w:rFonts w:ascii="Arial" w:eastAsia="Arial" w:hAnsi="Arial" w:cs="Arial"/>
          <w:color w:val="0000FF"/>
          <w:kern w:val="0"/>
          <w:u w:val="single"/>
          <w:lang w:eastAsia="en-IN"/>
          <w14:ligatures w14:val="none"/>
        </w:rPr>
      </w:pPr>
      <w:r w:rsidRPr="003C6276">
        <w:rPr>
          <w:rFonts w:ascii="Arial" w:eastAsia="Arial" w:hAnsi="Arial" w:cs="Arial"/>
          <w:color w:val="000000"/>
          <w:kern w:val="0"/>
          <w:lang w:eastAsia="en-IN"/>
          <w14:ligatures w14:val="none"/>
        </w:rPr>
        <w:t xml:space="preserve">Sawhney, S., Atherton, I., Blakeman, T., Black, C., Cowan, E., Croucher, C., Fraser, S.D.S., Hughes, A., Nath, M., Nitsch, D., Scholes-Robertson, N. and Diaz, M.R. (2024). ‘Individual and neighborhood-level social and deprivation factors impact kidney health in the GLOMMS-CORE study’. </w:t>
      </w:r>
      <w:r w:rsidRPr="003C6276">
        <w:rPr>
          <w:rFonts w:ascii="Arial" w:eastAsia="Arial" w:hAnsi="Arial" w:cs="Arial"/>
          <w:i/>
          <w:iCs/>
          <w:color w:val="000000"/>
          <w:kern w:val="0"/>
          <w:lang w:eastAsia="en-IN"/>
          <w14:ligatures w14:val="none"/>
        </w:rPr>
        <w:t>Kidney International</w:t>
      </w:r>
      <w:r w:rsidRPr="003C6276">
        <w:rPr>
          <w:rFonts w:ascii="Arial" w:eastAsia="Arial" w:hAnsi="Arial" w:cs="Arial"/>
          <w:color w:val="000000"/>
          <w:kern w:val="0"/>
          <w:lang w:eastAsia="en-IN"/>
          <w14:ligatures w14:val="none"/>
        </w:rPr>
        <w:t>, 106(5), pp.928–942. Available at:</w:t>
      </w:r>
      <w:hyperlink r:id="rId117">
        <w:r w:rsidRPr="003C6276">
          <w:rPr>
            <w:rFonts w:ascii="Arial" w:eastAsia="Arial" w:hAnsi="Arial" w:cs="Arial"/>
            <w:color w:val="000000"/>
            <w:kern w:val="0"/>
            <w:lang w:eastAsia="en-IN"/>
            <w14:ligatures w14:val="none"/>
          </w:rPr>
          <w:t xml:space="preserve"> </w:t>
        </w:r>
      </w:hyperlink>
      <w:hyperlink r:id="rId118">
        <w:r w:rsidRPr="003C6276">
          <w:rPr>
            <w:rFonts w:ascii="Arial" w:eastAsia="Arial" w:hAnsi="Arial" w:cs="Arial"/>
            <w:color w:val="0000FF"/>
            <w:kern w:val="0"/>
            <w:u w:val="single"/>
            <w:lang w:eastAsia="en-IN"/>
            <w14:ligatures w14:val="none"/>
          </w:rPr>
          <w:t>https://doi.org.10.1016/j.kint.2024.07.021</w:t>
        </w:r>
      </w:hyperlink>
    </w:p>
    <w:p w14:paraId="44B24BFD"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bookmarkStart w:id="212" w:name="_heading=h.msoy0hr2z666" w:colFirst="0" w:colLast="0"/>
      <w:bookmarkEnd w:id="212"/>
      <w:r w:rsidRPr="003C6276">
        <w:rPr>
          <w:rFonts w:ascii="Arial" w:eastAsia="Arial" w:hAnsi="Arial" w:cs="Arial"/>
          <w:color w:val="000000"/>
          <w:kern w:val="0"/>
          <w:lang w:eastAsia="en-IN"/>
          <w14:ligatures w14:val="none"/>
        </w:rPr>
        <w:t>Schrauben, S.J., Rivera, E., Bocage, C., Eriksen, W., Amaral, S., Dember, L.M., Feldman, H.I. and Barg, F.K., (2022)</w:t>
      </w:r>
      <w:r w:rsidRPr="003C6276">
        <w:rPr>
          <w:rFonts w:ascii="Arial" w:eastAsia="Arial" w:hAnsi="Arial" w:cs="Arial"/>
          <w:kern w:val="0"/>
          <w:lang w:eastAsia="en-IN"/>
          <w14:ligatures w14:val="none"/>
        </w:rPr>
        <w:t xml:space="preserve"> </w:t>
      </w:r>
      <w:r w:rsidRPr="003C6276">
        <w:rPr>
          <w:rFonts w:ascii="Arial" w:eastAsia="Arial" w:hAnsi="Arial" w:cs="Arial"/>
          <w:color w:val="000000"/>
          <w:kern w:val="0"/>
          <w:lang w:eastAsia="en-IN"/>
          <w14:ligatures w14:val="none"/>
        </w:rPr>
        <w:t xml:space="preserve">‘A qualitative study of facilitators and barriers to self-management of CKD’. </w:t>
      </w:r>
      <w:r w:rsidRPr="003C6276">
        <w:rPr>
          <w:rFonts w:ascii="Arial" w:eastAsia="Arial" w:hAnsi="Arial" w:cs="Arial"/>
          <w:i/>
          <w:iCs/>
          <w:color w:val="000000"/>
          <w:kern w:val="0"/>
          <w:lang w:eastAsia="en-IN"/>
          <w14:ligatures w14:val="none"/>
        </w:rPr>
        <w:t>Kidney International reports</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7</w:t>
      </w:r>
      <w:r w:rsidRPr="003C6276">
        <w:rPr>
          <w:rFonts w:ascii="Arial" w:eastAsia="Arial" w:hAnsi="Arial" w:cs="Arial"/>
          <w:color w:val="000000"/>
          <w:kern w:val="0"/>
          <w:lang w:eastAsia="en-IN"/>
          <w14:ligatures w14:val="none"/>
        </w:rPr>
        <w:t>(1), pp.46-55.</w:t>
      </w:r>
      <w:hyperlink r:id="rId119">
        <w:r w:rsidRPr="003C6276">
          <w:rPr>
            <w:rFonts w:ascii="Arial" w:eastAsia="Arial" w:hAnsi="Arial" w:cs="Arial"/>
            <w:color w:val="000000"/>
            <w:kern w:val="0"/>
            <w:lang w:eastAsia="en-IN"/>
            <w14:ligatures w14:val="none"/>
          </w:rPr>
          <w:t xml:space="preserve"> Available at: </w:t>
        </w:r>
      </w:hyperlink>
      <w:hyperlink r:id="rId120">
        <w:r w:rsidRPr="003C6276">
          <w:rPr>
            <w:rFonts w:ascii="Arial" w:eastAsia="Arial" w:hAnsi="Arial" w:cs="Arial"/>
            <w:color w:val="1155CC"/>
            <w:kern w:val="0"/>
            <w:u w:val="single"/>
            <w:lang w:eastAsia="en-IN"/>
            <w14:ligatures w14:val="none"/>
          </w:rPr>
          <w:t>https://www.sciencedirect.com/science/article/pii/S2468024921015047</w:t>
        </w:r>
      </w:hyperlink>
    </w:p>
    <w:p w14:paraId="071A00F5"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Scottish Parliament (2024) </w:t>
      </w:r>
      <w:r w:rsidRPr="003C6276">
        <w:rPr>
          <w:rFonts w:ascii="Arial" w:eastAsia="Arial" w:hAnsi="Arial" w:cs="Arial"/>
          <w:i/>
          <w:iCs/>
          <w:color w:val="000000"/>
          <w:kern w:val="0"/>
          <w:lang w:eastAsia="en-IN"/>
          <w14:ligatures w14:val="none"/>
        </w:rPr>
        <w:t>PE2081: Make chronic kidney disease a key clinical priority</w:t>
      </w:r>
      <w:r w:rsidRPr="003C6276">
        <w:rPr>
          <w:rFonts w:ascii="Arial" w:eastAsia="Arial" w:hAnsi="Arial" w:cs="Arial"/>
          <w:color w:val="000000"/>
          <w:kern w:val="0"/>
          <w:lang w:eastAsia="en-IN"/>
          <w14:ligatures w14:val="none"/>
        </w:rPr>
        <w:t>. Available at:</w:t>
      </w:r>
      <w:hyperlink r:id="rId121">
        <w:r w:rsidRPr="003C6276">
          <w:rPr>
            <w:rFonts w:ascii="Arial" w:eastAsia="Arial" w:hAnsi="Arial" w:cs="Arial"/>
            <w:color w:val="000000"/>
            <w:kern w:val="0"/>
            <w:lang w:eastAsia="en-IN"/>
            <w14:ligatures w14:val="none"/>
          </w:rPr>
          <w:t xml:space="preserve"> </w:t>
        </w:r>
      </w:hyperlink>
      <w:hyperlink r:id="rId122">
        <w:r w:rsidRPr="003C6276">
          <w:rPr>
            <w:rFonts w:ascii="Arial" w:eastAsia="Arial" w:hAnsi="Arial" w:cs="Arial"/>
            <w:color w:val="0000FF"/>
            <w:kern w:val="0"/>
            <w:u w:val="single"/>
            <w:lang w:eastAsia="en-IN"/>
            <w14:ligatures w14:val="none"/>
          </w:rPr>
          <w:t>https://www.parliament.scot/~/media/committ/8259/Petition-PE2081</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0BA35FFE"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Seidu, S., Abdool, M., Almaqhawi, A., Wilkinson, T.J., Kunutsor, S.K., Khunti, K. and Yates, T., (2023) ‘Physical activity and risk of chronic kidney disease: systematic review and meta-analysis of 12 cohort studies involving 1,281,727 participants’. </w:t>
      </w:r>
      <w:r w:rsidRPr="003C6276">
        <w:rPr>
          <w:rFonts w:ascii="Arial" w:eastAsia="Arial" w:hAnsi="Arial" w:cs="Arial"/>
          <w:i/>
          <w:iCs/>
          <w:color w:val="000000"/>
          <w:kern w:val="0"/>
          <w:lang w:eastAsia="en-IN"/>
          <w14:ligatures w14:val="none"/>
        </w:rPr>
        <w:t>European journal of epidemiology</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38</w:t>
      </w:r>
      <w:r w:rsidRPr="003C6276">
        <w:rPr>
          <w:rFonts w:ascii="Arial" w:eastAsia="Arial" w:hAnsi="Arial" w:cs="Arial"/>
          <w:color w:val="000000"/>
          <w:kern w:val="0"/>
          <w:lang w:eastAsia="en-IN"/>
          <w14:ligatures w14:val="none"/>
        </w:rPr>
        <w:t>(3), pp.267-280.</w:t>
      </w:r>
      <w:hyperlink r:id="rId123">
        <w:r w:rsidRPr="003C6276">
          <w:rPr>
            <w:rFonts w:ascii="Arial" w:eastAsia="Arial" w:hAnsi="Arial" w:cs="Arial"/>
            <w:color w:val="000000"/>
            <w:kern w:val="0"/>
            <w:lang w:eastAsia="en-IN"/>
            <w14:ligatures w14:val="none"/>
          </w:rPr>
          <w:t xml:space="preserve"> Available at: </w:t>
        </w:r>
      </w:hyperlink>
      <w:hyperlink r:id="rId124">
        <w:r w:rsidRPr="003C6276">
          <w:rPr>
            <w:rFonts w:ascii="Arial" w:eastAsia="Arial" w:hAnsi="Arial" w:cs="Arial"/>
            <w:color w:val="1155CC"/>
            <w:kern w:val="0"/>
            <w:u w:val="single"/>
            <w:lang w:eastAsia="en-IN"/>
            <w14:ligatures w14:val="none"/>
          </w:rPr>
          <w:t>https://link.springer.com/article/10.1007/s10654-022-00961-7</w:t>
        </w:r>
      </w:hyperlink>
    </w:p>
    <w:p w14:paraId="15A65477"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222222"/>
          <w:kern w:val="0"/>
          <w:highlight w:val="white"/>
          <w:lang w:eastAsia="en-IN"/>
          <w14:ligatures w14:val="none"/>
        </w:rPr>
        <w:lastRenderedPageBreak/>
        <w:t xml:space="preserve">Shaheen, N., Shaheen, A., Ramadan, A., Hefnawy, M.T., Ramadan, A., Ibrahim, I.A., Hassanein, M.E., Ashour, M.E. and Flouty, O., (2023) ‘Appraising systematic reviews: a comprehensive guide to ensuring validity and reliability’. </w:t>
      </w:r>
      <w:r w:rsidRPr="003C6276">
        <w:rPr>
          <w:rFonts w:ascii="Arial" w:eastAsia="Arial" w:hAnsi="Arial" w:cs="Arial"/>
          <w:i/>
          <w:iCs/>
          <w:color w:val="222222"/>
          <w:kern w:val="0"/>
          <w:highlight w:val="white"/>
          <w:lang w:eastAsia="en-IN"/>
          <w14:ligatures w14:val="none"/>
        </w:rPr>
        <w:t>Frontiers in research metrics and analytics</w:t>
      </w:r>
      <w:r w:rsidRPr="003C6276">
        <w:rPr>
          <w:rFonts w:ascii="Arial" w:eastAsia="Arial" w:hAnsi="Arial" w:cs="Arial"/>
          <w:color w:val="222222"/>
          <w:kern w:val="0"/>
          <w:highlight w:val="white"/>
          <w:lang w:eastAsia="en-IN"/>
          <w14:ligatures w14:val="none"/>
        </w:rPr>
        <w:t xml:space="preserve">, </w:t>
      </w:r>
      <w:r w:rsidRPr="003C6276">
        <w:rPr>
          <w:rFonts w:ascii="Arial" w:eastAsia="Arial" w:hAnsi="Arial" w:cs="Arial"/>
          <w:i/>
          <w:iCs/>
          <w:color w:val="222222"/>
          <w:kern w:val="0"/>
          <w:highlight w:val="white"/>
          <w:lang w:eastAsia="en-IN"/>
          <w14:ligatures w14:val="none"/>
        </w:rPr>
        <w:t>8</w:t>
      </w:r>
      <w:r w:rsidRPr="003C6276">
        <w:rPr>
          <w:rFonts w:ascii="Arial" w:eastAsia="Arial" w:hAnsi="Arial" w:cs="Arial"/>
          <w:color w:val="222222"/>
          <w:kern w:val="0"/>
          <w:highlight w:val="white"/>
          <w:lang w:eastAsia="en-IN"/>
          <w14:ligatures w14:val="none"/>
        </w:rPr>
        <w:t>, p.1268045.</w:t>
      </w:r>
      <w:r w:rsidRPr="003C6276">
        <w:rPr>
          <w:rFonts w:ascii="Arial" w:eastAsia="Arial" w:hAnsi="Arial" w:cs="Arial"/>
          <w:kern w:val="0"/>
          <w:lang w:eastAsia="en-IN"/>
          <w14:ligatures w14:val="none"/>
        </w:rPr>
        <w:t xml:space="preserve"> Available at: </w:t>
      </w:r>
      <w:hyperlink r:id="rId125">
        <w:r w:rsidRPr="003C6276">
          <w:rPr>
            <w:rFonts w:ascii="Arial" w:eastAsia="Arial" w:hAnsi="Arial" w:cs="Arial"/>
            <w:color w:val="1155CC"/>
            <w:kern w:val="0"/>
            <w:u w:val="single"/>
            <w:lang w:eastAsia="en-IN"/>
            <w14:ligatures w14:val="none"/>
          </w:rPr>
          <w:t>https://doi.org/10.3389/frma.2023.1268045</w:t>
        </w:r>
      </w:hyperlink>
      <w:r w:rsidRPr="003C6276">
        <w:rPr>
          <w:rFonts w:ascii="Arial" w:eastAsia="Arial" w:hAnsi="Arial" w:cs="Arial"/>
          <w:kern w:val="0"/>
          <w:lang w:eastAsia="en-IN"/>
          <w14:ligatures w14:val="none"/>
        </w:rPr>
        <w:t xml:space="preserve"> </w:t>
      </w:r>
    </w:p>
    <w:p w14:paraId="29030DC2"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Shishkin, S., Sheiman, I., Potapchik, E., Vlassov, V. and Sazhina, S. (2025) ‘The impact of centralization on structural changes in healthcare: when it works’, </w:t>
      </w:r>
      <w:r w:rsidRPr="003C6276">
        <w:rPr>
          <w:rFonts w:ascii="Arial" w:eastAsia="Arial" w:hAnsi="Arial" w:cs="Arial"/>
          <w:i/>
          <w:iCs/>
          <w:color w:val="000000"/>
          <w:kern w:val="0"/>
          <w:lang w:eastAsia="en-IN"/>
          <w14:ligatures w14:val="none"/>
        </w:rPr>
        <w:t>Frontiers in Health Services</w:t>
      </w:r>
      <w:r w:rsidRPr="003C6276">
        <w:rPr>
          <w:rFonts w:ascii="Arial" w:eastAsia="Arial" w:hAnsi="Arial" w:cs="Arial"/>
          <w:color w:val="000000"/>
          <w:kern w:val="0"/>
          <w:lang w:eastAsia="en-IN"/>
          <w14:ligatures w14:val="none"/>
        </w:rPr>
        <w:t>, 5, p.1484225. Available at:</w:t>
      </w:r>
      <w:hyperlink r:id="rId126">
        <w:r w:rsidRPr="003C6276">
          <w:rPr>
            <w:rFonts w:ascii="Arial" w:eastAsia="Arial" w:hAnsi="Arial" w:cs="Arial"/>
            <w:color w:val="0563C1"/>
            <w:kern w:val="0"/>
            <w:u w:val="single"/>
            <w:lang w:eastAsia="en-IN"/>
            <w14:ligatures w14:val="none"/>
          </w:rPr>
          <w:t xml:space="preserve"> https://doi.org/10.3389/frhs.2025.1484225</w:t>
        </w:r>
      </w:hyperlink>
    </w:p>
    <w:p w14:paraId="75338B9D" w14:textId="77777777" w:rsidR="007F1C63" w:rsidRPr="003C6276" w:rsidRDefault="007F1C63" w:rsidP="007F1C63">
      <w:pPr>
        <w:spacing w:after="240" w:line="360" w:lineRule="auto"/>
        <w:jc w:val="both"/>
        <w:rPr>
          <w:rFonts w:ascii="Arial" w:eastAsia="Arial" w:hAnsi="Arial" w:cs="Arial"/>
          <w:color w:val="0000FF"/>
          <w:kern w:val="0"/>
          <w:u w:val="single"/>
          <w:lang w:eastAsia="en-IN"/>
          <w14:ligatures w14:val="none"/>
        </w:rPr>
      </w:pPr>
      <w:r w:rsidRPr="003C6276">
        <w:rPr>
          <w:rFonts w:ascii="Arial" w:eastAsia="Arial" w:hAnsi="Arial" w:cs="Arial"/>
          <w:color w:val="000000"/>
          <w:kern w:val="0"/>
          <w:lang w:eastAsia="en-IN"/>
          <w14:ligatures w14:val="none"/>
        </w:rPr>
        <w:t xml:space="preserve">Shlipak, M.G., Tummalapalli, S.L., Boulware, L.E., Grams, M.E., Ix, J.H., Jha, V., Kengne, A.P., Madero, M., Mihaylova, B., Tangri, N., Cheung, M., Jadoul, M., Winkelmayer, W.C. and Zoungas, S. (2021). ‘The case for early identification and intervention of chronic kidney disease: Conclusions from a kidney disease: Improving global outcomes (KDIGO) controversies conference’. </w:t>
      </w:r>
      <w:r w:rsidRPr="003C6276">
        <w:rPr>
          <w:rFonts w:ascii="Arial" w:eastAsia="Arial" w:hAnsi="Arial" w:cs="Arial"/>
          <w:i/>
          <w:iCs/>
          <w:color w:val="000000"/>
          <w:kern w:val="0"/>
          <w:lang w:eastAsia="en-IN"/>
          <w14:ligatures w14:val="none"/>
        </w:rPr>
        <w:t>Kidney International</w:t>
      </w:r>
      <w:r w:rsidRPr="003C6276">
        <w:rPr>
          <w:rFonts w:ascii="Arial" w:eastAsia="Arial" w:hAnsi="Arial" w:cs="Arial"/>
          <w:color w:val="000000"/>
          <w:kern w:val="0"/>
          <w:lang w:eastAsia="en-IN"/>
          <w14:ligatures w14:val="none"/>
        </w:rPr>
        <w:t>, 99(1), pp.34–47. Available at:</w:t>
      </w:r>
      <w:hyperlink r:id="rId127">
        <w:r w:rsidRPr="003C6276">
          <w:rPr>
            <w:rFonts w:ascii="Arial" w:eastAsia="Arial" w:hAnsi="Arial" w:cs="Arial"/>
            <w:color w:val="000000"/>
            <w:kern w:val="0"/>
            <w:lang w:eastAsia="en-IN"/>
            <w14:ligatures w14:val="none"/>
          </w:rPr>
          <w:t xml:space="preserve"> </w:t>
        </w:r>
      </w:hyperlink>
      <w:hyperlink r:id="rId128">
        <w:r w:rsidRPr="003C6276">
          <w:rPr>
            <w:rFonts w:ascii="Arial" w:eastAsia="Arial" w:hAnsi="Arial" w:cs="Arial"/>
            <w:color w:val="0000FF"/>
            <w:kern w:val="0"/>
            <w:u w:val="single"/>
            <w:lang w:eastAsia="en-IN"/>
            <w14:ligatures w14:val="none"/>
          </w:rPr>
          <w:t>https://doi.org.10.1016/j.kint.2020.10.012</w:t>
        </w:r>
      </w:hyperlink>
    </w:p>
    <w:p w14:paraId="557FF275"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 xml:space="preserve">Sinha, T., Khilji, F., Laraib, F., Fatima, F., Kaur, M., Chaudhari, S.S., Arrey Agbor, D.B. and Khan, A. (2024) ‘The Effectiveness of Sodium-Glucose Cotransporter-2 (SGLT2) Inhibitors on Cardiovascular Outcomes and All-Cause Mortality in Patients With Acute Coronary Syndrome: A Systematic Review and Meta-Analysis’. </w:t>
      </w:r>
      <w:r w:rsidRPr="003C6276">
        <w:rPr>
          <w:rFonts w:ascii="Arial" w:eastAsia="Arial" w:hAnsi="Arial" w:cs="Arial"/>
          <w:i/>
          <w:iCs/>
          <w:color w:val="000000"/>
          <w:kern w:val="0"/>
          <w:lang w:eastAsia="en-IN"/>
          <w14:ligatures w14:val="none"/>
        </w:rPr>
        <w:t>Cureus</w:t>
      </w:r>
      <w:r w:rsidRPr="003C6276">
        <w:rPr>
          <w:rFonts w:ascii="Arial" w:eastAsia="Arial" w:hAnsi="Arial" w:cs="Arial"/>
          <w:color w:val="000000"/>
          <w:kern w:val="0"/>
          <w:lang w:eastAsia="en-IN"/>
          <w14:ligatures w14:val="none"/>
        </w:rPr>
        <w:t xml:space="preserve">, 16(4), p.e58019. Available at: </w:t>
      </w:r>
      <w:hyperlink r:id="rId129">
        <w:r w:rsidRPr="003C6276">
          <w:rPr>
            <w:rFonts w:ascii="Arial" w:eastAsia="Arial" w:hAnsi="Arial" w:cs="Arial"/>
            <w:color w:val="0000FF"/>
            <w:kern w:val="0"/>
            <w:u w:val="single"/>
            <w:lang w:eastAsia="en-IN"/>
            <w14:ligatures w14:val="none"/>
          </w:rPr>
          <w:t>https://doi.org/10.7759/cureus.58019</w:t>
        </w:r>
      </w:hyperlink>
    </w:p>
    <w:p w14:paraId="2885460D"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Sisk, R., Cameron, R., Tahir, W. and Sammut-Powell, C., (2024) ‘Diagnosis codes underestimate chronic kidney disease incidence compared with eGFR-based evidence: a retrospective observational study of patients with type 2 diabetes in UK primary care’. </w:t>
      </w:r>
      <w:r w:rsidRPr="003C6276">
        <w:rPr>
          <w:rFonts w:ascii="Arial" w:eastAsia="Arial" w:hAnsi="Arial" w:cs="Arial"/>
          <w:i/>
          <w:iCs/>
          <w:kern w:val="0"/>
          <w:highlight w:val="white"/>
          <w:lang w:eastAsia="en-IN"/>
          <w14:ligatures w14:val="none"/>
        </w:rPr>
        <w:t>BJGP open</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8</w:t>
      </w:r>
      <w:r w:rsidRPr="003C6276">
        <w:rPr>
          <w:rFonts w:ascii="Arial" w:eastAsia="Arial" w:hAnsi="Arial" w:cs="Arial"/>
          <w:kern w:val="0"/>
          <w:highlight w:val="white"/>
          <w:lang w:eastAsia="en-IN"/>
          <w14:ligatures w14:val="none"/>
        </w:rPr>
        <w:t>(1).</w:t>
      </w:r>
      <w:r w:rsidRPr="003C6276">
        <w:rPr>
          <w:rFonts w:ascii="Arial" w:eastAsia="Arial" w:hAnsi="Arial" w:cs="Arial"/>
          <w:kern w:val="0"/>
          <w:lang w:eastAsia="en-IN"/>
          <w14:ligatures w14:val="none"/>
        </w:rPr>
        <w:t xml:space="preserve"> Available at: </w:t>
      </w:r>
      <w:hyperlink r:id="rId130">
        <w:r w:rsidRPr="003C6276">
          <w:rPr>
            <w:rFonts w:ascii="Arial" w:eastAsia="Arial" w:hAnsi="Arial" w:cs="Arial"/>
            <w:color w:val="1155CC"/>
            <w:kern w:val="0"/>
            <w:u w:val="single"/>
            <w:lang w:eastAsia="en-IN"/>
            <w14:ligatures w14:val="none"/>
          </w:rPr>
          <w:t>https://doi.org/10.3399/BJGPO.2023.0079</w:t>
        </w:r>
      </w:hyperlink>
      <w:r w:rsidRPr="003C6276">
        <w:rPr>
          <w:rFonts w:ascii="Arial" w:eastAsia="Arial" w:hAnsi="Arial" w:cs="Arial"/>
          <w:kern w:val="0"/>
          <w:lang w:eastAsia="en-IN"/>
          <w14:ligatures w14:val="none"/>
        </w:rPr>
        <w:t xml:space="preserve"> </w:t>
      </w:r>
    </w:p>
    <w:p w14:paraId="1BDD2882"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Stewart, S., Kalra, P.A., Blakeman, T., Kontopantelis, E., Cranmer-Gordon, H. and Sinha, S., (2024) ‘Chronic kidney disease: detect, diagnose, disclose—a UK primary care perspective of barriers and enablers to effective kidney care’. </w:t>
      </w:r>
      <w:r w:rsidRPr="003C6276">
        <w:rPr>
          <w:rFonts w:ascii="Arial" w:eastAsia="Arial" w:hAnsi="Arial" w:cs="Arial"/>
          <w:i/>
          <w:iCs/>
          <w:kern w:val="0"/>
          <w:highlight w:val="white"/>
          <w:lang w:eastAsia="en-IN"/>
          <w14:ligatures w14:val="none"/>
        </w:rPr>
        <w:t>BMC medicine</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22</w:t>
      </w:r>
      <w:r w:rsidRPr="003C6276">
        <w:rPr>
          <w:rFonts w:ascii="Arial" w:eastAsia="Arial" w:hAnsi="Arial" w:cs="Arial"/>
          <w:kern w:val="0"/>
          <w:highlight w:val="white"/>
          <w:lang w:eastAsia="en-IN"/>
          <w14:ligatures w14:val="none"/>
        </w:rPr>
        <w:t>(1), p.331.</w:t>
      </w:r>
      <w:r w:rsidRPr="003C6276">
        <w:rPr>
          <w:rFonts w:ascii="Arial" w:eastAsia="Arial" w:hAnsi="Arial" w:cs="Arial"/>
          <w:kern w:val="0"/>
          <w:lang w:eastAsia="en-IN"/>
          <w14:ligatures w14:val="none"/>
        </w:rPr>
        <w:t xml:space="preserve"> Available at: </w:t>
      </w:r>
      <w:hyperlink r:id="rId131">
        <w:r w:rsidRPr="003C6276">
          <w:rPr>
            <w:rFonts w:ascii="Arial" w:eastAsia="Arial" w:hAnsi="Arial" w:cs="Arial"/>
            <w:color w:val="1155CC"/>
            <w:kern w:val="0"/>
            <w:u w:val="single"/>
            <w:lang w:eastAsia="en-IN"/>
            <w14:ligatures w14:val="none"/>
          </w:rPr>
          <w:t>https://doi.org/10.1186/s12916-024-03555-0</w:t>
        </w:r>
      </w:hyperlink>
      <w:r w:rsidRPr="003C6276">
        <w:rPr>
          <w:rFonts w:ascii="Arial" w:eastAsia="Arial" w:hAnsi="Arial" w:cs="Arial"/>
          <w:kern w:val="0"/>
          <w:lang w:eastAsia="en-IN"/>
          <w14:ligatures w14:val="none"/>
        </w:rPr>
        <w:t xml:space="preserve"> </w:t>
      </w:r>
    </w:p>
    <w:p w14:paraId="0E67B728"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lang w:eastAsia="en-IN"/>
          <w14:ligatures w14:val="none"/>
        </w:rPr>
        <w:t xml:space="preserve">Swamy, S., Noor, S.M. and Mathew, R.O. (2023) ‘Cardiovascular disease in diabetes and chronic kidney disease’, </w:t>
      </w:r>
      <w:r w:rsidRPr="003C6276">
        <w:rPr>
          <w:rFonts w:ascii="Arial" w:eastAsia="Arial" w:hAnsi="Arial" w:cs="Arial"/>
          <w:i/>
          <w:iCs/>
          <w:color w:val="000000"/>
          <w:kern w:val="0"/>
          <w:lang w:eastAsia="en-IN"/>
          <w14:ligatures w14:val="none"/>
        </w:rPr>
        <w:t>Journal of Clinical Medicine</w:t>
      </w:r>
      <w:r w:rsidRPr="003C6276">
        <w:rPr>
          <w:rFonts w:ascii="Arial" w:eastAsia="Arial" w:hAnsi="Arial" w:cs="Arial"/>
          <w:color w:val="000000"/>
          <w:kern w:val="0"/>
          <w:lang w:eastAsia="en-IN"/>
          <w14:ligatures w14:val="none"/>
        </w:rPr>
        <w:t>, 12(22), p.6984. Available at:</w:t>
      </w:r>
      <w:hyperlink r:id="rId132">
        <w:r w:rsidRPr="003C6276">
          <w:rPr>
            <w:rFonts w:ascii="Arial" w:eastAsia="Arial" w:hAnsi="Arial" w:cs="Arial"/>
            <w:color w:val="0563C1"/>
            <w:kern w:val="0"/>
            <w:u w:val="single"/>
            <w:lang w:eastAsia="en-IN"/>
            <w14:ligatures w14:val="none"/>
          </w:rPr>
          <w:t xml:space="preserve"> https://doi.org/10.3390/jcm12226984</w:t>
        </w:r>
      </w:hyperlink>
    </w:p>
    <w:p w14:paraId="3BEA2849" w14:textId="77777777" w:rsidR="007F1C63" w:rsidRPr="003C6276" w:rsidRDefault="007F1C63" w:rsidP="007F1C63">
      <w:pPr>
        <w:spacing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lang w:eastAsia="en-IN"/>
          <w14:ligatures w14:val="none"/>
        </w:rPr>
        <w:t xml:space="preserve">The King’s Fund (2023) </w:t>
      </w:r>
      <w:r w:rsidRPr="003C6276">
        <w:rPr>
          <w:rFonts w:ascii="Arial" w:eastAsia="Arial" w:hAnsi="Arial" w:cs="Arial"/>
          <w:i/>
          <w:iCs/>
          <w:color w:val="000000"/>
          <w:kern w:val="0"/>
          <w:lang w:eastAsia="en-IN"/>
          <w14:ligatures w14:val="none"/>
        </w:rPr>
        <w:t>The health of people from ethnic minority groups in England.</w:t>
      </w:r>
      <w:r w:rsidRPr="003C6276">
        <w:rPr>
          <w:rFonts w:ascii="Arial" w:eastAsia="Arial" w:hAnsi="Arial" w:cs="Arial"/>
          <w:color w:val="000000"/>
          <w:kern w:val="0"/>
          <w:lang w:eastAsia="en-IN"/>
          <w14:ligatures w14:val="none"/>
        </w:rPr>
        <w:t xml:space="preserve"> Available at:</w:t>
      </w:r>
      <w:hyperlink r:id="rId133">
        <w:r w:rsidRPr="003C6276">
          <w:rPr>
            <w:rFonts w:ascii="Arial" w:eastAsia="Arial" w:hAnsi="Arial" w:cs="Arial"/>
            <w:color w:val="000000"/>
            <w:kern w:val="0"/>
            <w:lang w:eastAsia="en-IN"/>
            <w14:ligatures w14:val="none"/>
          </w:rPr>
          <w:t xml:space="preserve"> </w:t>
        </w:r>
      </w:hyperlink>
      <w:hyperlink r:id="rId134">
        <w:r w:rsidRPr="003C6276">
          <w:rPr>
            <w:rFonts w:ascii="Arial" w:eastAsia="Arial" w:hAnsi="Arial" w:cs="Arial"/>
            <w:color w:val="0000FF"/>
            <w:kern w:val="0"/>
            <w:u w:val="single"/>
            <w:lang w:eastAsia="en-IN"/>
            <w14:ligatures w14:val="none"/>
          </w:rPr>
          <w:t>http://kingsfund.org.uk/insight-and-analysis/long-reads/health-people-ethnic-minority-groups-england</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21185F8C"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lastRenderedPageBreak/>
        <w:t xml:space="preserve">Trakarnvanich, T., Chailimpamontree, W., Kantachuvesiri, S., Anutrakulchai, S., Manomaipiboon, B., Ngamvitchukorn, T., Suraamornkul, S., Trakarnvanich, T. and Kurathong, S., (2024) ‘Effect of a low salt diet on the progression of chronic kidney disease: a prospective, open-label, randomized controlled trial’. </w:t>
      </w:r>
      <w:r w:rsidRPr="003C6276">
        <w:rPr>
          <w:rFonts w:ascii="Arial" w:eastAsia="Arial" w:hAnsi="Arial" w:cs="Arial"/>
          <w:i/>
          <w:iCs/>
          <w:color w:val="000000"/>
          <w:kern w:val="0"/>
          <w:lang w:eastAsia="en-IN"/>
          <w14:ligatures w14:val="none"/>
        </w:rPr>
        <w:t>Journal of Primary Care &amp; Community Health</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15</w:t>
      </w:r>
      <w:r w:rsidRPr="003C6276">
        <w:rPr>
          <w:rFonts w:ascii="Arial" w:eastAsia="Arial" w:hAnsi="Arial" w:cs="Arial"/>
          <w:color w:val="000000"/>
          <w:kern w:val="0"/>
          <w:lang w:eastAsia="en-IN"/>
          <w14:ligatures w14:val="none"/>
        </w:rPr>
        <w:t>, p.21501319241297766. Available at:</w:t>
      </w:r>
      <w:hyperlink r:id="rId135">
        <w:r w:rsidRPr="003C6276">
          <w:rPr>
            <w:rFonts w:ascii="Arial" w:eastAsia="Arial" w:hAnsi="Arial" w:cs="Arial"/>
            <w:color w:val="1155CC"/>
            <w:kern w:val="0"/>
            <w:u w:val="single"/>
            <w:lang w:eastAsia="en-IN"/>
            <w14:ligatures w14:val="none"/>
          </w:rPr>
          <w:t>https://doi.org/10.1177/21501319241297766</w:t>
        </w:r>
      </w:hyperlink>
    </w:p>
    <w:p w14:paraId="3F164E55"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UK Bio Bank (2024)</w:t>
      </w:r>
      <w:r w:rsidRPr="003C6276">
        <w:rPr>
          <w:rFonts w:ascii="Arial" w:eastAsia="Arial" w:hAnsi="Arial" w:cs="Arial"/>
          <w:i/>
          <w:iCs/>
          <w:color w:val="000000"/>
          <w:kern w:val="0"/>
          <w:lang w:eastAsia="en-IN"/>
          <w14:ligatures w14:val="none"/>
        </w:rPr>
        <w:t xml:space="preserve"> The European Chronic Kidney Disease (CKD) Burden Consortium.</w:t>
      </w:r>
      <w:r w:rsidRPr="003C6276">
        <w:rPr>
          <w:rFonts w:ascii="Arial" w:eastAsia="Arial" w:hAnsi="Arial" w:cs="Arial"/>
          <w:color w:val="000000"/>
          <w:kern w:val="0"/>
          <w:lang w:eastAsia="en-IN"/>
          <w14:ligatures w14:val="none"/>
        </w:rPr>
        <w:t xml:space="preserve"> Available at: </w:t>
      </w:r>
      <w:hyperlink r:id="rId136">
        <w:r w:rsidRPr="003C6276">
          <w:rPr>
            <w:rFonts w:ascii="Arial" w:eastAsia="Arial" w:hAnsi="Arial" w:cs="Arial"/>
            <w:color w:val="1155CC"/>
            <w:kern w:val="0"/>
            <w:u w:val="single"/>
            <w:lang w:eastAsia="en-IN"/>
            <w14:ligatures w14:val="none"/>
          </w:rPr>
          <w:t>https://www.ukbiobank.ac.uk/projects/the-european-chronic-kidney-disease-ckd-burden-consortium/</w:t>
        </w:r>
      </w:hyperlink>
      <w:r w:rsidRPr="003C6276">
        <w:rPr>
          <w:rFonts w:ascii="Arial" w:eastAsia="Arial" w:hAnsi="Arial" w:cs="Arial"/>
          <w:color w:val="000000"/>
          <w:kern w:val="0"/>
          <w:lang w:eastAsia="en-IN"/>
          <w14:ligatures w14:val="none"/>
        </w:rPr>
        <w:t xml:space="preserve"> (Accessed: 16 June 2026)</w:t>
      </w:r>
    </w:p>
    <w:p w14:paraId="55C7EFDD"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kern w:val="0"/>
          <w:lang w:eastAsia="en-IN"/>
          <w14:ligatures w14:val="none"/>
        </w:rPr>
      </w:pPr>
      <w:r w:rsidRPr="003C6276">
        <w:rPr>
          <w:rFonts w:ascii="Arial" w:eastAsia="Arial" w:hAnsi="Arial" w:cs="Arial"/>
          <w:color w:val="000000"/>
          <w:kern w:val="0"/>
          <w:lang w:eastAsia="en-IN"/>
          <w14:ligatures w14:val="none"/>
        </w:rPr>
        <w:t>UK Kidney (2023)</w:t>
      </w:r>
      <w:r w:rsidRPr="003C6276">
        <w:rPr>
          <w:rFonts w:ascii="Arial" w:eastAsia="Arial" w:hAnsi="Arial" w:cs="Arial"/>
          <w:i/>
          <w:iCs/>
          <w:color w:val="000000"/>
          <w:kern w:val="0"/>
          <w:lang w:eastAsia="en-IN"/>
          <w14:ligatures w14:val="none"/>
        </w:rPr>
        <w:t xml:space="preserve"> Deprivation report UKKA final.</w:t>
      </w:r>
      <w:r w:rsidRPr="003C6276">
        <w:rPr>
          <w:rFonts w:ascii="Arial" w:eastAsia="Arial" w:hAnsi="Arial" w:cs="Arial"/>
          <w:color w:val="000000"/>
          <w:kern w:val="0"/>
          <w:lang w:eastAsia="en-IN"/>
          <w14:ligatures w14:val="none"/>
        </w:rPr>
        <w:t xml:space="preserve"> Available at: </w:t>
      </w:r>
      <w:hyperlink r:id="rId137">
        <w:r w:rsidRPr="003C6276">
          <w:rPr>
            <w:rFonts w:ascii="Arial" w:eastAsia="Arial" w:hAnsi="Arial" w:cs="Arial"/>
            <w:color w:val="1155CC"/>
            <w:kern w:val="0"/>
            <w:u w:val="single"/>
            <w:lang w:eastAsia="en-IN"/>
            <w14:ligatures w14:val="none"/>
          </w:rPr>
          <w:t>https://www.ukkidney.org/sites/default/files/Socioeconomic%20Disparities%202023%20Final.pdf</w:t>
        </w:r>
      </w:hyperlink>
      <w:r w:rsidRPr="003C6276">
        <w:rPr>
          <w:rFonts w:ascii="Arial" w:eastAsia="Arial" w:hAnsi="Arial" w:cs="Arial"/>
          <w:color w:val="000000"/>
          <w:kern w:val="0"/>
          <w:lang w:eastAsia="en-IN"/>
          <w14:ligatures w14:val="none"/>
        </w:rPr>
        <w:t xml:space="preserve"> (Accessed: 17 June 2026)</w:t>
      </w:r>
    </w:p>
    <w:p w14:paraId="7249DB15"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UK Kidney Association (2025) </w:t>
      </w:r>
      <w:r w:rsidRPr="003C6276">
        <w:rPr>
          <w:rFonts w:ascii="Arial" w:eastAsia="Arial" w:hAnsi="Arial" w:cs="Arial"/>
          <w:i/>
          <w:iCs/>
          <w:color w:val="000000"/>
          <w:kern w:val="0"/>
          <w:lang w:eastAsia="en-IN"/>
          <w14:ligatures w14:val="none"/>
        </w:rPr>
        <w:t>Guidelines and Commentaries</w:t>
      </w:r>
      <w:r w:rsidRPr="003C6276">
        <w:rPr>
          <w:rFonts w:ascii="Arial" w:eastAsia="Arial" w:hAnsi="Arial" w:cs="Arial"/>
          <w:color w:val="000000"/>
          <w:kern w:val="0"/>
          <w:lang w:eastAsia="en-IN"/>
          <w14:ligatures w14:val="none"/>
        </w:rPr>
        <w:t>. Available at:</w:t>
      </w:r>
      <w:r w:rsidRPr="003C6276">
        <w:rPr>
          <w:rFonts w:ascii="Arial" w:eastAsia="Arial" w:hAnsi="Arial" w:cs="Arial"/>
          <w:color w:val="0000FF"/>
          <w:kern w:val="0"/>
          <w:lang w:eastAsia="en-IN"/>
          <w14:ligatures w14:val="none"/>
        </w:rPr>
        <w:t xml:space="preserve"> </w:t>
      </w:r>
      <w:hyperlink r:id="rId138">
        <w:r w:rsidRPr="003C6276">
          <w:rPr>
            <w:rFonts w:ascii="Arial" w:eastAsia="Arial" w:hAnsi="Arial" w:cs="Arial"/>
            <w:color w:val="0000FF"/>
            <w:kern w:val="0"/>
            <w:u w:val="single"/>
            <w:lang w:eastAsia="en-IN"/>
            <w14:ligatures w14:val="none"/>
          </w:rPr>
          <w:t>https://www.ukkidney.org/guidelines-and-commentaries</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17 June 2026).</w:t>
      </w:r>
    </w:p>
    <w:p w14:paraId="1666A0C1"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UK Parliament (2023) </w:t>
      </w:r>
      <w:r w:rsidRPr="003C6276">
        <w:rPr>
          <w:rFonts w:ascii="Arial" w:eastAsia="Arial" w:hAnsi="Arial" w:cs="Arial"/>
          <w:i/>
          <w:iCs/>
          <w:color w:val="000000"/>
          <w:kern w:val="0"/>
          <w:lang w:eastAsia="en-IN"/>
          <w14:ligatures w14:val="none"/>
        </w:rPr>
        <w:t>Written evidence submitted by Kidney Research UK (PHS0265)</w:t>
      </w:r>
      <w:r w:rsidRPr="003C6276">
        <w:rPr>
          <w:rFonts w:ascii="Arial" w:eastAsia="Arial" w:hAnsi="Arial" w:cs="Arial"/>
          <w:color w:val="000000"/>
          <w:kern w:val="0"/>
          <w:lang w:eastAsia="en-IN"/>
          <w14:ligatures w14:val="none"/>
        </w:rPr>
        <w:t xml:space="preserve">. </w:t>
      </w:r>
      <w:r w:rsidRPr="003C6276">
        <w:rPr>
          <w:rFonts w:ascii="Arial" w:eastAsia="Arial" w:hAnsi="Arial" w:cs="Arial"/>
          <w:color w:val="0000FF"/>
          <w:kern w:val="0"/>
          <w:lang w:eastAsia="en-IN"/>
          <w14:ligatures w14:val="none"/>
        </w:rPr>
        <w:t>Available at:</w:t>
      </w:r>
      <w:hyperlink r:id="rId139">
        <w:r w:rsidRPr="003C6276">
          <w:rPr>
            <w:rFonts w:ascii="Arial" w:eastAsia="Arial" w:hAnsi="Arial" w:cs="Arial"/>
            <w:color w:val="0000FF"/>
            <w:kern w:val="0"/>
            <w:lang w:eastAsia="en-IN"/>
            <w14:ligatures w14:val="none"/>
          </w:rPr>
          <w:t xml:space="preserve"> </w:t>
        </w:r>
      </w:hyperlink>
      <w:hyperlink r:id="rId140">
        <w:r w:rsidRPr="003C6276">
          <w:rPr>
            <w:rFonts w:ascii="Arial" w:eastAsia="Arial" w:hAnsi="Arial" w:cs="Arial"/>
            <w:color w:val="0000FF"/>
            <w:kern w:val="0"/>
            <w:u w:val="single"/>
            <w:lang w:eastAsia="en-IN"/>
            <w14:ligatures w14:val="none"/>
          </w:rPr>
          <w:t>https://committees.parliament.uk/writtenevidence/117882/html/</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7A31C3C8" w14:textId="77777777" w:rsidR="007F1C63" w:rsidRPr="003C6276" w:rsidRDefault="007F1C63" w:rsidP="007F1C63">
      <w:pPr>
        <w:spacing w:after="240" w:line="360" w:lineRule="auto"/>
        <w:jc w:val="both"/>
        <w:rPr>
          <w:rFonts w:ascii="Arial" w:eastAsia="Arial" w:hAnsi="Arial" w:cs="Arial"/>
          <w:color w:val="0000FF"/>
          <w:kern w:val="0"/>
          <w:u w:val="single"/>
          <w:lang w:eastAsia="en-IN"/>
          <w14:ligatures w14:val="none"/>
        </w:rPr>
      </w:pPr>
      <w:r w:rsidRPr="003C6276">
        <w:rPr>
          <w:rFonts w:ascii="Arial" w:eastAsia="Arial" w:hAnsi="Arial" w:cs="Arial"/>
          <w:color w:val="000000"/>
          <w:kern w:val="0"/>
          <w:lang w:eastAsia="en-IN"/>
          <w14:ligatures w14:val="none"/>
        </w:rPr>
        <w:t xml:space="preserve">van Zwieten, A., Kim, S., Dominello, A., Guha, C., Craig, J.C. and Wong, G. (2024). ‘Socioeconomic position and health among children and adolescents with chronic kidney disease across the life-course’. </w:t>
      </w:r>
      <w:r w:rsidRPr="003C6276">
        <w:rPr>
          <w:rFonts w:ascii="Arial" w:eastAsia="Arial" w:hAnsi="Arial" w:cs="Arial"/>
          <w:i/>
          <w:iCs/>
          <w:color w:val="000000"/>
          <w:kern w:val="0"/>
          <w:lang w:eastAsia="en-IN"/>
          <w14:ligatures w14:val="none"/>
        </w:rPr>
        <w:t>Kidney international reports</w:t>
      </w:r>
      <w:r w:rsidRPr="003C6276">
        <w:rPr>
          <w:rFonts w:ascii="Arial" w:eastAsia="Arial" w:hAnsi="Arial" w:cs="Arial"/>
          <w:color w:val="000000"/>
          <w:kern w:val="0"/>
          <w:lang w:eastAsia="en-IN"/>
          <w14:ligatures w14:val="none"/>
        </w:rPr>
        <w:t>, 9(5). Available at:</w:t>
      </w:r>
      <w:hyperlink r:id="rId141">
        <w:r w:rsidRPr="003C6276">
          <w:rPr>
            <w:rFonts w:ascii="Arial" w:eastAsia="Arial" w:hAnsi="Arial" w:cs="Arial"/>
            <w:color w:val="000000"/>
            <w:kern w:val="0"/>
            <w:lang w:eastAsia="en-IN"/>
            <w14:ligatures w14:val="none"/>
          </w:rPr>
          <w:t xml:space="preserve"> </w:t>
        </w:r>
      </w:hyperlink>
      <w:hyperlink r:id="rId142">
        <w:r w:rsidRPr="003C6276">
          <w:rPr>
            <w:rFonts w:ascii="Arial" w:eastAsia="Arial" w:hAnsi="Arial" w:cs="Arial"/>
            <w:color w:val="0000FF"/>
            <w:kern w:val="0"/>
            <w:u w:val="single"/>
            <w:lang w:eastAsia="en-IN"/>
            <w14:ligatures w14:val="none"/>
          </w:rPr>
          <w:t>https://doi.org.10.1016/j.ekir.2024.01.042</w:t>
        </w:r>
      </w:hyperlink>
    </w:p>
    <w:p w14:paraId="6230CE49" w14:textId="77777777" w:rsidR="007F1C63" w:rsidRPr="003C6276" w:rsidRDefault="007F1C63" w:rsidP="007F1C63">
      <w:pPr>
        <w:spacing w:before="240" w:after="240" w:line="360" w:lineRule="auto"/>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Walker, H., Khan, S., Padmanabhan, S., Pell, J.P., Lewsey, J., Mackay, D., Dundas, R., Friday, J.M., Tran, T.Q., Brown, D. and Ho, F., (2025) ‘Analysis of the kidney failure risk equation implementation in routine clinical practice and health inequalities in chronic kidney disease care: a retrospective cohort study’. </w:t>
      </w:r>
      <w:r w:rsidRPr="003C6276">
        <w:rPr>
          <w:rFonts w:ascii="Arial" w:eastAsia="Arial" w:hAnsi="Arial" w:cs="Arial"/>
          <w:i/>
          <w:iCs/>
          <w:kern w:val="0"/>
          <w:highlight w:val="white"/>
          <w:lang w:eastAsia="en-IN"/>
          <w14:ligatures w14:val="none"/>
        </w:rPr>
        <w:t>BMC nephrology</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26</w:t>
      </w:r>
      <w:r w:rsidRPr="003C6276">
        <w:rPr>
          <w:rFonts w:ascii="Arial" w:eastAsia="Arial" w:hAnsi="Arial" w:cs="Arial"/>
          <w:kern w:val="0"/>
          <w:highlight w:val="white"/>
          <w:lang w:eastAsia="en-IN"/>
          <w14:ligatures w14:val="none"/>
        </w:rPr>
        <w:t>(1), p.113.</w:t>
      </w:r>
      <w:r w:rsidRPr="003C6276">
        <w:rPr>
          <w:rFonts w:ascii="Arial" w:eastAsia="Arial" w:hAnsi="Arial" w:cs="Arial"/>
          <w:kern w:val="0"/>
          <w:lang w:eastAsia="en-IN"/>
          <w14:ligatures w14:val="none"/>
        </w:rPr>
        <w:t xml:space="preserve"> Available at: </w:t>
      </w:r>
      <w:hyperlink r:id="rId143">
        <w:r w:rsidRPr="003C6276">
          <w:rPr>
            <w:rFonts w:ascii="Arial" w:eastAsia="Arial" w:hAnsi="Arial" w:cs="Arial"/>
            <w:color w:val="1155CC"/>
            <w:kern w:val="0"/>
            <w:u w:val="single"/>
            <w:lang w:eastAsia="en-IN"/>
            <w14:ligatures w14:val="none"/>
          </w:rPr>
          <w:t>https://doi.org/10.1186/s12882-025-04043-0</w:t>
        </w:r>
      </w:hyperlink>
      <w:r w:rsidRPr="003C6276">
        <w:rPr>
          <w:rFonts w:ascii="Arial" w:eastAsia="Arial" w:hAnsi="Arial" w:cs="Arial"/>
          <w:kern w:val="0"/>
          <w:lang w:eastAsia="en-IN"/>
          <w14:ligatures w14:val="none"/>
        </w:rPr>
        <w:t xml:space="preserve"> </w:t>
      </w:r>
    </w:p>
    <w:p w14:paraId="05669F77"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Wang, X., Lin, R., Ji, X., Xu, Z., Chang, H., Gu, X., Ye, M., Zhang, Y. and Bao, Z., (2025) ‘Insulin resistance mediates the association between adiposity markers and incident chronic kidney disease: Findings from the UK Biobank prospective cohort study’. </w:t>
      </w:r>
      <w:r w:rsidRPr="003C6276">
        <w:rPr>
          <w:rFonts w:ascii="Arial" w:eastAsia="Arial" w:hAnsi="Arial" w:cs="Arial"/>
          <w:i/>
          <w:iCs/>
          <w:color w:val="000000"/>
          <w:kern w:val="0"/>
          <w:lang w:eastAsia="en-IN"/>
          <w14:ligatures w14:val="none"/>
        </w:rPr>
        <w:t>Diabetes Research and Clinical Practice</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225</w:t>
      </w:r>
      <w:r w:rsidRPr="003C6276">
        <w:rPr>
          <w:rFonts w:ascii="Arial" w:eastAsia="Arial" w:hAnsi="Arial" w:cs="Arial"/>
          <w:color w:val="000000"/>
          <w:kern w:val="0"/>
          <w:lang w:eastAsia="en-IN"/>
          <w14:ligatures w14:val="none"/>
        </w:rPr>
        <w:t>, p.112255.</w:t>
      </w:r>
      <w:hyperlink r:id="rId144">
        <w:r w:rsidRPr="003C6276">
          <w:rPr>
            <w:rFonts w:ascii="Arial" w:eastAsia="Arial" w:hAnsi="Arial" w:cs="Arial"/>
            <w:color w:val="000000"/>
            <w:kern w:val="0"/>
            <w:lang w:eastAsia="en-IN"/>
            <w14:ligatures w14:val="none"/>
          </w:rPr>
          <w:t xml:space="preserve"> Available at: </w:t>
        </w:r>
      </w:hyperlink>
      <w:hyperlink r:id="rId145">
        <w:r w:rsidRPr="003C6276">
          <w:rPr>
            <w:rFonts w:ascii="Arial" w:eastAsia="Arial" w:hAnsi="Arial" w:cs="Arial"/>
            <w:color w:val="1155CC"/>
            <w:kern w:val="0"/>
            <w:u w:val="single"/>
            <w:lang w:eastAsia="en-IN"/>
            <w14:ligatures w14:val="none"/>
          </w:rPr>
          <w:t>https://www.sciencedirect.com/science/article/pii/S0168822725002694</w:t>
        </w:r>
      </w:hyperlink>
    </w:p>
    <w:p w14:paraId="4D003CA5"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lastRenderedPageBreak/>
        <w:t xml:space="preserve">Wei, N., Wang, Z., Li, X., Zhang, Y., Zhang, J., Huang, Z. and Wang, X. (2024) ‘Improved staffing policies and practices in healthcare based on a conceptual model’. </w:t>
      </w:r>
      <w:r w:rsidRPr="003C6276">
        <w:rPr>
          <w:rFonts w:ascii="Arial" w:eastAsia="Arial" w:hAnsi="Arial" w:cs="Arial"/>
          <w:i/>
          <w:iCs/>
          <w:color w:val="000000"/>
          <w:kern w:val="0"/>
          <w:lang w:eastAsia="en-IN"/>
          <w14:ligatures w14:val="none"/>
        </w:rPr>
        <w:t>Frontiers in Public Health</w:t>
      </w:r>
      <w:r w:rsidRPr="003C6276">
        <w:rPr>
          <w:rFonts w:ascii="Arial" w:eastAsia="Arial" w:hAnsi="Arial" w:cs="Arial"/>
          <w:color w:val="000000"/>
          <w:kern w:val="0"/>
          <w:lang w:eastAsia="en-IN"/>
          <w14:ligatures w14:val="none"/>
        </w:rPr>
        <w:t>, 12, p.1431017. Available at:</w:t>
      </w:r>
      <w:hyperlink r:id="rId146">
        <w:r w:rsidRPr="003C6276">
          <w:rPr>
            <w:rFonts w:ascii="Arial" w:eastAsia="Arial" w:hAnsi="Arial" w:cs="Arial"/>
            <w:color w:val="1155CC"/>
            <w:kern w:val="0"/>
            <w:u w:val="single"/>
            <w:lang w:eastAsia="en-IN"/>
            <w14:ligatures w14:val="none"/>
          </w:rPr>
          <w:t>https://doi.org/10.3389/fpubh.2024.1431017</w:t>
        </w:r>
      </w:hyperlink>
    </w:p>
    <w:p w14:paraId="1D236A6C"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Weldegiorgis, M. and Woodward, M., (2022) ‘Elevated triglycerides and reduced high-density lipoprotein cholesterol are independently associated with the onset of advanced chronic kidney disease: a cohort study of 911,360 individuals from the United Kingdom’. </w:t>
      </w:r>
      <w:r w:rsidRPr="003C6276">
        <w:rPr>
          <w:rFonts w:ascii="Arial" w:eastAsia="Arial" w:hAnsi="Arial" w:cs="Arial"/>
          <w:i/>
          <w:iCs/>
          <w:color w:val="000000"/>
          <w:kern w:val="0"/>
          <w:lang w:eastAsia="en-IN"/>
          <w14:ligatures w14:val="none"/>
        </w:rPr>
        <w:t>BMC Nephrology</w:t>
      </w:r>
      <w:r w:rsidRPr="003C6276">
        <w:rPr>
          <w:rFonts w:ascii="Arial" w:eastAsia="Arial" w:hAnsi="Arial" w:cs="Arial"/>
          <w:color w:val="000000"/>
          <w:kern w:val="0"/>
          <w:lang w:eastAsia="en-IN"/>
          <w14:ligatures w14:val="none"/>
        </w:rPr>
        <w:t xml:space="preserve">, </w:t>
      </w:r>
      <w:r w:rsidRPr="003C6276">
        <w:rPr>
          <w:rFonts w:ascii="Arial" w:eastAsia="Arial" w:hAnsi="Arial" w:cs="Arial"/>
          <w:i/>
          <w:iCs/>
          <w:color w:val="000000"/>
          <w:kern w:val="0"/>
          <w:lang w:eastAsia="en-IN"/>
          <w14:ligatures w14:val="none"/>
        </w:rPr>
        <w:t>23</w:t>
      </w:r>
      <w:r w:rsidRPr="003C6276">
        <w:rPr>
          <w:rFonts w:ascii="Arial" w:eastAsia="Arial" w:hAnsi="Arial" w:cs="Arial"/>
          <w:color w:val="000000"/>
          <w:kern w:val="0"/>
          <w:lang w:eastAsia="en-IN"/>
          <w14:ligatures w14:val="none"/>
        </w:rPr>
        <w:t>(1), p.312.</w:t>
      </w:r>
      <w:hyperlink r:id="rId147">
        <w:r w:rsidRPr="003C6276">
          <w:rPr>
            <w:rFonts w:ascii="Arial" w:eastAsia="Arial" w:hAnsi="Arial" w:cs="Arial"/>
            <w:color w:val="000000"/>
            <w:kern w:val="0"/>
            <w:lang w:eastAsia="en-IN"/>
            <w14:ligatures w14:val="none"/>
          </w:rPr>
          <w:t xml:space="preserve"> Available at: </w:t>
        </w:r>
      </w:hyperlink>
      <w:hyperlink r:id="rId148">
        <w:r w:rsidRPr="003C6276">
          <w:rPr>
            <w:rFonts w:ascii="Arial" w:eastAsia="Arial" w:hAnsi="Arial" w:cs="Arial"/>
            <w:color w:val="1155CC"/>
            <w:kern w:val="0"/>
            <w:u w:val="single"/>
            <w:lang w:eastAsia="en-IN"/>
            <w14:ligatures w14:val="none"/>
          </w:rPr>
          <w:t>https://link.springer.com/article/10.1186/s12882-022-02932-2</w:t>
        </w:r>
      </w:hyperlink>
    </w:p>
    <w:p w14:paraId="72B67AF6" w14:textId="77777777" w:rsidR="007F1C63" w:rsidRPr="003C6276" w:rsidRDefault="007F1C63" w:rsidP="007F1C63">
      <w:pPr>
        <w:spacing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WHO (2018) </w:t>
      </w:r>
      <w:r w:rsidRPr="003C6276">
        <w:rPr>
          <w:rFonts w:ascii="Arial" w:eastAsia="Arial" w:hAnsi="Arial" w:cs="Arial"/>
          <w:i/>
          <w:iCs/>
          <w:color w:val="000000"/>
          <w:kern w:val="0"/>
          <w:lang w:eastAsia="en-IN"/>
          <w14:ligatures w14:val="none"/>
        </w:rPr>
        <w:t>Housing impacts Health: New WHO guidelines on housing and health</w:t>
      </w:r>
      <w:r w:rsidRPr="003C6276">
        <w:rPr>
          <w:rFonts w:ascii="Arial" w:eastAsia="Arial" w:hAnsi="Arial" w:cs="Arial"/>
          <w:color w:val="000000"/>
          <w:kern w:val="0"/>
          <w:lang w:eastAsia="en-IN"/>
          <w14:ligatures w14:val="none"/>
        </w:rPr>
        <w:t>. Available at:</w:t>
      </w:r>
      <w:hyperlink r:id="rId149">
        <w:r w:rsidRPr="003C6276">
          <w:rPr>
            <w:rFonts w:ascii="Arial" w:eastAsia="Arial" w:hAnsi="Arial" w:cs="Arial"/>
            <w:color w:val="000000"/>
            <w:kern w:val="0"/>
            <w:lang w:eastAsia="en-IN"/>
            <w14:ligatures w14:val="none"/>
          </w:rPr>
          <w:t xml:space="preserve"> </w:t>
        </w:r>
      </w:hyperlink>
      <w:hyperlink r:id="rId150">
        <w:r w:rsidRPr="003C6276">
          <w:rPr>
            <w:rFonts w:ascii="Arial" w:eastAsia="Arial" w:hAnsi="Arial" w:cs="Arial"/>
            <w:color w:val="0000FF"/>
            <w:kern w:val="0"/>
            <w:u w:val="single"/>
            <w:lang w:eastAsia="en-IN"/>
            <w14:ligatures w14:val="none"/>
          </w:rPr>
          <w:t>https://www.who.int/news/item/26-11-2018-housing-impacts-health-new-who-guidelines-on-housing-and-health</w:t>
        </w:r>
      </w:hyperlink>
      <w:r w:rsidRPr="003C6276">
        <w:rPr>
          <w:rFonts w:ascii="Arial" w:eastAsia="Arial" w:hAnsi="Arial" w:cs="Arial"/>
          <w:color w:val="0000FF"/>
          <w:kern w:val="0"/>
          <w:lang w:eastAsia="en-IN"/>
          <w14:ligatures w14:val="none"/>
        </w:rPr>
        <w:t xml:space="preserve"> </w:t>
      </w:r>
      <w:r w:rsidRPr="003C6276">
        <w:rPr>
          <w:rFonts w:ascii="Arial" w:eastAsia="Arial" w:hAnsi="Arial" w:cs="Arial"/>
          <w:color w:val="000000"/>
          <w:kern w:val="0"/>
          <w:lang w:eastAsia="en-IN"/>
          <w14:ligatures w14:val="none"/>
        </w:rPr>
        <w:t>(Accessed: 25 August 2026).</w:t>
      </w:r>
    </w:p>
    <w:p w14:paraId="5D982561"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000000"/>
          <w:kern w:val="0"/>
          <w:lang w:eastAsia="en-IN"/>
          <w14:ligatures w14:val="none"/>
        </w:rPr>
      </w:pPr>
      <w:r w:rsidRPr="003C6276">
        <w:rPr>
          <w:rFonts w:ascii="Arial" w:eastAsia="Arial" w:hAnsi="Arial" w:cs="Arial"/>
          <w:color w:val="000000"/>
          <w:kern w:val="0"/>
          <w:lang w:eastAsia="en-IN"/>
          <w14:ligatures w14:val="none"/>
        </w:rPr>
        <w:t xml:space="preserve">WHO (2024) </w:t>
      </w:r>
      <w:r w:rsidRPr="003C6276">
        <w:rPr>
          <w:rFonts w:ascii="Arial" w:eastAsia="Arial" w:hAnsi="Arial" w:cs="Arial"/>
          <w:i/>
          <w:iCs/>
          <w:color w:val="000000"/>
          <w:kern w:val="0"/>
          <w:lang w:eastAsia="en-IN"/>
          <w14:ligatures w14:val="none"/>
        </w:rPr>
        <w:t>Noncommunicable diseases</w:t>
      </w:r>
      <w:r w:rsidRPr="003C6276">
        <w:rPr>
          <w:rFonts w:ascii="Arial" w:eastAsia="Arial" w:hAnsi="Arial" w:cs="Arial"/>
          <w:color w:val="000000"/>
          <w:kern w:val="0"/>
          <w:lang w:eastAsia="en-IN"/>
          <w14:ligatures w14:val="none"/>
        </w:rPr>
        <w:t xml:space="preserve">. Available at: </w:t>
      </w:r>
      <w:hyperlink r:id="rId151">
        <w:r w:rsidRPr="003C6276">
          <w:rPr>
            <w:rFonts w:ascii="Arial" w:eastAsia="Arial" w:hAnsi="Arial" w:cs="Arial"/>
            <w:color w:val="1155CC"/>
            <w:kern w:val="0"/>
            <w:u w:val="single"/>
            <w:lang w:eastAsia="en-IN"/>
            <w14:ligatures w14:val="none"/>
          </w:rPr>
          <w:t>https://www.who.int/news-room/fact-sheets/detail/noncommunicable-diseases</w:t>
        </w:r>
      </w:hyperlink>
      <w:r w:rsidRPr="003C6276">
        <w:rPr>
          <w:rFonts w:ascii="Arial" w:eastAsia="Arial" w:hAnsi="Arial" w:cs="Arial"/>
          <w:color w:val="000000"/>
          <w:kern w:val="0"/>
          <w:lang w:eastAsia="en-IN"/>
          <w14:ligatures w14:val="none"/>
        </w:rPr>
        <w:t xml:space="preserve"> (Accessed 17 June 2026).</w:t>
      </w:r>
    </w:p>
    <w:p w14:paraId="30DED760" w14:textId="77777777" w:rsidR="007F1C63" w:rsidRPr="003C6276" w:rsidRDefault="007F1C63" w:rsidP="007F1C63">
      <w:pPr>
        <w:pBdr>
          <w:top w:val="nil"/>
          <w:left w:val="nil"/>
          <w:bottom w:val="nil"/>
          <w:right w:val="nil"/>
          <w:between w:val="nil"/>
        </w:pBdr>
        <w:spacing w:before="240" w:after="240" w:line="360" w:lineRule="auto"/>
        <w:jc w:val="both"/>
        <w:rPr>
          <w:rFonts w:ascii="Arial" w:eastAsia="Arial" w:hAnsi="Arial" w:cs="Arial"/>
          <w:color w:val="1155CC"/>
          <w:kern w:val="0"/>
          <w:u w:val="single"/>
          <w:lang w:eastAsia="en-IN"/>
          <w14:ligatures w14:val="none"/>
        </w:rPr>
      </w:pPr>
      <w:r w:rsidRPr="003C6276">
        <w:rPr>
          <w:rFonts w:ascii="Arial" w:eastAsia="Arial" w:hAnsi="Arial" w:cs="Arial"/>
          <w:color w:val="000000"/>
          <w:kern w:val="0"/>
          <w:lang w:eastAsia="en-IN"/>
          <w14:ligatures w14:val="none"/>
        </w:rPr>
        <w:t>Yeo, S.C., Wang, H., Ang, Y.G., Lim, C.K. and Ooi, X.Y. (2023)</w:t>
      </w:r>
      <w:r w:rsidRPr="003C6276">
        <w:rPr>
          <w:rFonts w:ascii="Arial" w:eastAsia="Arial" w:hAnsi="Arial" w:cs="Arial"/>
          <w:kern w:val="0"/>
          <w:lang w:eastAsia="en-IN"/>
          <w14:ligatures w14:val="none"/>
        </w:rPr>
        <w:t xml:space="preserve"> </w:t>
      </w:r>
      <w:r w:rsidRPr="003C6276">
        <w:rPr>
          <w:rFonts w:ascii="Arial" w:eastAsia="Arial" w:hAnsi="Arial" w:cs="Arial"/>
          <w:color w:val="000000"/>
          <w:kern w:val="0"/>
          <w:lang w:eastAsia="en-IN"/>
          <w14:ligatures w14:val="none"/>
        </w:rPr>
        <w:t xml:space="preserve">‘Cost-effectiveness of screening for chronic kidney disease in the general adult population: a systematic review’. </w:t>
      </w:r>
      <w:r w:rsidRPr="003C6276">
        <w:rPr>
          <w:rFonts w:ascii="Arial" w:eastAsia="Arial" w:hAnsi="Arial" w:cs="Arial"/>
          <w:i/>
          <w:iCs/>
          <w:color w:val="000000"/>
          <w:kern w:val="0"/>
          <w:lang w:eastAsia="en-IN"/>
          <w14:ligatures w14:val="none"/>
        </w:rPr>
        <w:t>Ndt Plus</w:t>
      </w:r>
      <w:r w:rsidRPr="003C6276">
        <w:rPr>
          <w:rFonts w:ascii="Arial" w:eastAsia="Arial" w:hAnsi="Arial" w:cs="Arial"/>
          <w:color w:val="000000"/>
          <w:kern w:val="0"/>
          <w:lang w:eastAsia="en-IN"/>
          <w14:ligatures w14:val="none"/>
        </w:rPr>
        <w:t xml:space="preserve">, 17(1), p.sfad137. Available at: </w:t>
      </w:r>
      <w:hyperlink r:id="rId152">
        <w:r w:rsidRPr="003C6276">
          <w:rPr>
            <w:rFonts w:ascii="Arial" w:eastAsia="Arial" w:hAnsi="Arial" w:cs="Arial"/>
            <w:color w:val="1155CC"/>
            <w:kern w:val="0"/>
            <w:u w:val="single"/>
            <w:lang w:eastAsia="en-IN"/>
            <w14:ligatures w14:val="none"/>
          </w:rPr>
          <w:t>https://doi.org/10.1093/ckj/sfad137</w:t>
        </w:r>
      </w:hyperlink>
    </w:p>
    <w:p w14:paraId="627C9188" w14:textId="77777777" w:rsidR="007F1C63" w:rsidRPr="003C6276" w:rsidRDefault="007F1C63" w:rsidP="007F1C63">
      <w:pPr>
        <w:spacing w:before="240" w:after="240" w:line="360" w:lineRule="auto"/>
        <w:jc w:val="both"/>
        <w:rPr>
          <w:rFonts w:ascii="Arial" w:eastAsia="Arial" w:hAnsi="Arial" w:cs="Arial"/>
          <w:b/>
          <w:bCs/>
          <w:kern w:val="0"/>
          <w:lang w:eastAsia="en-IN"/>
          <w14:ligatures w14:val="none"/>
        </w:rPr>
        <w:sectPr w:rsidR="007F1C63" w:rsidRPr="003C6276" w:rsidSect="00B2505E">
          <w:footerReference w:type="even" r:id="rId153"/>
          <w:footerReference w:type="default" r:id="rId154"/>
          <w:footerReference w:type="first" r:id="rId155"/>
          <w:pgSz w:w="11906" w:h="16838"/>
          <w:pgMar w:top="1440" w:right="1440" w:bottom="1440" w:left="1440" w:header="708" w:footer="708" w:gutter="0"/>
          <w:cols w:space="708"/>
          <w:docGrid w:linePitch="360"/>
        </w:sectPr>
      </w:pPr>
      <w:r w:rsidRPr="003C6276">
        <w:rPr>
          <w:rFonts w:ascii="Arial" w:eastAsia="Arial" w:hAnsi="Arial" w:cs="Arial"/>
          <w:kern w:val="0"/>
          <w:highlight w:val="white"/>
          <w:lang w:eastAsia="en-IN"/>
          <w14:ligatures w14:val="none"/>
        </w:rPr>
        <w:t xml:space="preserve">Yuwono, M.A. and Rachmawati, D., (2023) ‘Combined methods. Can this solve the differences between deductive and inductive methods in qualitative research?.’ </w:t>
      </w:r>
      <w:r w:rsidRPr="003C6276">
        <w:rPr>
          <w:rFonts w:ascii="Arial" w:eastAsia="Arial" w:hAnsi="Arial" w:cs="Arial"/>
          <w:i/>
          <w:iCs/>
          <w:kern w:val="0"/>
          <w:highlight w:val="white"/>
          <w:lang w:eastAsia="en-IN"/>
          <w14:ligatures w14:val="none"/>
        </w:rPr>
        <w:t>Moroccan Journal of Quantitative &amp; Qualitative Research</w:t>
      </w:r>
      <w:r w:rsidRPr="003C6276">
        <w:rPr>
          <w:rFonts w:ascii="Arial" w:eastAsia="Arial" w:hAnsi="Arial" w:cs="Arial"/>
          <w:kern w:val="0"/>
          <w:highlight w:val="white"/>
          <w:lang w:eastAsia="en-IN"/>
          <w14:ligatures w14:val="none"/>
        </w:rPr>
        <w:t xml:space="preserve">, </w:t>
      </w:r>
      <w:r w:rsidRPr="003C6276">
        <w:rPr>
          <w:rFonts w:ascii="Arial" w:eastAsia="Arial" w:hAnsi="Arial" w:cs="Arial"/>
          <w:i/>
          <w:iCs/>
          <w:kern w:val="0"/>
          <w:highlight w:val="white"/>
          <w:lang w:eastAsia="en-IN"/>
          <w14:ligatures w14:val="none"/>
        </w:rPr>
        <w:t>5</w:t>
      </w:r>
      <w:r w:rsidRPr="003C6276">
        <w:rPr>
          <w:rFonts w:ascii="Arial" w:eastAsia="Arial" w:hAnsi="Arial" w:cs="Arial"/>
          <w:kern w:val="0"/>
          <w:highlight w:val="white"/>
          <w:lang w:eastAsia="en-IN"/>
          <w14:ligatures w14:val="none"/>
        </w:rPr>
        <w:t>(3), p.1.</w:t>
      </w:r>
      <w:r w:rsidRPr="003C6276">
        <w:rPr>
          <w:rFonts w:ascii="Arial" w:eastAsia="Arial" w:hAnsi="Arial" w:cs="Arial"/>
          <w:kern w:val="0"/>
          <w:lang w:eastAsia="en-IN"/>
          <w14:ligatures w14:val="none"/>
        </w:rPr>
        <w:t xml:space="preserve"> Available at: </w:t>
      </w:r>
      <w:hyperlink r:id="rId156">
        <w:r w:rsidRPr="003C6276">
          <w:rPr>
            <w:rFonts w:ascii="Arial" w:eastAsia="Arial" w:hAnsi="Arial" w:cs="Arial"/>
            <w:color w:val="1155CC"/>
            <w:kern w:val="0"/>
            <w:u w:val="single"/>
            <w:lang w:eastAsia="en-IN"/>
            <w14:ligatures w14:val="none"/>
          </w:rPr>
          <w:t>https://www.researchgate.net/profile/Mr-Yo/publication/380168755_Combined_Methods_Can_This_Solve_The_Differences_Between_Deductive_and_Inductive_Methods_in_Qualitative_Research/links/662f4e2c06ea3d0b7416851d/Combined-Methods-Can-This-Solve-The-Differences-Between-Deductive-and-Inductive-Methods-in-Qualitative-Research.pdf</w:t>
        </w:r>
      </w:hyperlink>
      <w:r w:rsidRPr="003C6276">
        <w:rPr>
          <w:rFonts w:ascii="Arial" w:eastAsia="Arial" w:hAnsi="Arial" w:cs="Arial"/>
          <w:b/>
          <w:bCs/>
          <w:kern w:val="0"/>
          <w:lang w:eastAsia="en-IN"/>
          <w14:ligatures w14:val="none"/>
        </w:rPr>
        <w:t xml:space="preserve"> </w:t>
      </w:r>
    </w:p>
    <w:p w14:paraId="2B1A3C3C" w14:textId="1769048D" w:rsidR="007F1C63" w:rsidRPr="003C6276" w:rsidRDefault="009F64C5" w:rsidP="007F1C63">
      <w:pPr>
        <w:pStyle w:val="Heading1"/>
      </w:pPr>
      <w:bookmarkStart w:id="213" w:name="_Toc12223"/>
      <w:bookmarkStart w:id="214" w:name="_Toc241056063"/>
      <w:r w:rsidRPr="003C6276">
        <w:lastRenderedPageBreak/>
        <w:t>Appendix 1: [</w:t>
      </w:r>
      <w:r w:rsidR="007F1C63" w:rsidRPr="003C6276">
        <w:t>Data Extraction</w:t>
      </w:r>
      <w:r w:rsidRPr="003C6276">
        <w:t>]</w:t>
      </w:r>
      <w:bookmarkEnd w:id="213"/>
      <w:bookmarkEnd w:id="214"/>
    </w:p>
    <w:tbl>
      <w:tblPr>
        <w:tblW w:w="5594" w:type="pct"/>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14"/>
        <w:gridCol w:w="765"/>
        <w:gridCol w:w="1045"/>
        <w:gridCol w:w="2121"/>
        <w:gridCol w:w="2551"/>
        <w:gridCol w:w="2695"/>
        <w:gridCol w:w="2692"/>
        <w:gridCol w:w="2411"/>
      </w:tblGrid>
      <w:tr w:rsidR="000B38A4" w:rsidRPr="003C6276" w14:paraId="14FA2A15" w14:textId="77777777" w:rsidTr="000B38A4">
        <w:tc>
          <w:tcPr>
            <w:tcW w:w="421" w:type="pct"/>
            <w:tcMar>
              <w:top w:w="100" w:type="dxa"/>
              <w:left w:w="100" w:type="dxa"/>
              <w:bottom w:w="100" w:type="dxa"/>
              <w:right w:w="100" w:type="dxa"/>
            </w:tcMar>
          </w:tcPr>
          <w:p w14:paraId="3AE47C7A"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Author</w:t>
            </w:r>
          </w:p>
        </w:tc>
        <w:tc>
          <w:tcPr>
            <w:tcW w:w="245" w:type="pct"/>
            <w:tcMar>
              <w:top w:w="100" w:type="dxa"/>
              <w:left w:w="100" w:type="dxa"/>
              <w:bottom w:w="100" w:type="dxa"/>
              <w:right w:w="100" w:type="dxa"/>
            </w:tcMar>
          </w:tcPr>
          <w:p w14:paraId="6A8835A6"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Year</w:t>
            </w:r>
          </w:p>
        </w:tc>
        <w:tc>
          <w:tcPr>
            <w:tcW w:w="335" w:type="pct"/>
            <w:tcMar>
              <w:top w:w="100" w:type="dxa"/>
              <w:left w:w="100" w:type="dxa"/>
              <w:bottom w:w="100" w:type="dxa"/>
              <w:right w:w="100" w:type="dxa"/>
            </w:tcMar>
          </w:tcPr>
          <w:p w14:paraId="067F1FA3"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Country</w:t>
            </w:r>
          </w:p>
        </w:tc>
        <w:tc>
          <w:tcPr>
            <w:tcW w:w="680" w:type="pct"/>
            <w:tcMar>
              <w:top w:w="100" w:type="dxa"/>
              <w:left w:w="100" w:type="dxa"/>
              <w:bottom w:w="100" w:type="dxa"/>
              <w:right w:w="100" w:type="dxa"/>
            </w:tcMar>
          </w:tcPr>
          <w:p w14:paraId="55ED6D21"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 xml:space="preserve">Study Design </w:t>
            </w:r>
          </w:p>
        </w:tc>
        <w:tc>
          <w:tcPr>
            <w:tcW w:w="818" w:type="pct"/>
            <w:tcMar>
              <w:top w:w="100" w:type="dxa"/>
              <w:left w:w="100" w:type="dxa"/>
              <w:bottom w:w="100" w:type="dxa"/>
              <w:right w:w="100" w:type="dxa"/>
            </w:tcMar>
          </w:tcPr>
          <w:p w14:paraId="10807EAE"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Sample</w:t>
            </w:r>
          </w:p>
        </w:tc>
        <w:tc>
          <w:tcPr>
            <w:tcW w:w="864" w:type="pct"/>
            <w:tcMar>
              <w:top w:w="100" w:type="dxa"/>
              <w:left w:w="100" w:type="dxa"/>
              <w:bottom w:w="100" w:type="dxa"/>
              <w:right w:w="100" w:type="dxa"/>
            </w:tcMar>
          </w:tcPr>
          <w:p w14:paraId="2C889E12"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 xml:space="preserve">Aim </w:t>
            </w:r>
          </w:p>
        </w:tc>
        <w:tc>
          <w:tcPr>
            <w:tcW w:w="863" w:type="pct"/>
            <w:tcMar>
              <w:top w:w="100" w:type="dxa"/>
              <w:left w:w="100" w:type="dxa"/>
              <w:bottom w:w="100" w:type="dxa"/>
              <w:right w:w="100" w:type="dxa"/>
            </w:tcMar>
          </w:tcPr>
          <w:p w14:paraId="1024EF9C"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Findings</w:t>
            </w:r>
          </w:p>
        </w:tc>
        <w:tc>
          <w:tcPr>
            <w:tcW w:w="773" w:type="pct"/>
            <w:tcMar>
              <w:top w:w="100" w:type="dxa"/>
              <w:left w:w="100" w:type="dxa"/>
              <w:bottom w:w="100" w:type="dxa"/>
              <w:right w:w="100" w:type="dxa"/>
            </w:tcMar>
          </w:tcPr>
          <w:p w14:paraId="7408E9B1" w14:textId="77777777" w:rsidR="007F1C63" w:rsidRPr="003C6276" w:rsidRDefault="007F1C63" w:rsidP="007F1C63">
            <w:pPr>
              <w:widowControl w:val="0"/>
              <w:spacing w:after="0" w:line="360" w:lineRule="auto"/>
              <w:jc w:val="center"/>
              <w:rPr>
                <w:rFonts w:ascii="Arial" w:eastAsia="Arial" w:hAnsi="Arial" w:cs="Arial"/>
                <w:b/>
                <w:bCs/>
                <w:kern w:val="0"/>
                <w:lang w:eastAsia="en-IN"/>
                <w14:ligatures w14:val="none"/>
              </w:rPr>
            </w:pPr>
            <w:r w:rsidRPr="003C6276">
              <w:rPr>
                <w:rFonts w:ascii="Arial" w:eastAsia="Arial" w:hAnsi="Arial" w:cs="Arial"/>
                <w:b/>
                <w:bCs/>
                <w:kern w:val="0"/>
                <w:lang w:eastAsia="en-IN"/>
                <w14:ligatures w14:val="none"/>
              </w:rPr>
              <w:t>Limitations</w:t>
            </w:r>
          </w:p>
        </w:tc>
      </w:tr>
      <w:tr w:rsidR="000B38A4" w:rsidRPr="003C6276" w14:paraId="61A1D169" w14:textId="77777777" w:rsidTr="000B38A4">
        <w:tc>
          <w:tcPr>
            <w:tcW w:w="421" w:type="pct"/>
            <w:tcMar>
              <w:top w:w="100" w:type="dxa"/>
              <w:left w:w="100" w:type="dxa"/>
              <w:bottom w:w="100" w:type="dxa"/>
              <w:right w:w="100" w:type="dxa"/>
            </w:tcMar>
          </w:tcPr>
          <w:p w14:paraId="5C2D27FE" w14:textId="77777777" w:rsidR="007F1C63" w:rsidRPr="003C6276" w:rsidRDefault="007F1C63" w:rsidP="007F1C63">
            <w:pPr>
              <w:spacing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Stewart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(2024)</w:t>
            </w:r>
          </w:p>
        </w:tc>
        <w:tc>
          <w:tcPr>
            <w:tcW w:w="245" w:type="pct"/>
            <w:tcMar>
              <w:top w:w="100" w:type="dxa"/>
              <w:left w:w="100" w:type="dxa"/>
              <w:bottom w:w="100" w:type="dxa"/>
              <w:right w:w="100" w:type="dxa"/>
            </w:tcMar>
          </w:tcPr>
          <w:p w14:paraId="4B64163C"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2024</w:t>
            </w:r>
          </w:p>
        </w:tc>
        <w:tc>
          <w:tcPr>
            <w:tcW w:w="335" w:type="pct"/>
            <w:tcMar>
              <w:top w:w="100" w:type="dxa"/>
              <w:left w:w="100" w:type="dxa"/>
              <w:bottom w:w="100" w:type="dxa"/>
              <w:right w:w="100" w:type="dxa"/>
            </w:tcMar>
          </w:tcPr>
          <w:p w14:paraId="59B5E94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32C2BE0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Systematic review</w:t>
            </w:r>
          </w:p>
        </w:tc>
        <w:tc>
          <w:tcPr>
            <w:tcW w:w="818" w:type="pct"/>
            <w:tcMar>
              <w:top w:w="100" w:type="dxa"/>
              <w:left w:w="100" w:type="dxa"/>
              <w:bottom w:w="100" w:type="dxa"/>
              <w:right w:w="100" w:type="dxa"/>
            </w:tcMar>
          </w:tcPr>
          <w:p w14:paraId="7400003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Articles gathered, published from January 2000 and May 2024</w:t>
            </w:r>
          </w:p>
        </w:tc>
        <w:tc>
          <w:tcPr>
            <w:tcW w:w="864" w:type="pct"/>
            <w:tcMar>
              <w:top w:w="100" w:type="dxa"/>
              <w:left w:w="100" w:type="dxa"/>
              <w:bottom w:w="100" w:type="dxa"/>
              <w:right w:w="100" w:type="dxa"/>
            </w:tcMar>
          </w:tcPr>
          <w:p w14:paraId="3F14D4E9"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identify the barriers and enablers of effective detection, diagnosis disclosure and management of CKD</w:t>
            </w:r>
          </w:p>
        </w:tc>
        <w:tc>
          <w:tcPr>
            <w:tcW w:w="863" w:type="pct"/>
            <w:tcMar>
              <w:top w:w="100" w:type="dxa"/>
              <w:left w:w="100" w:type="dxa"/>
              <w:bottom w:w="100" w:type="dxa"/>
              <w:right w:w="100" w:type="dxa"/>
            </w:tcMar>
          </w:tcPr>
          <w:p w14:paraId="1D38B89A"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Barriers to effective CKD management includes clinical concerns regarding to over-diagnosis and lack of financial incentives </w:t>
            </w:r>
          </w:p>
        </w:tc>
        <w:tc>
          <w:tcPr>
            <w:tcW w:w="773" w:type="pct"/>
            <w:tcMar>
              <w:top w:w="100" w:type="dxa"/>
              <w:left w:w="100" w:type="dxa"/>
              <w:bottom w:w="100" w:type="dxa"/>
              <w:right w:w="100" w:type="dxa"/>
            </w:tcMar>
          </w:tcPr>
          <w:p w14:paraId="240EAA2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Limited attention to financial and non-financial incentives in CKD care among adults </w:t>
            </w:r>
          </w:p>
        </w:tc>
      </w:tr>
      <w:tr w:rsidR="000B38A4" w:rsidRPr="003C6276" w14:paraId="22524E55" w14:textId="77777777" w:rsidTr="000B38A4">
        <w:tc>
          <w:tcPr>
            <w:tcW w:w="421" w:type="pct"/>
            <w:tcMar>
              <w:top w:w="100" w:type="dxa"/>
              <w:left w:w="100" w:type="dxa"/>
              <w:bottom w:w="100" w:type="dxa"/>
              <w:right w:w="100" w:type="dxa"/>
            </w:tcMar>
          </w:tcPr>
          <w:p w14:paraId="17EB9B0A" w14:textId="77777777" w:rsidR="007F1C63" w:rsidRPr="003C6276" w:rsidRDefault="007F1C63" w:rsidP="007F1C63">
            <w:pPr>
              <w:spacing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Francis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(2024)</w:t>
            </w:r>
          </w:p>
        </w:tc>
        <w:tc>
          <w:tcPr>
            <w:tcW w:w="245" w:type="pct"/>
            <w:tcMar>
              <w:top w:w="100" w:type="dxa"/>
              <w:left w:w="100" w:type="dxa"/>
              <w:bottom w:w="100" w:type="dxa"/>
              <w:right w:w="100" w:type="dxa"/>
            </w:tcMar>
          </w:tcPr>
          <w:p w14:paraId="44A785B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2024</w:t>
            </w:r>
          </w:p>
        </w:tc>
        <w:tc>
          <w:tcPr>
            <w:tcW w:w="335" w:type="pct"/>
            <w:tcMar>
              <w:top w:w="100" w:type="dxa"/>
              <w:left w:w="100" w:type="dxa"/>
              <w:bottom w:w="100" w:type="dxa"/>
              <w:right w:w="100" w:type="dxa"/>
            </w:tcMar>
          </w:tcPr>
          <w:p w14:paraId="69C137A2"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34803B9C"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Multidisciplinary</w:t>
            </w:r>
          </w:p>
          <w:p w14:paraId="367BAFE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approach</w:t>
            </w:r>
          </w:p>
        </w:tc>
        <w:tc>
          <w:tcPr>
            <w:tcW w:w="818" w:type="pct"/>
            <w:tcMar>
              <w:top w:w="100" w:type="dxa"/>
              <w:left w:w="100" w:type="dxa"/>
              <w:bottom w:w="100" w:type="dxa"/>
              <w:right w:w="100" w:type="dxa"/>
            </w:tcMar>
          </w:tcPr>
          <w:p w14:paraId="42172D4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19 studies from International Society of Nephrology (ISN), European Renal Association and the American Society of Nephrology</w:t>
            </w:r>
          </w:p>
        </w:tc>
        <w:tc>
          <w:tcPr>
            <w:tcW w:w="864" w:type="pct"/>
            <w:tcMar>
              <w:top w:w="100" w:type="dxa"/>
              <w:left w:w="100" w:type="dxa"/>
              <w:bottom w:w="100" w:type="dxa"/>
              <w:right w:w="100" w:type="dxa"/>
            </w:tcMar>
          </w:tcPr>
          <w:p w14:paraId="0E30847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evaluate the impact of early detection for CKD management as a non-communicable disease </w:t>
            </w:r>
          </w:p>
        </w:tc>
        <w:tc>
          <w:tcPr>
            <w:tcW w:w="863" w:type="pct"/>
            <w:tcMar>
              <w:top w:w="100" w:type="dxa"/>
              <w:left w:w="100" w:type="dxa"/>
              <w:bottom w:w="100" w:type="dxa"/>
              <w:right w:w="100" w:type="dxa"/>
            </w:tcMar>
          </w:tcPr>
          <w:p w14:paraId="7655846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CKD management is significant as it causes significant economic burden of healthcare and cause high mortality rates</w:t>
            </w:r>
          </w:p>
        </w:tc>
        <w:tc>
          <w:tcPr>
            <w:tcW w:w="773" w:type="pct"/>
            <w:tcMar>
              <w:top w:w="100" w:type="dxa"/>
              <w:left w:w="100" w:type="dxa"/>
              <w:bottom w:w="100" w:type="dxa"/>
              <w:right w:w="100" w:type="dxa"/>
            </w:tcMar>
          </w:tcPr>
          <w:p w14:paraId="49C4EA0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Limited focus on CKDF management among adults’ population </w:t>
            </w:r>
          </w:p>
        </w:tc>
      </w:tr>
      <w:tr w:rsidR="000B38A4" w:rsidRPr="003C6276" w14:paraId="4BA8A274" w14:textId="77777777" w:rsidTr="000B38A4">
        <w:tc>
          <w:tcPr>
            <w:tcW w:w="421" w:type="pct"/>
            <w:tcMar>
              <w:top w:w="100" w:type="dxa"/>
              <w:left w:w="100" w:type="dxa"/>
              <w:bottom w:w="100" w:type="dxa"/>
              <w:right w:w="100" w:type="dxa"/>
            </w:tcMar>
          </w:tcPr>
          <w:p w14:paraId="4A93D32B" w14:textId="77777777" w:rsidR="007F1C63" w:rsidRPr="003C6276" w:rsidRDefault="007F1C63" w:rsidP="007F1C63">
            <w:pPr>
              <w:spacing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Jin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(2025)</w:t>
            </w:r>
          </w:p>
        </w:tc>
        <w:tc>
          <w:tcPr>
            <w:tcW w:w="245" w:type="pct"/>
            <w:tcMar>
              <w:top w:w="100" w:type="dxa"/>
              <w:left w:w="100" w:type="dxa"/>
              <w:bottom w:w="100" w:type="dxa"/>
              <w:right w:w="100" w:type="dxa"/>
            </w:tcMar>
          </w:tcPr>
          <w:p w14:paraId="2418EC9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2025</w:t>
            </w:r>
          </w:p>
        </w:tc>
        <w:tc>
          <w:tcPr>
            <w:tcW w:w="335" w:type="pct"/>
            <w:tcMar>
              <w:top w:w="100" w:type="dxa"/>
              <w:left w:w="100" w:type="dxa"/>
              <w:bottom w:w="100" w:type="dxa"/>
              <w:right w:w="100" w:type="dxa"/>
            </w:tcMar>
          </w:tcPr>
          <w:p w14:paraId="6B3A34A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3301C60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Cohort design</w:t>
            </w:r>
          </w:p>
        </w:tc>
        <w:tc>
          <w:tcPr>
            <w:tcW w:w="818" w:type="pct"/>
            <w:tcMar>
              <w:top w:w="100" w:type="dxa"/>
              <w:left w:w="100" w:type="dxa"/>
              <w:bottom w:w="100" w:type="dxa"/>
              <w:right w:w="100" w:type="dxa"/>
            </w:tcMar>
          </w:tcPr>
          <w:p w14:paraId="6617B829"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500,000 participants aged 40–69 years</w:t>
            </w:r>
          </w:p>
        </w:tc>
        <w:tc>
          <w:tcPr>
            <w:tcW w:w="864" w:type="pct"/>
            <w:tcMar>
              <w:top w:w="100" w:type="dxa"/>
              <w:left w:w="100" w:type="dxa"/>
              <w:bottom w:w="100" w:type="dxa"/>
              <w:right w:w="100" w:type="dxa"/>
            </w:tcMar>
          </w:tcPr>
          <w:p w14:paraId="3700FC2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explore the relationship between plasma metabolites and lifestyle factors including lifestyle-related </w:t>
            </w:r>
            <w:r w:rsidRPr="003C6276">
              <w:rPr>
                <w:rFonts w:ascii="Arial" w:eastAsia="Arial" w:hAnsi="Arial" w:cs="Arial"/>
                <w:kern w:val="0"/>
                <w:lang w:eastAsia="en-IN"/>
                <w14:ligatures w14:val="none"/>
              </w:rPr>
              <w:lastRenderedPageBreak/>
              <w:t>metabolites for onset of CKD</w:t>
            </w:r>
          </w:p>
        </w:tc>
        <w:tc>
          <w:tcPr>
            <w:tcW w:w="863" w:type="pct"/>
            <w:tcMar>
              <w:top w:w="100" w:type="dxa"/>
              <w:left w:w="100" w:type="dxa"/>
              <w:bottom w:w="100" w:type="dxa"/>
              <w:right w:w="100" w:type="dxa"/>
            </w:tcMar>
          </w:tcPr>
          <w:p w14:paraId="3BD51B7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findings outlined that age, BMI, TDI, and cystatin C was 3.2%, 1.4%, 1.6% and 32.3% responsible for onset of </w:t>
            </w:r>
            <w:r w:rsidRPr="003C6276">
              <w:rPr>
                <w:rFonts w:ascii="Arial" w:eastAsia="Arial" w:hAnsi="Arial" w:cs="Arial"/>
                <w:kern w:val="0"/>
                <w:lang w:eastAsia="en-IN"/>
                <w14:ligatures w14:val="none"/>
              </w:rPr>
              <w:lastRenderedPageBreak/>
              <w:t xml:space="preserve">SKD. </w:t>
            </w:r>
          </w:p>
        </w:tc>
        <w:tc>
          <w:tcPr>
            <w:tcW w:w="773" w:type="pct"/>
            <w:tcMar>
              <w:top w:w="100" w:type="dxa"/>
              <w:left w:w="100" w:type="dxa"/>
              <w:bottom w:w="100" w:type="dxa"/>
              <w:right w:w="100" w:type="dxa"/>
            </w:tcMar>
          </w:tcPr>
          <w:p w14:paraId="798A59EC"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Lack of further studies on renal heart health and its impact on onset of CKD </w:t>
            </w:r>
          </w:p>
        </w:tc>
      </w:tr>
      <w:tr w:rsidR="000B38A4" w:rsidRPr="003C6276" w14:paraId="034CA40C" w14:textId="77777777" w:rsidTr="000B38A4">
        <w:tc>
          <w:tcPr>
            <w:tcW w:w="421" w:type="pct"/>
            <w:tcMar>
              <w:top w:w="100" w:type="dxa"/>
              <w:left w:w="100" w:type="dxa"/>
              <w:bottom w:w="100" w:type="dxa"/>
              <w:right w:w="100" w:type="dxa"/>
            </w:tcMar>
          </w:tcPr>
          <w:p w14:paraId="1F6D0F63"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Lo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(2023)</w:t>
            </w:r>
          </w:p>
        </w:tc>
        <w:tc>
          <w:tcPr>
            <w:tcW w:w="245" w:type="pct"/>
            <w:tcMar>
              <w:top w:w="100" w:type="dxa"/>
              <w:left w:w="100" w:type="dxa"/>
              <w:bottom w:w="100" w:type="dxa"/>
              <w:right w:w="100" w:type="dxa"/>
            </w:tcMar>
          </w:tcPr>
          <w:p w14:paraId="35F41B3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2023</w:t>
            </w:r>
          </w:p>
        </w:tc>
        <w:tc>
          <w:tcPr>
            <w:tcW w:w="335" w:type="pct"/>
            <w:tcMar>
              <w:top w:w="100" w:type="dxa"/>
              <w:left w:w="100" w:type="dxa"/>
              <w:bottom w:w="100" w:type="dxa"/>
              <w:right w:w="100" w:type="dxa"/>
            </w:tcMar>
          </w:tcPr>
          <w:p w14:paraId="70C5B79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6C202FA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Systematic Review</w:t>
            </w:r>
          </w:p>
        </w:tc>
        <w:tc>
          <w:tcPr>
            <w:tcW w:w="818" w:type="pct"/>
            <w:tcMar>
              <w:top w:w="100" w:type="dxa"/>
              <w:left w:w="100" w:type="dxa"/>
              <w:bottom w:w="100" w:type="dxa"/>
              <w:right w:w="100" w:type="dxa"/>
            </w:tcMar>
          </w:tcPr>
          <w:p w14:paraId="29D1352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Secondary studies on Obesity, Hypothyroidism, Diabetes mellitus, Dietary factors </w:t>
            </w:r>
          </w:p>
        </w:tc>
        <w:tc>
          <w:tcPr>
            <w:tcW w:w="864" w:type="pct"/>
            <w:tcMar>
              <w:top w:w="100" w:type="dxa"/>
              <w:left w:w="100" w:type="dxa"/>
              <w:bottom w:w="100" w:type="dxa"/>
              <w:right w:w="100" w:type="dxa"/>
            </w:tcMar>
          </w:tcPr>
          <w:p w14:paraId="59F0A2AF"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 To investigate major risk factors for incident CKD and CKD progression categorized across</w:t>
            </w:r>
          </w:p>
          <w:p w14:paraId="7F9DF00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cardiovascular, endocrine and lifestyle </w:t>
            </w:r>
          </w:p>
        </w:tc>
        <w:tc>
          <w:tcPr>
            <w:tcW w:w="863" w:type="pct"/>
            <w:tcMar>
              <w:top w:w="100" w:type="dxa"/>
              <w:left w:w="100" w:type="dxa"/>
              <w:bottom w:w="100" w:type="dxa"/>
              <w:right w:w="100" w:type="dxa"/>
            </w:tcMar>
          </w:tcPr>
          <w:p w14:paraId="690E68A7"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Among CKD adults, better joint management along with lifestyle are responsible for reducing CKD prevalence </w:t>
            </w:r>
          </w:p>
          <w:p w14:paraId="68D1B159"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c>
          <w:tcPr>
            <w:tcW w:w="773" w:type="pct"/>
            <w:tcMar>
              <w:top w:w="100" w:type="dxa"/>
              <w:left w:w="100" w:type="dxa"/>
              <w:bottom w:w="100" w:type="dxa"/>
              <w:right w:w="100" w:type="dxa"/>
            </w:tcMar>
          </w:tcPr>
          <w:p w14:paraId="4F8D85A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There is overall limited literature regarding the effects of levothyroxine replacement in hypothyroid CKD patients </w:t>
            </w:r>
          </w:p>
        </w:tc>
      </w:tr>
      <w:tr w:rsidR="000B38A4" w:rsidRPr="003C6276" w14:paraId="3996F2F4" w14:textId="77777777" w:rsidTr="000B38A4">
        <w:tc>
          <w:tcPr>
            <w:tcW w:w="421" w:type="pct"/>
            <w:tcMar>
              <w:top w:w="100" w:type="dxa"/>
              <w:left w:w="100" w:type="dxa"/>
              <w:bottom w:w="100" w:type="dxa"/>
              <w:right w:w="100" w:type="dxa"/>
            </w:tcMar>
          </w:tcPr>
          <w:p w14:paraId="2E3E0E11" w14:textId="77777777" w:rsidR="007F1C63" w:rsidRPr="003C6276" w:rsidRDefault="007F1C63" w:rsidP="007F1C63">
            <w:pPr>
              <w:spacing w:after="0" w:line="360" w:lineRule="auto"/>
              <w:ind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Grant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(2023)</w:t>
            </w:r>
          </w:p>
        </w:tc>
        <w:tc>
          <w:tcPr>
            <w:tcW w:w="245" w:type="pct"/>
            <w:tcMar>
              <w:top w:w="100" w:type="dxa"/>
              <w:left w:w="100" w:type="dxa"/>
              <w:bottom w:w="100" w:type="dxa"/>
              <w:right w:w="100" w:type="dxa"/>
            </w:tcMar>
          </w:tcPr>
          <w:p w14:paraId="1DAE746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2023</w:t>
            </w:r>
          </w:p>
        </w:tc>
        <w:tc>
          <w:tcPr>
            <w:tcW w:w="335" w:type="pct"/>
            <w:tcMar>
              <w:top w:w="100" w:type="dxa"/>
              <w:left w:w="100" w:type="dxa"/>
              <w:bottom w:w="100" w:type="dxa"/>
              <w:right w:w="100" w:type="dxa"/>
            </w:tcMar>
          </w:tcPr>
          <w:p w14:paraId="48B35B52"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UK </w:t>
            </w:r>
          </w:p>
        </w:tc>
        <w:tc>
          <w:tcPr>
            <w:tcW w:w="680" w:type="pct"/>
            <w:tcMar>
              <w:top w:w="100" w:type="dxa"/>
              <w:left w:w="100" w:type="dxa"/>
              <w:bottom w:w="100" w:type="dxa"/>
              <w:right w:w="100" w:type="dxa"/>
            </w:tcMar>
          </w:tcPr>
          <w:p w14:paraId="23C32777"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Critical Review</w:t>
            </w:r>
          </w:p>
        </w:tc>
        <w:tc>
          <w:tcPr>
            <w:tcW w:w="818" w:type="pct"/>
            <w:tcMar>
              <w:top w:w="100" w:type="dxa"/>
              <w:left w:w="100" w:type="dxa"/>
              <w:bottom w:w="100" w:type="dxa"/>
              <w:right w:w="100" w:type="dxa"/>
            </w:tcMar>
          </w:tcPr>
          <w:p w14:paraId="10CDCF6F"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28 journal articles have been gathered </w:t>
            </w:r>
          </w:p>
        </w:tc>
        <w:tc>
          <w:tcPr>
            <w:tcW w:w="864" w:type="pct"/>
            <w:tcMar>
              <w:top w:w="100" w:type="dxa"/>
              <w:left w:w="100" w:type="dxa"/>
              <w:bottom w:w="100" w:type="dxa"/>
              <w:right w:w="100" w:type="dxa"/>
            </w:tcMar>
          </w:tcPr>
          <w:p w14:paraId="429B889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describe and its deprivations association with adverse outcomes in adults with CKD </w:t>
            </w:r>
          </w:p>
        </w:tc>
        <w:tc>
          <w:tcPr>
            <w:tcW w:w="863" w:type="pct"/>
            <w:tcMar>
              <w:top w:w="100" w:type="dxa"/>
              <w:left w:w="100" w:type="dxa"/>
              <w:bottom w:w="100" w:type="dxa"/>
              <w:right w:w="100" w:type="dxa"/>
            </w:tcMar>
          </w:tcPr>
          <w:p w14:paraId="63D3528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impact of socioeconomic deprivation among CKD individual is high that impact health outcome </w:t>
            </w:r>
          </w:p>
          <w:p w14:paraId="3D121129"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c>
          <w:tcPr>
            <w:tcW w:w="773" w:type="pct"/>
            <w:tcMar>
              <w:top w:w="100" w:type="dxa"/>
              <w:left w:w="100" w:type="dxa"/>
              <w:bottom w:w="100" w:type="dxa"/>
              <w:right w:w="100" w:type="dxa"/>
            </w:tcMar>
          </w:tcPr>
          <w:p w14:paraId="79291EF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studies gathered for the study were based in USA </w:t>
            </w:r>
          </w:p>
        </w:tc>
      </w:tr>
      <w:tr w:rsidR="000B38A4" w:rsidRPr="003C6276" w14:paraId="39A6336F" w14:textId="77777777" w:rsidTr="000B38A4">
        <w:tc>
          <w:tcPr>
            <w:tcW w:w="421" w:type="pct"/>
            <w:tcMar>
              <w:top w:w="100" w:type="dxa"/>
              <w:left w:w="100" w:type="dxa"/>
              <w:bottom w:w="100" w:type="dxa"/>
              <w:right w:w="100" w:type="dxa"/>
            </w:tcMar>
          </w:tcPr>
          <w:p w14:paraId="6EF35E11"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Johnston-Webber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(2025)</w:t>
            </w:r>
          </w:p>
        </w:tc>
        <w:tc>
          <w:tcPr>
            <w:tcW w:w="245" w:type="pct"/>
            <w:tcMar>
              <w:top w:w="100" w:type="dxa"/>
              <w:left w:w="100" w:type="dxa"/>
              <w:bottom w:w="100" w:type="dxa"/>
              <w:right w:w="100" w:type="dxa"/>
            </w:tcMar>
          </w:tcPr>
          <w:p w14:paraId="096CB3C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2025</w:t>
            </w:r>
          </w:p>
        </w:tc>
        <w:tc>
          <w:tcPr>
            <w:tcW w:w="335" w:type="pct"/>
            <w:tcMar>
              <w:top w:w="100" w:type="dxa"/>
              <w:left w:w="100" w:type="dxa"/>
              <w:bottom w:w="100" w:type="dxa"/>
              <w:right w:w="100" w:type="dxa"/>
            </w:tcMar>
          </w:tcPr>
          <w:p w14:paraId="2A3AA29B"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267CD3B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Systematic review</w:t>
            </w:r>
          </w:p>
        </w:tc>
        <w:tc>
          <w:tcPr>
            <w:tcW w:w="818" w:type="pct"/>
            <w:tcMar>
              <w:top w:w="100" w:type="dxa"/>
              <w:left w:w="100" w:type="dxa"/>
              <w:bottom w:w="100" w:type="dxa"/>
              <w:right w:w="100" w:type="dxa"/>
            </w:tcMar>
          </w:tcPr>
          <w:p w14:paraId="1DD24722"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Qualitative information taken from Australia, Brazil, China and the USA healthcare setting</w:t>
            </w:r>
          </w:p>
        </w:tc>
        <w:tc>
          <w:tcPr>
            <w:tcW w:w="864" w:type="pct"/>
            <w:tcMar>
              <w:top w:w="100" w:type="dxa"/>
              <w:left w:w="100" w:type="dxa"/>
              <w:bottom w:w="100" w:type="dxa"/>
              <w:right w:w="100" w:type="dxa"/>
            </w:tcMar>
          </w:tcPr>
          <w:p w14:paraId="26FF934F"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evaluate the burden of CKD on health, socioeconomic and environmental factors within UK healthcare setting </w:t>
            </w:r>
          </w:p>
          <w:p w14:paraId="35C2FAC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c>
          <w:tcPr>
            <w:tcW w:w="863" w:type="pct"/>
            <w:tcMar>
              <w:top w:w="100" w:type="dxa"/>
              <w:left w:w="100" w:type="dxa"/>
              <w:bottom w:w="100" w:type="dxa"/>
              <w:right w:w="100" w:type="dxa"/>
            </w:tcMar>
          </w:tcPr>
          <w:p w14:paraId="141B0C7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The management of CKD and reduce its economic and health burden required effective management through early detection </w:t>
            </w:r>
          </w:p>
        </w:tc>
        <w:tc>
          <w:tcPr>
            <w:tcW w:w="773" w:type="pct"/>
            <w:tcMar>
              <w:top w:w="100" w:type="dxa"/>
              <w:left w:w="100" w:type="dxa"/>
              <w:bottom w:w="100" w:type="dxa"/>
              <w:right w:w="100" w:type="dxa"/>
            </w:tcMar>
          </w:tcPr>
          <w:p w14:paraId="6CBA143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Limited emphasis and assessment of CKD management and key determinants among adults</w:t>
            </w:r>
          </w:p>
        </w:tc>
      </w:tr>
      <w:tr w:rsidR="000B38A4" w:rsidRPr="003C6276" w14:paraId="06053EDE" w14:textId="77777777" w:rsidTr="000B38A4">
        <w:tc>
          <w:tcPr>
            <w:tcW w:w="421" w:type="pct"/>
            <w:tcMar>
              <w:top w:w="100" w:type="dxa"/>
              <w:left w:w="100" w:type="dxa"/>
              <w:bottom w:w="100" w:type="dxa"/>
              <w:right w:w="100" w:type="dxa"/>
            </w:tcMar>
          </w:tcPr>
          <w:p w14:paraId="380FFEAB"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Cleary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(2022)</w:t>
            </w:r>
          </w:p>
        </w:tc>
        <w:tc>
          <w:tcPr>
            <w:tcW w:w="245" w:type="pct"/>
            <w:tcMar>
              <w:top w:w="100" w:type="dxa"/>
              <w:left w:w="100" w:type="dxa"/>
              <w:bottom w:w="100" w:type="dxa"/>
              <w:right w:w="100" w:type="dxa"/>
            </w:tcMar>
          </w:tcPr>
          <w:p w14:paraId="58A9BBB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2022</w:t>
            </w:r>
          </w:p>
        </w:tc>
        <w:tc>
          <w:tcPr>
            <w:tcW w:w="335" w:type="pct"/>
            <w:tcMar>
              <w:top w:w="100" w:type="dxa"/>
              <w:left w:w="100" w:type="dxa"/>
              <w:bottom w:w="100" w:type="dxa"/>
              <w:right w:w="100" w:type="dxa"/>
            </w:tcMar>
          </w:tcPr>
          <w:p w14:paraId="0292396A"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3EB14F4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Cohort</w:t>
            </w:r>
          </w:p>
          <w:p w14:paraId="333A4FDA"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analysis</w:t>
            </w:r>
          </w:p>
        </w:tc>
        <w:tc>
          <w:tcPr>
            <w:tcW w:w="818" w:type="pct"/>
            <w:tcMar>
              <w:top w:w="100" w:type="dxa"/>
              <w:left w:w="100" w:type="dxa"/>
              <w:bottom w:w="100" w:type="dxa"/>
              <w:right w:w="100" w:type="dxa"/>
            </w:tcMar>
          </w:tcPr>
          <w:p w14:paraId="5F16238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Data of 167208 patients with CKD</w:t>
            </w:r>
          </w:p>
        </w:tc>
        <w:tc>
          <w:tcPr>
            <w:tcW w:w="864" w:type="pct"/>
            <w:tcMar>
              <w:top w:w="100" w:type="dxa"/>
              <w:left w:w="100" w:type="dxa"/>
              <w:bottom w:w="100" w:type="dxa"/>
              <w:right w:w="100" w:type="dxa"/>
            </w:tcMar>
          </w:tcPr>
          <w:p w14:paraId="6F5CE66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examine the link between practice percentage coding of chronic kidney disease (CKD) in primary care with risk of subsequent hospitalisations and death.</w:t>
            </w:r>
          </w:p>
        </w:tc>
        <w:tc>
          <w:tcPr>
            <w:tcW w:w="863" w:type="pct"/>
            <w:tcMar>
              <w:top w:w="100" w:type="dxa"/>
              <w:left w:w="100" w:type="dxa"/>
              <w:bottom w:w="100" w:type="dxa"/>
              <w:right w:w="100" w:type="dxa"/>
            </w:tcMar>
          </w:tcPr>
          <w:p w14:paraId="59FEDAE6"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The CKD patients have high risks of heart failure and cardiovascular diseases with high risks of mortality</w:t>
            </w:r>
          </w:p>
          <w:p w14:paraId="2120844C"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c>
          <w:tcPr>
            <w:tcW w:w="773" w:type="pct"/>
            <w:tcMar>
              <w:top w:w="100" w:type="dxa"/>
              <w:left w:w="100" w:type="dxa"/>
              <w:bottom w:w="100" w:type="dxa"/>
              <w:right w:w="100" w:type="dxa"/>
            </w:tcMar>
          </w:tcPr>
          <w:p w14:paraId="778009CF"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Limitations in follow up between the assessment of CKD diagnosis </w:t>
            </w:r>
          </w:p>
        </w:tc>
      </w:tr>
      <w:tr w:rsidR="000B38A4" w:rsidRPr="003C6276" w14:paraId="17D91F50" w14:textId="77777777" w:rsidTr="000B38A4">
        <w:tc>
          <w:tcPr>
            <w:tcW w:w="421" w:type="pct"/>
            <w:tcMar>
              <w:top w:w="100" w:type="dxa"/>
              <w:left w:w="100" w:type="dxa"/>
              <w:bottom w:w="100" w:type="dxa"/>
              <w:right w:w="100" w:type="dxa"/>
            </w:tcMar>
          </w:tcPr>
          <w:p w14:paraId="12497716"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Sisk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(2024)</w:t>
            </w:r>
          </w:p>
        </w:tc>
        <w:tc>
          <w:tcPr>
            <w:tcW w:w="245" w:type="pct"/>
            <w:tcMar>
              <w:top w:w="100" w:type="dxa"/>
              <w:left w:w="100" w:type="dxa"/>
              <w:bottom w:w="100" w:type="dxa"/>
              <w:right w:w="100" w:type="dxa"/>
            </w:tcMar>
          </w:tcPr>
          <w:p w14:paraId="276A2F7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2024</w:t>
            </w:r>
          </w:p>
        </w:tc>
        <w:tc>
          <w:tcPr>
            <w:tcW w:w="335" w:type="pct"/>
            <w:tcMar>
              <w:top w:w="100" w:type="dxa"/>
              <w:left w:w="100" w:type="dxa"/>
              <w:bottom w:w="100" w:type="dxa"/>
              <w:right w:w="100" w:type="dxa"/>
            </w:tcMar>
          </w:tcPr>
          <w:p w14:paraId="2FAB5247"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5A803F2A"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retrospective</w:t>
            </w:r>
          </w:p>
          <w:p w14:paraId="0504122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observational study</w:t>
            </w:r>
          </w:p>
        </w:tc>
        <w:tc>
          <w:tcPr>
            <w:tcW w:w="818" w:type="pct"/>
            <w:tcMar>
              <w:top w:w="100" w:type="dxa"/>
              <w:left w:w="100" w:type="dxa"/>
              <w:bottom w:w="100" w:type="dxa"/>
              <w:right w:w="100" w:type="dxa"/>
            </w:tcMar>
          </w:tcPr>
          <w:p w14:paraId="0838A76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CKD per 100 person–years using eGFR-based CKD and</w:t>
            </w:r>
          </w:p>
          <w:p w14:paraId="007BCADB"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diagnosis codes</w:t>
            </w:r>
          </w:p>
        </w:tc>
        <w:tc>
          <w:tcPr>
            <w:tcW w:w="864" w:type="pct"/>
            <w:tcMar>
              <w:top w:w="100" w:type="dxa"/>
              <w:left w:w="100" w:type="dxa"/>
              <w:bottom w:w="100" w:type="dxa"/>
              <w:right w:w="100" w:type="dxa"/>
            </w:tcMar>
          </w:tcPr>
          <w:p w14:paraId="2821E74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To evaluate the consistency between glomerular filtration rate (eGFR)-based evidence</w:t>
            </w:r>
          </w:p>
          <w:p w14:paraId="37B1B58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of CKD and CKD diagnosis coding within the UK primary care setting</w:t>
            </w:r>
          </w:p>
        </w:tc>
        <w:tc>
          <w:tcPr>
            <w:tcW w:w="863" w:type="pct"/>
            <w:tcMar>
              <w:top w:w="100" w:type="dxa"/>
              <w:left w:w="100" w:type="dxa"/>
              <w:bottom w:w="100" w:type="dxa"/>
              <w:right w:w="100" w:type="dxa"/>
            </w:tcMar>
          </w:tcPr>
          <w:p w14:paraId="378EE11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Incidence of CKD was 95% high and significantly higher for eGFR-based criteria than diagnosis codes. </w:t>
            </w:r>
          </w:p>
          <w:p w14:paraId="7F5EF37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c>
          <w:tcPr>
            <w:tcW w:w="773" w:type="pct"/>
            <w:tcMar>
              <w:top w:w="100" w:type="dxa"/>
              <w:left w:w="100" w:type="dxa"/>
              <w:bottom w:w="100" w:type="dxa"/>
              <w:right w:w="100" w:type="dxa"/>
            </w:tcMar>
          </w:tcPr>
          <w:p w14:paraId="78B0206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data gathered for the study only includes information from primary care and lacks a vast evaluation of patient data. </w:t>
            </w:r>
          </w:p>
        </w:tc>
      </w:tr>
      <w:tr w:rsidR="000B38A4" w:rsidRPr="003C6276" w14:paraId="659756D1" w14:textId="77777777" w:rsidTr="000B38A4">
        <w:tc>
          <w:tcPr>
            <w:tcW w:w="421" w:type="pct"/>
            <w:tcMar>
              <w:top w:w="100" w:type="dxa"/>
              <w:left w:w="100" w:type="dxa"/>
              <w:bottom w:w="100" w:type="dxa"/>
              <w:right w:w="100" w:type="dxa"/>
            </w:tcMar>
          </w:tcPr>
          <w:p w14:paraId="7F930392"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Walker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(2025)</w:t>
            </w:r>
          </w:p>
        </w:tc>
        <w:tc>
          <w:tcPr>
            <w:tcW w:w="245" w:type="pct"/>
            <w:tcMar>
              <w:top w:w="100" w:type="dxa"/>
              <w:left w:w="100" w:type="dxa"/>
              <w:bottom w:w="100" w:type="dxa"/>
              <w:right w:w="100" w:type="dxa"/>
            </w:tcMar>
          </w:tcPr>
          <w:p w14:paraId="45FCEB2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2025</w:t>
            </w:r>
          </w:p>
        </w:tc>
        <w:tc>
          <w:tcPr>
            <w:tcW w:w="335" w:type="pct"/>
            <w:tcMar>
              <w:top w:w="100" w:type="dxa"/>
              <w:left w:w="100" w:type="dxa"/>
              <w:bottom w:w="100" w:type="dxa"/>
              <w:right w:w="100" w:type="dxa"/>
            </w:tcMar>
          </w:tcPr>
          <w:p w14:paraId="12D52AD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16D8D8B1"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Retrospective cohort study</w:t>
            </w:r>
          </w:p>
        </w:tc>
        <w:tc>
          <w:tcPr>
            <w:tcW w:w="818" w:type="pct"/>
            <w:tcMar>
              <w:top w:w="100" w:type="dxa"/>
              <w:left w:w="100" w:type="dxa"/>
              <w:bottom w:w="100" w:type="dxa"/>
              <w:right w:w="100" w:type="dxa"/>
            </w:tcMar>
          </w:tcPr>
          <w:p w14:paraId="17FDB15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10,874 adults with CKD</w:t>
            </w:r>
          </w:p>
        </w:tc>
        <w:tc>
          <w:tcPr>
            <w:tcW w:w="864" w:type="pct"/>
            <w:tcMar>
              <w:top w:w="100" w:type="dxa"/>
              <w:left w:w="100" w:type="dxa"/>
              <w:bottom w:w="100" w:type="dxa"/>
              <w:right w:w="100" w:type="dxa"/>
            </w:tcMar>
          </w:tcPr>
          <w:p w14:paraId="7A88B1B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analyse the KFRE effectiveness into clinical practices and investigating albuminuria </w:t>
            </w:r>
            <w:r w:rsidRPr="003C6276">
              <w:rPr>
                <w:rFonts w:ascii="Arial" w:eastAsia="Arial" w:hAnsi="Arial" w:cs="Arial"/>
                <w:kern w:val="0"/>
                <w:lang w:eastAsia="en-IN"/>
                <w14:ligatures w14:val="none"/>
              </w:rPr>
              <w:lastRenderedPageBreak/>
              <w:t xml:space="preserve">testing for CKD management </w:t>
            </w:r>
          </w:p>
        </w:tc>
        <w:tc>
          <w:tcPr>
            <w:tcW w:w="863" w:type="pct"/>
            <w:tcMar>
              <w:top w:w="100" w:type="dxa"/>
              <w:left w:w="100" w:type="dxa"/>
              <w:bottom w:w="100" w:type="dxa"/>
              <w:right w:w="100" w:type="dxa"/>
            </w:tcMar>
          </w:tcPr>
          <w:p w14:paraId="691791C6"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lastRenderedPageBreak/>
              <w:t xml:space="preserve">Including KFRE into referral guidelines to assist in identifying high risks to patients of CKD </w:t>
            </w:r>
          </w:p>
        </w:tc>
        <w:tc>
          <w:tcPr>
            <w:tcW w:w="773" w:type="pct"/>
            <w:tcMar>
              <w:top w:w="100" w:type="dxa"/>
              <w:left w:w="100" w:type="dxa"/>
              <w:bottom w:w="100" w:type="dxa"/>
              <w:right w:w="100" w:type="dxa"/>
            </w:tcMar>
          </w:tcPr>
          <w:p w14:paraId="48404B5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Limited emphasis in improving albuminuria testing and inequities identified to allow </w:t>
            </w:r>
            <w:r w:rsidRPr="003C6276">
              <w:rPr>
                <w:rFonts w:ascii="Arial" w:eastAsia="Arial" w:hAnsi="Arial" w:cs="Arial"/>
                <w:kern w:val="0"/>
                <w:lang w:eastAsia="en-IN"/>
                <w14:ligatures w14:val="none"/>
              </w:rPr>
              <w:lastRenderedPageBreak/>
              <w:t>wider implementation of KFRE.</w:t>
            </w:r>
          </w:p>
        </w:tc>
      </w:tr>
      <w:tr w:rsidR="000B38A4" w:rsidRPr="003C6276" w14:paraId="7836A8E2" w14:textId="77777777" w:rsidTr="000B38A4">
        <w:tc>
          <w:tcPr>
            <w:tcW w:w="421" w:type="pct"/>
            <w:tcMar>
              <w:top w:w="100" w:type="dxa"/>
              <w:left w:w="100" w:type="dxa"/>
              <w:bottom w:w="100" w:type="dxa"/>
              <w:right w:w="100" w:type="dxa"/>
            </w:tcMar>
          </w:tcPr>
          <w:p w14:paraId="79EA86AF"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lastRenderedPageBreak/>
              <w:t xml:space="preserve">Gentile </w:t>
            </w:r>
            <w:r w:rsidRPr="003C6276">
              <w:rPr>
                <w:rFonts w:ascii="Arial" w:eastAsia="Arial" w:hAnsi="Arial" w:cs="Arial"/>
                <w:i/>
                <w:iCs/>
                <w:kern w:val="0"/>
                <w:highlight w:val="white"/>
                <w:lang w:eastAsia="en-IN"/>
                <w14:ligatures w14:val="none"/>
              </w:rPr>
              <w:t xml:space="preserve">et al. </w:t>
            </w:r>
            <w:r w:rsidRPr="003C6276">
              <w:rPr>
                <w:rFonts w:ascii="Arial" w:eastAsia="Arial" w:hAnsi="Arial" w:cs="Arial"/>
                <w:kern w:val="0"/>
                <w:highlight w:val="white"/>
                <w:lang w:eastAsia="en-IN"/>
                <w14:ligatures w14:val="none"/>
              </w:rPr>
              <w:t>(2022)</w:t>
            </w:r>
          </w:p>
        </w:tc>
        <w:tc>
          <w:tcPr>
            <w:tcW w:w="245" w:type="pct"/>
            <w:tcMar>
              <w:top w:w="100" w:type="dxa"/>
              <w:left w:w="100" w:type="dxa"/>
              <w:bottom w:w="100" w:type="dxa"/>
              <w:right w:w="100" w:type="dxa"/>
            </w:tcMar>
          </w:tcPr>
          <w:p w14:paraId="353DE3F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2022</w:t>
            </w:r>
          </w:p>
        </w:tc>
        <w:tc>
          <w:tcPr>
            <w:tcW w:w="335" w:type="pct"/>
            <w:tcMar>
              <w:top w:w="100" w:type="dxa"/>
              <w:left w:w="100" w:type="dxa"/>
              <w:bottom w:w="100" w:type="dxa"/>
              <w:right w:w="100" w:type="dxa"/>
            </w:tcMar>
          </w:tcPr>
          <w:p w14:paraId="225EF590"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2FFF5AB3"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Systematic review </w:t>
            </w:r>
          </w:p>
        </w:tc>
        <w:tc>
          <w:tcPr>
            <w:tcW w:w="818" w:type="pct"/>
            <w:tcMar>
              <w:top w:w="100" w:type="dxa"/>
              <w:left w:w="100" w:type="dxa"/>
              <w:bottom w:w="100" w:type="dxa"/>
              <w:right w:w="100" w:type="dxa"/>
            </w:tcMar>
          </w:tcPr>
          <w:p w14:paraId="72474025"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Included studies containing 1094, 338 and 9361 patients’ data </w:t>
            </w:r>
          </w:p>
        </w:tc>
        <w:tc>
          <w:tcPr>
            <w:tcW w:w="864" w:type="pct"/>
            <w:tcMar>
              <w:top w:w="100" w:type="dxa"/>
              <w:left w:w="100" w:type="dxa"/>
              <w:bottom w:w="100" w:type="dxa"/>
              <w:right w:w="100" w:type="dxa"/>
            </w:tcMar>
          </w:tcPr>
          <w:p w14:paraId="3274B158"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Evaluate the role of key international guidelines for formulating clinical guideline for the blood pressure target management among patient with CKD </w:t>
            </w:r>
          </w:p>
        </w:tc>
        <w:tc>
          <w:tcPr>
            <w:tcW w:w="863" w:type="pct"/>
            <w:tcMar>
              <w:top w:w="100" w:type="dxa"/>
              <w:left w:w="100" w:type="dxa"/>
              <w:bottom w:w="100" w:type="dxa"/>
              <w:right w:w="100" w:type="dxa"/>
            </w:tcMar>
          </w:tcPr>
          <w:p w14:paraId="41C45802"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The findings outlined that CKD patients have high cardiovascular disease risks and are associated with mortality risks. </w:t>
            </w:r>
          </w:p>
        </w:tc>
        <w:tc>
          <w:tcPr>
            <w:tcW w:w="773" w:type="pct"/>
            <w:tcMar>
              <w:top w:w="100" w:type="dxa"/>
              <w:left w:w="100" w:type="dxa"/>
              <w:bottom w:w="100" w:type="dxa"/>
              <w:right w:w="100" w:type="dxa"/>
            </w:tcMar>
          </w:tcPr>
          <w:p w14:paraId="247112C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Lacked assessment of CKD management through lifestyle changes among adults </w:t>
            </w:r>
          </w:p>
          <w:p w14:paraId="20EB26A7"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p>
        </w:tc>
      </w:tr>
      <w:tr w:rsidR="000B38A4" w:rsidRPr="003C6276" w14:paraId="3A3AF671" w14:textId="77777777" w:rsidTr="000B38A4">
        <w:tc>
          <w:tcPr>
            <w:tcW w:w="421" w:type="pct"/>
            <w:tcMar>
              <w:top w:w="100" w:type="dxa"/>
              <w:left w:w="100" w:type="dxa"/>
              <w:bottom w:w="100" w:type="dxa"/>
              <w:right w:w="100" w:type="dxa"/>
            </w:tcMar>
          </w:tcPr>
          <w:p w14:paraId="63F9EC99" w14:textId="77777777" w:rsidR="007F1C63" w:rsidRPr="003C6276" w:rsidRDefault="007F1C63" w:rsidP="007F1C63">
            <w:pPr>
              <w:spacing w:before="3" w:after="0" w:line="360" w:lineRule="auto"/>
              <w:ind w:left="9" w:right="2"/>
              <w:jc w:val="both"/>
              <w:rPr>
                <w:rFonts w:ascii="Arial" w:eastAsia="Arial" w:hAnsi="Arial" w:cs="Arial"/>
                <w:kern w:val="0"/>
                <w:lang w:eastAsia="en-IN"/>
                <w14:ligatures w14:val="none"/>
              </w:rPr>
            </w:pPr>
            <w:r w:rsidRPr="003C6276">
              <w:rPr>
                <w:rFonts w:ascii="Arial" w:eastAsia="Arial" w:hAnsi="Arial" w:cs="Arial"/>
                <w:kern w:val="0"/>
                <w:highlight w:val="white"/>
                <w:lang w:eastAsia="en-IN"/>
                <w14:ligatures w14:val="none"/>
              </w:rPr>
              <w:t xml:space="preserve">Czupryniak </w:t>
            </w:r>
            <w:r w:rsidRPr="003C6276">
              <w:rPr>
                <w:rFonts w:ascii="Arial" w:eastAsia="Arial" w:hAnsi="Arial" w:cs="Arial"/>
                <w:i/>
                <w:iCs/>
                <w:kern w:val="0"/>
                <w:highlight w:val="white"/>
                <w:lang w:eastAsia="en-IN"/>
                <w14:ligatures w14:val="none"/>
              </w:rPr>
              <w:t>et al.</w:t>
            </w:r>
            <w:r w:rsidRPr="003C6276">
              <w:rPr>
                <w:rFonts w:ascii="Arial" w:eastAsia="Arial" w:hAnsi="Arial" w:cs="Arial"/>
                <w:kern w:val="0"/>
                <w:highlight w:val="white"/>
                <w:lang w:eastAsia="en-IN"/>
                <w14:ligatures w14:val="none"/>
              </w:rPr>
              <w:t xml:space="preserve"> (2024)</w:t>
            </w:r>
          </w:p>
        </w:tc>
        <w:tc>
          <w:tcPr>
            <w:tcW w:w="245" w:type="pct"/>
            <w:tcMar>
              <w:top w:w="100" w:type="dxa"/>
              <w:left w:w="100" w:type="dxa"/>
              <w:bottom w:w="100" w:type="dxa"/>
              <w:right w:w="100" w:type="dxa"/>
            </w:tcMar>
          </w:tcPr>
          <w:p w14:paraId="05F68539"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2024</w:t>
            </w:r>
          </w:p>
        </w:tc>
        <w:tc>
          <w:tcPr>
            <w:tcW w:w="335" w:type="pct"/>
            <w:tcMar>
              <w:top w:w="100" w:type="dxa"/>
              <w:left w:w="100" w:type="dxa"/>
              <w:bottom w:w="100" w:type="dxa"/>
              <w:right w:w="100" w:type="dxa"/>
            </w:tcMar>
          </w:tcPr>
          <w:p w14:paraId="5D6194C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UK</w:t>
            </w:r>
          </w:p>
        </w:tc>
        <w:tc>
          <w:tcPr>
            <w:tcW w:w="680" w:type="pct"/>
            <w:tcMar>
              <w:top w:w="100" w:type="dxa"/>
              <w:left w:w="100" w:type="dxa"/>
              <w:bottom w:w="100" w:type="dxa"/>
              <w:right w:w="100" w:type="dxa"/>
            </w:tcMar>
          </w:tcPr>
          <w:p w14:paraId="0396660D"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Comprehensive review</w:t>
            </w:r>
          </w:p>
        </w:tc>
        <w:tc>
          <w:tcPr>
            <w:tcW w:w="818" w:type="pct"/>
            <w:tcMar>
              <w:top w:w="100" w:type="dxa"/>
              <w:left w:w="100" w:type="dxa"/>
              <w:bottom w:w="100" w:type="dxa"/>
              <w:right w:w="100" w:type="dxa"/>
            </w:tcMar>
          </w:tcPr>
          <w:p w14:paraId="3BD5B194"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3 EMPA-KIDNEY, CREDENCE, and DAPA-CKD studies were included</w:t>
            </w:r>
          </w:p>
        </w:tc>
        <w:tc>
          <w:tcPr>
            <w:tcW w:w="864" w:type="pct"/>
            <w:tcMar>
              <w:top w:w="100" w:type="dxa"/>
              <w:left w:w="100" w:type="dxa"/>
              <w:bottom w:w="100" w:type="dxa"/>
              <w:right w:w="100" w:type="dxa"/>
            </w:tcMar>
          </w:tcPr>
          <w:p w14:paraId="100A3EBB"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To raise general awareness regarding the detection of CKD and prognosis from patients </w:t>
            </w:r>
          </w:p>
        </w:tc>
        <w:tc>
          <w:tcPr>
            <w:tcW w:w="863" w:type="pct"/>
            <w:tcMar>
              <w:top w:w="100" w:type="dxa"/>
              <w:left w:w="100" w:type="dxa"/>
              <w:bottom w:w="100" w:type="dxa"/>
              <w:right w:w="100" w:type="dxa"/>
            </w:tcMar>
          </w:tcPr>
          <w:p w14:paraId="741535B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Robust screening programs must be integrated with albuminuria self-testing, and SGLT2 inhibitor reimbursement at general practitioner</w:t>
            </w:r>
          </w:p>
          <w:p w14:paraId="6CBBA17F"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(GP) and specialist levels</w:t>
            </w:r>
          </w:p>
        </w:tc>
        <w:tc>
          <w:tcPr>
            <w:tcW w:w="773" w:type="pct"/>
            <w:tcMar>
              <w:top w:w="100" w:type="dxa"/>
              <w:left w:w="100" w:type="dxa"/>
              <w:bottom w:w="100" w:type="dxa"/>
              <w:right w:w="100" w:type="dxa"/>
            </w:tcMar>
          </w:tcPr>
          <w:p w14:paraId="752F7F7E" w14:textId="77777777" w:rsidR="007F1C63" w:rsidRPr="003C6276" w:rsidRDefault="007F1C63" w:rsidP="007F1C63">
            <w:pPr>
              <w:widowControl w:val="0"/>
              <w:spacing w:after="0" w:line="360" w:lineRule="auto"/>
              <w:jc w:val="both"/>
              <w:rPr>
                <w:rFonts w:ascii="Arial" w:eastAsia="Arial" w:hAnsi="Arial" w:cs="Arial"/>
                <w:kern w:val="0"/>
                <w:lang w:eastAsia="en-IN"/>
                <w14:ligatures w14:val="none"/>
              </w:rPr>
            </w:pPr>
            <w:r w:rsidRPr="003C6276">
              <w:rPr>
                <w:rFonts w:ascii="Arial" w:eastAsia="Arial" w:hAnsi="Arial" w:cs="Arial"/>
                <w:kern w:val="0"/>
                <w:lang w:eastAsia="en-IN"/>
                <w14:ligatures w14:val="none"/>
              </w:rPr>
              <w:t xml:space="preserve">Lack of emphasis on self-education for the management of CKD among patient levels. </w:t>
            </w:r>
          </w:p>
        </w:tc>
      </w:tr>
      <w:tr w:rsidR="000B38A4" w:rsidRPr="003C6276" w14:paraId="66437C39" w14:textId="77777777" w:rsidTr="000B38A4">
        <w:tc>
          <w:tcPr>
            <w:tcW w:w="421" w:type="pct"/>
            <w:tcMar>
              <w:top w:w="100" w:type="dxa"/>
              <w:left w:w="100" w:type="dxa"/>
              <w:bottom w:w="100" w:type="dxa"/>
              <w:right w:w="100" w:type="dxa"/>
            </w:tcMar>
          </w:tcPr>
          <w:p w14:paraId="030D15A9" w14:textId="77777777" w:rsidR="007F1C63" w:rsidRPr="003C6276" w:rsidRDefault="007F1C63" w:rsidP="007F1C63">
            <w:pPr>
              <w:spacing w:before="3" w:after="0" w:line="360" w:lineRule="auto"/>
              <w:ind w:left="9" w:right="2"/>
              <w:jc w:val="both"/>
              <w:rPr>
                <w:rFonts w:ascii="Arial" w:eastAsia="Arial" w:hAnsi="Arial" w:cs="Arial"/>
                <w:color w:val="000000" w:themeColor="text1"/>
                <w:kern w:val="0"/>
                <w:highlight w:val="white"/>
                <w:lang w:eastAsia="en-IN"/>
                <w14:ligatures w14:val="none"/>
              </w:rPr>
            </w:pPr>
            <w:r w:rsidRPr="003C6276">
              <w:rPr>
                <w:rFonts w:ascii="Arial" w:eastAsia="Arial" w:hAnsi="Arial" w:cs="Arial"/>
                <w:color w:val="000000" w:themeColor="text1"/>
                <w:kern w:val="0"/>
                <w:highlight w:val="white"/>
                <w:lang w:eastAsia="en-IN"/>
                <w14:ligatures w14:val="none"/>
              </w:rPr>
              <w:t xml:space="preserve">Rosenberg </w:t>
            </w:r>
            <w:r w:rsidRPr="003C6276">
              <w:rPr>
                <w:rFonts w:ascii="Arial" w:eastAsia="Arial" w:hAnsi="Arial" w:cs="Arial"/>
                <w:i/>
                <w:iCs/>
                <w:color w:val="000000" w:themeColor="text1"/>
                <w:kern w:val="0"/>
                <w:highlight w:val="white"/>
                <w:lang w:eastAsia="en-IN"/>
                <w14:ligatures w14:val="none"/>
              </w:rPr>
              <w:t>et al</w:t>
            </w:r>
            <w:r w:rsidRPr="003C6276">
              <w:rPr>
                <w:rFonts w:ascii="Arial" w:eastAsia="Arial" w:hAnsi="Arial" w:cs="Arial"/>
                <w:color w:val="000000" w:themeColor="text1"/>
                <w:kern w:val="0"/>
                <w:highlight w:val="white"/>
                <w:lang w:eastAsia="en-IN"/>
                <w14:ligatures w14:val="none"/>
              </w:rPr>
              <w:t>. (2026)</w:t>
            </w:r>
          </w:p>
        </w:tc>
        <w:tc>
          <w:tcPr>
            <w:tcW w:w="245" w:type="pct"/>
            <w:tcMar>
              <w:top w:w="100" w:type="dxa"/>
              <w:left w:w="100" w:type="dxa"/>
              <w:bottom w:w="100" w:type="dxa"/>
              <w:right w:w="100" w:type="dxa"/>
            </w:tcMar>
          </w:tcPr>
          <w:p w14:paraId="2804A83F"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2026</w:t>
            </w:r>
          </w:p>
        </w:tc>
        <w:tc>
          <w:tcPr>
            <w:tcW w:w="335" w:type="pct"/>
            <w:tcMar>
              <w:top w:w="100" w:type="dxa"/>
              <w:left w:w="100" w:type="dxa"/>
              <w:bottom w:w="100" w:type="dxa"/>
              <w:right w:w="100" w:type="dxa"/>
            </w:tcMar>
          </w:tcPr>
          <w:p w14:paraId="55B7470A"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UK</w:t>
            </w:r>
          </w:p>
        </w:tc>
        <w:tc>
          <w:tcPr>
            <w:tcW w:w="680" w:type="pct"/>
            <w:tcMar>
              <w:top w:w="100" w:type="dxa"/>
              <w:left w:w="100" w:type="dxa"/>
              <w:bottom w:w="100" w:type="dxa"/>
              <w:right w:w="100" w:type="dxa"/>
            </w:tcMar>
          </w:tcPr>
          <w:p w14:paraId="732D266B"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Systematic Review and</w:t>
            </w:r>
          </w:p>
          <w:p w14:paraId="2627C445"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Meta</w:t>
            </w:r>
            <w:r w:rsidRPr="003C6276">
              <w:rPr>
                <w:rFonts w:ascii="Cambria Math" w:eastAsia="Arial" w:hAnsi="Cambria Math" w:cs="Cambria Math"/>
                <w:color w:val="000000" w:themeColor="text1"/>
                <w:kern w:val="0"/>
                <w:lang w:eastAsia="en-IN"/>
                <w14:ligatures w14:val="none"/>
              </w:rPr>
              <w:t>‐</w:t>
            </w:r>
            <w:r w:rsidRPr="003C6276">
              <w:rPr>
                <w:rFonts w:ascii="Arial" w:eastAsia="Arial" w:hAnsi="Arial" w:cs="Arial"/>
                <w:color w:val="000000" w:themeColor="text1"/>
                <w:kern w:val="0"/>
                <w:lang w:eastAsia="en-IN"/>
                <w14:ligatures w14:val="none"/>
              </w:rPr>
              <w:t>Analysis</w:t>
            </w:r>
          </w:p>
        </w:tc>
        <w:tc>
          <w:tcPr>
            <w:tcW w:w="818" w:type="pct"/>
            <w:tcMar>
              <w:top w:w="100" w:type="dxa"/>
              <w:left w:w="100" w:type="dxa"/>
              <w:bottom w:w="100" w:type="dxa"/>
              <w:right w:w="100" w:type="dxa"/>
            </w:tcMar>
          </w:tcPr>
          <w:p w14:paraId="5EA1460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43 studies, including 51,872 participants </w:t>
            </w:r>
          </w:p>
        </w:tc>
        <w:tc>
          <w:tcPr>
            <w:tcW w:w="864" w:type="pct"/>
            <w:tcMar>
              <w:top w:w="100" w:type="dxa"/>
              <w:left w:w="100" w:type="dxa"/>
              <w:bottom w:w="100" w:type="dxa"/>
              <w:right w:w="100" w:type="dxa"/>
            </w:tcMar>
          </w:tcPr>
          <w:p w14:paraId="6C089F3C"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To identify the clinical and socioeconomic factors associated with choosing a non</w:t>
            </w:r>
            <w:r w:rsidRPr="003C6276">
              <w:rPr>
                <w:rFonts w:ascii="Cambria Math" w:eastAsia="Arial" w:hAnsi="Cambria Math" w:cs="Cambria Math"/>
                <w:color w:val="000000" w:themeColor="text1"/>
                <w:kern w:val="0"/>
                <w:lang w:eastAsia="en-IN"/>
                <w14:ligatures w14:val="none"/>
              </w:rPr>
              <w:t>‐</w:t>
            </w:r>
            <w:r w:rsidRPr="003C6276">
              <w:rPr>
                <w:rFonts w:ascii="Arial" w:eastAsia="Arial" w:hAnsi="Arial" w:cs="Arial"/>
                <w:color w:val="000000" w:themeColor="text1"/>
                <w:kern w:val="0"/>
                <w:lang w:eastAsia="en-IN"/>
                <w14:ligatures w14:val="none"/>
              </w:rPr>
              <w:t xml:space="preserve">dialysis care </w:t>
            </w:r>
            <w:r w:rsidRPr="003C6276">
              <w:rPr>
                <w:rFonts w:ascii="Arial" w:eastAsia="Arial" w:hAnsi="Arial" w:cs="Arial"/>
                <w:color w:val="000000" w:themeColor="text1"/>
                <w:kern w:val="0"/>
                <w:lang w:eastAsia="en-IN"/>
                <w14:ligatures w14:val="none"/>
              </w:rPr>
              <w:lastRenderedPageBreak/>
              <w:t>pathway and to</w:t>
            </w:r>
          </w:p>
          <w:p w14:paraId="21D1A414"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explore geographical variation.</w:t>
            </w:r>
          </w:p>
        </w:tc>
        <w:tc>
          <w:tcPr>
            <w:tcW w:w="863" w:type="pct"/>
            <w:tcMar>
              <w:top w:w="100" w:type="dxa"/>
              <w:left w:w="100" w:type="dxa"/>
              <w:bottom w:w="100" w:type="dxa"/>
              <w:right w:w="100" w:type="dxa"/>
            </w:tcMar>
          </w:tcPr>
          <w:p w14:paraId="029060AC"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Socioeconomic deprivation was associated with choosing non-dialysis care in Asian </w:t>
            </w:r>
            <w:r w:rsidRPr="003C6276">
              <w:rPr>
                <w:rFonts w:ascii="Arial" w:eastAsia="Arial" w:hAnsi="Arial" w:cs="Arial"/>
                <w:color w:val="000000" w:themeColor="text1"/>
                <w:kern w:val="0"/>
                <w:lang w:eastAsia="en-IN"/>
                <w14:ligatures w14:val="none"/>
              </w:rPr>
              <w:lastRenderedPageBreak/>
              <w:t xml:space="preserve">population as compared to white population </w:t>
            </w:r>
          </w:p>
        </w:tc>
        <w:tc>
          <w:tcPr>
            <w:tcW w:w="773" w:type="pct"/>
            <w:tcMar>
              <w:top w:w="100" w:type="dxa"/>
              <w:left w:w="100" w:type="dxa"/>
              <w:bottom w:w="100" w:type="dxa"/>
              <w:right w:w="100" w:type="dxa"/>
            </w:tcMar>
          </w:tcPr>
          <w:p w14:paraId="77D94BF2"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Limited sample size for evaluating the CKD management issues among diverse </w:t>
            </w:r>
            <w:r w:rsidRPr="003C6276">
              <w:rPr>
                <w:rFonts w:ascii="Arial" w:eastAsia="Arial" w:hAnsi="Arial" w:cs="Arial"/>
                <w:color w:val="000000" w:themeColor="text1"/>
                <w:kern w:val="0"/>
                <w:lang w:eastAsia="en-IN"/>
                <w14:ligatures w14:val="none"/>
              </w:rPr>
              <w:lastRenderedPageBreak/>
              <w:t xml:space="preserve">populations </w:t>
            </w:r>
          </w:p>
        </w:tc>
      </w:tr>
      <w:tr w:rsidR="000B38A4" w:rsidRPr="003C6276" w14:paraId="01E95F83" w14:textId="77777777" w:rsidTr="000B38A4">
        <w:tc>
          <w:tcPr>
            <w:tcW w:w="421" w:type="pct"/>
            <w:tcMar>
              <w:top w:w="100" w:type="dxa"/>
              <w:left w:w="100" w:type="dxa"/>
              <w:bottom w:w="100" w:type="dxa"/>
              <w:right w:w="100" w:type="dxa"/>
            </w:tcMar>
          </w:tcPr>
          <w:p w14:paraId="46018A79" w14:textId="77777777" w:rsidR="007F1C63" w:rsidRPr="003C6276" w:rsidRDefault="007F1C63" w:rsidP="007F1C63">
            <w:pPr>
              <w:spacing w:before="3" w:after="0" w:line="360" w:lineRule="auto"/>
              <w:ind w:left="9" w:right="2"/>
              <w:jc w:val="both"/>
              <w:rPr>
                <w:rFonts w:ascii="Arial" w:eastAsia="Arial" w:hAnsi="Arial" w:cs="Arial"/>
                <w:color w:val="000000" w:themeColor="text1"/>
                <w:kern w:val="0"/>
                <w:highlight w:val="white"/>
                <w:lang w:eastAsia="en-IN"/>
                <w14:ligatures w14:val="none"/>
              </w:rPr>
            </w:pPr>
            <w:r w:rsidRPr="003C6276">
              <w:rPr>
                <w:rFonts w:ascii="Arial" w:eastAsia="Arial" w:hAnsi="Arial" w:cs="Arial"/>
                <w:color w:val="000000" w:themeColor="text1"/>
                <w:kern w:val="0"/>
                <w:highlight w:val="white"/>
                <w:lang w:eastAsia="en-IN"/>
                <w14:ligatures w14:val="none"/>
              </w:rPr>
              <w:lastRenderedPageBreak/>
              <w:t xml:space="preserve">Liyanage </w:t>
            </w:r>
            <w:r w:rsidRPr="003C6276">
              <w:rPr>
                <w:rFonts w:ascii="Arial" w:eastAsia="Arial" w:hAnsi="Arial" w:cs="Arial"/>
                <w:i/>
                <w:iCs/>
                <w:color w:val="000000" w:themeColor="text1"/>
                <w:kern w:val="0"/>
                <w:highlight w:val="white"/>
                <w:lang w:eastAsia="en-IN"/>
                <w14:ligatures w14:val="none"/>
              </w:rPr>
              <w:t>et al</w:t>
            </w:r>
            <w:r w:rsidRPr="003C6276">
              <w:rPr>
                <w:rFonts w:ascii="Arial" w:eastAsia="Arial" w:hAnsi="Arial" w:cs="Arial"/>
                <w:color w:val="000000" w:themeColor="text1"/>
                <w:kern w:val="0"/>
                <w:highlight w:val="white"/>
                <w:lang w:eastAsia="en-IN"/>
                <w14:ligatures w14:val="none"/>
              </w:rPr>
              <w:t>. (2022)</w:t>
            </w:r>
          </w:p>
        </w:tc>
        <w:tc>
          <w:tcPr>
            <w:tcW w:w="245" w:type="pct"/>
            <w:tcMar>
              <w:top w:w="100" w:type="dxa"/>
              <w:left w:w="100" w:type="dxa"/>
              <w:bottom w:w="100" w:type="dxa"/>
              <w:right w:w="100" w:type="dxa"/>
            </w:tcMar>
          </w:tcPr>
          <w:p w14:paraId="442A0FC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2022</w:t>
            </w:r>
          </w:p>
        </w:tc>
        <w:tc>
          <w:tcPr>
            <w:tcW w:w="335" w:type="pct"/>
            <w:tcMar>
              <w:top w:w="100" w:type="dxa"/>
              <w:left w:w="100" w:type="dxa"/>
              <w:bottom w:w="100" w:type="dxa"/>
              <w:right w:w="100" w:type="dxa"/>
            </w:tcMar>
          </w:tcPr>
          <w:p w14:paraId="1CAC64F8"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UK</w:t>
            </w:r>
          </w:p>
        </w:tc>
        <w:tc>
          <w:tcPr>
            <w:tcW w:w="680" w:type="pct"/>
            <w:tcMar>
              <w:top w:w="100" w:type="dxa"/>
              <w:left w:w="100" w:type="dxa"/>
              <w:bottom w:w="100" w:type="dxa"/>
              <w:right w:w="100" w:type="dxa"/>
            </w:tcMar>
          </w:tcPr>
          <w:p w14:paraId="1CAA347F"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Systematic review and analysis</w:t>
            </w:r>
          </w:p>
        </w:tc>
        <w:tc>
          <w:tcPr>
            <w:tcW w:w="818" w:type="pct"/>
            <w:tcMar>
              <w:top w:w="100" w:type="dxa"/>
              <w:left w:w="100" w:type="dxa"/>
              <w:bottom w:w="100" w:type="dxa"/>
              <w:right w:w="100" w:type="dxa"/>
            </w:tcMar>
          </w:tcPr>
          <w:p w14:paraId="48AC9AAB" w14:textId="77777777" w:rsidR="007F1C63" w:rsidRPr="003C6276" w:rsidRDefault="00B54B5C" w:rsidP="007F1C63">
            <w:pPr>
              <w:widowControl w:val="0"/>
              <w:spacing w:after="0" w:line="360" w:lineRule="auto"/>
              <w:jc w:val="both"/>
              <w:rPr>
                <w:rFonts w:ascii="Arial" w:eastAsia="Arial" w:hAnsi="Arial" w:cs="Arial"/>
                <w:color w:val="000000" w:themeColor="text1"/>
                <w:kern w:val="0"/>
                <w:lang w:eastAsia="en-IN"/>
                <w14:ligatures w14:val="none"/>
              </w:rPr>
            </w:pPr>
            <w:sdt>
              <w:sdtPr>
                <w:rPr>
                  <w:rFonts w:ascii="Arial" w:eastAsia="Arial" w:hAnsi="Arial" w:cs="Arial"/>
                  <w:color w:val="000000" w:themeColor="text1"/>
                  <w:kern w:val="0"/>
                  <w:lang w:eastAsia="en-IN"/>
                  <w14:ligatures w14:val="none"/>
                </w:rPr>
                <w:tag w:val="goog_rdk_0"/>
                <w:id w:val="1533724867"/>
              </w:sdtPr>
              <w:sdtEndPr/>
              <w:sdtContent>
                <w:r w:rsidR="007F1C63" w:rsidRPr="003C6276">
                  <w:rPr>
                    <w:rFonts w:ascii="Arial Unicode MS" w:eastAsia="Arial Unicode MS" w:hAnsi="Arial Unicode MS" w:cs="Arial Unicode MS"/>
                    <w:color w:val="000000" w:themeColor="text1"/>
                    <w:kern w:val="0"/>
                    <w:lang w:eastAsia="en-IN"/>
                    <w14:ligatures w14:val="none"/>
                  </w:rPr>
                  <w:t>&lt;3000vs ≥3000 participants; based on the median study size</w:t>
                </w:r>
              </w:sdtContent>
            </w:sdt>
          </w:p>
        </w:tc>
        <w:tc>
          <w:tcPr>
            <w:tcW w:w="864" w:type="pct"/>
            <w:tcMar>
              <w:top w:w="100" w:type="dxa"/>
              <w:left w:w="100" w:type="dxa"/>
              <w:bottom w:w="100" w:type="dxa"/>
              <w:right w:w="100" w:type="dxa"/>
            </w:tcMar>
          </w:tcPr>
          <w:p w14:paraId="20B6643F"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To consolidate available data and quantify</w:t>
            </w:r>
          </w:p>
          <w:p w14:paraId="10307B5D"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estimates of the CKD burden in this region</w:t>
            </w:r>
          </w:p>
        </w:tc>
        <w:tc>
          <w:tcPr>
            <w:tcW w:w="863" w:type="pct"/>
            <w:tcMar>
              <w:top w:w="100" w:type="dxa"/>
              <w:left w:w="100" w:type="dxa"/>
              <w:bottom w:w="100" w:type="dxa"/>
              <w:right w:w="100" w:type="dxa"/>
            </w:tcMar>
          </w:tcPr>
          <w:p w14:paraId="2EF9544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Socioeconomic status and lack of awareness regarding CKD is high among China and Indian regions as compared to the UK. </w:t>
            </w:r>
          </w:p>
        </w:tc>
        <w:tc>
          <w:tcPr>
            <w:tcW w:w="773" w:type="pct"/>
            <w:tcMar>
              <w:top w:w="100" w:type="dxa"/>
              <w:left w:w="100" w:type="dxa"/>
              <w:bottom w:w="100" w:type="dxa"/>
              <w:right w:w="100" w:type="dxa"/>
            </w:tcMar>
          </w:tcPr>
          <w:p w14:paraId="2E234285"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There is</w:t>
            </w:r>
          </w:p>
          <w:p w14:paraId="19BBC588"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limited information on the overall regional prevalence of</w:t>
            </w:r>
          </w:p>
          <w:p w14:paraId="5395A462"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CKD, as well as the variations in national prevalence within</w:t>
            </w:r>
          </w:p>
          <w:p w14:paraId="2ED0235C"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Asia.</w:t>
            </w:r>
          </w:p>
        </w:tc>
      </w:tr>
      <w:tr w:rsidR="000B38A4" w:rsidRPr="003C6276" w14:paraId="592ACAFE" w14:textId="77777777" w:rsidTr="000B38A4">
        <w:tc>
          <w:tcPr>
            <w:tcW w:w="421" w:type="pct"/>
            <w:tcMar>
              <w:top w:w="100" w:type="dxa"/>
              <w:left w:w="100" w:type="dxa"/>
              <w:bottom w:w="100" w:type="dxa"/>
              <w:right w:w="100" w:type="dxa"/>
            </w:tcMar>
          </w:tcPr>
          <w:p w14:paraId="7101C4F5" w14:textId="77777777" w:rsidR="007F1C63" w:rsidRPr="003C6276" w:rsidRDefault="007F1C63" w:rsidP="007F1C63">
            <w:pPr>
              <w:spacing w:before="3" w:after="0" w:line="360" w:lineRule="auto"/>
              <w:ind w:left="9" w:right="2"/>
              <w:jc w:val="both"/>
              <w:rPr>
                <w:rFonts w:ascii="Arial" w:eastAsia="Arial" w:hAnsi="Arial" w:cs="Arial"/>
                <w:color w:val="000000" w:themeColor="text1"/>
                <w:kern w:val="0"/>
                <w:highlight w:val="white"/>
                <w:lang w:eastAsia="en-IN"/>
                <w14:ligatures w14:val="none"/>
              </w:rPr>
            </w:pPr>
            <w:r w:rsidRPr="003C6276">
              <w:rPr>
                <w:rFonts w:ascii="Arial" w:eastAsia="Arial" w:hAnsi="Arial" w:cs="Arial"/>
                <w:color w:val="000000" w:themeColor="text1"/>
                <w:kern w:val="0"/>
                <w:highlight w:val="white"/>
                <w:lang w:eastAsia="en-IN"/>
                <w14:ligatures w14:val="none"/>
              </w:rPr>
              <w:t xml:space="preserve">Mayne </w:t>
            </w:r>
            <w:r w:rsidRPr="003C6276">
              <w:rPr>
                <w:rFonts w:ascii="Arial" w:eastAsia="Arial" w:hAnsi="Arial" w:cs="Arial"/>
                <w:i/>
                <w:iCs/>
                <w:color w:val="000000" w:themeColor="text1"/>
                <w:kern w:val="0"/>
                <w:highlight w:val="white"/>
                <w:lang w:eastAsia="en-IN"/>
                <w14:ligatures w14:val="none"/>
              </w:rPr>
              <w:t>et al</w:t>
            </w:r>
            <w:r w:rsidRPr="003C6276">
              <w:rPr>
                <w:rFonts w:ascii="Arial" w:eastAsia="Arial" w:hAnsi="Arial" w:cs="Arial"/>
                <w:color w:val="000000" w:themeColor="text1"/>
                <w:kern w:val="0"/>
                <w:highlight w:val="white"/>
                <w:lang w:eastAsia="en-IN"/>
                <w14:ligatures w14:val="none"/>
              </w:rPr>
              <w:t>. (2025)</w:t>
            </w:r>
          </w:p>
        </w:tc>
        <w:tc>
          <w:tcPr>
            <w:tcW w:w="245" w:type="pct"/>
            <w:tcMar>
              <w:top w:w="100" w:type="dxa"/>
              <w:left w:w="100" w:type="dxa"/>
              <w:bottom w:w="100" w:type="dxa"/>
              <w:right w:w="100" w:type="dxa"/>
            </w:tcMar>
          </w:tcPr>
          <w:p w14:paraId="6BEDD6D3"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2025`</w:t>
            </w:r>
          </w:p>
        </w:tc>
        <w:tc>
          <w:tcPr>
            <w:tcW w:w="335" w:type="pct"/>
            <w:tcMar>
              <w:top w:w="100" w:type="dxa"/>
              <w:left w:w="100" w:type="dxa"/>
              <w:bottom w:w="100" w:type="dxa"/>
              <w:right w:w="100" w:type="dxa"/>
            </w:tcMar>
          </w:tcPr>
          <w:p w14:paraId="1E575C1C"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UK</w:t>
            </w:r>
          </w:p>
        </w:tc>
        <w:tc>
          <w:tcPr>
            <w:tcW w:w="680" w:type="pct"/>
            <w:tcMar>
              <w:top w:w="100" w:type="dxa"/>
              <w:left w:w="100" w:type="dxa"/>
              <w:bottom w:w="100" w:type="dxa"/>
              <w:right w:w="100" w:type="dxa"/>
            </w:tcMar>
          </w:tcPr>
          <w:p w14:paraId="1875509A"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Prospective Cohort Study</w:t>
            </w:r>
          </w:p>
        </w:tc>
        <w:tc>
          <w:tcPr>
            <w:tcW w:w="818" w:type="pct"/>
            <w:tcMar>
              <w:top w:w="100" w:type="dxa"/>
              <w:left w:w="100" w:type="dxa"/>
              <w:bottom w:w="100" w:type="dxa"/>
              <w:right w:w="100" w:type="dxa"/>
            </w:tcMar>
          </w:tcPr>
          <w:p w14:paraId="67A1E0C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404,202 adults from the UK Biobank prospective cohort</w:t>
            </w:r>
          </w:p>
        </w:tc>
        <w:tc>
          <w:tcPr>
            <w:tcW w:w="864" w:type="pct"/>
            <w:tcMar>
              <w:top w:w="100" w:type="dxa"/>
              <w:left w:w="100" w:type="dxa"/>
              <w:bottom w:w="100" w:type="dxa"/>
              <w:right w:w="100" w:type="dxa"/>
            </w:tcMar>
          </w:tcPr>
          <w:p w14:paraId="48396BBE"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To evaluate the prognostic importance and associations between (CKM) syndrome staging and all-cause and cardiovascular mortality in a UK population.</w:t>
            </w:r>
          </w:p>
        </w:tc>
        <w:tc>
          <w:tcPr>
            <w:tcW w:w="863" w:type="pct"/>
            <w:tcMar>
              <w:top w:w="100" w:type="dxa"/>
              <w:left w:w="100" w:type="dxa"/>
              <w:bottom w:w="100" w:type="dxa"/>
              <w:right w:w="100" w:type="dxa"/>
            </w:tcMar>
          </w:tcPr>
          <w:p w14:paraId="5DE72101"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Advanced CKM stages (Stages 2 and 3–4) were independently associated with significantly elevated risks of all-cause and cardiovascular mortality compared to Stage 0. </w:t>
            </w:r>
          </w:p>
        </w:tc>
        <w:tc>
          <w:tcPr>
            <w:tcW w:w="773" w:type="pct"/>
            <w:tcMar>
              <w:top w:w="100" w:type="dxa"/>
              <w:left w:w="100" w:type="dxa"/>
              <w:bottom w:w="100" w:type="dxa"/>
              <w:right w:w="100" w:type="dxa"/>
            </w:tcMar>
          </w:tcPr>
          <w:p w14:paraId="06E9FA0F"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Lacked routine cardiac biomarker data, requiring adapted CKM Stage 3 classification.</w:t>
            </w:r>
          </w:p>
        </w:tc>
      </w:tr>
      <w:tr w:rsidR="000B38A4" w:rsidRPr="003C6276" w14:paraId="559F4017" w14:textId="77777777" w:rsidTr="000B38A4">
        <w:tc>
          <w:tcPr>
            <w:tcW w:w="421" w:type="pct"/>
            <w:tcMar>
              <w:top w:w="100" w:type="dxa"/>
              <w:left w:w="100" w:type="dxa"/>
              <w:bottom w:w="100" w:type="dxa"/>
              <w:right w:w="100" w:type="dxa"/>
            </w:tcMar>
          </w:tcPr>
          <w:p w14:paraId="59BA5F4B" w14:textId="77777777" w:rsidR="007F1C63" w:rsidRPr="003C6276" w:rsidRDefault="007F1C63" w:rsidP="007F1C63">
            <w:pPr>
              <w:spacing w:before="3" w:after="0" w:line="360" w:lineRule="auto"/>
              <w:ind w:left="9" w:right="2"/>
              <w:jc w:val="both"/>
              <w:rPr>
                <w:rFonts w:ascii="Arial" w:eastAsia="Arial" w:hAnsi="Arial" w:cs="Arial"/>
                <w:color w:val="000000" w:themeColor="text1"/>
                <w:kern w:val="0"/>
                <w:highlight w:val="white"/>
                <w:lang w:eastAsia="en-IN"/>
                <w14:ligatures w14:val="none"/>
              </w:rPr>
            </w:pPr>
            <w:r w:rsidRPr="003C6276">
              <w:rPr>
                <w:rFonts w:ascii="Arial" w:eastAsia="Arial" w:hAnsi="Arial" w:cs="Arial"/>
                <w:color w:val="000000" w:themeColor="text1"/>
                <w:kern w:val="0"/>
                <w:highlight w:val="white"/>
                <w:lang w:eastAsia="en-IN"/>
                <w14:ligatures w14:val="none"/>
              </w:rPr>
              <w:t xml:space="preserve">George </w:t>
            </w:r>
            <w:r w:rsidRPr="003C6276">
              <w:rPr>
                <w:rFonts w:ascii="Arial" w:eastAsia="Arial" w:hAnsi="Arial" w:cs="Arial"/>
                <w:i/>
                <w:iCs/>
                <w:color w:val="000000" w:themeColor="text1"/>
                <w:kern w:val="0"/>
                <w:highlight w:val="white"/>
                <w:lang w:eastAsia="en-IN"/>
                <w14:ligatures w14:val="none"/>
              </w:rPr>
              <w:t xml:space="preserve">et al. </w:t>
            </w:r>
            <w:r w:rsidRPr="003C6276">
              <w:rPr>
                <w:rFonts w:ascii="Arial" w:eastAsia="Arial" w:hAnsi="Arial" w:cs="Arial"/>
                <w:color w:val="000000" w:themeColor="text1"/>
                <w:kern w:val="0"/>
                <w:highlight w:val="white"/>
                <w:lang w:eastAsia="en-IN"/>
                <w14:ligatures w14:val="none"/>
              </w:rPr>
              <w:t>(2022)</w:t>
            </w:r>
          </w:p>
        </w:tc>
        <w:tc>
          <w:tcPr>
            <w:tcW w:w="245" w:type="pct"/>
            <w:tcMar>
              <w:top w:w="100" w:type="dxa"/>
              <w:left w:w="100" w:type="dxa"/>
              <w:bottom w:w="100" w:type="dxa"/>
              <w:right w:w="100" w:type="dxa"/>
            </w:tcMar>
          </w:tcPr>
          <w:p w14:paraId="5DE6A51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2022</w:t>
            </w:r>
          </w:p>
        </w:tc>
        <w:tc>
          <w:tcPr>
            <w:tcW w:w="335" w:type="pct"/>
            <w:tcMar>
              <w:top w:w="100" w:type="dxa"/>
              <w:left w:w="100" w:type="dxa"/>
              <w:bottom w:w="100" w:type="dxa"/>
              <w:right w:w="100" w:type="dxa"/>
            </w:tcMar>
          </w:tcPr>
          <w:p w14:paraId="74589CA6"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UK</w:t>
            </w:r>
          </w:p>
        </w:tc>
        <w:tc>
          <w:tcPr>
            <w:tcW w:w="680" w:type="pct"/>
            <w:tcMar>
              <w:top w:w="100" w:type="dxa"/>
              <w:left w:w="100" w:type="dxa"/>
              <w:bottom w:w="100" w:type="dxa"/>
              <w:right w:w="100" w:type="dxa"/>
            </w:tcMar>
          </w:tcPr>
          <w:p w14:paraId="067E9414"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Review</w:t>
            </w:r>
          </w:p>
          <w:p w14:paraId="41037BD6"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 xml:space="preserve">of the current </w:t>
            </w:r>
            <w:r w:rsidRPr="003C6276">
              <w:rPr>
                <w:rFonts w:ascii="Arial" w:eastAsia="Arial" w:hAnsi="Arial" w:cs="Arial"/>
                <w:color w:val="000000" w:themeColor="text1"/>
                <w:kern w:val="0"/>
                <w:lang w:eastAsia="en-IN"/>
                <w14:ligatures w14:val="none"/>
              </w:rPr>
              <w:lastRenderedPageBreak/>
              <w:t>literature</w:t>
            </w:r>
          </w:p>
        </w:tc>
        <w:tc>
          <w:tcPr>
            <w:tcW w:w="818" w:type="pct"/>
            <w:tcMar>
              <w:top w:w="100" w:type="dxa"/>
              <w:left w:w="100" w:type="dxa"/>
              <w:bottom w:w="100" w:type="dxa"/>
              <w:right w:w="100" w:type="dxa"/>
            </w:tcMar>
          </w:tcPr>
          <w:p w14:paraId="3DB29FE7"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bookmarkStart w:id="215" w:name="_heading=h.yayxv0jjz6si" w:colFirst="0" w:colLast="0"/>
            <w:bookmarkEnd w:id="215"/>
            <w:r w:rsidRPr="003C6276">
              <w:rPr>
                <w:rFonts w:ascii="Arial" w:eastAsia="Arial" w:hAnsi="Arial" w:cs="Arial"/>
                <w:color w:val="000000" w:themeColor="text1"/>
                <w:kern w:val="0"/>
                <w:lang w:eastAsia="en-IN"/>
                <w14:ligatures w14:val="none"/>
              </w:rPr>
              <w:lastRenderedPageBreak/>
              <w:t xml:space="preserve">Obtained evidences from PubMed, EBSCO </w:t>
            </w:r>
            <w:r w:rsidRPr="003C6276">
              <w:rPr>
                <w:rFonts w:ascii="Arial" w:eastAsia="Arial" w:hAnsi="Arial" w:cs="Arial"/>
                <w:color w:val="000000" w:themeColor="text1"/>
                <w:kern w:val="0"/>
                <w:lang w:eastAsia="en-IN"/>
                <w14:ligatures w14:val="none"/>
              </w:rPr>
              <w:lastRenderedPageBreak/>
              <w:t>host, Scopus, and Web of Science observational studies</w:t>
            </w:r>
          </w:p>
        </w:tc>
        <w:tc>
          <w:tcPr>
            <w:tcW w:w="864" w:type="pct"/>
            <w:tcMar>
              <w:top w:w="100" w:type="dxa"/>
              <w:left w:w="100" w:type="dxa"/>
              <w:bottom w:w="100" w:type="dxa"/>
              <w:right w:w="100" w:type="dxa"/>
            </w:tcMar>
          </w:tcPr>
          <w:p w14:paraId="08AD2E9F"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to summarize the available literature</w:t>
            </w:r>
          </w:p>
          <w:p w14:paraId="76E24B19"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on screening for CKD amongst people with diabetes in</w:t>
            </w:r>
          </w:p>
          <w:p w14:paraId="6267E6E8"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LMICs</w:t>
            </w:r>
          </w:p>
        </w:tc>
        <w:tc>
          <w:tcPr>
            <w:tcW w:w="863" w:type="pct"/>
            <w:tcMar>
              <w:top w:w="100" w:type="dxa"/>
              <w:left w:w="100" w:type="dxa"/>
              <w:bottom w:w="100" w:type="dxa"/>
              <w:right w:w="100" w:type="dxa"/>
            </w:tcMar>
          </w:tcPr>
          <w:p w14:paraId="4712309E"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The findings outlined that screening for CKD in </w:t>
            </w:r>
            <w:r w:rsidRPr="003C6276">
              <w:rPr>
                <w:rFonts w:ascii="Arial" w:eastAsia="Arial" w:hAnsi="Arial" w:cs="Arial"/>
                <w:color w:val="000000" w:themeColor="text1"/>
                <w:kern w:val="0"/>
                <w:lang w:eastAsia="en-IN"/>
                <w14:ligatures w14:val="none"/>
              </w:rPr>
              <w:lastRenderedPageBreak/>
              <w:t>people with diabetes should be a high policy priority in LMICs, as the huge cost associated with</w:t>
            </w:r>
          </w:p>
          <w:p w14:paraId="1FDFEB2D"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higher mortality and morbidity</w:t>
            </w:r>
          </w:p>
        </w:tc>
        <w:tc>
          <w:tcPr>
            <w:tcW w:w="773" w:type="pct"/>
            <w:tcMar>
              <w:top w:w="100" w:type="dxa"/>
              <w:left w:w="100" w:type="dxa"/>
              <w:bottom w:w="100" w:type="dxa"/>
              <w:right w:w="100" w:type="dxa"/>
            </w:tcMar>
          </w:tcPr>
          <w:p w14:paraId="6C4DE5A7"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lastRenderedPageBreak/>
              <w:t xml:space="preserve">opportunities to prevent adverse </w:t>
            </w:r>
            <w:r w:rsidRPr="003C6276">
              <w:rPr>
                <w:rFonts w:ascii="Arial" w:eastAsia="Arial" w:hAnsi="Arial" w:cs="Arial"/>
                <w:color w:val="000000" w:themeColor="text1"/>
                <w:kern w:val="0"/>
                <w:lang w:eastAsia="en-IN"/>
                <w14:ligatures w14:val="none"/>
              </w:rPr>
              <w:lastRenderedPageBreak/>
              <w:t>outcomes of</w:t>
            </w:r>
          </w:p>
          <w:p w14:paraId="03701C60"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CKD are severely limited [22] and many people with diabetes progress to kidney failure or succumb due to CVD</w:t>
            </w:r>
          </w:p>
          <w:p w14:paraId="7EFD4725" w14:textId="77777777" w:rsidR="007F1C63" w:rsidRPr="003C6276" w:rsidRDefault="007F1C63" w:rsidP="007F1C63">
            <w:pPr>
              <w:widowControl w:val="0"/>
              <w:spacing w:after="0" w:line="360" w:lineRule="auto"/>
              <w:jc w:val="both"/>
              <w:rPr>
                <w:rFonts w:ascii="Arial" w:eastAsia="Arial" w:hAnsi="Arial" w:cs="Arial"/>
                <w:color w:val="000000" w:themeColor="text1"/>
                <w:kern w:val="0"/>
                <w:lang w:eastAsia="en-IN"/>
                <w14:ligatures w14:val="none"/>
              </w:rPr>
            </w:pPr>
            <w:r w:rsidRPr="003C6276">
              <w:rPr>
                <w:rFonts w:ascii="Arial" w:eastAsia="Arial" w:hAnsi="Arial" w:cs="Arial"/>
                <w:color w:val="000000" w:themeColor="text1"/>
                <w:kern w:val="0"/>
                <w:lang w:eastAsia="en-IN"/>
                <w14:ligatures w14:val="none"/>
              </w:rPr>
              <w:t>complications</w:t>
            </w:r>
          </w:p>
        </w:tc>
      </w:tr>
    </w:tbl>
    <w:p w14:paraId="62B67D2A" w14:textId="13CA2FD3" w:rsidR="007F1C63" w:rsidRPr="003C6276" w:rsidRDefault="007F1C63" w:rsidP="000B38A4">
      <w:pPr>
        <w:pStyle w:val="Heading1"/>
        <w:ind w:left="0" w:firstLine="0"/>
        <w:jc w:val="both"/>
        <w:sectPr w:rsidR="007F1C63" w:rsidRPr="003C6276" w:rsidSect="007F1C63">
          <w:pgSz w:w="16838" w:h="11906" w:orient="landscape"/>
          <w:pgMar w:top="1440" w:right="1440" w:bottom="1440" w:left="1440" w:header="708" w:footer="708" w:gutter="0"/>
          <w:cols w:space="708"/>
          <w:docGrid w:linePitch="360"/>
        </w:sectPr>
      </w:pPr>
    </w:p>
    <w:p w14:paraId="0EF5AC8F" w14:textId="4E996846" w:rsidR="009F64C5" w:rsidRPr="003C6276" w:rsidRDefault="009F64C5" w:rsidP="009706D0">
      <w:pPr>
        <w:spacing w:after="0"/>
        <w:rPr>
          <w:rFonts w:asciiTheme="minorBidi" w:hAnsiTheme="minorBidi"/>
        </w:rPr>
      </w:pPr>
    </w:p>
    <w:sectPr w:rsidR="009F64C5" w:rsidRPr="003C6276" w:rsidSect="00B250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7CA39" w14:textId="77777777" w:rsidR="00B54B5C" w:rsidRDefault="00B54B5C">
      <w:pPr>
        <w:spacing w:after="0" w:line="240" w:lineRule="auto"/>
      </w:pPr>
      <w:r>
        <w:separator/>
      </w:r>
    </w:p>
  </w:endnote>
  <w:endnote w:type="continuationSeparator" w:id="0">
    <w:p w14:paraId="52CDB31E" w14:textId="77777777" w:rsidR="00B54B5C" w:rsidRDefault="00B54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11B81D66" w:rsidR="009A1B64" w:rsidRDefault="007446D0">
    <w:pPr>
      <w:tabs>
        <w:tab w:val="center" w:pos="4405"/>
      </w:tabs>
      <w:spacing w:after="0"/>
    </w:pPr>
    <w:r>
      <w:rPr>
        <w:rFonts w:ascii="Calibri" w:eastAsia="Calibri" w:hAnsi="Calibri" w:cs="Calibri"/>
      </w:rPr>
      <w:t>[</w:t>
    </w:r>
    <w:r w:rsidR="009065DA" w:rsidRPr="009065DA">
      <w:rPr>
        <w:rFonts w:ascii="Arial" w:eastAsia="Times New Roman" w:hAnsi="Arial" w:cs="Arial"/>
        <w:color w:val="000000" w:themeColor="text1"/>
      </w:rPr>
      <w:t>Pratham Ravindrakumar luhar</w:t>
    </w:r>
    <w:r>
      <w:rPr>
        <w:rFonts w:ascii="Calibri" w:eastAsia="Calibri" w:hAnsi="Calibri" w:cs="Calibri"/>
      </w:rPr>
      <w:t xml:space="preserve">] </w:t>
    </w:r>
    <w:r>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88B97" w14:textId="77777777" w:rsidR="00B54B5C" w:rsidRDefault="00B54B5C">
      <w:pPr>
        <w:spacing w:after="0" w:line="240" w:lineRule="auto"/>
      </w:pPr>
      <w:r>
        <w:separator/>
      </w:r>
    </w:p>
  </w:footnote>
  <w:footnote w:type="continuationSeparator" w:id="0">
    <w:p w14:paraId="7BE14A69" w14:textId="77777777" w:rsidR="00B54B5C" w:rsidRDefault="00B54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1CE56D4"/>
    <w:multiLevelType w:val="multilevel"/>
    <w:tmpl w:val="91341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0"/>
  </w:num>
  <w:num w:numId="3">
    <w:abstractNumId w:val="5"/>
  </w:num>
  <w:num w:numId="4">
    <w:abstractNumId w:val="2"/>
  </w:num>
  <w:num w:numId="5">
    <w:abstractNumId w:val="3"/>
  </w:num>
  <w:num w:numId="6">
    <w:abstractNumId w:val="6"/>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756DC"/>
    <w:rsid w:val="000B38A4"/>
    <w:rsid w:val="000C39D5"/>
    <w:rsid w:val="00113366"/>
    <w:rsid w:val="001C5965"/>
    <w:rsid w:val="00202CE5"/>
    <w:rsid w:val="0020793E"/>
    <w:rsid w:val="002900BC"/>
    <w:rsid w:val="002B04A6"/>
    <w:rsid w:val="002B523E"/>
    <w:rsid w:val="003009FC"/>
    <w:rsid w:val="00332CB9"/>
    <w:rsid w:val="00374272"/>
    <w:rsid w:val="003768BC"/>
    <w:rsid w:val="003A5F7C"/>
    <w:rsid w:val="003C35D2"/>
    <w:rsid w:val="003C6276"/>
    <w:rsid w:val="0040144A"/>
    <w:rsid w:val="00450E12"/>
    <w:rsid w:val="004528E6"/>
    <w:rsid w:val="004D23CF"/>
    <w:rsid w:val="005D6015"/>
    <w:rsid w:val="00623C0E"/>
    <w:rsid w:val="00641B22"/>
    <w:rsid w:val="006A1535"/>
    <w:rsid w:val="006C61C6"/>
    <w:rsid w:val="0070279F"/>
    <w:rsid w:val="007446D0"/>
    <w:rsid w:val="00751A4C"/>
    <w:rsid w:val="007843AD"/>
    <w:rsid w:val="007F1C63"/>
    <w:rsid w:val="007F1C8A"/>
    <w:rsid w:val="007F3292"/>
    <w:rsid w:val="00826A4F"/>
    <w:rsid w:val="00851D37"/>
    <w:rsid w:val="008A73BC"/>
    <w:rsid w:val="008D6BF7"/>
    <w:rsid w:val="009065DA"/>
    <w:rsid w:val="0091417D"/>
    <w:rsid w:val="00954E4C"/>
    <w:rsid w:val="00957FB2"/>
    <w:rsid w:val="009706D0"/>
    <w:rsid w:val="00986A40"/>
    <w:rsid w:val="009A1B64"/>
    <w:rsid w:val="009F64C5"/>
    <w:rsid w:val="00A27701"/>
    <w:rsid w:val="00A9635A"/>
    <w:rsid w:val="00B54B5C"/>
    <w:rsid w:val="00B95765"/>
    <w:rsid w:val="00BB0CF6"/>
    <w:rsid w:val="00BC67C0"/>
    <w:rsid w:val="00BF2530"/>
    <w:rsid w:val="00C2045D"/>
    <w:rsid w:val="00D5170C"/>
    <w:rsid w:val="00DA423B"/>
    <w:rsid w:val="00DA57C7"/>
    <w:rsid w:val="00DD7AA5"/>
    <w:rsid w:val="00E25202"/>
    <w:rsid w:val="00E308B1"/>
    <w:rsid w:val="00E52754"/>
    <w:rsid w:val="00EA040C"/>
    <w:rsid w:val="00EA69B5"/>
    <w:rsid w:val="00EE77A3"/>
    <w:rsid w:val="00EF27D7"/>
    <w:rsid w:val="00F02E6B"/>
    <w:rsid w:val="00F24400"/>
    <w:rsid w:val="00FA17BE"/>
    <w:rsid w:val="00FD0BDD"/>
    <w:rsid w:val="00FF4118"/>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641B22"/>
    <w:pPr>
      <w:keepNext/>
      <w:keepLines/>
      <w:spacing w:after="610" w:line="265" w:lineRule="auto"/>
      <w:ind w:left="12" w:right="6" w:hanging="10"/>
      <w:jc w:val="center"/>
      <w:outlineLvl w:val="0"/>
    </w:pPr>
    <w:rPr>
      <w:rFonts w:asciiTheme="minorBidi" w:eastAsia="Times New Roman" w:hAnsiTheme="minorBidi"/>
      <w:b/>
      <w:color w:val="000000"/>
      <w:sz w:val="24"/>
    </w:rPr>
  </w:style>
  <w:style w:type="paragraph" w:styleId="Heading2">
    <w:name w:val="heading 2"/>
    <w:basedOn w:val="Normal"/>
    <w:next w:val="Normal"/>
    <w:link w:val="Heading2Char"/>
    <w:uiPriority w:val="9"/>
    <w:unhideWhenUsed/>
    <w:qFormat/>
    <w:rsid w:val="00F02E6B"/>
    <w:pPr>
      <w:keepNext/>
      <w:keepLines/>
      <w:spacing w:after="200" w:line="360" w:lineRule="auto"/>
      <w:jc w:val="both"/>
      <w:outlineLvl w:val="1"/>
    </w:pPr>
    <w:rPr>
      <w:rFonts w:ascii="Arial" w:eastAsia="Arial" w:hAnsi="Arial" w:cs="Arial"/>
      <w:b/>
      <w:bCs/>
      <w:kern w:val="0"/>
      <w:lang w:eastAsia="en-IN"/>
      <w14:ligatures w14:val="none"/>
    </w:rPr>
  </w:style>
  <w:style w:type="paragraph" w:styleId="Heading3">
    <w:name w:val="heading 3"/>
    <w:basedOn w:val="Normal"/>
    <w:next w:val="Normal"/>
    <w:link w:val="Heading3Char"/>
    <w:uiPriority w:val="9"/>
    <w:unhideWhenUsed/>
    <w:qFormat/>
    <w:rsid w:val="00F02E6B"/>
    <w:pPr>
      <w:pBdr>
        <w:top w:val="nil"/>
        <w:left w:val="nil"/>
        <w:bottom w:val="nil"/>
        <w:right w:val="nil"/>
        <w:between w:val="nil"/>
      </w:pBdr>
      <w:spacing w:after="200" w:line="360" w:lineRule="auto"/>
      <w:jc w:val="both"/>
      <w:outlineLvl w:val="2"/>
    </w:pPr>
    <w:rPr>
      <w:rFonts w:ascii="Arial" w:eastAsia="Arial" w:hAnsi="Arial" w:cs="Arial"/>
      <w:b/>
      <w:bCs/>
      <w:i/>
      <w:iCs/>
      <w:color w:val="000000"/>
      <w:kern w:val="0"/>
      <w:lang w:eastAsia="en-IN"/>
      <w14:ligatures w14:val="none"/>
    </w:rPr>
  </w:style>
  <w:style w:type="paragraph" w:styleId="Heading4">
    <w:name w:val="heading 4"/>
    <w:basedOn w:val="Normal"/>
    <w:next w:val="Normal"/>
    <w:link w:val="Heading4Char"/>
    <w:uiPriority w:val="9"/>
    <w:unhideWhenUsed/>
    <w:qFormat/>
    <w:rsid w:val="00F02E6B"/>
    <w:pPr>
      <w:pBdr>
        <w:top w:val="nil"/>
        <w:left w:val="nil"/>
        <w:bottom w:val="nil"/>
        <w:right w:val="nil"/>
        <w:between w:val="nil"/>
      </w:pBdr>
      <w:spacing w:after="200" w:line="360" w:lineRule="auto"/>
      <w:jc w:val="center"/>
      <w:outlineLvl w:val="3"/>
    </w:pPr>
    <w:rPr>
      <w:rFonts w:ascii="Arial" w:eastAsia="Arial" w:hAnsi="Arial" w:cs="Arial"/>
      <w:b/>
      <w:bCs/>
      <w:color w:val="000000"/>
      <w:kern w:val="0"/>
      <w:lang w:eastAsia="en-IN"/>
      <w14:ligatures w14:val="none"/>
    </w:rPr>
  </w:style>
  <w:style w:type="paragraph" w:styleId="Heading5">
    <w:name w:val="heading 5"/>
    <w:basedOn w:val="Normal"/>
    <w:next w:val="Normal"/>
    <w:link w:val="Heading5Char"/>
    <w:uiPriority w:val="9"/>
    <w:unhideWhenUsed/>
    <w:qFormat/>
    <w:rsid w:val="006A1535"/>
    <w:pPr>
      <w:keepNext/>
      <w:keepLines/>
      <w:spacing w:after="200" w:line="360" w:lineRule="auto"/>
      <w:jc w:val="center"/>
      <w:outlineLvl w:val="4"/>
    </w:pPr>
    <w:rPr>
      <w:rFonts w:ascii="Arial" w:eastAsia="Arial" w:hAnsi="Arial" w:cs="Arial"/>
      <w:b/>
      <w:bCs/>
      <w:kern w:val="0"/>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B22"/>
    <w:rPr>
      <w:rFonts w:asciiTheme="minorBidi" w:eastAsia="Times New Roman" w:hAnsiTheme="minorBidi"/>
      <w:b/>
      <w:color w:val="000000"/>
      <w:sz w:val="24"/>
    </w:rPr>
  </w:style>
  <w:style w:type="character" w:customStyle="1" w:styleId="Heading2Char">
    <w:name w:val="Heading 2 Char"/>
    <w:basedOn w:val="DefaultParagraphFont"/>
    <w:link w:val="Heading2"/>
    <w:uiPriority w:val="9"/>
    <w:rsid w:val="00F02E6B"/>
    <w:rPr>
      <w:rFonts w:ascii="Arial" w:eastAsia="Arial" w:hAnsi="Arial" w:cs="Arial"/>
      <w:b/>
      <w:bCs/>
      <w:kern w:val="0"/>
      <w:lang w:eastAsia="en-IN"/>
      <w14:ligatures w14:val="none"/>
    </w:rPr>
  </w:style>
  <w:style w:type="character" w:customStyle="1" w:styleId="Heading3Char">
    <w:name w:val="Heading 3 Char"/>
    <w:basedOn w:val="DefaultParagraphFont"/>
    <w:link w:val="Heading3"/>
    <w:uiPriority w:val="9"/>
    <w:rsid w:val="00F02E6B"/>
    <w:rPr>
      <w:rFonts w:ascii="Arial" w:eastAsia="Arial" w:hAnsi="Arial" w:cs="Arial"/>
      <w:b/>
      <w:bCs/>
      <w:i/>
      <w:iCs/>
      <w:color w:val="000000"/>
      <w:kern w:val="0"/>
      <w:lang w:eastAsia="en-IN"/>
      <w14:ligatures w14:val="none"/>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Title">
    <w:name w:val="Title"/>
    <w:basedOn w:val="Normal"/>
    <w:next w:val="Normal"/>
    <w:link w:val="TitleChar"/>
    <w:uiPriority w:val="10"/>
    <w:qFormat/>
    <w:rsid w:val="005D6015"/>
    <w:pPr>
      <w:keepNext/>
      <w:keepLines/>
      <w:pBdr>
        <w:top w:val="nil"/>
        <w:left w:val="nil"/>
        <w:bottom w:val="nil"/>
        <w:right w:val="nil"/>
        <w:between w:val="nil"/>
      </w:pBdr>
      <w:spacing w:before="200" w:after="0" w:line="360" w:lineRule="auto"/>
      <w:jc w:val="center"/>
    </w:pPr>
    <w:rPr>
      <w:rFonts w:ascii="Arial" w:eastAsia="Arial" w:hAnsi="Arial" w:cs="Arial"/>
      <w:b/>
      <w:bCs/>
      <w:color w:val="000000"/>
      <w:kern w:val="0"/>
      <w:sz w:val="32"/>
      <w:szCs w:val="32"/>
      <w:lang w:eastAsia="en-IN"/>
      <w14:ligatures w14:val="none"/>
    </w:rPr>
  </w:style>
  <w:style w:type="character" w:customStyle="1" w:styleId="TitleChar">
    <w:name w:val="Title Char"/>
    <w:basedOn w:val="DefaultParagraphFont"/>
    <w:link w:val="Title"/>
    <w:uiPriority w:val="10"/>
    <w:rsid w:val="005D6015"/>
    <w:rPr>
      <w:rFonts w:ascii="Arial" w:eastAsia="Arial" w:hAnsi="Arial" w:cs="Arial"/>
      <w:b/>
      <w:bCs/>
      <w:color w:val="000000"/>
      <w:kern w:val="0"/>
      <w:sz w:val="32"/>
      <w:szCs w:val="32"/>
      <w:lang w:eastAsia="en-IN"/>
      <w14:ligatures w14:val="none"/>
    </w:rPr>
  </w:style>
  <w:style w:type="character" w:customStyle="1" w:styleId="Heading4Char">
    <w:name w:val="Heading 4 Char"/>
    <w:basedOn w:val="DefaultParagraphFont"/>
    <w:link w:val="Heading4"/>
    <w:uiPriority w:val="9"/>
    <w:rsid w:val="00F02E6B"/>
    <w:rPr>
      <w:rFonts w:ascii="Arial" w:eastAsia="Arial" w:hAnsi="Arial" w:cs="Arial"/>
      <w:b/>
      <w:bCs/>
      <w:color w:val="000000"/>
      <w:kern w:val="0"/>
      <w:lang w:eastAsia="en-IN"/>
      <w14:ligatures w14:val="none"/>
    </w:rPr>
  </w:style>
  <w:style w:type="character" w:customStyle="1" w:styleId="Heading5Char">
    <w:name w:val="Heading 5 Char"/>
    <w:basedOn w:val="DefaultParagraphFont"/>
    <w:link w:val="Heading5"/>
    <w:uiPriority w:val="9"/>
    <w:rsid w:val="006A1535"/>
    <w:rPr>
      <w:rFonts w:ascii="Arial" w:eastAsia="Arial" w:hAnsi="Arial" w:cs="Arial"/>
      <w:b/>
      <w:bCs/>
      <w:kern w:val="0"/>
      <w:lang w:eastAsia="en-IN"/>
      <w14:ligatures w14:val="none"/>
    </w:rPr>
  </w:style>
  <w:style w:type="paragraph" w:styleId="TableofFigures">
    <w:name w:val="table of figures"/>
    <w:basedOn w:val="Normal"/>
    <w:next w:val="Normal"/>
    <w:uiPriority w:val="99"/>
    <w:unhideWhenUsed/>
    <w:rsid w:val="00D5170C"/>
    <w:pPr>
      <w:spacing w:after="0"/>
    </w:pPr>
  </w:style>
  <w:style w:type="character" w:styleId="Hyperlink">
    <w:name w:val="Hyperlink"/>
    <w:basedOn w:val="DefaultParagraphFont"/>
    <w:uiPriority w:val="99"/>
    <w:unhideWhenUsed/>
    <w:rsid w:val="00D5170C"/>
    <w:rPr>
      <w:color w:val="0563C1" w:themeColor="hyperlink"/>
      <w:u w:val="single"/>
    </w:rPr>
  </w:style>
  <w:style w:type="paragraph" w:styleId="TOCHeading">
    <w:name w:val="TOC Heading"/>
    <w:basedOn w:val="Heading1"/>
    <w:next w:val="Normal"/>
    <w:uiPriority w:val="39"/>
    <w:unhideWhenUsed/>
    <w:qFormat/>
    <w:rsid w:val="004D23C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4D23CF"/>
    <w:pPr>
      <w:spacing w:after="100"/>
      <w:ind w:left="220"/>
    </w:pPr>
  </w:style>
  <w:style w:type="paragraph" w:styleId="TOC3">
    <w:name w:val="toc 3"/>
    <w:basedOn w:val="Normal"/>
    <w:next w:val="Normal"/>
    <w:autoRedefine/>
    <w:uiPriority w:val="39"/>
    <w:unhideWhenUsed/>
    <w:rsid w:val="004D23CF"/>
    <w:pPr>
      <w:spacing w:after="100"/>
      <w:ind w:left="440"/>
    </w:pPr>
  </w:style>
  <w:style w:type="character" w:styleId="UnresolvedMention">
    <w:name w:val="Unresolved Mention"/>
    <w:basedOn w:val="DefaultParagraphFont"/>
    <w:uiPriority w:val="99"/>
    <w:semiHidden/>
    <w:unhideWhenUsed/>
    <w:rsid w:val="003C6276"/>
    <w:rPr>
      <w:color w:val="605E5C"/>
      <w:shd w:val="clear" w:color="auto" w:fill="E1DFDD"/>
    </w:rPr>
  </w:style>
  <w:style w:type="paragraph" w:styleId="Header">
    <w:name w:val="header"/>
    <w:basedOn w:val="Normal"/>
    <w:link w:val="HeaderChar"/>
    <w:uiPriority w:val="99"/>
    <w:unhideWhenUsed/>
    <w:rsid w:val="00906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24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about:blank" TargetMode="External"/><Relationship Id="rId21" Type="http://schemas.openxmlformats.org/officeDocument/2006/relationships/hyperlink" Target="https://www.johs.com.sa/admin/public/uploads/187/356_pdf.pdf?utm_source=copilot.com" TargetMode="External"/><Relationship Id="rId42" Type="http://schemas.openxmlformats.org/officeDocument/2006/relationships/hyperlink" Target="https://pubmed.ncbi.nlm.nih.gov/36243232/" TargetMode="External"/><Relationship Id="rId63" Type="http://schemas.openxmlformats.org/officeDocument/2006/relationships/hyperlink" Target="https://link.springer.com/article/10.1007/s12020-024-03811-6" TargetMode="External"/><Relationship Id="rId84" Type="http://schemas.openxmlformats.org/officeDocument/2006/relationships/hyperlink" Target="about:blank" TargetMode="External"/><Relationship Id="rId138" Type="http://schemas.openxmlformats.org/officeDocument/2006/relationships/hyperlink" Target="https://www.ukkidney.org/guidelines-and-commentaries" TargetMode="External"/><Relationship Id="rId107" Type="http://schemas.openxmlformats.org/officeDocument/2006/relationships/hyperlink" Target="https://www.joms.org/article/S0278-2391(22)00001-5/pdf" TargetMode="External"/><Relationship Id="rId11" Type="http://schemas.openxmlformats.org/officeDocument/2006/relationships/customXml" Target="ink/ink2.xml"/><Relationship Id="rId32" Type="http://schemas.openxmlformats.org/officeDocument/2006/relationships/hyperlink" Target="https://doi.org/10.1038/s41581-021-00501-8" TargetMode="External"/><Relationship Id="rId53" Type="http://schemas.openxmlformats.org/officeDocument/2006/relationships/hyperlink" Target="https://doi.org/10.1038/s41598-025-86030-x" TargetMode="External"/><Relationship Id="rId74" Type="http://schemas.openxmlformats.org/officeDocument/2006/relationships/hyperlink" Target="https://doi.org/10.1111/dom.15625?utm_source=copilot.com" TargetMode="External"/><Relationship Id="rId128" Type="http://schemas.openxmlformats.org/officeDocument/2006/relationships/hyperlink" Target="about:blank" TargetMode="External"/><Relationship Id="rId149" Type="http://schemas.openxmlformats.org/officeDocument/2006/relationships/hyperlink" Target="https://www.who.int/news/item/26-11-2018-housing-impacts-health-new-who-guidelines-on-housing-and-health" TargetMode="External"/><Relationship Id="rId5" Type="http://schemas.openxmlformats.org/officeDocument/2006/relationships/webSettings" Target="webSettings.xml"/><Relationship Id="rId95" Type="http://schemas.openxmlformats.org/officeDocument/2006/relationships/hyperlink" Target="https://evidence.nihr.ac.uk/collection/dialysis-for-kidney-failure-evidence-to-improve-care/" TargetMode="External"/><Relationship Id="rId22" Type="http://schemas.openxmlformats.org/officeDocument/2006/relationships/hyperlink" Target="https://www.johs.com.sa/admin/public/uploads/187/356_pdf.pdf?utm_source=copilot.com" TargetMode="External"/><Relationship Id="rId43" Type="http://schemas.openxmlformats.org/officeDocument/2006/relationships/hyperlink" Target="about:blank" TargetMode="External"/><Relationship Id="rId64" Type="http://schemas.openxmlformats.org/officeDocument/2006/relationships/hyperlink" Target="https://link.springer.com/article/10.1186/s12882-023-03232-z" TargetMode="External"/><Relationship Id="rId118" Type="http://schemas.openxmlformats.org/officeDocument/2006/relationships/hyperlink" Target="about:blank" TargetMode="External"/><Relationship Id="rId139" Type="http://schemas.openxmlformats.org/officeDocument/2006/relationships/hyperlink" Target="https://committees.parliament.uk/writtenevidence/117882/html/" TargetMode="External"/><Relationship Id="rId80" Type="http://schemas.openxmlformats.org/officeDocument/2006/relationships/hyperlink" Target="https://www.kidney.org/global-facts-about-kidney-disease" TargetMode="External"/><Relationship Id="rId85" Type="http://schemas.openxmlformats.org/officeDocument/2006/relationships/hyperlink" Target="https://www.england.nhs.uk/long-read/guide-to-implementing-personalised-follow-up-for-chronic-kidney-disease-in-adults/" TargetMode="External"/><Relationship Id="rId150" Type="http://schemas.openxmlformats.org/officeDocument/2006/relationships/hyperlink" Target="https://www.who.int/news/item/26-11-2018-housing-impacts-health-new-who-guidelines-on-housing-and-health" TargetMode="External"/><Relationship Id="rId155" Type="http://schemas.openxmlformats.org/officeDocument/2006/relationships/footer" Target="footer3.xml"/><Relationship Id="rId12" Type="http://schemas.openxmlformats.org/officeDocument/2006/relationships/customXml" Target="ink/ink3.xml"/><Relationship Id="rId17" Type="http://schemas.openxmlformats.org/officeDocument/2006/relationships/image" Target="media/image5.gif"/><Relationship Id="rId33" Type="http://schemas.openxmlformats.org/officeDocument/2006/relationships/hyperlink" Target="https://doi.org/10.1016/j.eswa.2022.118823" TargetMode="External"/><Relationship Id="rId38" Type="http://schemas.openxmlformats.org/officeDocument/2006/relationships/hyperlink" Target="https://doi.org/10.3390/jcdd9050139" TargetMode="External"/><Relationship Id="rId59" Type="http://schemas.openxmlformats.org/officeDocument/2006/relationships/hyperlink" Target="https://www.kidneyresearchuk.org/2023/06/05/kidney-disease-is-a-public-health-emergency-that-threatens-to-overwhelm-the-nhs-major-new-report-reveals/" TargetMode="External"/><Relationship Id="rId103" Type="http://schemas.openxmlformats.org/officeDocument/2006/relationships/hyperlink" Target="https://doi.org/10.1093/ckj/sfac168?utm_source=copilot.com" TargetMode="External"/><Relationship Id="rId108" Type="http://schemas.openxmlformats.org/officeDocument/2006/relationships/hyperlink" Target="https://doi.org/10.1111/tmi.13913?utm_source=copilot.com" TargetMode="External"/><Relationship Id="rId124" Type="http://schemas.openxmlformats.org/officeDocument/2006/relationships/hyperlink" Target="https://link.springer.com/article/10.1007/s10654-022-00961-7" TargetMode="External"/><Relationship Id="rId129" Type="http://schemas.openxmlformats.org/officeDocument/2006/relationships/hyperlink" Target="https://doi.org/10.7759/cureus.58019" TargetMode="External"/><Relationship Id="rId54" Type="http://schemas.openxmlformats.org/officeDocument/2006/relationships/hyperlink" Target="https://doi.org/10.1016/j.healthpol.2024.105244" TargetMode="External"/><Relationship Id="rId70" Type="http://schemas.openxmlformats.org/officeDocument/2006/relationships/hyperlink" Target="https://doi.org/10.46606/eajess2024v05i01.0343" TargetMode="External"/><Relationship Id="rId75" Type="http://schemas.openxmlformats.org/officeDocument/2006/relationships/hyperlink" Target="https://doi.org/10.1093/eurjpc/zwaf514" TargetMode="External"/><Relationship Id="rId91" Type="http://schemas.openxmlformats.org/officeDocument/2006/relationships/hyperlink" Target="https://www.england.nhs.uk/rightcare/cvd-pathway/ckd/" TargetMode="External"/><Relationship Id="rId96" Type="http://schemas.openxmlformats.org/officeDocument/2006/relationships/hyperlink" Target="http://dx.doi.org/10.1108/JEET-09-2022-0014" TargetMode="External"/><Relationship Id="rId140" Type="http://schemas.openxmlformats.org/officeDocument/2006/relationships/hyperlink" Target="https://committees.parliament.uk/writtenevidence/117882/html/" TargetMode="External"/><Relationship Id="rId145" Type="http://schemas.openxmlformats.org/officeDocument/2006/relationships/hyperlink" Target="https://www.sciencedirect.com/science/article/pii/S016882272500269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2105/AJPH.2023.307556" TargetMode="External"/><Relationship Id="rId28" Type="http://schemas.openxmlformats.org/officeDocument/2006/relationships/hyperlink" Target="https://doi.org/10.1016/j.fhj.2025.100236" TargetMode="External"/><Relationship Id="rId49" Type="http://schemas.openxmlformats.org/officeDocument/2006/relationships/hyperlink" Target="https://www.ispor.org/docs/default-source/euro2023/projected-prevalence-of-acute-chronic-and-end-stage-kidney-disease-in-the-uk-from-2023-to-2033132375-pdf.pdf" TargetMode="External"/><Relationship Id="rId114" Type="http://schemas.openxmlformats.org/officeDocument/2006/relationships/hyperlink" Target="https://onlinelibrary.wiley.com/doi/pdf/10.1111/jorc.70071" TargetMode="External"/><Relationship Id="rId119" Type="http://schemas.openxmlformats.org/officeDocument/2006/relationships/hyperlink" Target="https://www.sciencedirect.com/science/article/pii/S2468024921015047" TargetMode="External"/><Relationship Id="rId44" Type="http://schemas.openxmlformats.org/officeDocument/2006/relationships/hyperlink" Target="about:blank" TargetMode="External"/><Relationship Id="rId60" Type="http://schemas.openxmlformats.org/officeDocument/2006/relationships/hyperlink" Target="https://doi.org/10.1186/s13643-023-02255-9" TargetMode="External"/><Relationship Id="rId65" Type="http://schemas.openxmlformats.org/officeDocument/2006/relationships/hyperlink" Target="https://doi.org/10.1136/bmjgh-2021-007525" TargetMode="External"/><Relationship Id="rId81" Type="http://schemas.openxmlformats.org/officeDocument/2006/relationships/hyperlink" Target="https://www.sciencedirect.com/science/article/pii/S2590059523000535" TargetMode="External"/><Relationship Id="rId86" Type="http://schemas.openxmlformats.org/officeDocument/2006/relationships/hyperlink" Target="https://www.england.nhs.uk/long-read/guide-to-implementing-personalised-follow-up-for-chronic-kidney-disease-in-adults/" TargetMode="External"/><Relationship Id="rId130" Type="http://schemas.openxmlformats.org/officeDocument/2006/relationships/hyperlink" Target="https://doi.org/10.3399/BJGPO.2023.0079" TargetMode="External"/><Relationship Id="rId135" Type="http://schemas.openxmlformats.org/officeDocument/2006/relationships/hyperlink" Target="https://doi.org/10.1177/21501319241297766" TargetMode="External"/><Relationship Id="rId151" Type="http://schemas.openxmlformats.org/officeDocument/2006/relationships/hyperlink" Target="https://www.who.int/news-room/fact-sheets/detail/noncommunicable-diseases" TargetMode="External"/><Relationship Id="rId156" Type="http://schemas.openxmlformats.org/officeDocument/2006/relationships/hyperlink" Target="https://www.researchgate.net/profile/Mr-Yo/publication/380168755_Combined_Methods_Can_This_Solve_The_Differences_Between_Deductive_and_Inductive_Methods_in_Qualitative_Research/links/662f4e2c06ea3d0b7416851d/Combined-Methods-Can-This-Solve-The-Differences-Between-Deductive-and-Inductive-Methods-in-Qualitative-Research.pdf" TargetMode="External"/><Relationship Id="rId13" Type="http://schemas.openxmlformats.org/officeDocument/2006/relationships/customXml" Target="ink/ink4.xml"/><Relationship Id="rId18" Type="http://schemas.openxmlformats.org/officeDocument/2006/relationships/image" Target="media/image6.gif"/><Relationship Id="rId39" Type="http://schemas.openxmlformats.org/officeDocument/2006/relationships/hyperlink" Target="https://doi.org/10.1186/s12916-022-02438-6" TargetMode="External"/><Relationship Id="rId109" Type="http://schemas.openxmlformats.org/officeDocument/2006/relationships/hyperlink" Target="https://doi.org/10.1016/j.ekir.2025.03.051?utm_source=copilot.com" TargetMode="External"/><Relationship Id="rId34" Type="http://schemas.openxmlformats.org/officeDocument/2006/relationships/hyperlink" Target="https://www.researchgate.net/figure/The-Social-Ecological-Model-Note-The-social-ecological-model-depicting-the_fig1_369238312" TargetMode="External"/><Relationship Id="rId50" Type="http://schemas.openxmlformats.org/officeDocument/2006/relationships/hyperlink" Target="https://doi.org/10.1037/bul0000501" TargetMode="External"/><Relationship Id="rId55" Type="http://schemas.openxmlformats.org/officeDocument/2006/relationships/hyperlink" Target="https://doi.org/10.1093/ckj/sfac276?utm_source=copilot.com" TargetMode="External"/><Relationship Id="rId76" Type="http://schemas.openxmlformats.org/officeDocument/2006/relationships/hyperlink" Target="https://doi.org/10.1186/s12913-023-09325-7" TargetMode="External"/><Relationship Id="rId97" Type="http://schemas.openxmlformats.org/officeDocument/2006/relationships/hyperlink" Target="https://www.nursinginpractice.com/clinical/clinical-understanding-chronic-kidney-disease/" TargetMode="External"/><Relationship Id="rId104" Type="http://schemas.openxmlformats.org/officeDocument/2006/relationships/hyperlink" Target="https://doi.org/10.1093/ckj/sfac168" TargetMode="External"/><Relationship Id="rId120" Type="http://schemas.openxmlformats.org/officeDocument/2006/relationships/hyperlink" Target="https://www.sciencedirect.com/science/article/pii/S2468024921015047" TargetMode="External"/><Relationship Id="rId125" Type="http://schemas.openxmlformats.org/officeDocument/2006/relationships/hyperlink" Target="https://doi.org/10.3389/frma.2023.1268045" TargetMode="External"/><Relationship Id="rId141" Type="http://schemas.openxmlformats.org/officeDocument/2006/relationships/hyperlink" Target="about:blank" TargetMode="External"/><Relationship Id="rId146" Type="http://schemas.openxmlformats.org/officeDocument/2006/relationships/hyperlink" Target="https://doi.org/10.3389/fpubh.2024.1431017" TargetMode="External"/><Relationship Id="rId7" Type="http://schemas.openxmlformats.org/officeDocument/2006/relationships/endnotes" Target="endnotes.xml"/><Relationship Id="rId71" Type="http://schemas.openxmlformats.org/officeDocument/2006/relationships/hyperlink" Target="https://www.mdpi.com/2227-9059/12/10/2203" TargetMode="External"/><Relationship Id="rId92" Type="http://schemas.openxmlformats.org/officeDocument/2006/relationships/hyperlink" Target="https://www.niddk.nih.gov/health-information/kidney-disease/chronic-kidney-disease-ckd/causes" TargetMode="External"/><Relationship Id="rId2" Type="http://schemas.openxmlformats.org/officeDocument/2006/relationships/numbering" Target="numbering.xml"/><Relationship Id="rId29" Type="http://schemas.openxmlformats.org/officeDocument/2006/relationships/hyperlink" Target="https://doi.org/10.1016/j.jds.2025.08.004" TargetMode="External"/><Relationship Id="rId24" Type="http://schemas.openxmlformats.org/officeDocument/2006/relationships/hyperlink" Target="https://doi.org/10.1016/j.psycom.2024.100200" TargetMode="External"/><Relationship Id="rId40" Type="http://schemas.openxmlformats.org/officeDocument/2006/relationships/hyperlink" Target="https://www.gov.uk/data-protection" TargetMode="External"/><Relationship Id="rId45" Type="http://schemas.openxmlformats.org/officeDocument/2006/relationships/hyperlink" Target="https://www.bbc.com/news/health-58884651" TargetMode="External"/><Relationship Id="rId66" Type="http://schemas.openxmlformats.org/officeDocument/2006/relationships/hyperlink" Target="https://academic.oup.com/ckj/article-pdf/16/11/1737/52692016/sfad101.pdf" TargetMode="External"/><Relationship Id="rId87" Type="http://schemas.openxmlformats.org/officeDocument/2006/relationships/hyperlink" Target="https://digital.nhs.uk/data-and-information/publications/statistical/health-survey-for-england/2022-part-2/kidney-disease" TargetMode="External"/><Relationship Id="rId110" Type="http://schemas.openxmlformats.org/officeDocument/2006/relationships/hyperlink" Target="https://doi.org/10.1016/j.ekir.2025.03.051?utm_source=copilot.com" TargetMode="External"/><Relationship Id="rId115" Type="http://schemas.openxmlformats.org/officeDocument/2006/relationships/hyperlink" Target="https://www.medrxiv.org/content/medrxiv/early/2023/02/21/2023.02.19.23286155.full.pdf" TargetMode="External"/><Relationship Id="rId131" Type="http://schemas.openxmlformats.org/officeDocument/2006/relationships/hyperlink" Target="https://doi.org/10.1186/s12916-024-03555-0" TargetMode="External"/><Relationship Id="rId136" Type="http://schemas.openxmlformats.org/officeDocument/2006/relationships/hyperlink" Target="https://www.ukbiobank.ac.uk/projects/the-european-chronic-kidney-disease-ckd-burden-consortium/" TargetMode="External"/><Relationship Id="rId157" Type="http://schemas.openxmlformats.org/officeDocument/2006/relationships/fontTable" Target="fontTable.xml"/><Relationship Id="rId61" Type="http://schemas.openxmlformats.org/officeDocument/2006/relationships/hyperlink" Target="https://assets.cureus.com/uploads/review_article/pdf/190120/20240724-319105-osug8d.pdf" TargetMode="External"/><Relationship Id="rId82" Type="http://schemas.openxmlformats.org/officeDocument/2006/relationships/hyperlink" Target="https://www.sciencedirect.com/science/article/pii/S2590059523000535" TargetMode="External"/><Relationship Id="rId152" Type="http://schemas.openxmlformats.org/officeDocument/2006/relationships/hyperlink" Target="https://doi.org/10.1093/ckj/sfad137" TargetMode="External"/><Relationship Id="rId19" Type="http://schemas.openxmlformats.org/officeDocument/2006/relationships/image" Target="media/image7.gif"/><Relationship Id="rId14" Type="http://schemas.openxmlformats.org/officeDocument/2006/relationships/image" Target="media/image3.png"/><Relationship Id="rId30" Type="http://schemas.openxmlformats.org/officeDocument/2006/relationships/hyperlink" Target="https://doi.org/10.1136/bmjopen-2022-064513" TargetMode="External"/><Relationship Id="rId35" Type="http://schemas.openxmlformats.org/officeDocument/2006/relationships/hyperlink" Target="https://doi.org/10.1186/s12882-024-03466-5" TargetMode="External"/><Relationship Id="rId56" Type="http://schemas.openxmlformats.org/officeDocument/2006/relationships/hyperlink" Target="https://doi.org/10.1001/jamainternmed.2023.7628" TargetMode="External"/><Relationship Id="rId77" Type="http://schemas.openxmlformats.org/officeDocument/2006/relationships/hyperlink" Target="https://www.mdpi.com/2076-393X/11/9/1491" TargetMode="External"/><Relationship Id="rId100" Type="http://schemas.openxmlformats.org/officeDocument/2006/relationships/hyperlink" Target="https://doi.org/10.3390/jcm14176034" TargetMode="External"/><Relationship Id="rId105" Type="http://schemas.openxmlformats.org/officeDocument/2006/relationships/hyperlink" Target="http://ejournal.uin-malang.ac.id/index.php/jpai/article/download/37893/13357" TargetMode="External"/><Relationship Id="rId126" Type="http://schemas.openxmlformats.org/officeDocument/2006/relationships/hyperlink" Target="https://doi.org/10.3389/frhs.2025.1484225?utm_source=copilot.com" TargetMode="External"/><Relationship Id="rId147" Type="http://schemas.openxmlformats.org/officeDocument/2006/relationships/hyperlink" Target="https://link.springer.com/article/10.1186/s12882-022-02932-2" TargetMode="External"/><Relationship Id="rId8" Type="http://schemas.openxmlformats.org/officeDocument/2006/relationships/image" Target="media/image1.png"/><Relationship Id="rId51" Type="http://schemas.openxmlformats.org/officeDocument/2006/relationships/hyperlink" Target="https://doi.org/10.1007/s12325-023-02608-9" TargetMode="External"/><Relationship Id="rId72" Type="http://schemas.openxmlformats.org/officeDocument/2006/relationships/hyperlink" Target="https://www.mdpi.com/2227-9059/12/10/2203" TargetMode="External"/><Relationship Id="rId93" Type="http://schemas.openxmlformats.org/officeDocument/2006/relationships/hyperlink" Target="https://www.niddk.nih.gov/health-information/kidney-disease/chronic-kidney-disease-ckd/causes" TargetMode="External"/><Relationship Id="rId98" Type="http://schemas.openxmlformats.org/officeDocument/2006/relationships/hyperlink" Target="https://www.nursinginpractice.com/clinical/clinical-understanding-chronic-kidney-disease/" TargetMode="External"/><Relationship Id="rId121" Type="http://schemas.openxmlformats.org/officeDocument/2006/relationships/hyperlink" Target="https://www.parliament.scot/~/media/committ/8259/Petition-PE2081" TargetMode="External"/><Relationship Id="rId142" Type="http://schemas.openxmlformats.org/officeDocument/2006/relationships/hyperlink" Target="about:blank" TargetMode="External"/><Relationship Id="rId3" Type="http://schemas.openxmlformats.org/officeDocument/2006/relationships/styles" Target="styles.xml"/><Relationship Id="rId25" Type="http://schemas.openxmlformats.org/officeDocument/2006/relationships/hyperlink" Target="https://doi.org/10.1016/j.lanepe.2022.100353" TargetMode="External"/><Relationship Id="rId46" Type="http://schemas.openxmlformats.org/officeDocument/2006/relationships/hyperlink" Target="https://www.bbc.com/news/health-58884651" TargetMode="External"/><Relationship Id="rId67" Type="http://schemas.openxmlformats.org/officeDocument/2006/relationships/hyperlink" Target="https://www.tandfonline.com/doi/pdf/10.1080/02602938.2025.2501685" TargetMode="External"/><Relationship Id="rId116" Type="http://schemas.openxmlformats.org/officeDocument/2006/relationships/hyperlink" Target="https://doi.org/10.2147/IJNRD.S363041?utm_source=copilot.com" TargetMode="External"/><Relationship Id="rId137" Type="http://schemas.openxmlformats.org/officeDocument/2006/relationships/hyperlink" Target="https://www.ukkidney.org/sites/default/files/Socioeconomic%20Disparities%202023%20Final.pdf" TargetMode="External"/><Relationship Id="rId158"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hyperlink" Target="https://doi.org/10.1093/ckj/sfad028" TargetMode="External"/><Relationship Id="rId62" Type="http://schemas.openxmlformats.org/officeDocument/2006/relationships/hyperlink" Target="https://link.springer.com/article/10.1007/s12020-024-03811-6" TargetMode="External"/><Relationship Id="rId83" Type="http://schemas.openxmlformats.org/officeDocument/2006/relationships/hyperlink" Target="about:blank" TargetMode="External"/><Relationship Id="rId88" Type="http://schemas.openxmlformats.org/officeDocument/2006/relationships/hyperlink" Target="https://digital.nhs.uk/data-and-information/publications/statistical/health-survey-for-england/2022-part-2/kidney-disease" TargetMode="External"/><Relationship Id="rId111" Type="http://schemas.openxmlformats.org/officeDocument/2006/relationships/hyperlink" Target="https://doi.org/10.1016/j.xkme.2022.100545" TargetMode="External"/><Relationship Id="rId132" Type="http://schemas.openxmlformats.org/officeDocument/2006/relationships/hyperlink" Target="https://doi.org/10.3390/jcm12226984?utm_source=copilot.com" TargetMode="External"/><Relationship Id="rId153" Type="http://schemas.openxmlformats.org/officeDocument/2006/relationships/footer" Target="footer1.xml"/><Relationship Id="rId15" Type="http://schemas.openxmlformats.org/officeDocument/2006/relationships/image" Target="media/image2.gif"/><Relationship Id="rId36" Type="http://schemas.openxmlformats.org/officeDocument/2006/relationships/hyperlink" Target="https://doi.org/10.1093/ckj/sfad028" TargetMode="External"/><Relationship Id="rId57" Type="http://schemas.openxmlformats.org/officeDocument/2006/relationships/hyperlink" Target="https://doi.org/10.1177/17449871241261668" TargetMode="External"/><Relationship Id="rId106" Type="http://schemas.openxmlformats.org/officeDocument/2006/relationships/hyperlink" Target="https://doi.org/10.56556/jescae.v2i3.587?utm_source=copilot.com" TargetMode="External"/><Relationship Id="rId127" Type="http://schemas.openxmlformats.org/officeDocument/2006/relationships/hyperlink" Target="about:blank" TargetMode="External"/><Relationship Id="rId10" Type="http://schemas.openxmlformats.org/officeDocument/2006/relationships/image" Target="media/image2.png"/><Relationship Id="rId31" Type="http://schemas.openxmlformats.org/officeDocument/2006/relationships/hyperlink" Target="https://doi.org/10.1111/dom.15789" TargetMode="External"/><Relationship Id="rId52" Type="http://schemas.openxmlformats.org/officeDocument/2006/relationships/hyperlink" Target="https://doi.org/10.1152/ajpendo.00179.2022?utm_source=copilot.com" TargetMode="External"/><Relationship Id="rId73" Type="http://schemas.openxmlformats.org/officeDocument/2006/relationships/hyperlink" Target="https://doi.org/10.1111/dom.15625?utm_source=copilot.com" TargetMode="External"/><Relationship Id="rId78" Type="http://schemas.openxmlformats.org/officeDocument/2006/relationships/hyperlink" Target="https://www.kidney.org/kidney-topics/chronic-kidney-disease-ckd" TargetMode="External"/><Relationship Id="rId94" Type="http://schemas.openxmlformats.org/officeDocument/2006/relationships/hyperlink" Target="https://doi.org/10.3389/ti.2025.15341" TargetMode="External"/><Relationship Id="rId99" Type="http://schemas.openxmlformats.org/officeDocument/2006/relationships/hyperlink" Target="https://doi.org/10.1016/j.kint.2025.04.005" TargetMode="External"/><Relationship Id="rId101" Type="http://schemas.openxmlformats.org/officeDocument/2006/relationships/hyperlink" Target="https://doi.org/10.1503/cmaj.230576" TargetMode="External"/><Relationship Id="rId122" Type="http://schemas.openxmlformats.org/officeDocument/2006/relationships/hyperlink" Target="https://www.parliament.scot/~/media/committ/8259/Petition-PE2081" TargetMode="External"/><Relationship Id="rId143" Type="http://schemas.openxmlformats.org/officeDocument/2006/relationships/hyperlink" Target="https://doi.org/10.1186/s12882-025-04043-0" TargetMode="External"/><Relationship Id="rId148" Type="http://schemas.openxmlformats.org/officeDocument/2006/relationships/hyperlink" Target="https://link.springer.com/article/10.1186/s12882-022-02932-2" TargetMode="Externa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hyperlink" Target="https://doi.org/10.1093/heapro/daae049" TargetMode="External"/><Relationship Id="rId47" Type="http://schemas.openxmlformats.org/officeDocument/2006/relationships/hyperlink" Target="https://doi.org/10.1097/jnr.0000000000000310" TargetMode="External"/><Relationship Id="rId68" Type="http://schemas.openxmlformats.org/officeDocument/2006/relationships/hyperlink" Target="https://doi.org/10.1007/s00125-023-05964-x?utm_source=copilot.com" TargetMode="External"/><Relationship Id="rId89" Type="http://schemas.openxmlformats.org/officeDocument/2006/relationships/hyperlink" Target="https://digital.nhs.uk/data-and-information/publications/statistical/health-survey-for-england" TargetMode="External"/><Relationship Id="rId112" Type="http://schemas.openxmlformats.org/officeDocument/2006/relationships/hyperlink" Target="https://pmc.ncbi.nlm.nih.gov/articles/PMC9630784/" TargetMode="External"/><Relationship Id="rId133" Type="http://schemas.openxmlformats.org/officeDocument/2006/relationships/hyperlink" Target="http://kingsfund.org.uk/insight-and-analysis/long-reads/health-people-ethnic-minority-groups-england" TargetMode="External"/><Relationship Id="rId154" Type="http://schemas.openxmlformats.org/officeDocument/2006/relationships/footer" Target="footer2.xml"/><Relationship Id="rId16" Type="http://schemas.openxmlformats.org/officeDocument/2006/relationships/image" Target="media/image4.png"/><Relationship Id="rId37" Type="http://schemas.openxmlformats.org/officeDocument/2006/relationships/hyperlink" Target="https://doi.org/10.3389/fmed.2022.870278" TargetMode="External"/><Relationship Id="rId58" Type="http://schemas.openxmlformats.org/officeDocument/2006/relationships/hyperlink" Target="https://www.kidneyresearchuk.org/wp-content/uploads/2023/06/Economics-of-Kidney-Disease-full-report_accessible.pdf" TargetMode="External"/><Relationship Id="rId79" Type="http://schemas.openxmlformats.org/officeDocument/2006/relationships/hyperlink" Target="https://www.kidney.org/global-facts-about-kidney-disease" TargetMode="External"/><Relationship Id="rId102" Type="http://schemas.openxmlformats.org/officeDocument/2006/relationships/hyperlink" Target="https://doi.org/10.1016/j.jcte.2024.100354" TargetMode="External"/><Relationship Id="rId123" Type="http://schemas.openxmlformats.org/officeDocument/2006/relationships/hyperlink" Target="https://link.springer.com/article/10.1007/s10654-022-00961-7" TargetMode="External"/><Relationship Id="rId144" Type="http://schemas.openxmlformats.org/officeDocument/2006/relationships/hyperlink" Target="https://www.sciencedirect.com/science/article/pii/S0168822725002694" TargetMode="External"/><Relationship Id="rId90" Type="http://schemas.openxmlformats.org/officeDocument/2006/relationships/hyperlink" Target="https://www.england.nhs.uk/rightcare/cvd-pathway/ckd/" TargetMode="External"/><Relationship Id="rId27" Type="http://schemas.openxmlformats.org/officeDocument/2006/relationships/hyperlink" Target="https://doi.org/10.1016/j.advnut.2025.100439" TargetMode="External"/><Relationship Id="rId48" Type="http://schemas.openxmlformats.org/officeDocument/2006/relationships/hyperlink" Target="https://www.podj.com.pk/index.php/podj/article/download/811/592/" TargetMode="External"/><Relationship Id="rId69" Type="http://schemas.openxmlformats.org/officeDocument/2006/relationships/hyperlink" Target="https://doi.org/10.1186/s12889-022-14584-w" TargetMode="External"/><Relationship Id="rId113" Type="http://schemas.openxmlformats.org/officeDocument/2006/relationships/hyperlink" Target="https://pmc.ncbi.nlm.nih.gov/articles/PMC9630784/" TargetMode="External"/><Relationship Id="rId134" Type="http://schemas.openxmlformats.org/officeDocument/2006/relationships/hyperlink" Target="http://kingsfund.org.uk/insight-and-analysis/long-reads/health-people-ethnic-minority-groups-england"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2CED8-48F6-48C6-BD81-7AF9EE5F5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80</Pages>
  <Words>25528</Words>
  <Characters>145511</Characters>
  <Application>Microsoft Office Word</Application>
  <DocSecurity>0</DocSecurity>
  <Lines>1212</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2</cp:revision>
  <cp:lastPrinted>2023-09-21T02:18:00Z</cp:lastPrinted>
  <dcterms:created xsi:type="dcterms:W3CDTF">2026-06-10T09:45:00Z</dcterms:created>
  <dcterms:modified xsi:type="dcterms:W3CDTF">2026-09-23T10:58:00Z</dcterms:modified>
</cp:coreProperties>
</file>