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286F3" w14:textId="140F6419" w:rsidR="000801F1" w:rsidRDefault="000801F1">
      <w:r>
        <w:rPr>
          <w:noProof/>
        </w:rPr>
        <w:drawing>
          <wp:inline distT="0" distB="0" distL="0" distR="0" wp14:anchorId="2D7FCF10" wp14:editId="3D1FB3A5">
            <wp:extent cx="2266950" cy="944563"/>
            <wp:effectExtent l="0" t="0" r="0" b="8255"/>
            <wp:docPr id="1435294241" name="Picture 5"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7713" cy="944881"/>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2965"/>
        <w:gridCol w:w="6385"/>
      </w:tblGrid>
      <w:tr w:rsidR="00043769" w14:paraId="39005F49" w14:textId="77777777" w:rsidTr="000801F1">
        <w:tc>
          <w:tcPr>
            <w:tcW w:w="2965" w:type="dxa"/>
          </w:tcPr>
          <w:p w14:paraId="774B1626" w14:textId="77777777" w:rsidR="00043769" w:rsidRDefault="00000000">
            <w:pPr>
              <w:spacing w:after="160" w:line="259" w:lineRule="auto"/>
              <w:jc w:val="left"/>
            </w:pPr>
            <w:r>
              <w:t xml:space="preserve">Student name </w:t>
            </w:r>
          </w:p>
        </w:tc>
        <w:tc>
          <w:tcPr>
            <w:tcW w:w="6385" w:type="dxa"/>
          </w:tcPr>
          <w:p w14:paraId="169DA645" w14:textId="47349023" w:rsidR="00043769" w:rsidRDefault="00811D75">
            <w:pPr>
              <w:spacing w:after="160" w:line="259" w:lineRule="auto"/>
              <w:jc w:val="left"/>
            </w:pPr>
            <w:r w:rsidRPr="00811D75">
              <w:t>Md Opu Ahmed Monna</w:t>
            </w:r>
          </w:p>
        </w:tc>
      </w:tr>
      <w:tr w:rsidR="00043769" w14:paraId="5FC0C090" w14:textId="77777777" w:rsidTr="000801F1">
        <w:tc>
          <w:tcPr>
            <w:tcW w:w="2965" w:type="dxa"/>
          </w:tcPr>
          <w:p w14:paraId="5E545287" w14:textId="77777777" w:rsidR="00043769" w:rsidRDefault="00000000">
            <w:pPr>
              <w:spacing w:after="160" w:line="259" w:lineRule="auto"/>
              <w:jc w:val="left"/>
            </w:pPr>
            <w:r>
              <w:t>Student ID</w:t>
            </w:r>
          </w:p>
        </w:tc>
        <w:tc>
          <w:tcPr>
            <w:tcW w:w="6385" w:type="dxa"/>
          </w:tcPr>
          <w:p w14:paraId="63EEEB2B" w14:textId="4064156C" w:rsidR="00043769" w:rsidRDefault="00811D75">
            <w:pPr>
              <w:spacing w:after="160" w:line="259" w:lineRule="auto"/>
              <w:jc w:val="left"/>
            </w:pPr>
            <w:r w:rsidRPr="00811D75">
              <w:t>2432860</w:t>
            </w:r>
          </w:p>
        </w:tc>
      </w:tr>
      <w:tr w:rsidR="000801F1" w14:paraId="4A8DCEC2" w14:textId="77777777" w:rsidTr="000801F1">
        <w:tc>
          <w:tcPr>
            <w:tcW w:w="2965" w:type="dxa"/>
          </w:tcPr>
          <w:p w14:paraId="426A9B57" w14:textId="7C11046F" w:rsidR="000801F1" w:rsidRDefault="000801F1">
            <w:pPr>
              <w:spacing w:after="160" w:line="259" w:lineRule="auto"/>
              <w:jc w:val="left"/>
            </w:pPr>
            <w:r>
              <w:t>Programme</w:t>
            </w:r>
          </w:p>
        </w:tc>
        <w:tc>
          <w:tcPr>
            <w:tcW w:w="6385" w:type="dxa"/>
          </w:tcPr>
          <w:p w14:paraId="0ED633CC" w14:textId="628A3A81" w:rsidR="000801F1" w:rsidRDefault="000801F1">
            <w:pPr>
              <w:spacing w:after="160" w:line="259" w:lineRule="auto"/>
              <w:jc w:val="left"/>
            </w:pPr>
            <w:r w:rsidRPr="00EF50DC">
              <w:t>Master of Business Administration</w:t>
            </w:r>
          </w:p>
        </w:tc>
      </w:tr>
      <w:tr w:rsidR="00043769" w14:paraId="0E4F2BBA" w14:textId="77777777" w:rsidTr="000801F1">
        <w:tc>
          <w:tcPr>
            <w:tcW w:w="2965" w:type="dxa"/>
          </w:tcPr>
          <w:p w14:paraId="00A83C64" w14:textId="77777777" w:rsidR="00043769" w:rsidRDefault="00000000">
            <w:pPr>
              <w:spacing w:after="160" w:line="259" w:lineRule="auto"/>
              <w:jc w:val="left"/>
            </w:pPr>
            <w:r>
              <w:t xml:space="preserve">Module </w:t>
            </w:r>
          </w:p>
        </w:tc>
        <w:tc>
          <w:tcPr>
            <w:tcW w:w="6385" w:type="dxa"/>
          </w:tcPr>
          <w:p w14:paraId="51218744" w14:textId="77777777" w:rsidR="00043769" w:rsidRDefault="00000000">
            <w:pPr>
              <w:spacing w:after="160" w:line="259" w:lineRule="auto"/>
              <w:jc w:val="left"/>
            </w:pPr>
            <w:r>
              <w:t xml:space="preserve">Strategic management </w:t>
            </w:r>
          </w:p>
        </w:tc>
      </w:tr>
      <w:tr w:rsidR="00043769" w14:paraId="6470449A" w14:textId="77777777" w:rsidTr="000801F1">
        <w:tc>
          <w:tcPr>
            <w:tcW w:w="2965" w:type="dxa"/>
          </w:tcPr>
          <w:p w14:paraId="0E4D2C5B" w14:textId="77777777" w:rsidR="00043769" w:rsidRDefault="00000000">
            <w:pPr>
              <w:spacing w:after="160" w:line="259" w:lineRule="auto"/>
              <w:jc w:val="left"/>
            </w:pPr>
            <w:r>
              <w:t xml:space="preserve">Module code </w:t>
            </w:r>
          </w:p>
        </w:tc>
        <w:tc>
          <w:tcPr>
            <w:tcW w:w="6385" w:type="dxa"/>
          </w:tcPr>
          <w:p w14:paraId="41AB51DC" w14:textId="77777777" w:rsidR="00043769" w:rsidRDefault="00000000">
            <w:pPr>
              <w:spacing w:after="160" w:line="259" w:lineRule="auto"/>
              <w:jc w:val="left"/>
            </w:pPr>
            <w:r>
              <w:t>LCMB7003</w:t>
            </w:r>
          </w:p>
        </w:tc>
      </w:tr>
      <w:tr w:rsidR="00811D75" w14:paraId="0B19A417" w14:textId="77777777" w:rsidTr="000801F1">
        <w:tc>
          <w:tcPr>
            <w:tcW w:w="2965" w:type="dxa"/>
          </w:tcPr>
          <w:p w14:paraId="1C7B6876" w14:textId="7FEC407B" w:rsidR="00811D75" w:rsidRDefault="00811D75">
            <w:pPr>
              <w:spacing w:after="160" w:line="259" w:lineRule="auto"/>
              <w:jc w:val="left"/>
            </w:pPr>
            <w:r>
              <w:t xml:space="preserve">Assessment title </w:t>
            </w:r>
          </w:p>
        </w:tc>
        <w:tc>
          <w:tcPr>
            <w:tcW w:w="6385" w:type="dxa"/>
          </w:tcPr>
          <w:p w14:paraId="45633CA0" w14:textId="499DEB80" w:rsidR="00811D75" w:rsidRDefault="00811D75">
            <w:pPr>
              <w:spacing w:after="160" w:line="259" w:lineRule="auto"/>
              <w:jc w:val="left"/>
            </w:pPr>
            <w:r>
              <w:t>Individual Report</w:t>
            </w:r>
          </w:p>
        </w:tc>
      </w:tr>
      <w:tr w:rsidR="000801F1" w14:paraId="63AE8057" w14:textId="77777777" w:rsidTr="000801F1">
        <w:tc>
          <w:tcPr>
            <w:tcW w:w="2965" w:type="dxa"/>
          </w:tcPr>
          <w:p w14:paraId="026F76ED" w14:textId="6A907F9F" w:rsidR="000801F1" w:rsidRDefault="000801F1">
            <w:pPr>
              <w:spacing w:after="160" w:line="259" w:lineRule="auto"/>
              <w:jc w:val="left"/>
            </w:pPr>
            <w:r>
              <w:t>words</w:t>
            </w:r>
          </w:p>
        </w:tc>
        <w:tc>
          <w:tcPr>
            <w:tcW w:w="6385" w:type="dxa"/>
          </w:tcPr>
          <w:p w14:paraId="0932247D" w14:textId="35166585" w:rsidR="000801F1" w:rsidRDefault="000801F1">
            <w:pPr>
              <w:spacing w:after="160" w:line="259" w:lineRule="auto"/>
              <w:jc w:val="left"/>
            </w:pPr>
            <w:r>
              <w:t>5</w:t>
            </w:r>
            <w:r w:rsidR="003B473B">
              <w:t>3</w:t>
            </w:r>
            <w:r w:rsidR="00597734">
              <w:t>73</w:t>
            </w:r>
          </w:p>
        </w:tc>
      </w:tr>
      <w:tr w:rsidR="00043769" w14:paraId="5D603D39" w14:textId="77777777" w:rsidTr="000801F1">
        <w:tc>
          <w:tcPr>
            <w:tcW w:w="2965" w:type="dxa"/>
          </w:tcPr>
          <w:p w14:paraId="4204C66D" w14:textId="77777777" w:rsidR="00043769" w:rsidRDefault="00000000">
            <w:pPr>
              <w:spacing w:after="160" w:line="259" w:lineRule="auto"/>
              <w:jc w:val="left"/>
            </w:pPr>
            <w:r>
              <w:t>Submission date</w:t>
            </w:r>
          </w:p>
        </w:tc>
        <w:tc>
          <w:tcPr>
            <w:tcW w:w="6385" w:type="dxa"/>
          </w:tcPr>
          <w:p w14:paraId="4C3D0E73" w14:textId="33C085BC" w:rsidR="00043769" w:rsidRDefault="000801F1">
            <w:pPr>
              <w:spacing w:after="160" w:line="259" w:lineRule="auto"/>
              <w:jc w:val="left"/>
            </w:pPr>
            <w:r>
              <w:t>22/12/2025</w:t>
            </w:r>
          </w:p>
        </w:tc>
      </w:tr>
    </w:tbl>
    <w:p w14:paraId="50199FAE" w14:textId="77777777" w:rsidR="00043769" w:rsidRDefault="00000000">
      <w:pPr>
        <w:spacing w:after="160" w:line="259" w:lineRule="auto"/>
        <w:jc w:val="left"/>
      </w:pPr>
      <w:r>
        <w:br w:type="page"/>
      </w:r>
    </w:p>
    <w:sdt>
      <w:sdtPr>
        <w:rPr>
          <w:rFonts w:ascii="Arial" w:eastAsia="Verdana" w:hAnsi="Arial" w:cs="Verdana"/>
          <w:color w:val="auto"/>
          <w:sz w:val="24"/>
          <w:szCs w:val="24"/>
        </w:rPr>
        <w:id w:val="2130974113"/>
        <w:docPartObj>
          <w:docPartGallery w:val="Table of Contents"/>
          <w:docPartUnique/>
        </w:docPartObj>
      </w:sdtPr>
      <w:sdtEndPr>
        <w:rPr>
          <w:b/>
          <w:bCs/>
          <w:noProof/>
        </w:rPr>
      </w:sdtEndPr>
      <w:sdtContent>
        <w:p w14:paraId="4AB4E656" w14:textId="653864DE" w:rsidR="000801F1" w:rsidRDefault="000801F1">
          <w:pPr>
            <w:pStyle w:val="TOCHeading"/>
          </w:pPr>
          <w:r>
            <w:t>Table of Contents</w:t>
          </w:r>
        </w:p>
        <w:p w14:paraId="5A4C6851" w14:textId="4C078735" w:rsidR="006C1D07" w:rsidRDefault="000801F1">
          <w:pPr>
            <w:pStyle w:val="TOC1"/>
            <w:tabs>
              <w:tab w:val="right" w:leader="dot" w:pos="9350"/>
            </w:tabs>
            <w:rPr>
              <w:rFonts w:asciiTheme="minorHAnsi" w:eastAsiaTheme="minorEastAsia" w:hAnsiTheme="minorHAnsi" w:cstheme="minorBidi"/>
              <w:noProof/>
              <w:kern w:val="2"/>
              <w:szCs w:val="30"/>
              <w:lang w:bidi="bn-BD"/>
              <w14:ligatures w14:val="standardContextual"/>
            </w:rPr>
          </w:pPr>
          <w:r>
            <w:fldChar w:fldCharType="begin"/>
          </w:r>
          <w:r>
            <w:instrText xml:space="preserve"> TOC \o "1-3" \h \z \u </w:instrText>
          </w:r>
          <w:r>
            <w:fldChar w:fldCharType="separate"/>
          </w:r>
          <w:hyperlink w:anchor="_Toc217231356" w:history="1">
            <w:r w:rsidR="006C1D07" w:rsidRPr="009E1129">
              <w:rPr>
                <w:rStyle w:val="Hyperlink"/>
                <w:noProof/>
              </w:rPr>
              <w:t>Introduction</w:t>
            </w:r>
            <w:r w:rsidR="006C1D07">
              <w:rPr>
                <w:noProof/>
                <w:webHidden/>
              </w:rPr>
              <w:tab/>
            </w:r>
            <w:r w:rsidR="006C1D07">
              <w:rPr>
                <w:noProof/>
                <w:webHidden/>
              </w:rPr>
              <w:fldChar w:fldCharType="begin"/>
            </w:r>
            <w:r w:rsidR="006C1D07">
              <w:rPr>
                <w:noProof/>
                <w:webHidden/>
              </w:rPr>
              <w:instrText xml:space="preserve"> PAGEREF _Toc217231356 \h </w:instrText>
            </w:r>
            <w:r w:rsidR="006C1D07">
              <w:rPr>
                <w:noProof/>
                <w:webHidden/>
              </w:rPr>
            </w:r>
            <w:r w:rsidR="006C1D07">
              <w:rPr>
                <w:noProof/>
                <w:webHidden/>
              </w:rPr>
              <w:fldChar w:fldCharType="separate"/>
            </w:r>
            <w:r w:rsidR="006C1D07">
              <w:rPr>
                <w:noProof/>
                <w:webHidden/>
              </w:rPr>
              <w:t>3</w:t>
            </w:r>
            <w:r w:rsidR="006C1D07">
              <w:rPr>
                <w:noProof/>
                <w:webHidden/>
              </w:rPr>
              <w:fldChar w:fldCharType="end"/>
            </w:r>
          </w:hyperlink>
        </w:p>
        <w:p w14:paraId="404AD1EE" w14:textId="001DB65D" w:rsidR="006C1D07" w:rsidRDefault="006C1D07">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7231357" w:history="1">
            <w:r w:rsidRPr="009E1129">
              <w:rPr>
                <w:rStyle w:val="Hyperlink"/>
                <w:noProof/>
              </w:rPr>
              <w:t>Section 1: Selection of Organisation and Target Market</w:t>
            </w:r>
            <w:r>
              <w:rPr>
                <w:noProof/>
                <w:webHidden/>
              </w:rPr>
              <w:tab/>
            </w:r>
            <w:r>
              <w:rPr>
                <w:noProof/>
                <w:webHidden/>
              </w:rPr>
              <w:fldChar w:fldCharType="begin"/>
            </w:r>
            <w:r>
              <w:rPr>
                <w:noProof/>
                <w:webHidden/>
              </w:rPr>
              <w:instrText xml:space="preserve"> PAGEREF _Toc217231357 \h </w:instrText>
            </w:r>
            <w:r>
              <w:rPr>
                <w:noProof/>
                <w:webHidden/>
              </w:rPr>
            </w:r>
            <w:r>
              <w:rPr>
                <w:noProof/>
                <w:webHidden/>
              </w:rPr>
              <w:fldChar w:fldCharType="separate"/>
            </w:r>
            <w:r>
              <w:rPr>
                <w:noProof/>
                <w:webHidden/>
              </w:rPr>
              <w:t>4</w:t>
            </w:r>
            <w:r>
              <w:rPr>
                <w:noProof/>
                <w:webHidden/>
              </w:rPr>
              <w:fldChar w:fldCharType="end"/>
            </w:r>
          </w:hyperlink>
        </w:p>
        <w:p w14:paraId="11645D86" w14:textId="364C542C"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58" w:history="1">
            <w:r w:rsidRPr="009E1129">
              <w:rPr>
                <w:rStyle w:val="Hyperlink"/>
                <w:noProof/>
              </w:rPr>
              <w:t>1.1 Reckitt Benckiser Group plc (RB) Organisation Overview</w:t>
            </w:r>
            <w:r>
              <w:rPr>
                <w:noProof/>
                <w:webHidden/>
              </w:rPr>
              <w:tab/>
            </w:r>
            <w:r>
              <w:rPr>
                <w:noProof/>
                <w:webHidden/>
              </w:rPr>
              <w:fldChar w:fldCharType="begin"/>
            </w:r>
            <w:r>
              <w:rPr>
                <w:noProof/>
                <w:webHidden/>
              </w:rPr>
              <w:instrText xml:space="preserve"> PAGEREF _Toc217231358 \h </w:instrText>
            </w:r>
            <w:r>
              <w:rPr>
                <w:noProof/>
                <w:webHidden/>
              </w:rPr>
            </w:r>
            <w:r>
              <w:rPr>
                <w:noProof/>
                <w:webHidden/>
              </w:rPr>
              <w:fldChar w:fldCharType="separate"/>
            </w:r>
            <w:r>
              <w:rPr>
                <w:noProof/>
                <w:webHidden/>
              </w:rPr>
              <w:t>4</w:t>
            </w:r>
            <w:r>
              <w:rPr>
                <w:noProof/>
                <w:webHidden/>
              </w:rPr>
              <w:fldChar w:fldCharType="end"/>
            </w:r>
          </w:hyperlink>
        </w:p>
        <w:p w14:paraId="52648AC9" w14:textId="7B80BE8C"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59" w:history="1">
            <w:r w:rsidRPr="009E1129">
              <w:rPr>
                <w:rStyle w:val="Hyperlink"/>
                <w:noProof/>
              </w:rPr>
              <w:t>1.2 Target Market Selection: Vietnam</w:t>
            </w:r>
            <w:r>
              <w:rPr>
                <w:noProof/>
                <w:webHidden/>
              </w:rPr>
              <w:tab/>
            </w:r>
            <w:r>
              <w:rPr>
                <w:noProof/>
                <w:webHidden/>
              </w:rPr>
              <w:fldChar w:fldCharType="begin"/>
            </w:r>
            <w:r>
              <w:rPr>
                <w:noProof/>
                <w:webHidden/>
              </w:rPr>
              <w:instrText xml:space="preserve"> PAGEREF _Toc217231359 \h </w:instrText>
            </w:r>
            <w:r>
              <w:rPr>
                <w:noProof/>
                <w:webHidden/>
              </w:rPr>
            </w:r>
            <w:r>
              <w:rPr>
                <w:noProof/>
                <w:webHidden/>
              </w:rPr>
              <w:fldChar w:fldCharType="separate"/>
            </w:r>
            <w:r>
              <w:rPr>
                <w:noProof/>
                <w:webHidden/>
              </w:rPr>
              <w:t>5</w:t>
            </w:r>
            <w:r>
              <w:rPr>
                <w:noProof/>
                <w:webHidden/>
              </w:rPr>
              <w:fldChar w:fldCharType="end"/>
            </w:r>
          </w:hyperlink>
        </w:p>
        <w:p w14:paraId="762D2831" w14:textId="4452DF2F"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0" w:history="1">
            <w:r w:rsidRPr="009E1129">
              <w:rPr>
                <w:rStyle w:val="Hyperlink"/>
                <w:noProof/>
              </w:rPr>
              <w:t>1.3 Rationalisation of the Decision</w:t>
            </w:r>
            <w:r>
              <w:rPr>
                <w:noProof/>
                <w:webHidden/>
              </w:rPr>
              <w:tab/>
            </w:r>
            <w:r>
              <w:rPr>
                <w:noProof/>
                <w:webHidden/>
              </w:rPr>
              <w:fldChar w:fldCharType="begin"/>
            </w:r>
            <w:r>
              <w:rPr>
                <w:noProof/>
                <w:webHidden/>
              </w:rPr>
              <w:instrText xml:space="preserve"> PAGEREF _Toc217231360 \h </w:instrText>
            </w:r>
            <w:r>
              <w:rPr>
                <w:noProof/>
                <w:webHidden/>
              </w:rPr>
            </w:r>
            <w:r>
              <w:rPr>
                <w:noProof/>
                <w:webHidden/>
              </w:rPr>
              <w:fldChar w:fldCharType="separate"/>
            </w:r>
            <w:r>
              <w:rPr>
                <w:noProof/>
                <w:webHidden/>
              </w:rPr>
              <w:t>6</w:t>
            </w:r>
            <w:r>
              <w:rPr>
                <w:noProof/>
                <w:webHidden/>
              </w:rPr>
              <w:fldChar w:fldCharType="end"/>
            </w:r>
          </w:hyperlink>
        </w:p>
        <w:p w14:paraId="3D6BE493" w14:textId="183281FD" w:rsidR="006C1D07" w:rsidRDefault="006C1D07">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7231361" w:history="1">
            <w:r w:rsidRPr="009E1129">
              <w:rPr>
                <w:rStyle w:val="Hyperlink"/>
                <w:noProof/>
              </w:rPr>
              <w:t>Section 2: Comprehensive Strategic Analysis</w:t>
            </w:r>
            <w:r>
              <w:rPr>
                <w:noProof/>
                <w:webHidden/>
              </w:rPr>
              <w:tab/>
            </w:r>
            <w:r>
              <w:rPr>
                <w:noProof/>
                <w:webHidden/>
              </w:rPr>
              <w:fldChar w:fldCharType="begin"/>
            </w:r>
            <w:r>
              <w:rPr>
                <w:noProof/>
                <w:webHidden/>
              </w:rPr>
              <w:instrText xml:space="preserve"> PAGEREF _Toc217231361 \h </w:instrText>
            </w:r>
            <w:r>
              <w:rPr>
                <w:noProof/>
                <w:webHidden/>
              </w:rPr>
            </w:r>
            <w:r>
              <w:rPr>
                <w:noProof/>
                <w:webHidden/>
              </w:rPr>
              <w:fldChar w:fldCharType="separate"/>
            </w:r>
            <w:r>
              <w:rPr>
                <w:noProof/>
                <w:webHidden/>
              </w:rPr>
              <w:t>8</w:t>
            </w:r>
            <w:r>
              <w:rPr>
                <w:noProof/>
                <w:webHidden/>
              </w:rPr>
              <w:fldChar w:fldCharType="end"/>
            </w:r>
          </w:hyperlink>
        </w:p>
        <w:p w14:paraId="6F2CB025" w14:textId="06D96357"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2" w:history="1">
            <w:r w:rsidRPr="009E1129">
              <w:rPr>
                <w:rStyle w:val="Hyperlink"/>
                <w:noProof/>
              </w:rPr>
              <w:t>2.1 Macro-Environmental Analysis (PESTEL)</w:t>
            </w:r>
            <w:r>
              <w:rPr>
                <w:noProof/>
                <w:webHidden/>
              </w:rPr>
              <w:tab/>
            </w:r>
            <w:r>
              <w:rPr>
                <w:noProof/>
                <w:webHidden/>
              </w:rPr>
              <w:fldChar w:fldCharType="begin"/>
            </w:r>
            <w:r>
              <w:rPr>
                <w:noProof/>
                <w:webHidden/>
              </w:rPr>
              <w:instrText xml:space="preserve"> PAGEREF _Toc217231362 \h </w:instrText>
            </w:r>
            <w:r>
              <w:rPr>
                <w:noProof/>
                <w:webHidden/>
              </w:rPr>
            </w:r>
            <w:r>
              <w:rPr>
                <w:noProof/>
                <w:webHidden/>
              </w:rPr>
              <w:fldChar w:fldCharType="separate"/>
            </w:r>
            <w:r>
              <w:rPr>
                <w:noProof/>
                <w:webHidden/>
              </w:rPr>
              <w:t>8</w:t>
            </w:r>
            <w:r>
              <w:rPr>
                <w:noProof/>
                <w:webHidden/>
              </w:rPr>
              <w:fldChar w:fldCharType="end"/>
            </w:r>
          </w:hyperlink>
        </w:p>
        <w:p w14:paraId="206E65FE" w14:textId="017F7855"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3" w:history="1">
            <w:r w:rsidRPr="009E1129">
              <w:rPr>
                <w:rStyle w:val="Hyperlink"/>
                <w:noProof/>
              </w:rPr>
              <w:t>2.2 Industry/ Competitive Analysis (Porter’s Five Forces)</w:t>
            </w:r>
            <w:r>
              <w:rPr>
                <w:noProof/>
                <w:webHidden/>
              </w:rPr>
              <w:tab/>
            </w:r>
            <w:r>
              <w:rPr>
                <w:noProof/>
                <w:webHidden/>
              </w:rPr>
              <w:fldChar w:fldCharType="begin"/>
            </w:r>
            <w:r>
              <w:rPr>
                <w:noProof/>
                <w:webHidden/>
              </w:rPr>
              <w:instrText xml:space="preserve"> PAGEREF _Toc217231363 \h </w:instrText>
            </w:r>
            <w:r>
              <w:rPr>
                <w:noProof/>
                <w:webHidden/>
              </w:rPr>
            </w:r>
            <w:r>
              <w:rPr>
                <w:noProof/>
                <w:webHidden/>
              </w:rPr>
              <w:fldChar w:fldCharType="separate"/>
            </w:r>
            <w:r>
              <w:rPr>
                <w:noProof/>
                <w:webHidden/>
              </w:rPr>
              <w:t>10</w:t>
            </w:r>
            <w:r>
              <w:rPr>
                <w:noProof/>
                <w:webHidden/>
              </w:rPr>
              <w:fldChar w:fldCharType="end"/>
            </w:r>
          </w:hyperlink>
        </w:p>
        <w:p w14:paraId="464B8023" w14:textId="07DF5CAE"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4" w:history="1">
            <w:r w:rsidRPr="009E1129">
              <w:rPr>
                <w:rStyle w:val="Hyperlink"/>
                <w:noProof/>
              </w:rPr>
              <w:t>2.3 SWOT analysis</w:t>
            </w:r>
            <w:r>
              <w:rPr>
                <w:noProof/>
                <w:webHidden/>
              </w:rPr>
              <w:tab/>
            </w:r>
            <w:r>
              <w:rPr>
                <w:noProof/>
                <w:webHidden/>
              </w:rPr>
              <w:fldChar w:fldCharType="begin"/>
            </w:r>
            <w:r>
              <w:rPr>
                <w:noProof/>
                <w:webHidden/>
              </w:rPr>
              <w:instrText xml:space="preserve"> PAGEREF _Toc217231364 \h </w:instrText>
            </w:r>
            <w:r>
              <w:rPr>
                <w:noProof/>
                <w:webHidden/>
              </w:rPr>
            </w:r>
            <w:r>
              <w:rPr>
                <w:noProof/>
                <w:webHidden/>
              </w:rPr>
              <w:fldChar w:fldCharType="separate"/>
            </w:r>
            <w:r>
              <w:rPr>
                <w:noProof/>
                <w:webHidden/>
              </w:rPr>
              <w:t>12</w:t>
            </w:r>
            <w:r>
              <w:rPr>
                <w:noProof/>
                <w:webHidden/>
              </w:rPr>
              <w:fldChar w:fldCharType="end"/>
            </w:r>
          </w:hyperlink>
        </w:p>
        <w:p w14:paraId="597FA7C3" w14:textId="71E55771"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5" w:history="1">
            <w:r w:rsidRPr="009E1129">
              <w:rPr>
                <w:rStyle w:val="Hyperlink"/>
                <w:noProof/>
              </w:rPr>
              <w:t>2.4 Insights and Strategic Implications</w:t>
            </w:r>
            <w:r>
              <w:rPr>
                <w:noProof/>
                <w:webHidden/>
              </w:rPr>
              <w:tab/>
            </w:r>
            <w:r>
              <w:rPr>
                <w:noProof/>
                <w:webHidden/>
              </w:rPr>
              <w:fldChar w:fldCharType="begin"/>
            </w:r>
            <w:r>
              <w:rPr>
                <w:noProof/>
                <w:webHidden/>
              </w:rPr>
              <w:instrText xml:space="preserve"> PAGEREF _Toc217231365 \h </w:instrText>
            </w:r>
            <w:r>
              <w:rPr>
                <w:noProof/>
                <w:webHidden/>
              </w:rPr>
            </w:r>
            <w:r>
              <w:rPr>
                <w:noProof/>
                <w:webHidden/>
              </w:rPr>
              <w:fldChar w:fldCharType="separate"/>
            </w:r>
            <w:r>
              <w:rPr>
                <w:noProof/>
                <w:webHidden/>
              </w:rPr>
              <w:t>13</w:t>
            </w:r>
            <w:r>
              <w:rPr>
                <w:noProof/>
                <w:webHidden/>
              </w:rPr>
              <w:fldChar w:fldCharType="end"/>
            </w:r>
          </w:hyperlink>
        </w:p>
        <w:p w14:paraId="1153D702" w14:textId="09D00E87" w:rsidR="006C1D07" w:rsidRDefault="006C1D07">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7231366" w:history="1">
            <w:r w:rsidRPr="009E1129">
              <w:rPr>
                <w:rStyle w:val="Hyperlink"/>
                <w:noProof/>
              </w:rPr>
              <w:t>Section 3: Strategy Development and Formulation</w:t>
            </w:r>
            <w:r>
              <w:rPr>
                <w:noProof/>
                <w:webHidden/>
              </w:rPr>
              <w:tab/>
            </w:r>
            <w:r>
              <w:rPr>
                <w:noProof/>
                <w:webHidden/>
              </w:rPr>
              <w:fldChar w:fldCharType="begin"/>
            </w:r>
            <w:r>
              <w:rPr>
                <w:noProof/>
                <w:webHidden/>
              </w:rPr>
              <w:instrText xml:space="preserve"> PAGEREF _Toc217231366 \h </w:instrText>
            </w:r>
            <w:r>
              <w:rPr>
                <w:noProof/>
                <w:webHidden/>
              </w:rPr>
            </w:r>
            <w:r>
              <w:rPr>
                <w:noProof/>
                <w:webHidden/>
              </w:rPr>
              <w:fldChar w:fldCharType="separate"/>
            </w:r>
            <w:r>
              <w:rPr>
                <w:noProof/>
                <w:webHidden/>
              </w:rPr>
              <w:t>14</w:t>
            </w:r>
            <w:r>
              <w:rPr>
                <w:noProof/>
                <w:webHidden/>
              </w:rPr>
              <w:fldChar w:fldCharType="end"/>
            </w:r>
          </w:hyperlink>
        </w:p>
        <w:p w14:paraId="586C222B" w14:textId="17F16CF3"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7" w:history="1">
            <w:r w:rsidRPr="009E1129">
              <w:rPr>
                <w:rStyle w:val="Hyperlink"/>
                <w:noProof/>
              </w:rPr>
              <w:t>3.1 Strategic Direction and Rationale</w:t>
            </w:r>
            <w:r>
              <w:rPr>
                <w:noProof/>
                <w:webHidden/>
              </w:rPr>
              <w:tab/>
            </w:r>
            <w:r>
              <w:rPr>
                <w:noProof/>
                <w:webHidden/>
              </w:rPr>
              <w:fldChar w:fldCharType="begin"/>
            </w:r>
            <w:r>
              <w:rPr>
                <w:noProof/>
                <w:webHidden/>
              </w:rPr>
              <w:instrText xml:space="preserve"> PAGEREF _Toc217231367 \h </w:instrText>
            </w:r>
            <w:r>
              <w:rPr>
                <w:noProof/>
                <w:webHidden/>
              </w:rPr>
            </w:r>
            <w:r>
              <w:rPr>
                <w:noProof/>
                <w:webHidden/>
              </w:rPr>
              <w:fldChar w:fldCharType="separate"/>
            </w:r>
            <w:r>
              <w:rPr>
                <w:noProof/>
                <w:webHidden/>
              </w:rPr>
              <w:t>14</w:t>
            </w:r>
            <w:r>
              <w:rPr>
                <w:noProof/>
                <w:webHidden/>
              </w:rPr>
              <w:fldChar w:fldCharType="end"/>
            </w:r>
          </w:hyperlink>
        </w:p>
        <w:p w14:paraId="4767BF89" w14:textId="67BDC310"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8" w:history="1">
            <w:r w:rsidRPr="009E1129">
              <w:rPr>
                <w:rStyle w:val="Hyperlink"/>
                <w:noProof/>
              </w:rPr>
              <w:t>3.2 Strategic Model: The Ansoff Matrix</w:t>
            </w:r>
            <w:r>
              <w:rPr>
                <w:noProof/>
                <w:webHidden/>
              </w:rPr>
              <w:tab/>
            </w:r>
            <w:r>
              <w:rPr>
                <w:noProof/>
                <w:webHidden/>
              </w:rPr>
              <w:fldChar w:fldCharType="begin"/>
            </w:r>
            <w:r>
              <w:rPr>
                <w:noProof/>
                <w:webHidden/>
              </w:rPr>
              <w:instrText xml:space="preserve"> PAGEREF _Toc217231368 \h </w:instrText>
            </w:r>
            <w:r>
              <w:rPr>
                <w:noProof/>
                <w:webHidden/>
              </w:rPr>
            </w:r>
            <w:r>
              <w:rPr>
                <w:noProof/>
                <w:webHidden/>
              </w:rPr>
              <w:fldChar w:fldCharType="separate"/>
            </w:r>
            <w:r>
              <w:rPr>
                <w:noProof/>
                <w:webHidden/>
              </w:rPr>
              <w:t>15</w:t>
            </w:r>
            <w:r>
              <w:rPr>
                <w:noProof/>
                <w:webHidden/>
              </w:rPr>
              <w:fldChar w:fldCharType="end"/>
            </w:r>
          </w:hyperlink>
        </w:p>
        <w:p w14:paraId="722BC488" w14:textId="3F015F31"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69" w:history="1">
            <w:r w:rsidRPr="009E1129">
              <w:rPr>
                <w:rStyle w:val="Hyperlink"/>
                <w:noProof/>
              </w:rPr>
              <w:t>3.3 Market Entry Mode: Dunning’s Eclectic Paradigm (OLI Model)</w:t>
            </w:r>
            <w:r>
              <w:rPr>
                <w:noProof/>
                <w:webHidden/>
              </w:rPr>
              <w:tab/>
            </w:r>
            <w:r>
              <w:rPr>
                <w:noProof/>
                <w:webHidden/>
              </w:rPr>
              <w:fldChar w:fldCharType="begin"/>
            </w:r>
            <w:r>
              <w:rPr>
                <w:noProof/>
                <w:webHidden/>
              </w:rPr>
              <w:instrText xml:space="preserve"> PAGEREF _Toc217231369 \h </w:instrText>
            </w:r>
            <w:r>
              <w:rPr>
                <w:noProof/>
                <w:webHidden/>
              </w:rPr>
            </w:r>
            <w:r>
              <w:rPr>
                <w:noProof/>
                <w:webHidden/>
              </w:rPr>
              <w:fldChar w:fldCharType="separate"/>
            </w:r>
            <w:r>
              <w:rPr>
                <w:noProof/>
                <w:webHidden/>
              </w:rPr>
              <w:t>16</w:t>
            </w:r>
            <w:r>
              <w:rPr>
                <w:noProof/>
                <w:webHidden/>
              </w:rPr>
              <w:fldChar w:fldCharType="end"/>
            </w:r>
          </w:hyperlink>
        </w:p>
        <w:p w14:paraId="141F867A" w14:textId="4B991907"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0" w:history="1">
            <w:r w:rsidRPr="009E1129">
              <w:rPr>
                <w:rStyle w:val="Hyperlink"/>
                <w:noProof/>
              </w:rPr>
              <w:t>3.4 Competitive positioning: Porter’s Generic Strategies</w:t>
            </w:r>
            <w:r>
              <w:rPr>
                <w:noProof/>
                <w:webHidden/>
              </w:rPr>
              <w:tab/>
            </w:r>
            <w:r>
              <w:rPr>
                <w:noProof/>
                <w:webHidden/>
              </w:rPr>
              <w:fldChar w:fldCharType="begin"/>
            </w:r>
            <w:r>
              <w:rPr>
                <w:noProof/>
                <w:webHidden/>
              </w:rPr>
              <w:instrText xml:space="preserve"> PAGEREF _Toc217231370 \h </w:instrText>
            </w:r>
            <w:r>
              <w:rPr>
                <w:noProof/>
                <w:webHidden/>
              </w:rPr>
            </w:r>
            <w:r>
              <w:rPr>
                <w:noProof/>
                <w:webHidden/>
              </w:rPr>
              <w:fldChar w:fldCharType="separate"/>
            </w:r>
            <w:r>
              <w:rPr>
                <w:noProof/>
                <w:webHidden/>
              </w:rPr>
              <w:t>18</w:t>
            </w:r>
            <w:r>
              <w:rPr>
                <w:noProof/>
                <w:webHidden/>
              </w:rPr>
              <w:fldChar w:fldCharType="end"/>
            </w:r>
          </w:hyperlink>
        </w:p>
        <w:p w14:paraId="1876AD8C" w14:textId="097FAA12"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1" w:history="1">
            <w:r w:rsidRPr="009E1129">
              <w:rPr>
                <w:rStyle w:val="Hyperlink"/>
                <w:noProof/>
              </w:rPr>
              <w:t>3.5 Strategic Fit and Capability Assessment: VRIO Framework</w:t>
            </w:r>
            <w:r>
              <w:rPr>
                <w:noProof/>
                <w:webHidden/>
              </w:rPr>
              <w:tab/>
            </w:r>
            <w:r>
              <w:rPr>
                <w:noProof/>
                <w:webHidden/>
              </w:rPr>
              <w:fldChar w:fldCharType="begin"/>
            </w:r>
            <w:r>
              <w:rPr>
                <w:noProof/>
                <w:webHidden/>
              </w:rPr>
              <w:instrText xml:space="preserve"> PAGEREF _Toc217231371 \h </w:instrText>
            </w:r>
            <w:r>
              <w:rPr>
                <w:noProof/>
                <w:webHidden/>
              </w:rPr>
            </w:r>
            <w:r>
              <w:rPr>
                <w:noProof/>
                <w:webHidden/>
              </w:rPr>
              <w:fldChar w:fldCharType="separate"/>
            </w:r>
            <w:r>
              <w:rPr>
                <w:noProof/>
                <w:webHidden/>
              </w:rPr>
              <w:t>19</w:t>
            </w:r>
            <w:r>
              <w:rPr>
                <w:noProof/>
                <w:webHidden/>
              </w:rPr>
              <w:fldChar w:fldCharType="end"/>
            </w:r>
          </w:hyperlink>
        </w:p>
        <w:p w14:paraId="1BEC8251" w14:textId="4390BE3F"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2" w:history="1">
            <w:r w:rsidRPr="009E1129">
              <w:rPr>
                <w:rStyle w:val="Hyperlink"/>
                <w:noProof/>
              </w:rPr>
              <w:t>3.6 Strategy Implementation Components</w:t>
            </w:r>
            <w:r>
              <w:rPr>
                <w:noProof/>
                <w:webHidden/>
              </w:rPr>
              <w:tab/>
            </w:r>
            <w:r>
              <w:rPr>
                <w:noProof/>
                <w:webHidden/>
              </w:rPr>
              <w:fldChar w:fldCharType="begin"/>
            </w:r>
            <w:r>
              <w:rPr>
                <w:noProof/>
                <w:webHidden/>
              </w:rPr>
              <w:instrText xml:space="preserve"> PAGEREF _Toc217231372 \h </w:instrText>
            </w:r>
            <w:r>
              <w:rPr>
                <w:noProof/>
                <w:webHidden/>
              </w:rPr>
            </w:r>
            <w:r>
              <w:rPr>
                <w:noProof/>
                <w:webHidden/>
              </w:rPr>
              <w:fldChar w:fldCharType="separate"/>
            </w:r>
            <w:r>
              <w:rPr>
                <w:noProof/>
                <w:webHidden/>
              </w:rPr>
              <w:t>20</w:t>
            </w:r>
            <w:r>
              <w:rPr>
                <w:noProof/>
                <w:webHidden/>
              </w:rPr>
              <w:fldChar w:fldCharType="end"/>
            </w:r>
          </w:hyperlink>
        </w:p>
        <w:p w14:paraId="5B502894" w14:textId="6D76493E"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3" w:history="1">
            <w:r w:rsidRPr="009E1129">
              <w:rPr>
                <w:rStyle w:val="Hyperlink"/>
                <w:noProof/>
              </w:rPr>
              <w:t>3.7 Risk analysis and mitigation</w:t>
            </w:r>
            <w:r>
              <w:rPr>
                <w:noProof/>
                <w:webHidden/>
              </w:rPr>
              <w:tab/>
            </w:r>
            <w:r>
              <w:rPr>
                <w:noProof/>
                <w:webHidden/>
              </w:rPr>
              <w:fldChar w:fldCharType="begin"/>
            </w:r>
            <w:r>
              <w:rPr>
                <w:noProof/>
                <w:webHidden/>
              </w:rPr>
              <w:instrText xml:space="preserve"> PAGEREF _Toc217231373 \h </w:instrText>
            </w:r>
            <w:r>
              <w:rPr>
                <w:noProof/>
                <w:webHidden/>
              </w:rPr>
            </w:r>
            <w:r>
              <w:rPr>
                <w:noProof/>
                <w:webHidden/>
              </w:rPr>
              <w:fldChar w:fldCharType="separate"/>
            </w:r>
            <w:r>
              <w:rPr>
                <w:noProof/>
                <w:webHidden/>
              </w:rPr>
              <w:t>21</w:t>
            </w:r>
            <w:r>
              <w:rPr>
                <w:noProof/>
                <w:webHidden/>
              </w:rPr>
              <w:fldChar w:fldCharType="end"/>
            </w:r>
          </w:hyperlink>
        </w:p>
        <w:p w14:paraId="2D3196B9" w14:textId="79EE732F" w:rsidR="006C1D07" w:rsidRDefault="006C1D07">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7231374" w:history="1">
            <w:r w:rsidRPr="009E1129">
              <w:rPr>
                <w:rStyle w:val="Hyperlink"/>
                <w:noProof/>
              </w:rPr>
              <w:t>Section 4: Performance Evaluation Framework</w:t>
            </w:r>
            <w:r>
              <w:rPr>
                <w:noProof/>
                <w:webHidden/>
              </w:rPr>
              <w:tab/>
            </w:r>
            <w:r>
              <w:rPr>
                <w:noProof/>
                <w:webHidden/>
              </w:rPr>
              <w:fldChar w:fldCharType="begin"/>
            </w:r>
            <w:r>
              <w:rPr>
                <w:noProof/>
                <w:webHidden/>
              </w:rPr>
              <w:instrText xml:space="preserve"> PAGEREF _Toc217231374 \h </w:instrText>
            </w:r>
            <w:r>
              <w:rPr>
                <w:noProof/>
                <w:webHidden/>
              </w:rPr>
            </w:r>
            <w:r>
              <w:rPr>
                <w:noProof/>
                <w:webHidden/>
              </w:rPr>
              <w:fldChar w:fldCharType="separate"/>
            </w:r>
            <w:r>
              <w:rPr>
                <w:noProof/>
                <w:webHidden/>
              </w:rPr>
              <w:t>23</w:t>
            </w:r>
            <w:r>
              <w:rPr>
                <w:noProof/>
                <w:webHidden/>
              </w:rPr>
              <w:fldChar w:fldCharType="end"/>
            </w:r>
          </w:hyperlink>
        </w:p>
        <w:p w14:paraId="627012B1" w14:textId="7F09C092"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5" w:history="1">
            <w:r w:rsidRPr="009E1129">
              <w:rPr>
                <w:rStyle w:val="Hyperlink"/>
                <w:noProof/>
              </w:rPr>
              <w:t>4.1 The Balanced Scorecard Framework</w:t>
            </w:r>
            <w:r>
              <w:rPr>
                <w:noProof/>
                <w:webHidden/>
              </w:rPr>
              <w:tab/>
            </w:r>
            <w:r>
              <w:rPr>
                <w:noProof/>
                <w:webHidden/>
              </w:rPr>
              <w:fldChar w:fldCharType="begin"/>
            </w:r>
            <w:r>
              <w:rPr>
                <w:noProof/>
                <w:webHidden/>
              </w:rPr>
              <w:instrText xml:space="preserve"> PAGEREF _Toc217231375 \h </w:instrText>
            </w:r>
            <w:r>
              <w:rPr>
                <w:noProof/>
                <w:webHidden/>
              </w:rPr>
            </w:r>
            <w:r>
              <w:rPr>
                <w:noProof/>
                <w:webHidden/>
              </w:rPr>
              <w:fldChar w:fldCharType="separate"/>
            </w:r>
            <w:r>
              <w:rPr>
                <w:noProof/>
                <w:webHidden/>
              </w:rPr>
              <w:t>23</w:t>
            </w:r>
            <w:r>
              <w:rPr>
                <w:noProof/>
                <w:webHidden/>
              </w:rPr>
              <w:fldChar w:fldCharType="end"/>
            </w:r>
          </w:hyperlink>
        </w:p>
        <w:p w14:paraId="008A0831" w14:textId="55BAB767"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6" w:history="1">
            <w:r w:rsidRPr="009E1129">
              <w:rPr>
                <w:rStyle w:val="Hyperlink"/>
                <w:noProof/>
              </w:rPr>
              <w:t>4.2 Triple Bottom Line (TBL) Integration</w:t>
            </w:r>
            <w:r>
              <w:rPr>
                <w:noProof/>
                <w:webHidden/>
              </w:rPr>
              <w:tab/>
            </w:r>
            <w:r>
              <w:rPr>
                <w:noProof/>
                <w:webHidden/>
              </w:rPr>
              <w:fldChar w:fldCharType="begin"/>
            </w:r>
            <w:r>
              <w:rPr>
                <w:noProof/>
                <w:webHidden/>
              </w:rPr>
              <w:instrText xml:space="preserve"> PAGEREF _Toc217231376 \h </w:instrText>
            </w:r>
            <w:r>
              <w:rPr>
                <w:noProof/>
                <w:webHidden/>
              </w:rPr>
            </w:r>
            <w:r>
              <w:rPr>
                <w:noProof/>
                <w:webHidden/>
              </w:rPr>
              <w:fldChar w:fldCharType="separate"/>
            </w:r>
            <w:r>
              <w:rPr>
                <w:noProof/>
                <w:webHidden/>
              </w:rPr>
              <w:t>24</w:t>
            </w:r>
            <w:r>
              <w:rPr>
                <w:noProof/>
                <w:webHidden/>
              </w:rPr>
              <w:fldChar w:fldCharType="end"/>
            </w:r>
          </w:hyperlink>
        </w:p>
        <w:p w14:paraId="4A68E4E4" w14:textId="5D2958A2" w:rsidR="006C1D07" w:rsidRDefault="006C1D07">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7231377" w:history="1">
            <w:r w:rsidRPr="009E1129">
              <w:rPr>
                <w:rStyle w:val="Hyperlink"/>
                <w:noProof/>
              </w:rPr>
              <w:t>4.3 Monitoring and Mechanisms of Governance</w:t>
            </w:r>
            <w:r>
              <w:rPr>
                <w:noProof/>
                <w:webHidden/>
              </w:rPr>
              <w:tab/>
            </w:r>
            <w:r>
              <w:rPr>
                <w:noProof/>
                <w:webHidden/>
              </w:rPr>
              <w:fldChar w:fldCharType="begin"/>
            </w:r>
            <w:r>
              <w:rPr>
                <w:noProof/>
                <w:webHidden/>
              </w:rPr>
              <w:instrText xml:space="preserve"> PAGEREF _Toc217231377 \h </w:instrText>
            </w:r>
            <w:r>
              <w:rPr>
                <w:noProof/>
                <w:webHidden/>
              </w:rPr>
            </w:r>
            <w:r>
              <w:rPr>
                <w:noProof/>
                <w:webHidden/>
              </w:rPr>
              <w:fldChar w:fldCharType="separate"/>
            </w:r>
            <w:r>
              <w:rPr>
                <w:noProof/>
                <w:webHidden/>
              </w:rPr>
              <w:t>25</w:t>
            </w:r>
            <w:r>
              <w:rPr>
                <w:noProof/>
                <w:webHidden/>
              </w:rPr>
              <w:fldChar w:fldCharType="end"/>
            </w:r>
          </w:hyperlink>
        </w:p>
        <w:p w14:paraId="3521D54C" w14:textId="4F6A3D9C" w:rsidR="006C1D07" w:rsidRDefault="006C1D07">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7231378" w:history="1">
            <w:r w:rsidRPr="009E1129">
              <w:rPr>
                <w:rStyle w:val="Hyperlink"/>
                <w:noProof/>
              </w:rPr>
              <w:t>Conclusion</w:t>
            </w:r>
            <w:r>
              <w:rPr>
                <w:noProof/>
                <w:webHidden/>
              </w:rPr>
              <w:tab/>
            </w:r>
            <w:r>
              <w:rPr>
                <w:noProof/>
                <w:webHidden/>
              </w:rPr>
              <w:fldChar w:fldCharType="begin"/>
            </w:r>
            <w:r>
              <w:rPr>
                <w:noProof/>
                <w:webHidden/>
              </w:rPr>
              <w:instrText xml:space="preserve"> PAGEREF _Toc217231378 \h </w:instrText>
            </w:r>
            <w:r>
              <w:rPr>
                <w:noProof/>
                <w:webHidden/>
              </w:rPr>
            </w:r>
            <w:r>
              <w:rPr>
                <w:noProof/>
                <w:webHidden/>
              </w:rPr>
              <w:fldChar w:fldCharType="separate"/>
            </w:r>
            <w:r>
              <w:rPr>
                <w:noProof/>
                <w:webHidden/>
              </w:rPr>
              <w:t>26</w:t>
            </w:r>
            <w:r>
              <w:rPr>
                <w:noProof/>
                <w:webHidden/>
              </w:rPr>
              <w:fldChar w:fldCharType="end"/>
            </w:r>
          </w:hyperlink>
        </w:p>
        <w:p w14:paraId="6E009B13" w14:textId="22D17BDA" w:rsidR="006C1D07" w:rsidRDefault="006C1D07">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7231379" w:history="1">
            <w:r w:rsidRPr="009E1129">
              <w:rPr>
                <w:rStyle w:val="Hyperlink"/>
                <w:noProof/>
              </w:rPr>
              <w:t>References</w:t>
            </w:r>
            <w:r>
              <w:rPr>
                <w:noProof/>
                <w:webHidden/>
              </w:rPr>
              <w:tab/>
            </w:r>
            <w:r>
              <w:rPr>
                <w:noProof/>
                <w:webHidden/>
              </w:rPr>
              <w:fldChar w:fldCharType="begin"/>
            </w:r>
            <w:r>
              <w:rPr>
                <w:noProof/>
                <w:webHidden/>
              </w:rPr>
              <w:instrText xml:space="preserve"> PAGEREF _Toc217231379 \h </w:instrText>
            </w:r>
            <w:r>
              <w:rPr>
                <w:noProof/>
                <w:webHidden/>
              </w:rPr>
            </w:r>
            <w:r>
              <w:rPr>
                <w:noProof/>
                <w:webHidden/>
              </w:rPr>
              <w:fldChar w:fldCharType="separate"/>
            </w:r>
            <w:r>
              <w:rPr>
                <w:noProof/>
                <w:webHidden/>
              </w:rPr>
              <w:t>27</w:t>
            </w:r>
            <w:r>
              <w:rPr>
                <w:noProof/>
                <w:webHidden/>
              </w:rPr>
              <w:fldChar w:fldCharType="end"/>
            </w:r>
          </w:hyperlink>
        </w:p>
        <w:p w14:paraId="1C24DC80" w14:textId="284A1945" w:rsidR="000801F1" w:rsidRPr="000801F1" w:rsidRDefault="000801F1" w:rsidP="000801F1">
          <w:r>
            <w:rPr>
              <w:b/>
              <w:bCs/>
              <w:noProof/>
            </w:rPr>
            <w:lastRenderedPageBreak/>
            <w:fldChar w:fldCharType="end"/>
          </w:r>
        </w:p>
      </w:sdtContent>
    </w:sdt>
    <w:bookmarkStart w:id="0" w:name="_Toc217119437" w:displacedByCustomXml="prev"/>
    <w:p w14:paraId="1C0DB8F1" w14:textId="0DC6BBF2" w:rsidR="00043769" w:rsidRDefault="00000000">
      <w:pPr>
        <w:pStyle w:val="Heading1"/>
      </w:pPr>
      <w:bookmarkStart w:id="1" w:name="_Toc217231356"/>
      <w:r>
        <w:t>Introduction</w:t>
      </w:r>
      <w:bookmarkEnd w:id="0"/>
      <w:bookmarkEnd w:id="1"/>
      <w:r>
        <w:t xml:space="preserve"> </w:t>
      </w:r>
    </w:p>
    <w:p w14:paraId="557CA3C8" w14:textId="6E0F9DA9" w:rsidR="00043769" w:rsidRDefault="00000000">
      <w:r>
        <w:t>The current business environment in the global marketplace has been highly dynamic, and organisations need to show strategic dynamism to remain competitive and increase growth. The trend of globalisation, digitalisation, and changing consumer habits keeps on transforming industries, forcing companies to seek new foreign markets</w:t>
      </w:r>
      <w:r w:rsidR="00B635B2">
        <w:t xml:space="preserve"> </w:t>
      </w:r>
      <w:r w:rsidR="00230BB4" w:rsidRPr="00230BB4">
        <w:t>(Hill, Jones and Schilling, 2020)</w:t>
      </w:r>
      <w:r>
        <w:t>. Being a multinational corporation in the field of health, hygiene, and nutrition, Reckitt Benckiser (RB) functions in markets that are highly dynamic, and a high level of innovation and adaptability is needed</w:t>
      </w:r>
      <w:r w:rsidR="00B635B2">
        <w:t xml:space="preserve"> (Rybska, 2024)</w:t>
      </w:r>
      <w:r>
        <w:t>. This report includes the detailed organisational expansion plan of RB with references to its possible entry into the new international market. Based on the use of strategic management frameworks, the report will critically examine market conditions, develop an evidence-based strategy and create an adequate performance evaluation framework.</w:t>
      </w:r>
      <w:r>
        <w:br w:type="page"/>
      </w:r>
    </w:p>
    <w:p w14:paraId="29A40C45" w14:textId="77777777" w:rsidR="00043769" w:rsidRDefault="00000000">
      <w:pPr>
        <w:pStyle w:val="Heading1"/>
      </w:pPr>
      <w:bookmarkStart w:id="2" w:name="_Toc217119438"/>
      <w:bookmarkStart w:id="3" w:name="_Toc217231357"/>
      <w:r>
        <w:lastRenderedPageBreak/>
        <w:t>Section 1: Selection of Organisation and Target Market</w:t>
      </w:r>
      <w:bookmarkEnd w:id="2"/>
      <w:bookmarkEnd w:id="3"/>
    </w:p>
    <w:p w14:paraId="15777A07" w14:textId="77777777" w:rsidR="00043769" w:rsidRDefault="00000000">
      <w:pPr>
        <w:pStyle w:val="Heading2"/>
      </w:pPr>
      <w:bookmarkStart w:id="4" w:name="_Toc217119439"/>
      <w:bookmarkStart w:id="5" w:name="_Toc217231358"/>
      <w:r>
        <w:t>1.1 Reckitt Benckiser Group plc (RB) Organisation Overview</w:t>
      </w:r>
      <w:bookmarkEnd w:id="4"/>
      <w:bookmarkEnd w:id="5"/>
    </w:p>
    <w:p w14:paraId="2391128C" w14:textId="28E41111" w:rsidR="00043769" w:rsidRDefault="00000000">
      <w:r>
        <w:t xml:space="preserve">RB is a British-based multinational consumer-goods conglomerate, formerly known as Reckitt &amp; Colman plc and Benckiser N.V. and was founded in the year 1999 through a merger between Reckitt and Colman plc and Benckiser N.V., with its headquarters based in Slough, UK </w:t>
      </w:r>
      <w:r w:rsidR="00230BB4" w:rsidRPr="00230BB4">
        <w:t>(Reckitt, 2025)</w:t>
      </w:r>
      <w:r>
        <w:t>. The company deals with health, hygiene and nutrition products, with an excellent brand like Dettol, Lysol, Durex and Veet. RB is active in some 50-60 countries, and the products of RB are distributed in its 180-200 countries</w:t>
      </w:r>
      <w:r w:rsidR="00B635B2">
        <w:t xml:space="preserve"> </w:t>
      </w:r>
      <w:r w:rsidR="00230BB4" w:rsidRPr="00230BB4">
        <w:t>(Reckitt, 2024)</w:t>
      </w:r>
      <w:r>
        <w:t>.</w:t>
      </w:r>
    </w:p>
    <w:p w14:paraId="0F813A96" w14:textId="77777777" w:rsidR="00043769" w:rsidRDefault="00000000">
      <w:r>
        <w:rPr>
          <w:noProof/>
          <w14:ligatures w14:val="standardContextual"/>
        </w:rPr>
        <w:drawing>
          <wp:inline distT="0" distB="0" distL="0" distR="0" wp14:anchorId="62760BDE" wp14:editId="65B240DA">
            <wp:extent cx="5943600" cy="2827020"/>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5943600" cy="2827020"/>
                    </a:xfrm>
                    <a:prstGeom prst="rect">
                      <a:avLst/>
                    </a:prstGeom>
                  </pic:spPr>
                </pic:pic>
              </a:graphicData>
            </a:graphic>
          </wp:inline>
        </w:drawing>
      </w:r>
    </w:p>
    <w:p w14:paraId="6BB14908" w14:textId="77777777" w:rsidR="00043769" w:rsidRDefault="00000000">
      <w:pPr>
        <w:jc w:val="center"/>
      </w:pPr>
      <w:r>
        <w:t>Figure 01: Reckitt Benckiser Group plc</w:t>
      </w:r>
    </w:p>
    <w:p w14:paraId="0B4BAF1F" w14:textId="77777777" w:rsidR="00043769" w:rsidRDefault="00000000">
      <w:pPr>
        <w:jc w:val="center"/>
      </w:pPr>
      <w:r>
        <w:t>Source: (Kuptsova et al., 2021)</w:t>
      </w:r>
    </w:p>
    <w:p w14:paraId="531A03D9" w14:textId="7ED6013C" w:rsidR="00043769" w:rsidRDefault="00000000">
      <w:r>
        <w:t>RB defines its mission as protecting, healing and nurturing in the unceasing endeavour of creating a cleaner and healthier world</w:t>
      </w:r>
      <w:r w:rsidR="00B635B2">
        <w:t xml:space="preserve"> </w:t>
      </w:r>
      <w:r w:rsidR="00230BB4" w:rsidRPr="00230BB4">
        <w:t>(Reckitt, 2024)</w:t>
      </w:r>
      <w:r>
        <w:t xml:space="preserve">. According to its 2025 investor communications, RB projects high growth of its emerging-markets business segment, where like-for-like net revenues of the emerging-markets markets have increased by 12.8% in H1 2025, volume growth of more than 7.1% and price/mix about 5.7% (Ralph, 2025). The features of the global character, high brand portfolio, and the possibility to </w:t>
      </w:r>
      <w:r>
        <w:lastRenderedPageBreak/>
        <w:t xml:space="preserve">invest in innovation and sustainability make RB most appropriate when it comes to the international expansion strategy (Newman, 2024). </w:t>
      </w:r>
    </w:p>
    <w:p w14:paraId="281285DB" w14:textId="77777777" w:rsidR="00043769" w:rsidRDefault="00000000">
      <w:pPr>
        <w:pStyle w:val="Heading2"/>
      </w:pPr>
      <w:bookmarkStart w:id="6" w:name="_Toc217119440"/>
      <w:bookmarkStart w:id="7" w:name="_Toc217231359"/>
      <w:r>
        <w:t>1.2 Target Market Selection: Vietnam</w:t>
      </w:r>
      <w:bookmarkEnd w:id="6"/>
      <w:bookmarkEnd w:id="7"/>
      <w:r>
        <w:t xml:space="preserve"> </w:t>
      </w:r>
    </w:p>
    <w:p w14:paraId="69A5FD38" w14:textId="77777777" w:rsidR="00043769" w:rsidRDefault="00000000">
      <w:r>
        <w:rPr>
          <w:noProof/>
          <w14:ligatures w14:val="standardContextual"/>
        </w:rPr>
        <w:drawing>
          <wp:inline distT="0" distB="0" distL="0" distR="0" wp14:anchorId="026ED90B" wp14:editId="71893969">
            <wp:extent cx="5943600" cy="2638425"/>
            <wp:effectExtent l="0" t="0" r="0" b="9525"/>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srcRect/>
                    <a:stretch/>
                  </pic:blipFill>
                  <pic:spPr>
                    <a:xfrm>
                      <a:off x="0" y="0"/>
                      <a:ext cx="5943600" cy="2638425"/>
                    </a:xfrm>
                    <a:prstGeom prst="rect">
                      <a:avLst/>
                    </a:prstGeom>
                  </pic:spPr>
                </pic:pic>
              </a:graphicData>
            </a:graphic>
          </wp:inline>
        </w:drawing>
      </w:r>
    </w:p>
    <w:p w14:paraId="1FF0454E" w14:textId="77777777" w:rsidR="00043769" w:rsidRDefault="00000000">
      <w:pPr>
        <w:jc w:val="center"/>
      </w:pPr>
      <w:r>
        <w:t>Figure 02: Vietnam FMCG Market Growth</w:t>
      </w:r>
    </w:p>
    <w:p w14:paraId="5F9F93C1" w14:textId="00ACE295" w:rsidR="00043769" w:rsidRDefault="00000000">
      <w:pPr>
        <w:jc w:val="center"/>
      </w:pPr>
      <w:r>
        <w:t xml:space="preserve">Source: </w:t>
      </w:r>
      <w:r w:rsidR="00181699">
        <w:t>(</w:t>
      </w:r>
      <w:r>
        <w:t>K</w:t>
      </w:r>
      <w:r w:rsidR="00230BB4">
        <w:t>en Researhc, 2025)</w:t>
      </w:r>
    </w:p>
    <w:p w14:paraId="07F44BD4" w14:textId="77777777" w:rsidR="00043769" w:rsidRDefault="00000000">
      <w:r>
        <w:t xml:space="preserve">Vietnam is singled out as the target area in the setting of a new global market penetration. This choice is supported by several strategic factors:  </w:t>
      </w:r>
    </w:p>
    <w:p w14:paraId="420DA908" w14:textId="77777777" w:rsidR="00043769" w:rsidRDefault="00000000">
      <w:r w:rsidRPr="00230BB4">
        <w:rPr>
          <w:b/>
          <w:bCs/>
        </w:rPr>
        <w:t>High growth in the middle class:</w:t>
      </w:r>
      <w:r>
        <w:t xml:space="preserve"> The cohort of Vietnamese middle-income earners is expected to grow to about 26% of the entire population in 2026, which is up to about 13% of the entire population as of 2023, hence, creating a large and more lucrative consumer base (Manaeva et al., 2023).  </w:t>
      </w:r>
    </w:p>
    <w:p w14:paraId="211A6768" w14:textId="64E4E175" w:rsidR="00043769" w:rsidRDefault="00000000">
      <w:r w:rsidRPr="00230BB4">
        <w:rPr>
          <w:b/>
          <w:bCs/>
        </w:rPr>
        <w:t>Strong FMCG potential and hygiene actuality:</w:t>
      </w:r>
      <w:r>
        <w:t xml:space="preserve"> Fast-moving consumer goods in Vietnam are on a growth trajectory, due to increasing incomes, urbanisation, as well as the development of the modern retail distribution</w:t>
      </w:r>
      <w:r w:rsidR="00B635B2">
        <w:t xml:space="preserve"> </w:t>
      </w:r>
      <w:r w:rsidR="00230BB4" w:rsidRPr="00230BB4">
        <w:t>(Stone, 2025)</w:t>
      </w:r>
      <w:r>
        <w:t>. It is worth noting that the personal hygiene sub-market will command a growth rate greater than 6.8% in the coming 2025-2030</w:t>
      </w:r>
      <w:r w:rsidR="00B635B2">
        <w:t xml:space="preserve"> </w:t>
      </w:r>
      <w:r w:rsidR="00230BB4" w:rsidRPr="00230BB4">
        <w:t>(Hoang, 2025)</w:t>
      </w:r>
      <w:r>
        <w:t xml:space="preserve">.  </w:t>
      </w:r>
    </w:p>
    <w:p w14:paraId="0CFDCFE9" w14:textId="5CCFBA72" w:rsidR="00043769" w:rsidRDefault="00000000">
      <w:r>
        <w:lastRenderedPageBreak/>
        <w:t>Unrealised potential of health-hygiene segments</w:t>
      </w:r>
      <w:r w:rsidR="00230BB4">
        <w:t>:</w:t>
      </w:r>
      <w:r>
        <w:t xml:space="preserve"> As per current studies, growth in income and increased living standards will result in substantial sales and product expansion of tissue and hygiene products in the year 2024</w:t>
      </w:r>
      <w:r w:rsidR="00B635B2">
        <w:t xml:space="preserve"> (</w:t>
      </w:r>
      <w:r w:rsidR="00B635B2" w:rsidRPr="00B635B2">
        <w:t>F</w:t>
      </w:r>
      <w:r w:rsidR="00B635B2">
        <w:t xml:space="preserve">inancial Times, </w:t>
      </w:r>
      <w:r w:rsidR="00B635B2" w:rsidRPr="00B635B2">
        <w:t>2024</w:t>
      </w:r>
      <w:r w:rsidR="00B635B2">
        <w:t>)</w:t>
      </w:r>
      <w:r>
        <w:t>. The market size and growth trends imply that the hygiene and health-oriented brands of RB have a lot of space to grow</w:t>
      </w:r>
      <w:r w:rsidR="00230BB4">
        <w:t xml:space="preserve"> (</w:t>
      </w:r>
      <w:r w:rsidR="00230BB4" w:rsidRPr="00230BB4">
        <w:t>Ken Research</w:t>
      </w:r>
      <w:r w:rsidR="00230BB4">
        <w:t xml:space="preserve">, </w:t>
      </w:r>
      <w:r w:rsidR="00230BB4" w:rsidRPr="00230BB4">
        <w:t>2024)</w:t>
      </w:r>
      <w:r>
        <w:t xml:space="preserve">.  </w:t>
      </w:r>
    </w:p>
    <w:p w14:paraId="001DC9EE" w14:textId="41E362FC" w:rsidR="00043769" w:rsidRDefault="00000000">
      <w:r w:rsidRPr="00230BB4">
        <w:rPr>
          <w:b/>
          <w:bCs/>
        </w:rPr>
        <w:t>E-commerce and evolution of its channel:</w:t>
      </w:r>
      <w:r>
        <w:t xml:space="preserve"> Vietnam's retailing infrastructure is becoming increasingly digital and modern</w:t>
      </w:r>
      <w:r w:rsidR="00181699">
        <w:t xml:space="preserve"> (</w:t>
      </w:r>
      <w:r w:rsidR="00181699" w:rsidRPr="00181699">
        <w:t>Thumrongchote, 2025</w:t>
      </w:r>
      <w:r w:rsidR="00181699">
        <w:t>)</w:t>
      </w:r>
      <w:r>
        <w:t xml:space="preserve">. E-commerce income in the personal-care sector is estimated at around US $ 934.0 million in 2024, which is projected to increase by 20% to 25% per year (Goss, 2024). The innovation provides a competitive edge to the premium and branded products of RB.  </w:t>
      </w:r>
    </w:p>
    <w:p w14:paraId="11D8705A" w14:textId="781DD3EE" w:rsidR="00043769" w:rsidRDefault="00000000">
      <w:r>
        <w:t>Strategic support to the growth goal of the RB: RB has made public pronouncements that it is taking on emerging markets as a key engine towards growth, and already, emerging markets contribute approximately 39</w:t>
      </w:r>
      <w:r w:rsidR="00B635B2">
        <w:t>%</w:t>
      </w:r>
      <w:r>
        <w:t xml:space="preserve"> of its Core Reckitt net revenues</w:t>
      </w:r>
      <w:r w:rsidR="00181699">
        <w:t xml:space="preserve"> (</w:t>
      </w:r>
      <w:r w:rsidR="00181699" w:rsidRPr="00181699">
        <w:t>VietnamPlus</w:t>
      </w:r>
      <w:r w:rsidR="00181699">
        <w:t xml:space="preserve">, </w:t>
      </w:r>
      <w:r w:rsidR="00181699" w:rsidRPr="00181699">
        <w:t>2025</w:t>
      </w:r>
      <w:r w:rsidR="00181699">
        <w:t>)</w:t>
      </w:r>
      <w:r>
        <w:t xml:space="preserve">. Vietnam is an opportunity for emerging markets that allows RB to expand its presence, </w:t>
      </w:r>
      <w:r w:rsidRPr="00230BB4">
        <w:t>taking advantage of the international brands portfolio and hygiene/health comfort</w:t>
      </w:r>
      <w:r w:rsidR="00181699" w:rsidRPr="00230BB4">
        <w:t xml:space="preserve"> (</w:t>
      </w:r>
      <w:r w:rsidR="00230BB4" w:rsidRPr="00230BB4">
        <w:t>S</w:t>
      </w:r>
      <w:r w:rsidR="00181699" w:rsidRPr="00230BB4">
        <w:t>trategy</w:t>
      </w:r>
      <w:r w:rsidR="00230BB4" w:rsidRPr="00230BB4">
        <w:t>Helix group</w:t>
      </w:r>
      <w:r w:rsidR="00181699" w:rsidRPr="00230BB4">
        <w:t>, 2025)</w:t>
      </w:r>
      <w:r w:rsidRPr="00230BB4">
        <w:t>.</w:t>
      </w:r>
    </w:p>
    <w:p w14:paraId="375AEBB6" w14:textId="77777777" w:rsidR="00043769" w:rsidRDefault="00000000">
      <w:pPr>
        <w:pStyle w:val="Heading2"/>
      </w:pPr>
      <w:bookmarkStart w:id="8" w:name="_Toc217119441"/>
      <w:bookmarkStart w:id="9" w:name="_Toc217231360"/>
      <w:r>
        <w:t>1.3 Rationalisation of the Decision</w:t>
      </w:r>
      <w:bookmarkEnd w:id="8"/>
      <w:bookmarkEnd w:id="9"/>
      <w:r>
        <w:t xml:space="preserve">  </w:t>
      </w:r>
    </w:p>
    <w:p w14:paraId="3611841C" w14:textId="3289D0AC" w:rsidR="00043769" w:rsidRDefault="00000000">
      <w:r w:rsidRPr="00A37F6B">
        <w:rPr>
          <w:b/>
          <w:bCs/>
        </w:rPr>
        <w:t>Why RB:</w:t>
      </w:r>
      <w:r>
        <w:t xml:space="preserve"> The rationale behind the choice of RB lies in its globally established suite of hygiene and health brands, its strong innovation capability and because it has recorded growth in attained by attaining double-digit growth rates in its emerging market economies, as is the case with China and India (Rybska</w:t>
      </w:r>
      <w:r w:rsidR="00230BB4">
        <w:t>,</w:t>
      </w:r>
      <w:r>
        <w:t xml:space="preserve"> 2024). These qualities provide a competitive head start to RB in market entry activities. The business model of the company, which is focused on its scale, high-quality brands and its growth in the developing markets, fits the desired extension well</w:t>
      </w:r>
      <w:r w:rsidR="00181699">
        <w:t xml:space="preserve"> </w:t>
      </w:r>
      <w:r w:rsidR="00230BB4" w:rsidRPr="00230BB4">
        <w:t>(DCF Modeling, 2024)</w:t>
      </w:r>
      <w:r>
        <w:t xml:space="preserve">.  </w:t>
      </w:r>
    </w:p>
    <w:p w14:paraId="5905EDCD" w14:textId="6708E2C0" w:rsidR="00043769" w:rsidRDefault="00000000">
      <w:r w:rsidRPr="00A37F6B">
        <w:rPr>
          <w:b/>
          <w:bCs/>
        </w:rPr>
        <w:t>Why Vietnam:</w:t>
      </w:r>
      <w:r>
        <w:t xml:space="preserve"> Vietnam is a strategically attractive market because of favourable macro-economic conditions, which comprise the increasing household incomes and rapid urbanisation levels, as well as extreme growth in hygiene and health industries (Tarba et al., 2023). There is also the factor of under-penetration in certain hygiene/health sub-</w:t>
      </w:r>
      <w:r>
        <w:lastRenderedPageBreak/>
        <w:t>markets, which provides RB with a chance to institutionalise its power</w:t>
      </w:r>
      <w:r w:rsidR="00230BB4">
        <w:t xml:space="preserve"> </w:t>
      </w:r>
      <w:r>
        <w:t xml:space="preserve">brands strategy even in the presence of international competition.  </w:t>
      </w:r>
    </w:p>
    <w:p w14:paraId="5380C430" w14:textId="77777777" w:rsidR="00043769" w:rsidRDefault="00000000">
      <w:r>
        <w:rPr>
          <w:noProof/>
          <w14:ligatures w14:val="standardContextual"/>
        </w:rPr>
        <w:drawing>
          <wp:inline distT="0" distB="0" distL="0" distR="0" wp14:anchorId="386C56C0" wp14:editId="2F48D9FE">
            <wp:extent cx="5943600" cy="3182620"/>
            <wp:effectExtent l="0" t="0" r="0" b="0"/>
            <wp:docPr id="102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1" cstate="print"/>
                    <a:srcRect/>
                    <a:stretch/>
                  </pic:blipFill>
                  <pic:spPr>
                    <a:xfrm>
                      <a:off x="0" y="0"/>
                      <a:ext cx="5943600" cy="3182620"/>
                    </a:xfrm>
                    <a:prstGeom prst="rect">
                      <a:avLst/>
                    </a:prstGeom>
                  </pic:spPr>
                </pic:pic>
              </a:graphicData>
            </a:graphic>
          </wp:inline>
        </w:drawing>
      </w:r>
    </w:p>
    <w:p w14:paraId="0DF342CD" w14:textId="77777777" w:rsidR="00043769" w:rsidRDefault="00000000">
      <w:pPr>
        <w:jc w:val="center"/>
      </w:pPr>
      <w:r>
        <w:t>Figure 03: Vietnam FMCG/ Hygiene market growth</w:t>
      </w:r>
    </w:p>
    <w:p w14:paraId="48567263" w14:textId="12FE3DC1" w:rsidR="00043769" w:rsidRDefault="00000000">
      <w:pPr>
        <w:jc w:val="center"/>
      </w:pPr>
      <w:r>
        <w:t xml:space="preserve">Source: </w:t>
      </w:r>
      <w:r w:rsidR="00230BB4" w:rsidRPr="00230BB4">
        <w:t>(Ken Research, 2024)</w:t>
      </w:r>
      <w:r>
        <w:t xml:space="preserve"> </w:t>
      </w:r>
    </w:p>
    <w:p w14:paraId="5195B47A" w14:textId="77777777" w:rsidR="00A37F6B" w:rsidRPr="00A37F6B" w:rsidRDefault="00000000">
      <w:pPr>
        <w:rPr>
          <w:b/>
          <w:bCs/>
        </w:rPr>
      </w:pPr>
      <w:r w:rsidRPr="00A37F6B">
        <w:rPr>
          <w:b/>
          <w:bCs/>
        </w:rPr>
        <w:t xml:space="preserve">Strategic fit: </w:t>
      </w:r>
    </w:p>
    <w:p w14:paraId="376F177B" w14:textId="591004F5" w:rsidR="00043769" w:rsidRDefault="00000000">
      <w:r>
        <w:t>The availability of and focus on core brands and entry into emerging economies by RB align with the course taken by Vietnam as a mid-income country. The hygiene and health product divisions will be a rational continuation of the global expertise of RB</w:t>
      </w:r>
      <w:r w:rsidR="00951C57">
        <w:t xml:space="preserve"> (</w:t>
      </w:r>
      <w:r w:rsidR="00951C57" w:rsidRPr="00B635B2">
        <w:t>F</w:t>
      </w:r>
      <w:r w:rsidR="00951C57">
        <w:t xml:space="preserve">inancial Times, </w:t>
      </w:r>
      <w:r w:rsidR="00951C57" w:rsidRPr="00B635B2">
        <w:t>2024</w:t>
      </w:r>
      <w:r w:rsidR="00951C57">
        <w:t>)</w:t>
      </w:r>
      <w:r>
        <w:t xml:space="preserve">. In addition, the ability of the firm to tap into e-commerce and new retail channels in the Vietnam market would hasten market penetration </w:t>
      </w:r>
      <w:r w:rsidR="00230BB4" w:rsidRPr="00230BB4">
        <w:t>(Ken Research, 2024)</w:t>
      </w:r>
      <w:r>
        <w:t xml:space="preserve">.  </w:t>
      </w:r>
    </w:p>
    <w:p w14:paraId="38B02D70" w14:textId="58D14B55" w:rsidR="00043769" w:rsidRDefault="00000000">
      <w:r>
        <w:t xml:space="preserve">The empirical data supporting the determination include information about the growth in the middle-class, annual growth rate of the hygiene market, the growth trajectories of personal-care e-commerce and the performance of the company in similar upcoming markets (Shams et al., 2021). The combination of these metrics makes a strong basis of evidence.  </w:t>
      </w:r>
      <w:r>
        <w:br w:type="page"/>
      </w:r>
    </w:p>
    <w:p w14:paraId="59CC069D" w14:textId="77777777" w:rsidR="00043769" w:rsidRDefault="00000000">
      <w:pPr>
        <w:pStyle w:val="Heading1"/>
      </w:pPr>
      <w:bookmarkStart w:id="10" w:name="_Toc217119442"/>
      <w:bookmarkStart w:id="11" w:name="_Toc217231361"/>
      <w:r>
        <w:lastRenderedPageBreak/>
        <w:t>Section 2: Comprehensive Strategic Analysis</w:t>
      </w:r>
      <w:bookmarkEnd w:id="10"/>
      <w:bookmarkEnd w:id="11"/>
      <w:r>
        <w:t xml:space="preserve"> </w:t>
      </w:r>
    </w:p>
    <w:p w14:paraId="0326A894" w14:textId="77777777" w:rsidR="00043769" w:rsidRDefault="00000000">
      <w:pPr>
        <w:pStyle w:val="Heading2"/>
      </w:pPr>
      <w:bookmarkStart w:id="12" w:name="_Toc217119443"/>
      <w:bookmarkStart w:id="13" w:name="_Toc217231362"/>
      <w:r>
        <w:t>2.1 Macro-Environmental Analysis (PESTEL)</w:t>
      </w:r>
      <w:bookmarkEnd w:id="12"/>
      <w:bookmarkEnd w:id="13"/>
    </w:p>
    <w:p w14:paraId="7D1DECAF" w14:textId="77777777" w:rsidR="00043769" w:rsidRDefault="00000000">
      <w:r>
        <w:t>A PESTEL analysis has been conducted below regarding the proposed target market (Vietnam), which is the expansion consideration for the Reckitt Benckiser Group Plc:</w:t>
      </w:r>
    </w:p>
    <w:p w14:paraId="000DFB41" w14:textId="77777777" w:rsidR="00043769" w:rsidRPr="00E03A29" w:rsidRDefault="00000000">
      <w:pPr>
        <w:rPr>
          <w:b/>
          <w:bCs/>
        </w:rPr>
      </w:pPr>
      <w:r w:rsidRPr="00E03A29">
        <w:rPr>
          <w:b/>
          <w:bCs/>
        </w:rPr>
        <w:t xml:space="preserve">Political  </w:t>
      </w:r>
    </w:p>
    <w:p w14:paraId="336C929A" w14:textId="5B327C72" w:rsidR="00043769" w:rsidRDefault="00000000">
      <w:r>
        <w:t>Vietnam has maintained its political stability within the single-party system of governance, and the state still focuses on foreign investment in specific areas and trade liberalisation, as shown by the successive free trade agreements (Pérez, 2022). The stable and favourable investment climate may be advantageous to Reckitt Benckiser, but it should actively address risks related to regulations, expect delays in the certification procedures, and take into consideration related compliance costs</w:t>
      </w:r>
      <w:r w:rsidR="00181699">
        <w:t xml:space="preserve"> (</w:t>
      </w:r>
      <w:r w:rsidR="00181699" w:rsidRPr="00181699">
        <w:t>Reckitt</w:t>
      </w:r>
      <w:r w:rsidR="00181699">
        <w:t xml:space="preserve">, </w:t>
      </w:r>
      <w:r w:rsidR="00181699" w:rsidRPr="00181699">
        <w:t>2025b)</w:t>
      </w:r>
      <w:r>
        <w:t>. Development of efficient rapport with local governments and savvy deals with management processes will be critical to continued entry and success in the market (Grant, 2021).</w:t>
      </w:r>
    </w:p>
    <w:p w14:paraId="6740FB4E" w14:textId="77777777" w:rsidR="00043769" w:rsidRPr="00E03A29" w:rsidRDefault="00000000">
      <w:pPr>
        <w:rPr>
          <w:b/>
          <w:bCs/>
        </w:rPr>
      </w:pPr>
      <w:r w:rsidRPr="00E03A29">
        <w:rPr>
          <w:b/>
          <w:bCs/>
        </w:rPr>
        <w:t xml:space="preserve">Economic  </w:t>
      </w:r>
    </w:p>
    <w:p w14:paraId="42F5D340" w14:textId="6FC8CB74" w:rsidR="00043769" w:rsidRDefault="00000000">
      <w:r>
        <w:t>The economy of Vietnam has been growing at a healthy rate over the last few years, with gross domestic product growth of above 7% in some recent years, with a record of 7.1% in 2024, and projected growth of around 8% in 2025</w:t>
      </w:r>
      <w:r w:rsidR="00951C57">
        <w:t xml:space="preserve"> (</w:t>
      </w:r>
      <w:r w:rsidR="00230BB4">
        <w:t xml:space="preserve">Research and </w:t>
      </w:r>
      <w:r w:rsidR="00951C57" w:rsidRPr="00951C57">
        <w:t>Market, 2025</w:t>
      </w:r>
      <w:r w:rsidR="00951C57">
        <w:t>)</w:t>
      </w:r>
      <w:r>
        <w:t>. The macroeconomic environment is defined by the increased per-capita incomes, the growing number of middle-income earners, and the increased consumption of fast-moving consumer goods. On the other hand, inflationary forces have been present, and these prices of the raw materials and logistics have been increasing, whilst consumer volume growth in the urban areas slows down because of increasing prices that drive value growth (Varadarajan, 2020).</w:t>
      </w:r>
    </w:p>
    <w:p w14:paraId="6BB61803" w14:textId="77777777" w:rsidR="00043769" w:rsidRPr="00E03A29" w:rsidRDefault="00000000">
      <w:pPr>
        <w:rPr>
          <w:b/>
          <w:bCs/>
        </w:rPr>
      </w:pPr>
      <w:r w:rsidRPr="00E03A29">
        <w:rPr>
          <w:b/>
          <w:bCs/>
        </w:rPr>
        <w:t xml:space="preserve">Social  </w:t>
      </w:r>
    </w:p>
    <w:p w14:paraId="43C41C28" w14:textId="59BA7C84" w:rsidR="00043769" w:rsidRDefault="00000000">
      <w:r>
        <w:t xml:space="preserve">The demographic profile offers a significant boon in the fact that a huge working-age population group, which constitutes an approximation of 68% of the total population, exists alongside a fast-growing urban middle population (Haseeb et al., 2019). There is a </w:t>
      </w:r>
      <w:r>
        <w:lastRenderedPageBreak/>
        <w:t>growing trend in consumer behaviour towards health and well-being, greater readiness to pay more to get better quality, and more willingness to respond to hygiene, wellness and top-quality fast-moving consumer goods</w:t>
      </w:r>
      <w:r w:rsidR="00230BB4">
        <w:t xml:space="preserve"> (</w:t>
      </w:r>
      <w:bookmarkStart w:id="14" w:name="_Hlk212973516"/>
      <w:r w:rsidR="00230BB4">
        <w:t>Thumrongchote, 2025</w:t>
      </w:r>
      <w:bookmarkEnd w:id="14"/>
      <w:r w:rsidR="00230BB4">
        <w:t>)</w:t>
      </w:r>
      <w:r>
        <w:t xml:space="preserve">. However, the issue of price sensitivity </w:t>
      </w:r>
      <w:r w:rsidR="00951C57">
        <w:t>persists, and a significant portion of the rural population continues to exhibit weak buying capabilities (</w:t>
      </w:r>
      <w:r w:rsidR="00230BB4">
        <w:t xml:space="preserve">Research and </w:t>
      </w:r>
      <w:r w:rsidR="00951C57" w:rsidRPr="00951C57">
        <w:t>Market, 2025</w:t>
      </w:r>
      <w:r w:rsidR="00951C57">
        <w:t>)</w:t>
      </w:r>
      <w:r>
        <w:t>. Conventional retailing forms are still predominant in the different areas. The competencies of R</w:t>
      </w:r>
      <w:r w:rsidR="00230BB4">
        <w:t>B</w:t>
      </w:r>
      <w:r>
        <w:t xml:space="preserve"> in hygiene and health are quite consistent with the existing wellness trend</w:t>
      </w:r>
      <w:r w:rsidR="00230BB4">
        <w:t xml:space="preserve"> </w:t>
      </w:r>
      <w:r>
        <w:t>(Kabue and Kilika, 2016).</w:t>
      </w:r>
    </w:p>
    <w:p w14:paraId="5579081E" w14:textId="77777777" w:rsidR="00043769" w:rsidRPr="00E03A29" w:rsidRDefault="00000000">
      <w:pPr>
        <w:rPr>
          <w:b/>
          <w:bCs/>
        </w:rPr>
      </w:pPr>
      <w:r w:rsidRPr="00E03A29">
        <w:rPr>
          <w:b/>
          <w:bCs/>
        </w:rPr>
        <w:t xml:space="preserve">Technological  </w:t>
      </w:r>
    </w:p>
    <w:p w14:paraId="1F393BB8" w14:textId="69EF2012" w:rsidR="00043769" w:rsidRDefault="00230BB4">
      <w:r>
        <w:t>According to Thumrongchote (2025), e-commerce, online trading, and the use of mobile are gaining momentum indicating there exists the future of online shopping, which is a critical determinant in the fast-moving consumer goods market in Vietnam. The trade channels are growing in number, and digital marketing is becoming significant, as well as social-commerce</w:t>
      </w:r>
      <w:r w:rsidR="007E5335">
        <w:t xml:space="preserve"> (</w:t>
      </w:r>
      <w:r w:rsidR="007E5335" w:rsidRPr="007E5335">
        <w:t>VietnamPlus</w:t>
      </w:r>
      <w:r w:rsidR="007E5335">
        <w:t xml:space="preserve">, </w:t>
      </w:r>
      <w:r w:rsidR="007E5335" w:rsidRPr="007E5335">
        <w:t>2025</w:t>
      </w:r>
      <w:r w:rsidR="007E5335">
        <w:t>)</w:t>
      </w:r>
      <w:r>
        <w:t xml:space="preserve">. However, the logistics infrastructure and last-mile delivery, especially in rural or remote areas, remain a major challenge. Royal Beda will be able to leverage digital tools to enter the market faster and build a high-end brand image at scale, where urban and younger consumer segments are represented (Oviatt and McDougall, 2018). </w:t>
      </w:r>
    </w:p>
    <w:p w14:paraId="71B4CCFE" w14:textId="77777777" w:rsidR="00043769" w:rsidRPr="00E03A29" w:rsidRDefault="00000000">
      <w:pPr>
        <w:rPr>
          <w:b/>
          <w:bCs/>
        </w:rPr>
      </w:pPr>
      <w:r w:rsidRPr="00E03A29">
        <w:rPr>
          <w:b/>
          <w:bCs/>
        </w:rPr>
        <w:t xml:space="preserve">Environmental  </w:t>
      </w:r>
    </w:p>
    <w:p w14:paraId="40293398" w14:textId="3D99728A" w:rsidR="00043769" w:rsidRDefault="00000000">
      <w:r>
        <w:t>The concept of sustainability is becoming more popular, and more consumers are beginning to appreciate the environmentally friendly nature of the production process and packaging that is sustainable (Dhir and Dhir, 2015). Vietnam faces environmental issues, such as pollution, an imbalance in waste treatment, and growing regulatory force. Even though such issues are not unique to hygiene and health fast-moving consumer goods, they are both risky and offer opportunities</w:t>
      </w:r>
      <w:r w:rsidR="007E5335">
        <w:t xml:space="preserve"> (</w:t>
      </w:r>
      <w:r w:rsidR="007E5335" w:rsidRPr="007E5335">
        <w:t>VietnamPlus</w:t>
      </w:r>
      <w:r w:rsidR="007E5335">
        <w:t xml:space="preserve">, </w:t>
      </w:r>
      <w:r w:rsidR="007E5335" w:rsidRPr="007E5335">
        <w:t>2025</w:t>
      </w:r>
      <w:r w:rsidR="007E5335">
        <w:t>)</w:t>
      </w:r>
      <w:r>
        <w:t>. In the case of Royal Beda, differentiators like eco-packaging and minimal waste manufacturing may be sustainability credentials and would be in line with its global sustainability strategies</w:t>
      </w:r>
      <w:r w:rsidR="00951C57">
        <w:t xml:space="preserve"> (</w:t>
      </w:r>
      <w:r w:rsidR="00230BB4">
        <w:t xml:space="preserve">Research and </w:t>
      </w:r>
      <w:r w:rsidR="00951C57" w:rsidRPr="00951C57">
        <w:t>Market, 2025</w:t>
      </w:r>
      <w:r w:rsidR="00951C57">
        <w:t>)</w:t>
      </w:r>
      <w:r>
        <w:t>. However, the company is to be aligned with the local environmental regulations and might have to invest in a green supply chain to reduce reputational risk.</w:t>
      </w:r>
    </w:p>
    <w:p w14:paraId="07AD29DC" w14:textId="77777777" w:rsidR="00043769" w:rsidRPr="00E03A29" w:rsidRDefault="00000000">
      <w:pPr>
        <w:rPr>
          <w:b/>
          <w:bCs/>
        </w:rPr>
      </w:pPr>
      <w:r w:rsidRPr="00E03A29">
        <w:rPr>
          <w:b/>
          <w:bCs/>
        </w:rPr>
        <w:lastRenderedPageBreak/>
        <w:t xml:space="preserve">Legal  </w:t>
      </w:r>
    </w:p>
    <w:p w14:paraId="192B9605" w14:textId="3ADD16D4" w:rsidR="00043769" w:rsidRDefault="00000000">
      <w:r>
        <w:t>The complexity in product registration of regulations, especially as regards imports, labelling and health and safety requirements in the fast-moving consumer goods (FMCGs) industries in Vietnam, brings about a lot of burdens of compliance (Norton and Kaplan, 2018). The biggest challenges to the industry players remain the enforcement of intellectual property and anti-ensure of counterfeiting. In this regard, RB should comprehensively factor in the legal risk related to the registration of the product, compliance with the regulations, and safeguarding the intellectual property</w:t>
      </w:r>
      <w:r w:rsidR="00951C57">
        <w:t xml:space="preserve"> (</w:t>
      </w:r>
      <w:r w:rsidR="00951C57" w:rsidRPr="00951C57">
        <w:t>Newman, 2024</w:t>
      </w:r>
      <w:r w:rsidR="00951C57">
        <w:t>)</w:t>
      </w:r>
      <w:r>
        <w:t xml:space="preserve">. In addition, keeping a compelling position on the changing legal and regulatory processes will form a fundamental strategic requirement (Bruijl, 2018).  </w:t>
      </w:r>
    </w:p>
    <w:p w14:paraId="38270107" w14:textId="77777777" w:rsidR="00043769" w:rsidRDefault="00000000">
      <w:r>
        <w:t xml:space="preserve">In the case of RB hygiene/health and the overall FMCG expansion to Vietnam, by utilising the Five Forces framework proposed by Porter, a chance to organise the evaluation of the competitive environment is offered.  </w:t>
      </w:r>
    </w:p>
    <w:p w14:paraId="4B5F40C2" w14:textId="77777777" w:rsidR="00043769" w:rsidRDefault="00000000">
      <w:pPr>
        <w:pStyle w:val="Heading2"/>
      </w:pPr>
      <w:bookmarkStart w:id="15" w:name="_Toc217119444"/>
      <w:bookmarkStart w:id="16" w:name="_Toc217231363"/>
      <w:r>
        <w:t>2.2 Industry/ Competitive Analysis (Porter’s Five Forces)</w:t>
      </w:r>
      <w:bookmarkEnd w:id="15"/>
      <w:bookmarkEnd w:id="16"/>
    </w:p>
    <w:p w14:paraId="20443CCD" w14:textId="77777777" w:rsidR="00043769" w:rsidRDefault="00000000">
      <w:r>
        <w:t>To assess the competitive landscape, Porter’s Five Forces is useful for RB’s hygiene/health and broader FMCG expansion into Vietnam.</w:t>
      </w:r>
    </w:p>
    <w:p w14:paraId="74DD54A5" w14:textId="524985B6" w:rsidR="00043769" w:rsidRDefault="00230BB4">
      <w:pPr>
        <w:jc w:val="center"/>
      </w:pPr>
      <w:r>
        <w:rPr>
          <w:noProof/>
        </w:rPr>
        <w:drawing>
          <wp:inline distT="0" distB="0" distL="0" distR="0" wp14:anchorId="5AD05B76" wp14:editId="78E87BDF">
            <wp:extent cx="4428490" cy="2146705"/>
            <wp:effectExtent l="0" t="0" r="0" b="6350"/>
            <wp:docPr id="536380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6411" b="17459"/>
                    <a:stretch>
                      <a:fillRect/>
                    </a:stretch>
                  </pic:blipFill>
                  <pic:spPr bwMode="auto">
                    <a:xfrm>
                      <a:off x="0" y="0"/>
                      <a:ext cx="4437500" cy="2151073"/>
                    </a:xfrm>
                    <a:prstGeom prst="rect">
                      <a:avLst/>
                    </a:prstGeom>
                    <a:noFill/>
                    <a:ln>
                      <a:noFill/>
                    </a:ln>
                    <a:extLst>
                      <a:ext uri="{53640926-AAD7-44D8-BBD7-CCE9431645EC}">
                        <a14:shadowObscured xmlns:a14="http://schemas.microsoft.com/office/drawing/2010/main"/>
                      </a:ext>
                    </a:extLst>
                  </pic:spPr>
                </pic:pic>
              </a:graphicData>
            </a:graphic>
          </wp:inline>
        </w:drawing>
      </w:r>
    </w:p>
    <w:p w14:paraId="6A05256A" w14:textId="2A53214F" w:rsidR="00043769" w:rsidRDefault="00000000">
      <w:pPr>
        <w:jc w:val="center"/>
      </w:pPr>
      <w:r>
        <w:t xml:space="preserve">Figure 04: </w:t>
      </w:r>
      <w:r w:rsidR="00230BB4">
        <w:t>Porter’s Five Forces</w:t>
      </w:r>
      <w:r>
        <w:t xml:space="preserve"> </w:t>
      </w:r>
    </w:p>
    <w:p w14:paraId="62794DDD" w14:textId="6CBFD810" w:rsidR="00043769" w:rsidRDefault="00000000">
      <w:pPr>
        <w:jc w:val="center"/>
      </w:pPr>
      <w:r>
        <w:t xml:space="preserve">Source: </w:t>
      </w:r>
      <w:r w:rsidR="00230BB4">
        <w:t>(Lynch, 2021)</w:t>
      </w:r>
    </w:p>
    <w:p w14:paraId="62AD08E0" w14:textId="77777777" w:rsidR="00043769" w:rsidRPr="00E03A29" w:rsidRDefault="00000000">
      <w:pPr>
        <w:rPr>
          <w:b/>
          <w:bCs/>
        </w:rPr>
      </w:pPr>
      <w:r w:rsidRPr="00E03A29">
        <w:rPr>
          <w:b/>
          <w:bCs/>
        </w:rPr>
        <w:t xml:space="preserve">Threat of new entrants  </w:t>
      </w:r>
    </w:p>
    <w:p w14:paraId="233A614D" w14:textId="2B54ADD0" w:rsidR="00043769" w:rsidRDefault="00000000">
      <w:r>
        <w:lastRenderedPageBreak/>
        <w:t>Vietnamese FMCG is a market with stable growth, thus encouraging new entrants. However, RB has significant points of strong brand around the world, size, and established distribution and research and development capabilities, as well as strong marketing capabilities (Feldman, 2020). Barriers to entry involve the ability to conform to local laws, having to set up facilities in the local country to manufacture or package its products, to build a distribution system and extensive brand-building efforts</w:t>
      </w:r>
      <w:r w:rsidR="002D4922">
        <w:t xml:space="preserve"> (</w:t>
      </w:r>
      <w:r w:rsidR="002D4922" w:rsidRPr="002D4922">
        <w:t>Newman, 2024</w:t>
      </w:r>
      <w:r w:rsidR="002D4922">
        <w:t>).</w:t>
      </w:r>
      <w:r>
        <w:t xml:space="preserve"> In spite of such obstacles, numerous local and regional competitors have already set up, and the emergence of e-commerce platforms has reduced the cost of entry for digital-native brands</w:t>
      </w:r>
      <w:r w:rsidR="007E5335">
        <w:t xml:space="preserve"> (</w:t>
      </w:r>
      <w:r w:rsidR="007E5335" w:rsidRPr="007E5335">
        <w:t>Pérez, 2022</w:t>
      </w:r>
      <w:r w:rsidR="007E5335">
        <w:t>)</w:t>
      </w:r>
      <w:r>
        <w:t xml:space="preserve">. As a result, the new entrant threat is estimated as moderate.  </w:t>
      </w:r>
    </w:p>
    <w:p w14:paraId="11B39E58" w14:textId="77777777" w:rsidR="00043769" w:rsidRPr="00E03A29" w:rsidRDefault="00000000">
      <w:pPr>
        <w:rPr>
          <w:b/>
          <w:bCs/>
        </w:rPr>
      </w:pPr>
      <w:r w:rsidRPr="00E03A29">
        <w:rPr>
          <w:b/>
          <w:bCs/>
        </w:rPr>
        <w:t>Supplier bargaining power</w:t>
      </w:r>
    </w:p>
    <w:p w14:paraId="32CE4181" w14:textId="6D60885C" w:rsidR="00043769" w:rsidRDefault="00000000">
      <w:r>
        <w:t>In the case of FMCG, the bargaining power of suppliers of raw materials in terms of chemicals, packaging materials, and logistical services is usually moderate. The elements of cost pressures in the Vietnam market concern raw material costs, energy costs and labour costs (Dess et al., 2014). Being a big international player, RB boasts sourcing advantages and leverage capability due to the large-scale global sourcing chain. Thus, the bargaining power of suppliers is deemed as low to moderate to RB</w:t>
      </w:r>
      <w:r w:rsidR="002D4922">
        <w:t xml:space="preserve"> (</w:t>
      </w:r>
      <w:r w:rsidR="002D4922" w:rsidRPr="002D4922">
        <w:t>Pérez, 2022</w:t>
      </w:r>
      <w:r w:rsidR="002D4922">
        <w:t>)</w:t>
      </w:r>
      <w:r>
        <w:t xml:space="preserve">.  </w:t>
      </w:r>
    </w:p>
    <w:p w14:paraId="2DB3B9CC" w14:textId="77777777" w:rsidR="00043769" w:rsidRPr="00E03A29" w:rsidRDefault="00000000">
      <w:pPr>
        <w:rPr>
          <w:b/>
          <w:bCs/>
        </w:rPr>
      </w:pPr>
      <w:r w:rsidRPr="00E03A29">
        <w:rPr>
          <w:b/>
          <w:bCs/>
        </w:rPr>
        <w:t>Buyers (customers and retailers) bargaining power</w:t>
      </w:r>
    </w:p>
    <w:p w14:paraId="62EB88F8" w14:textId="08B6D125" w:rsidR="00043769" w:rsidRDefault="00000000">
      <w:r>
        <w:t>The FMCG industry has buyers who are very sensitive to prices and other promotional efforts based on the price sensitivity of Vietnamese customers. Big box retailers and distributors can bring pressure on the profit margin, and the modern trade channels, albeit very fragmented, confer some buyer power (Kuptsova et al., 2021). However, the brand equity held by RB enables it to enjoy premium positioning; thus, it has some level of insulation against the demands of the buyers. In line with this, the buyer's bargaining power is moderate</w:t>
      </w:r>
      <w:r w:rsidR="002D4922">
        <w:t xml:space="preserve"> (</w:t>
      </w:r>
      <w:r w:rsidR="002D4922" w:rsidRPr="002D4922">
        <w:t>Ralph, 2025</w:t>
      </w:r>
      <w:r w:rsidR="002D4922">
        <w:t>)</w:t>
      </w:r>
      <w:r>
        <w:t>.</w:t>
      </w:r>
    </w:p>
    <w:p w14:paraId="00F28556" w14:textId="77777777" w:rsidR="00043769" w:rsidRPr="00E03A29" w:rsidRDefault="00000000">
      <w:pPr>
        <w:rPr>
          <w:b/>
          <w:bCs/>
        </w:rPr>
      </w:pPr>
      <w:r w:rsidRPr="00E03A29">
        <w:rPr>
          <w:b/>
          <w:bCs/>
        </w:rPr>
        <w:t xml:space="preserve">Threat of substitutes  </w:t>
      </w:r>
    </w:p>
    <w:p w14:paraId="72F1F5A7" w14:textId="77777777" w:rsidR="00043769" w:rsidRDefault="00000000">
      <w:r>
        <w:t xml:space="preserve">Hygiene/ health products face threats of substitutes in the form of local brands, generics, and unbranded value substitutes. In case RB opts to take a premium positioning, </w:t>
      </w:r>
      <w:r>
        <w:lastRenderedPageBreak/>
        <w:t xml:space="preserve">substitutes, especially those that are cheap and local, pose a serious threat, especially in low-income segments (Ralph, 2025). The threat is medium to extreme, depending on the product type and pricing policy.  </w:t>
      </w:r>
    </w:p>
    <w:p w14:paraId="4769F776" w14:textId="77777777" w:rsidR="00043769" w:rsidRPr="00E03A29" w:rsidRDefault="00000000">
      <w:pPr>
        <w:rPr>
          <w:b/>
          <w:bCs/>
        </w:rPr>
      </w:pPr>
      <w:r w:rsidRPr="00E03A29">
        <w:rPr>
          <w:b/>
          <w:bCs/>
        </w:rPr>
        <w:t xml:space="preserve">Industry rivalry  </w:t>
      </w:r>
    </w:p>
    <w:p w14:paraId="47474F8B" w14:textId="7FBCE93D" w:rsidR="00043769" w:rsidRDefault="00000000">
      <w:r>
        <w:t>The FMCG market in Vietnam is very competitive and is filled by both the formidable local firms and well-established multinationals. The home-care, personal-care and hygiene segments have many players.  Competition is based on the pricing, promotional activity, channel of distribution, and brand recognition (Newman, 2024). Although RB enjoys the advantages of global assets, local production of the products, swiftness in innovation, and prompt market penetration are all very essential. This leaves industry competition at an elevated level</w:t>
      </w:r>
      <w:r w:rsidR="007E5335">
        <w:t xml:space="preserve"> (</w:t>
      </w:r>
      <w:r w:rsidR="007E5335" w:rsidRPr="007E5335">
        <w:t>Reckitt</w:t>
      </w:r>
      <w:r w:rsidR="007E5335">
        <w:t xml:space="preserve">, </w:t>
      </w:r>
      <w:r w:rsidR="007E5335" w:rsidRPr="007E5335">
        <w:t>2025b)</w:t>
      </w:r>
      <w:r>
        <w:t xml:space="preserve">.  </w:t>
      </w:r>
    </w:p>
    <w:p w14:paraId="15C373FF" w14:textId="027C3E14" w:rsidR="00043769" w:rsidRDefault="00000000">
      <w:r>
        <w:t>Altogether, the RB entry to the hygiene/health FMCG market in Vietnam has good potential, as the market is growing, and consumer demand is growing, but it is also marked by high competition rates, such as competition, substitutes, and buyer power (Manaeva et al., 2023). The new entry threat is moderate because RB has fewer barriers to entering than smaller players do; however, the pressures and the presence of substitutes necessitate a cautious approach on the part of RB</w:t>
      </w:r>
      <w:r w:rsidR="002D4922">
        <w:t xml:space="preserve"> (</w:t>
      </w:r>
      <w:r w:rsidR="002D4922" w:rsidRPr="002D4922">
        <w:t>Ralph, 2025</w:t>
      </w:r>
      <w:r w:rsidR="002D4922">
        <w:t>)</w:t>
      </w:r>
      <w:r>
        <w:t>.</w:t>
      </w:r>
    </w:p>
    <w:p w14:paraId="0645B1B7" w14:textId="77777777" w:rsidR="00043769" w:rsidRDefault="00000000">
      <w:pPr>
        <w:pStyle w:val="Heading2"/>
      </w:pPr>
      <w:bookmarkStart w:id="17" w:name="_Toc217119445"/>
      <w:bookmarkStart w:id="18" w:name="_Toc217231364"/>
      <w:r>
        <w:t>2.3 SWOT analysis</w:t>
      </w:r>
      <w:bookmarkEnd w:id="17"/>
      <w:bookmarkEnd w:id="18"/>
    </w:p>
    <w:p w14:paraId="3ABF762C" w14:textId="77777777" w:rsidR="00043769" w:rsidRPr="00E03A29" w:rsidRDefault="00000000">
      <w:pPr>
        <w:rPr>
          <w:b/>
          <w:bCs/>
        </w:rPr>
      </w:pPr>
      <w:r w:rsidRPr="00E03A29">
        <w:rPr>
          <w:b/>
          <w:bCs/>
        </w:rPr>
        <w:t>Strengths</w:t>
      </w:r>
    </w:p>
    <w:p w14:paraId="5E2554C4" w14:textId="4E7AC561" w:rsidR="00043769" w:rsidRDefault="00000000">
      <w:r>
        <w:t>The company has a vast international brand portfolio of hygiene and health products, with examples of Dettol and Durex</w:t>
      </w:r>
      <w:r w:rsidR="00230BB4">
        <w:t xml:space="preserve"> </w:t>
      </w:r>
      <w:r w:rsidR="00230BB4" w:rsidRPr="00230BB4">
        <w:t>(Reckitt, 2024)</w:t>
      </w:r>
      <w:r>
        <w:t>. It currently acts on the international level with a high level of research and development and a broad marketing potential. This organisation has a history of successful experience in emerging markets and a great experience in the context of high growth</w:t>
      </w:r>
      <w:r w:rsidR="00372B9D">
        <w:t xml:space="preserve"> (Financial Times, 2024)</w:t>
      </w:r>
      <w:r>
        <w:t xml:space="preserve">.  </w:t>
      </w:r>
    </w:p>
    <w:p w14:paraId="5931DACA" w14:textId="77777777" w:rsidR="00043769" w:rsidRPr="00E03A29" w:rsidRDefault="00000000">
      <w:pPr>
        <w:rPr>
          <w:b/>
          <w:bCs/>
        </w:rPr>
      </w:pPr>
      <w:r w:rsidRPr="00E03A29">
        <w:rPr>
          <w:b/>
          <w:bCs/>
        </w:rPr>
        <w:t>Weaknesses</w:t>
      </w:r>
    </w:p>
    <w:p w14:paraId="68A34D53" w14:textId="205350CA" w:rsidR="00043769" w:rsidRDefault="00230BB4">
      <w:r>
        <w:t xml:space="preserve">According to </w:t>
      </w:r>
      <w:r w:rsidRPr="00230BB4">
        <w:t>Hill, Jones and Schilling (2020)</w:t>
      </w:r>
      <w:r>
        <w:t xml:space="preserve">, high-end pricing schemes can limit entry into the lower-income brackets and market responsiveness could be limited by an earlier </w:t>
      </w:r>
      <w:r>
        <w:lastRenderedPageBreak/>
        <w:t xml:space="preserve">small local manufacturing and distribution base. It will be required to adapt to the local market needs, cultural peculiarities, and consumer behaviour </w:t>
      </w:r>
      <w:r w:rsidRPr="00230BB4">
        <w:t>(Stone, 2025)</w:t>
      </w:r>
      <w:r>
        <w:t xml:space="preserve">.  </w:t>
      </w:r>
    </w:p>
    <w:p w14:paraId="5BDA501A" w14:textId="77777777" w:rsidR="00043769" w:rsidRPr="00E03A29" w:rsidRDefault="00000000">
      <w:pPr>
        <w:rPr>
          <w:b/>
          <w:bCs/>
        </w:rPr>
      </w:pPr>
      <w:r w:rsidRPr="00E03A29">
        <w:rPr>
          <w:b/>
          <w:bCs/>
        </w:rPr>
        <w:t xml:space="preserve">Opportunities  </w:t>
      </w:r>
    </w:p>
    <w:p w14:paraId="613FE550" w14:textId="7200D8C4" w:rsidR="00043769" w:rsidRDefault="00000000">
      <w:r>
        <w:t>The growing demand for hygiene and health products is coupled with the rising middle class in Vietnam, which exhibits a good market trend</w:t>
      </w:r>
      <w:r w:rsidR="00372B9D">
        <w:t xml:space="preserve"> (Research and Markets, 2025)</w:t>
      </w:r>
      <w:r>
        <w:t>. The fast-cultivated digital and e-commerce avenues present new market penetration opportunities. New trends in consumer behaviour towards focusing on health, wellness and sustainability are closely related to the value proposition of the firm</w:t>
      </w:r>
      <w:r w:rsidR="00372B9D">
        <w:t xml:space="preserve"> </w:t>
      </w:r>
      <w:r w:rsidR="00372B9D" w:rsidRPr="00372B9D">
        <w:t>(Ken Research, 2024)</w:t>
      </w:r>
      <w:r>
        <w:t xml:space="preserve">.  </w:t>
      </w:r>
    </w:p>
    <w:p w14:paraId="6B4D0F2B" w14:textId="77777777" w:rsidR="00043769" w:rsidRPr="00E03A29" w:rsidRDefault="00000000">
      <w:pPr>
        <w:rPr>
          <w:b/>
          <w:bCs/>
        </w:rPr>
      </w:pPr>
      <w:r w:rsidRPr="00E03A29">
        <w:rPr>
          <w:b/>
          <w:bCs/>
        </w:rPr>
        <w:t xml:space="preserve">Threats </w:t>
      </w:r>
    </w:p>
    <w:p w14:paraId="064BCE0D" w14:textId="5D320654" w:rsidR="00043769" w:rsidRDefault="00000000">
      <w:r>
        <w:t>Aggressive competition brought on by the local brands as well as the international competitors is a major threat</w:t>
      </w:r>
      <w:r w:rsidR="00372B9D">
        <w:t xml:space="preserve"> </w:t>
      </w:r>
      <w:r w:rsidR="00372B9D" w:rsidRPr="00372B9D">
        <w:t>(Ken Research, 2024)</w:t>
      </w:r>
      <w:r>
        <w:t>. Competitive positioning is sabotaged by high price sensitivity and the threat of replacement by cheaper products (Thumrongchote, 2025). There are also regulatory and compliance issues, the spread of fake products, and challenges with distribution in the rural region, increasing risk.</w:t>
      </w:r>
    </w:p>
    <w:p w14:paraId="252C6BB7" w14:textId="77777777" w:rsidR="00043769" w:rsidRDefault="00000000">
      <w:pPr>
        <w:pStyle w:val="Heading2"/>
      </w:pPr>
      <w:bookmarkStart w:id="19" w:name="_Toc217119446"/>
      <w:bookmarkStart w:id="20" w:name="_Toc217231365"/>
      <w:r>
        <w:t>2.4 Insights and Strategic Implications</w:t>
      </w:r>
      <w:bookmarkEnd w:id="19"/>
      <w:bookmarkEnd w:id="20"/>
      <w:r>
        <w:t xml:space="preserve"> </w:t>
      </w:r>
    </w:p>
    <w:p w14:paraId="342D1EA7" w14:textId="77777777" w:rsidR="00043769" w:rsidRDefault="00000000">
      <w:r>
        <w:t>Based on the macro and industry analysis, it can be concluded that there exist a few strategic implications of the RB expansion plan:</w:t>
      </w:r>
    </w:p>
    <w:p w14:paraId="41FDB7F9" w14:textId="37CDE3B1" w:rsidR="00043769" w:rsidRDefault="00000000">
      <w:r>
        <w:t xml:space="preserve">The macro environment has shown a favourable picture due to the related high economic growth, increasing disposable income, </w:t>
      </w:r>
      <w:r w:rsidR="002D4922">
        <w:t>increasing</w:t>
      </w:r>
      <w:r>
        <w:t xml:space="preserve"> urbanisation, and the increasing focus on wellness</w:t>
      </w:r>
      <w:r w:rsidR="007E5335">
        <w:t xml:space="preserve"> </w:t>
      </w:r>
      <w:r w:rsidR="00372B9D" w:rsidRPr="00372B9D">
        <w:t>(Ken Research, 2024)</w:t>
      </w:r>
      <w:r>
        <w:t>. These are macro-social forces that favour growth in the hygiene and health product industry (</w:t>
      </w:r>
      <w:r w:rsidR="00230BB4">
        <w:t xml:space="preserve">Research and </w:t>
      </w:r>
      <w:r>
        <w:t>Market, 2025). However, RB has to contend with cost pressure and price sensitivity that could limit profitability.</w:t>
      </w:r>
    </w:p>
    <w:p w14:paraId="3D8793FD" w14:textId="4150D11D" w:rsidR="00043769" w:rsidRDefault="00000000">
      <w:r>
        <w:t>An opportunity to exploit in the development of digital and modern retail in Vietnam is a huge national opportunity. RB has the opportunity to utilise the e-commerce site, online marketing campaigns, and the latest trade forms to accelerate brand building</w:t>
      </w:r>
      <w:r w:rsidR="002D4922">
        <w:t xml:space="preserve"> (</w:t>
      </w:r>
      <w:r w:rsidR="002D4922" w:rsidRPr="002D4922">
        <w:t>Reckitt</w:t>
      </w:r>
      <w:r w:rsidR="002D4922">
        <w:t xml:space="preserve">, </w:t>
      </w:r>
      <w:r w:rsidR="002D4922" w:rsidRPr="002D4922">
        <w:t>2025a</w:t>
      </w:r>
      <w:r w:rsidR="002D4922">
        <w:t>)</w:t>
      </w:r>
      <w:r>
        <w:t xml:space="preserve">. However, the old trade channels and the country distribution channels still hold </w:t>
      </w:r>
      <w:r>
        <w:lastRenderedPageBreak/>
        <w:t>a significant market share, thus prompting a hybrid distribution strategy</w:t>
      </w:r>
      <w:r w:rsidR="007E5335">
        <w:t xml:space="preserve"> (</w:t>
      </w:r>
      <w:r w:rsidR="007E5335" w:rsidRPr="007E5335">
        <w:t>Kabue and Kilika, 2016</w:t>
      </w:r>
      <w:r w:rsidR="007E5335">
        <w:t>)</w:t>
      </w:r>
      <w:r>
        <w:t>.</w:t>
      </w:r>
    </w:p>
    <w:p w14:paraId="1888E4CE" w14:textId="24F397CD" w:rsidR="00043769" w:rsidRDefault="00000000">
      <w:r>
        <w:t xml:space="preserve">There is </w:t>
      </w:r>
      <w:r w:rsidR="002D4922">
        <w:t>an</w:t>
      </w:r>
      <w:r>
        <w:t xml:space="preserve"> </w:t>
      </w:r>
      <w:r w:rsidR="002D4922">
        <w:t>intense</w:t>
      </w:r>
      <w:r>
        <w:t xml:space="preserve"> rivalry level. RB should use its brand equity, scale of its operations worldwide and its constant innovation to gain differentiation (Reckitt, 2025a). The homogeneous global product strategy is not enough; the localisation of the product, such as specifications and packaging, price lines, and communication efforts, is all crucial.</w:t>
      </w:r>
    </w:p>
    <w:p w14:paraId="56BE773F" w14:textId="77777777" w:rsidR="00043769" w:rsidRDefault="00000000">
      <w:r>
        <w:t>Challenging success factors will include supply chain and logistics. The penetration of the market in rural and peripheral areas, fragmentation of the conventional trade routes and counterfeit products require well-built distribution systems, networks of strategic partnerships and quality assurance systems (Reckitt, 2025b).</w:t>
      </w:r>
    </w:p>
    <w:p w14:paraId="63F17F81" w14:textId="77777777" w:rsidR="00043769" w:rsidRDefault="00000000">
      <w:r>
        <w:t>The sustainability and health credentials could be differentiators and are aligned with the current consumer preferences and the overall strategic commitments by RB at the global scale.</w:t>
      </w:r>
    </w:p>
    <w:p w14:paraId="676DA8F7" w14:textId="77777777" w:rsidR="00043769" w:rsidRDefault="00000000">
      <w:pPr>
        <w:pStyle w:val="Heading1"/>
      </w:pPr>
      <w:bookmarkStart w:id="21" w:name="_Toc217119447"/>
      <w:bookmarkStart w:id="22" w:name="_Toc217231366"/>
      <w:r>
        <w:t>Section 3: Strategy Development and Formulation</w:t>
      </w:r>
      <w:bookmarkEnd w:id="21"/>
      <w:bookmarkEnd w:id="22"/>
      <w:r>
        <w:t xml:space="preserve"> </w:t>
      </w:r>
    </w:p>
    <w:p w14:paraId="74F7EA96" w14:textId="77777777" w:rsidR="00043769" w:rsidRDefault="00000000">
      <w:pPr>
        <w:pStyle w:val="Heading2"/>
      </w:pPr>
      <w:bookmarkStart w:id="23" w:name="_Toc217119448"/>
      <w:bookmarkStart w:id="24" w:name="_Toc217231367"/>
      <w:r>
        <w:t>3.1 Strategic Direction and Rationale</w:t>
      </w:r>
      <w:bookmarkEnd w:id="23"/>
      <w:bookmarkEnd w:id="24"/>
      <w:r>
        <w:t xml:space="preserve"> </w:t>
      </w:r>
    </w:p>
    <w:p w14:paraId="65EF7B0B" w14:textId="26CD9AE2" w:rsidR="00043769" w:rsidRDefault="00000000">
      <w:r>
        <w:t xml:space="preserve">Based on the above environmental and competitive analysis, the expansion strategy of Reckitt Benckiser in Vietnam should be coupled with its overall global mission that is to protect, heal and nurture, in its unrelenting quest to offer a cleaner and healthier world </w:t>
      </w:r>
      <w:r w:rsidR="00230BB4" w:rsidRPr="00230BB4">
        <w:t>(StrategyHelix Group, 2025)</w:t>
      </w:r>
      <w:r>
        <w:t>. This strategic intent will be achieved by capturing a portion of the growing health and hygiene market in Vietnam by introducing core brands of RB, namely Dettol, Lysol, Durex and Veet, when the impetus on cleanliness, personal care and safety has been accelerated in the wake of the COVID-19 pandemic</w:t>
      </w:r>
      <w:r w:rsidR="002D4922">
        <w:t xml:space="preserve"> (</w:t>
      </w:r>
      <w:r w:rsidR="002D4922" w:rsidRPr="002D4922">
        <w:t>Reckitt</w:t>
      </w:r>
      <w:r w:rsidR="002D4922">
        <w:t xml:space="preserve">, </w:t>
      </w:r>
      <w:r w:rsidR="002D4922" w:rsidRPr="002D4922">
        <w:t>2025a</w:t>
      </w:r>
      <w:r w:rsidR="002D4922">
        <w:t>)</w:t>
      </w:r>
      <w:r>
        <w:t>.</w:t>
      </w:r>
    </w:p>
    <w:p w14:paraId="2F504D42" w14:textId="0D4FBE57" w:rsidR="00043769" w:rsidRDefault="00000000">
      <w:r>
        <w:t xml:space="preserve">The emerging middle-income level, the fast urbanisation, and the growth of digital connectivity provide Vietnam with a significant opportunity to create a sustainable and profitable business </w:t>
      </w:r>
      <w:r w:rsidR="00230BB4" w:rsidRPr="00230BB4">
        <w:t>(DCF Modeling, 2024)</w:t>
      </w:r>
      <w:r>
        <w:t xml:space="preserve">. On this basis, strategic development at RB ought to focus on market development; offering current products in a new geographic </w:t>
      </w:r>
      <w:r>
        <w:lastRenderedPageBreak/>
        <w:t>location through differentiation and localisation, based on the ability to sustain sustainable practices and localised distribution models</w:t>
      </w:r>
      <w:r w:rsidR="002D4922">
        <w:t xml:space="preserve"> (</w:t>
      </w:r>
      <w:r w:rsidR="002D4922" w:rsidRPr="002D4922">
        <w:t>Shams</w:t>
      </w:r>
      <w:r w:rsidR="002D4922">
        <w:t xml:space="preserve"> et al., </w:t>
      </w:r>
      <w:r w:rsidR="002D4922" w:rsidRPr="002D4922">
        <w:t>2021</w:t>
      </w:r>
      <w:r w:rsidR="002D4922">
        <w:t>)</w:t>
      </w:r>
      <w:r>
        <w:t>.</w:t>
      </w:r>
    </w:p>
    <w:p w14:paraId="36B0A4E9" w14:textId="77777777" w:rsidR="00043769" w:rsidRDefault="00000000">
      <w:pPr>
        <w:pStyle w:val="Heading2"/>
      </w:pPr>
      <w:bookmarkStart w:id="25" w:name="_Toc217119449"/>
      <w:bookmarkStart w:id="26" w:name="_Toc217231368"/>
      <w:r>
        <w:t>3.2 Strategic Model: The Ansoff Matrix</w:t>
      </w:r>
      <w:bookmarkEnd w:id="25"/>
      <w:bookmarkEnd w:id="26"/>
    </w:p>
    <w:p w14:paraId="31B34082" w14:textId="24AA6C61" w:rsidR="00043769" w:rsidRDefault="00000000">
      <w:r>
        <w:t>The Ansoff Matrix represents a framework analysis model that can be used to map out the strategic expansion opportunities that RB has</w:t>
      </w:r>
      <w:r w:rsidR="007E5335">
        <w:t xml:space="preserve"> (</w:t>
      </w:r>
      <w:r w:rsidR="007E5335" w:rsidRPr="007E5335">
        <w:t>Feldman, 2020</w:t>
      </w:r>
      <w:r w:rsidR="007E5335">
        <w:t>)</w:t>
      </w:r>
      <w:r>
        <w:t>.</w:t>
      </w:r>
    </w:p>
    <w:tbl>
      <w:tblPr>
        <w:tblStyle w:val="TableGrid"/>
        <w:tblW w:w="0" w:type="auto"/>
        <w:tblLook w:val="04A0" w:firstRow="1" w:lastRow="0" w:firstColumn="1" w:lastColumn="0" w:noHBand="0" w:noVBand="1"/>
      </w:tblPr>
      <w:tblGrid>
        <w:gridCol w:w="1486"/>
        <w:gridCol w:w="3764"/>
        <w:gridCol w:w="4100"/>
      </w:tblGrid>
      <w:tr w:rsidR="00043769" w14:paraId="00CC39DC" w14:textId="77777777" w:rsidTr="00701405">
        <w:tc>
          <w:tcPr>
            <w:tcW w:w="0" w:type="auto"/>
            <w:shd w:val="clear" w:color="auto" w:fill="D9E2F3" w:themeFill="accent1" w:themeFillTint="33"/>
          </w:tcPr>
          <w:p w14:paraId="44BE881A" w14:textId="77777777" w:rsidR="00043769" w:rsidRDefault="00043769"/>
        </w:tc>
        <w:tc>
          <w:tcPr>
            <w:tcW w:w="0" w:type="auto"/>
            <w:shd w:val="clear" w:color="auto" w:fill="D9E2F3" w:themeFill="accent1" w:themeFillTint="33"/>
          </w:tcPr>
          <w:p w14:paraId="5C783538" w14:textId="77777777" w:rsidR="00043769" w:rsidRDefault="00000000">
            <w:r>
              <w:t xml:space="preserve">Existing products </w:t>
            </w:r>
          </w:p>
        </w:tc>
        <w:tc>
          <w:tcPr>
            <w:tcW w:w="0" w:type="auto"/>
            <w:shd w:val="clear" w:color="auto" w:fill="D9E2F3" w:themeFill="accent1" w:themeFillTint="33"/>
          </w:tcPr>
          <w:p w14:paraId="0A9E9524" w14:textId="77777777" w:rsidR="00043769" w:rsidRDefault="00000000">
            <w:r>
              <w:t xml:space="preserve">New products </w:t>
            </w:r>
          </w:p>
        </w:tc>
      </w:tr>
      <w:tr w:rsidR="00043769" w14:paraId="223CF6C2" w14:textId="77777777" w:rsidTr="00701405">
        <w:tc>
          <w:tcPr>
            <w:tcW w:w="0" w:type="auto"/>
            <w:shd w:val="clear" w:color="auto" w:fill="D9E2F3" w:themeFill="accent1" w:themeFillTint="33"/>
          </w:tcPr>
          <w:p w14:paraId="35D44DBE" w14:textId="77777777" w:rsidR="00043769" w:rsidRDefault="00000000">
            <w:r>
              <w:t xml:space="preserve">Existing markets </w:t>
            </w:r>
          </w:p>
        </w:tc>
        <w:tc>
          <w:tcPr>
            <w:tcW w:w="0" w:type="auto"/>
          </w:tcPr>
          <w:p w14:paraId="2CB73AEE" w14:textId="77777777" w:rsidR="00043769" w:rsidRPr="000801F1" w:rsidRDefault="00000000">
            <w:pPr>
              <w:rPr>
                <w:b/>
                <w:bCs/>
              </w:rPr>
            </w:pPr>
            <w:r w:rsidRPr="000801F1">
              <w:rPr>
                <w:b/>
                <w:bCs/>
              </w:rPr>
              <w:t xml:space="preserve">Market Penetration </w:t>
            </w:r>
          </w:p>
          <w:p w14:paraId="0C5C97A7" w14:textId="77777777" w:rsidR="00043769" w:rsidRDefault="00000000">
            <w:r>
              <w:t xml:space="preserve">Increasing share of Dettol and Durex in existing markets </w:t>
            </w:r>
          </w:p>
        </w:tc>
        <w:tc>
          <w:tcPr>
            <w:tcW w:w="0" w:type="auto"/>
          </w:tcPr>
          <w:p w14:paraId="57329751" w14:textId="77777777" w:rsidR="00043769" w:rsidRPr="000801F1" w:rsidRDefault="00000000">
            <w:pPr>
              <w:rPr>
                <w:b/>
                <w:bCs/>
              </w:rPr>
            </w:pPr>
            <w:r w:rsidRPr="000801F1">
              <w:rPr>
                <w:b/>
                <w:bCs/>
              </w:rPr>
              <w:t xml:space="preserve">Product Development </w:t>
            </w:r>
          </w:p>
          <w:p w14:paraId="4AE3DA5D" w14:textId="77777777" w:rsidR="00043769" w:rsidRDefault="00000000">
            <w:r>
              <w:t xml:space="preserve">Innovating hygiene and health products for current customers </w:t>
            </w:r>
          </w:p>
        </w:tc>
      </w:tr>
      <w:tr w:rsidR="00043769" w14:paraId="5B9C4987" w14:textId="77777777" w:rsidTr="00701405">
        <w:tc>
          <w:tcPr>
            <w:tcW w:w="0" w:type="auto"/>
            <w:shd w:val="clear" w:color="auto" w:fill="D9E2F3" w:themeFill="accent1" w:themeFillTint="33"/>
          </w:tcPr>
          <w:p w14:paraId="17D32335" w14:textId="77777777" w:rsidR="00043769" w:rsidRDefault="00000000">
            <w:r>
              <w:t xml:space="preserve">New markets </w:t>
            </w:r>
          </w:p>
        </w:tc>
        <w:tc>
          <w:tcPr>
            <w:tcW w:w="0" w:type="auto"/>
          </w:tcPr>
          <w:p w14:paraId="19FA5A9C" w14:textId="77777777" w:rsidR="00043769" w:rsidRPr="000801F1" w:rsidRDefault="00000000">
            <w:pPr>
              <w:rPr>
                <w:b/>
                <w:bCs/>
              </w:rPr>
            </w:pPr>
            <w:r w:rsidRPr="000801F1">
              <w:rPr>
                <w:b/>
                <w:bCs/>
              </w:rPr>
              <w:t xml:space="preserve">Market Development </w:t>
            </w:r>
          </w:p>
          <w:p w14:paraId="3472C88C" w14:textId="77777777" w:rsidR="00043769" w:rsidRDefault="00000000">
            <w:r w:rsidRPr="000801F1">
              <w:t>Introducing Dettol, Lysol, Durex, Veet in Vietnam</w:t>
            </w:r>
          </w:p>
        </w:tc>
        <w:tc>
          <w:tcPr>
            <w:tcW w:w="0" w:type="auto"/>
          </w:tcPr>
          <w:p w14:paraId="32846D57" w14:textId="77777777" w:rsidR="00043769" w:rsidRPr="000801F1" w:rsidRDefault="00000000">
            <w:pPr>
              <w:rPr>
                <w:b/>
                <w:bCs/>
              </w:rPr>
            </w:pPr>
            <w:r w:rsidRPr="000801F1">
              <w:rPr>
                <w:b/>
                <w:bCs/>
              </w:rPr>
              <w:t xml:space="preserve">Diversification </w:t>
            </w:r>
          </w:p>
          <w:p w14:paraId="1D636B37" w14:textId="77777777" w:rsidR="00043769" w:rsidRDefault="00000000">
            <w:r>
              <w:t xml:space="preserve">New product lines for new regions </w:t>
            </w:r>
          </w:p>
          <w:p w14:paraId="0A14D0D6" w14:textId="77777777" w:rsidR="00043769" w:rsidRDefault="00043769"/>
        </w:tc>
      </w:tr>
    </w:tbl>
    <w:p w14:paraId="285D46E7" w14:textId="77777777" w:rsidR="00043769" w:rsidRPr="000801F1" w:rsidRDefault="00000000">
      <w:pPr>
        <w:rPr>
          <w:b/>
          <w:bCs/>
        </w:rPr>
      </w:pPr>
      <w:r w:rsidRPr="000801F1">
        <w:rPr>
          <w:b/>
          <w:bCs/>
        </w:rPr>
        <w:t xml:space="preserve">Market Penetration  </w:t>
      </w:r>
    </w:p>
    <w:p w14:paraId="1D75C611" w14:textId="77777777" w:rsidR="00043769" w:rsidRDefault="00000000">
      <w:r>
        <w:t xml:space="preserve">This aims at strengthening market share by increasing the distribution of the existing products in the old markets (WARC, 2024).  However, it has no relevance in Vietnam because now RB is entering a new country.  </w:t>
      </w:r>
    </w:p>
    <w:p w14:paraId="4A3C2BDA" w14:textId="77777777" w:rsidR="00043769" w:rsidRPr="000801F1" w:rsidRDefault="00000000">
      <w:pPr>
        <w:rPr>
          <w:b/>
          <w:bCs/>
        </w:rPr>
      </w:pPr>
      <w:r w:rsidRPr="000801F1">
        <w:rPr>
          <w:b/>
          <w:bCs/>
        </w:rPr>
        <w:t xml:space="preserve">Market Development  </w:t>
      </w:r>
    </w:p>
    <w:p w14:paraId="016B3473" w14:textId="7B76096D" w:rsidR="00043769" w:rsidRDefault="00000000">
      <w:r>
        <w:t>The plan involves the entry of the already available products into new geographic or demographic markets</w:t>
      </w:r>
      <w:r w:rsidR="00372B9D">
        <w:t xml:space="preserve"> (Lynch, 2021)</w:t>
      </w:r>
      <w:r>
        <w:t xml:space="preserve">. For example, the chosen strategy will be RB’s rolling out its hygiene and health range, such as Dettol, Lysol, Durex, to the vast fast-moving consumer goods market in Vietnam (VietnamPlus, 2025).  </w:t>
      </w:r>
    </w:p>
    <w:p w14:paraId="08C7C29F" w14:textId="77777777" w:rsidR="00043769" w:rsidRPr="000801F1" w:rsidRDefault="00000000">
      <w:pPr>
        <w:rPr>
          <w:b/>
          <w:bCs/>
        </w:rPr>
      </w:pPr>
      <w:r w:rsidRPr="000801F1">
        <w:rPr>
          <w:b/>
          <w:bCs/>
        </w:rPr>
        <w:t xml:space="preserve">Product Development  </w:t>
      </w:r>
    </w:p>
    <w:p w14:paraId="728212FE" w14:textId="38ABAB36" w:rsidR="00043769" w:rsidRDefault="00000000">
      <w:r>
        <w:t>This route deals with the development of new products to existing markets, and this may be by innovation or by improvement</w:t>
      </w:r>
      <w:r w:rsidR="00372B9D">
        <w:t xml:space="preserve"> (Lynch, 2021)</w:t>
      </w:r>
      <w:r>
        <w:t xml:space="preserve">. For example, as a secondary </w:t>
      </w:r>
      <w:r>
        <w:lastRenderedPageBreak/>
        <w:t xml:space="preserve">consideration, RB could alter formulations or containers to match local consumer inclinations </w:t>
      </w:r>
      <w:r w:rsidR="00230BB4" w:rsidRPr="00230BB4">
        <w:t>(DCF Modeling, 2024)</w:t>
      </w:r>
      <w:r>
        <w:t xml:space="preserve">.  </w:t>
      </w:r>
    </w:p>
    <w:p w14:paraId="031F9FB0" w14:textId="77777777" w:rsidR="00043769" w:rsidRPr="000801F1" w:rsidRDefault="00000000">
      <w:pPr>
        <w:rPr>
          <w:b/>
          <w:bCs/>
        </w:rPr>
      </w:pPr>
      <w:r w:rsidRPr="000801F1">
        <w:rPr>
          <w:b/>
          <w:bCs/>
        </w:rPr>
        <w:t xml:space="preserve">Diversification  </w:t>
      </w:r>
    </w:p>
    <w:p w14:paraId="6F3DD31D" w14:textId="251FFF27" w:rsidR="00043769" w:rsidRDefault="00000000">
      <w:r>
        <w:t>This strategy encompasses creating new products in completely different markets and hence both product and geographic enlargement</w:t>
      </w:r>
      <w:r w:rsidR="00372B9D">
        <w:t xml:space="preserve"> (Lynch, 2021)</w:t>
      </w:r>
      <w:r>
        <w:t>. This does not directly apply at this time</w:t>
      </w:r>
      <w:r w:rsidR="00372B9D">
        <w:t xml:space="preserve">. </w:t>
      </w:r>
      <w:r>
        <w:t>RB shall use its core competencies first before embarking on diversification</w:t>
      </w:r>
      <w:r w:rsidR="00372B9D">
        <w:t xml:space="preserve">. </w:t>
      </w:r>
    </w:p>
    <w:p w14:paraId="31D8F7E0" w14:textId="539F4DB4" w:rsidR="00043769" w:rsidRDefault="00000000">
      <w:r>
        <w:t xml:space="preserve">The existing range of products that are currently offered by RB has strong global equity </w:t>
      </w:r>
      <w:r w:rsidR="00372B9D">
        <w:t>(Reckitt, 2024)</w:t>
      </w:r>
      <w:r>
        <w:t>. Development of markets will give the firm the chance to capitalise on its strong brand identity and re-align marketing, distribution and pricing practices in order to fit the local contextual factors</w:t>
      </w:r>
      <w:r w:rsidR="007E5335">
        <w:t xml:space="preserve"> (</w:t>
      </w:r>
      <w:r w:rsidR="007E5335" w:rsidRPr="007E5335">
        <w:t>Goss, 2024</w:t>
      </w:r>
      <w:r w:rsidR="007E5335">
        <w:t>)</w:t>
      </w:r>
      <w:r>
        <w:t>. To maintain the competitive edge, RB can then follow through with a limited degree of product differentiation- like tropical fragrance versions, use of smaller packaging to make the products more affordable and use of herbal ingredients to appeal to the local customer tastes (Reckitt, 2025b). As a result, the market development coupled with the adaptive localisation can be seen as a strategic approach, which forms the background of RB entering the Vietnamese market.</w:t>
      </w:r>
    </w:p>
    <w:p w14:paraId="6BAA0BFD" w14:textId="77777777" w:rsidR="00043769" w:rsidRDefault="00000000">
      <w:pPr>
        <w:pStyle w:val="Heading2"/>
      </w:pPr>
      <w:bookmarkStart w:id="27" w:name="_Toc217119450"/>
      <w:bookmarkStart w:id="28" w:name="_Toc217231369"/>
      <w:r>
        <w:t>3.3 Market Entry Mode: Dunning’s Eclectic Paradigm (OLI Model)</w:t>
      </w:r>
      <w:bookmarkEnd w:id="27"/>
      <w:bookmarkEnd w:id="28"/>
    </w:p>
    <w:p w14:paraId="759ACAEA" w14:textId="1F3FE32F" w:rsidR="00043769" w:rsidRDefault="00000000">
      <w:r>
        <w:t>The OLI paradigm is a theoretical model of Dunning that offers a logical model of evaluation to decide on the entry mode</w:t>
      </w:r>
      <w:r w:rsidR="007E5335">
        <w:t xml:space="preserve"> (</w:t>
      </w:r>
      <w:r w:rsidR="007E5335" w:rsidRPr="007E5335">
        <w:t>Haseeb</w:t>
      </w:r>
      <w:r w:rsidR="007E5335">
        <w:t xml:space="preserve"> et al., </w:t>
      </w:r>
      <w:r w:rsidR="007E5335" w:rsidRPr="007E5335">
        <w:t>2019</w:t>
      </w:r>
      <w:r w:rsidR="007E5335">
        <w:t>)</w:t>
      </w:r>
      <w:r>
        <w:t>.</w:t>
      </w:r>
    </w:p>
    <w:p w14:paraId="4E676353" w14:textId="77777777" w:rsidR="00043769" w:rsidRDefault="00000000">
      <w:r>
        <w:rPr>
          <w:noProof/>
          <w14:ligatures w14:val="standardContextual"/>
        </w:rPr>
        <w:drawing>
          <wp:inline distT="0" distB="0" distL="0" distR="0" wp14:anchorId="48DD7DD1" wp14:editId="79C8F257">
            <wp:extent cx="5886450" cy="1514475"/>
            <wp:effectExtent l="19050" t="0" r="19050" b="0"/>
            <wp:docPr id="1030"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F5A4BC7" w14:textId="77777777" w:rsidR="00043769" w:rsidRDefault="00000000">
      <w:pPr>
        <w:jc w:val="center"/>
      </w:pPr>
      <w:r>
        <w:t>Figure 05: Dunning’s OLI framework- RB’s entry model decision for Vietnam</w:t>
      </w:r>
    </w:p>
    <w:p w14:paraId="761A0F52" w14:textId="710D4784" w:rsidR="00043769" w:rsidRDefault="00000000">
      <w:pPr>
        <w:jc w:val="center"/>
      </w:pPr>
      <w:r>
        <w:t>Source: (</w:t>
      </w:r>
      <w:r w:rsidR="00372B9D">
        <w:t>Author</w:t>
      </w:r>
      <w:r>
        <w:t>)</w:t>
      </w:r>
    </w:p>
    <w:p w14:paraId="60CAAAB5" w14:textId="77777777" w:rsidR="00043769" w:rsidRPr="000801F1" w:rsidRDefault="00000000">
      <w:pPr>
        <w:rPr>
          <w:b/>
          <w:bCs/>
        </w:rPr>
      </w:pPr>
      <w:r w:rsidRPr="000801F1">
        <w:rPr>
          <w:b/>
          <w:bCs/>
        </w:rPr>
        <w:lastRenderedPageBreak/>
        <w:t xml:space="preserve">Ownership Advantages  </w:t>
      </w:r>
    </w:p>
    <w:p w14:paraId="5A03CD93" w14:textId="77777777" w:rsidR="00043769" w:rsidRDefault="00000000">
      <w:r>
        <w:t xml:space="preserve">RB has some strengths internally, which can be used to justify the international expansion, such as </w:t>
      </w:r>
    </w:p>
    <w:p w14:paraId="5EF268DA" w14:textId="77777777" w:rsidR="00043769" w:rsidRDefault="00000000" w:rsidP="00701405">
      <w:pPr>
        <w:numPr>
          <w:ilvl w:val="0"/>
          <w:numId w:val="3"/>
        </w:numPr>
      </w:pPr>
      <w:r>
        <w:t xml:space="preserve">Brand equity: Dettol, Durex, and Lysol are well-known globally.  </w:t>
      </w:r>
    </w:p>
    <w:p w14:paraId="14AD54FB" w14:textId="77777777" w:rsidR="00043769" w:rsidRDefault="00000000" w:rsidP="00701405">
      <w:pPr>
        <w:numPr>
          <w:ilvl w:val="0"/>
          <w:numId w:val="3"/>
        </w:numPr>
      </w:pPr>
      <w:r>
        <w:t xml:space="preserve">Innovation and R&amp;D: Technological expertise in the hygiene and pharmaceutical products (Reckitt, 2025a).  </w:t>
      </w:r>
    </w:p>
    <w:p w14:paraId="58A1D63B" w14:textId="77777777" w:rsidR="00043769" w:rsidRDefault="00000000" w:rsidP="00701405">
      <w:pPr>
        <w:numPr>
          <w:ilvl w:val="0"/>
          <w:numId w:val="3"/>
        </w:numPr>
      </w:pPr>
      <w:r>
        <w:t xml:space="preserve">Financial strength: A strong capital base, which enables it to invest in new markets.  </w:t>
      </w:r>
    </w:p>
    <w:p w14:paraId="53A4865A" w14:textId="2583CC56" w:rsidR="00043769" w:rsidRDefault="00000000" w:rsidP="00701405">
      <w:pPr>
        <w:numPr>
          <w:ilvl w:val="0"/>
          <w:numId w:val="3"/>
        </w:numPr>
      </w:pPr>
      <w:r>
        <w:t>Sustainability credentials: ESG alignment that appeals to the environmentally friendly consumers in Vietnam</w:t>
      </w:r>
      <w:r w:rsidR="002D4922">
        <w:t xml:space="preserve"> (</w:t>
      </w:r>
      <w:r w:rsidR="00372B9D">
        <w:t>Reckitt, 2024</w:t>
      </w:r>
      <w:r w:rsidR="002D4922" w:rsidRPr="002D4922">
        <w:t>)</w:t>
      </w:r>
      <w:r>
        <w:t xml:space="preserve">.  </w:t>
      </w:r>
    </w:p>
    <w:p w14:paraId="69C2FA44" w14:textId="321F9CC0" w:rsidR="00043769" w:rsidRDefault="00000000">
      <w:r>
        <w:t>These advantageous privileges form the basis of the ability of RB to compete favourably with local companies (</w:t>
      </w:r>
      <w:r w:rsidR="00230BB4">
        <w:t xml:space="preserve">Research and </w:t>
      </w:r>
      <w:r>
        <w:t>Market, 2025).</w:t>
      </w:r>
    </w:p>
    <w:p w14:paraId="7807FF28" w14:textId="77777777" w:rsidR="00043769" w:rsidRPr="000801F1" w:rsidRDefault="00000000">
      <w:pPr>
        <w:rPr>
          <w:b/>
          <w:bCs/>
        </w:rPr>
      </w:pPr>
      <w:r w:rsidRPr="000801F1">
        <w:rPr>
          <w:b/>
          <w:bCs/>
        </w:rPr>
        <w:t xml:space="preserve">Location Advantages  </w:t>
      </w:r>
    </w:p>
    <w:p w14:paraId="65D4966B" w14:textId="27F38DE5" w:rsidR="00043769" w:rsidRDefault="00000000">
      <w:r>
        <w:t>The appeal of Vietnam can be summarised as dynamic growth of GDP and disposable income around 7% per year, performing modern retail and digital expansion</w:t>
      </w:r>
      <w:r w:rsidR="00372B9D">
        <w:t xml:space="preserve"> (Thumrongchote, 2025)</w:t>
      </w:r>
      <w:r>
        <w:t xml:space="preserve">. </w:t>
      </w:r>
      <w:r w:rsidR="002D4922">
        <w:t xml:space="preserve">In addition, </w:t>
      </w:r>
      <w:r>
        <w:t>trade in ASEAN markets through trade accords, such as CPTPP, RCEP, cheap cost of labour and production, and strategic geographic location in Southeast Asia</w:t>
      </w:r>
      <w:r w:rsidR="002B19A8">
        <w:t xml:space="preserve"> (</w:t>
      </w:r>
      <w:r w:rsidR="002B19A8" w:rsidRPr="002B19A8">
        <w:t>VietnamPlus</w:t>
      </w:r>
      <w:r w:rsidR="002B19A8">
        <w:t xml:space="preserve">, </w:t>
      </w:r>
      <w:r w:rsidR="002B19A8" w:rsidRPr="002B19A8">
        <w:t>2025</w:t>
      </w:r>
      <w:r w:rsidR="002B19A8">
        <w:t>)</w:t>
      </w:r>
      <w:r>
        <w:t xml:space="preserve">.  </w:t>
      </w:r>
    </w:p>
    <w:p w14:paraId="279B6E80" w14:textId="599DD2D4" w:rsidR="00043769" w:rsidRDefault="00000000">
      <w:r>
        <w:t>However, issues such as complicated legislation, domestic rivalry, and pirated products are a major threat</w:t>
      </w:r>
      <w:r w:rsidR="00372B9D">
        <w:t xml:space="preserve"> (</w:t>
      </w:r>
      <w:r w:rsidR="00372B9D" w:rsidRPr="002D4922">
        <w:t>Tarba</w:t>
      </w:r>
      <w:r w:rsidR="00372B9D">
        <w:t xml:space="preserve"> et al., </w:t>
      </w:r>
      <w:r w:rsidR="00372B9D" w:rsidRPr="002D4922">
        <w:t>2023)</w:t>
      </w:r>
      <w:r>
        <w:t>. Such hazards may be averted by collaboration and a local joint venture.</w:t>
      </w:r>
    </w:p>
    <w:p w14:paraId="10EADFFF" w14:textId="77777777" w:rsidR="00043769" w:rsidRPr="000801F1" w:rsidRDefault="00000000">
      <w:pPr>
        <w:rPr>
          <w:b/>
          <w:bCs/>
        </w:rPr>
      </w:pPr>
      <w:r w:rsidRPr="000801F1">
        <w:rPr>
          <w:b/>
          <w:bCs/>
        </w:rPr>
        <w:t xml:space="preserve">Internalisation Advantages  </w:t>
      </w:r>
    </w:p>
    <w:p w14:paraId="1D9FF5A8" w14:textId="42CBFF62" w:rsidR="00043769" w:rsidRDefault="00000000">
      <w:r>
        <w:t>To protect the intellectual property, retain control over quality, and preserve the brand, RB needs to outsource distribution to the local firms and in-source the significant processes such as marketing and product formulation</w:t>
      </w:r>
      <w:r w:rsidR="002D4922">
        <w:t xml:space="preserve"> </w:t>
      </w:r>
      <w:r w:rsidR="00230BB4" w:rsidRPr="00230BB4">
        <w:t>(DCF Modeling, 2024)</w:t>
      </w:r>
      <w:r>
        <w:t>.</w:t>
      </w:r>
    </w:p>
    <w:p w14:paraId="1C9FF477" w14:textId="77777777" w:rsidR="00043769" w:rsidRPr="000801F1" w:rsidRDefault="00000000">
      <w:pPr>
        <w:rPr>
          <w:b/>
          <w:bCs/>
        </w:rPr>
      </w:pPr>
      <w:r w:rsidRPr="000801F1">
        <w:rPr>
          <w:b/>
          <w:bCs/>
        </w:rPr>
        <w:t xml:space="preserve">Recommended Entry Mode  </w:t>
      </w:r>
    </w:p>
    <w:p w14:paraId="3F72492E" w14:textId="4AF7242B" w:rsidR="00043769" w:rsidRDefault="00000000">
      <w:r>
        <w:lastRenderedPageBreak/>
        <w:t>A best fit can be the joint venture (JV) with a recognised local FMCG or distribution company, such as Masan Consumer, VinCommerce, or DKSH. This structure affords a national network in allocation, segmentation and retailing, decreased entry and fast market penetration, common investment and risk elimination, and learning opportunities concerning localisation (F</w:t>
      </w:r>
      <w:r w:rsidR="002D4922">
        <w:t>inancial Times</w:t>
      </w:r>
      <w:r>
        <w:t xml:space="preserve">, 2024).  </w:t>
      </w:r>
    </w:p>
    <w:p w14:paraId="060B7671" w14:textId="77777777" w:rsidR="00043769" w:rsidRDefault="00000000">
      <w:pPr>
        <w:pStyle w:val="Heading2"/>
      </w:pPr>
      <w:bookmarkStart w:id="29" w:name="_Toc217119451"/>
      <w:bookmarkStart w:id="30" w:name="_Toc217231370"/>
      <w:r>
        <w:t>3.4 Competitive positioning: Porter’s Generic Strategies</w:t>
      </w:r>
      <w:bookmarkEnd w:id="29"/>
      <w:bookmarkEnd w:id="30"/>
      <w:r>
        <w:t xml:space="preserve"> </w:t>
      </w:r>
    </w:p>
    <w:p w14:paraId="00CB9031" w14:textId="3B0C3A35" w:rsidR="00043769" w:rsidRDefault="00000000">
      <w:r>
        <w:t>Based on Porter's framework of Generic Strategies, the ambiguity that faces the organisation is a strategic decision between cost leadership, differentiation, and focus. The method of differentiation is the most suitable within the context of Vietnam, depending upon the selective optimisation of costs</w:t>
      </w:r>
      <w:r w:rsidR="002D4922">
        <w:t xml:space="preserve"> (</w:t>
      </w:r>
      <w:r w:rsidR="002D4922" w:rsidRPr="002D4922">
        <w:t>Bruijl, 2018</w:t>
      </w:r>
      <w:r w:rsidR="002D4922">
        <w:t>)</w:t>
      </w:r>
      <w:r>
        <w:t>.</w:t>
      </w:r>
    </w:p>
    <w:p w14:paraId="7DD82A19" w14:textId="03949E57" w:rsidR="00701405" w:rsidRDefault="00701405">
      <w:pPr>
        <w:rPr>
          <w:b/>
          <w:bCs/>
        </w:rPr>
      </w:pPr>
      <w:r>
        <w:rPr>
          <w:noProof/>
        </w:rPr>
        <w:drawing>
          <wp:inline distT="0" distB="0" distL="0" distR="0" wp14:anchorId="22F0B08B" wp14:editId="68D16DF5">
            <wp:extent cx="5943600" cy="3343275"/>
            <wp:effectExtent l="0" t="0" r="0" b="9525"/>
            <wp:docPr id="933838357" name="Picture 3" descr="Porter's Generic Strategies PowerPoint and Google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Generic Strategies PowerPoint and Google Slid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73EF512" w14:textId="2C233EC8" w:rsidR="00701405" w:rsidRDefault="00701405" w:rsidP="00701405">
      <w:pPr>
        <w:jc w:val="center"/>
      </w:pPr>
      <w:r>
        <w:t>Figure 06: Porter’s generic strategies</w:t>
      </w:r>
    </w:p>
    <w:p w14:paraId="43A20DEE" w14:textId="16C4DE4E" w:rsidR="00701405" w:rsidRDefault="00701405" w:rsidP="00701405">
      <w:pPr>
        <w:jc w:val="center"/>
      </w:pPr>
      <w:r>
        <w:t xml:space="preserve">Source: </w:t>
      </w:r>
      <w:r w:rsidR="00732917">
        <w:t>(</w:t>
      </w:r>
      <w:r w:rsidR="00732917">
        <w:rPr>
          <w:shd w:val="clear" w:color="auto" w:fill="FFFFFF"/>
        </w:rPr>
        <w:t>Nandakumar</w:t>
      </w:r>
      <w:r w:rsidR="00732917">
        <w:rPr>
          <w:shd w:val="clear" w:color="auto" w:fill="FFFFFF"/>
        </w:rPr>
        <w:t xml:space="preserve"> et al., 2011)</w:t>
      </w:r>
    </w:p>
    <w:p w14:paraId="1C6751B0" w14:textId="4F3D4DA2" w:rsidR="00043769" w:rsidRPr="000801F1" w:rsidRDefault="00000000">
      <w:pPr>
        <w:rPr>
          <w:b/>
          <w:bCs/>
        </w:rPr>
      </w:pPr>
      <w:r w:rsidRPr="000801F1">
        <w:rPr>
          <w:b/>
          <w:bCs/>
        </w:rPr>
        <w:t xml:space="preserve">Differentiation Strategy  </w:t>
      </w:r>
    </w:p>
    <w:p w14:paraId="42B59505" w14:textId="4140A575" w:rsidR="00043769" w:rsidRDefault="00000000">
      <w:r>
        <w:t xml:space="preserve">The various factors on which the global success of RB </w:t>
      </w:r>
      <w:r w:rsidR="002B19A8">
        <w:t>takes</w:t>
      </w:r>
      <w:r>
        <w:t xml:space="preserve"> place include high brand equity, better product performance, safety and trust</w:t>
      </w:r>
      <w:r w:rsidR="00230BB4">
        <w:t xml:space="preserve"> </w:t>
      </w:r>
      <w:r w:rsidR="00230BB4" w:rsidRPr="00230BB4">
        <w:t>(Lynch, 2021)</w:t>
      </w:r>
      <w:r>
        <w:t xml:space="preserve">. The differentiation </w:t>
      </w:r>
      <w:r>
        <w:lastRenderedPageBreak/>
        <w:t>strategy in Vietnam entails presupposing brand heritage and scientific credibility</w:t>
      </w:r>
      <w:r w:rsidR="00230BB4">
        <w:t xml:space="preserve">. For example, </w:t>
      </w:r>
      <w:r>
        <w:t>the argument of the clinically proven protection of Dettol hygiene products, as well as the strict quality assurance</w:t>
      </w:r>
      <w:r w:rsidR="00230BB4">
        <w:t xml:space="preserve"> are</w:t>
      </w:r>
      <w:r>
        <w:t xml:space="preserve"> cornerstone</w:t>
      </w:r>
      <w:r w:rsidR="00230BB4">
        <w:t>s</w:t>
      </w:r>
      <w:r>
        <w:t xml:space="preserve"> issue in the markets where fake hygiene products are being sold </w:t>
      </w:r>
      <w:r w:rsidR="00230BB4" w:rsidRPr="00230BB4">
        <w:t>(Stone, 2025)</w:t>
      </w:r>
      <w:r>
        <w:t>. The initiatives of sustainability</w:t>
      </w:r>
      <w:r w:rsidR="00230BB4">
        <w:t xml:space="preserve"> </w:t>
      </w:r>
      <w:r>
        <w:t>as well as social campaigns based on the promotion of hygienic practices and health education ones</w:t>
      </w:r>
      <w:r w:rsidR="00230BB4">
        <w:t xml:space="preserve"> </w:t>
      </w:r>
      <w:r>
        <w:t>will strengthen the position of the brand RB as a high-quality, but at the same time socially responsible, worldwide brand</w:t>
      </w:r>
      <w:r w:rsidR="002D4922">
        <w:t xml:space="preserve"> (</w:t>
      </w:r>
      <w:r w:rsidR="002D4922" w:rsidRPr="002D4922">
        <w:t>Dhir and Dhir, 2015</w:t>
      </w:r>
      <w:r w:rsidR="002D4922">
        <w:t>)</w:t>
      </w:r>
      <w:r>
        <w:t>.</w:t>
      </w:r>
    </w:p>
    <w:p w14:paraId="4B22BC1E" w14:textId="13B2BBF0" w:rsidR="00043769" w:rsidRPr="000801F1" w:rsidRDefault="00000000">
      <w:pPr>
        <w:rPr>
          <w:b/>
          <w:bCs/>
        </w:rPr>
      </w:pPr>
      <w:r w:rsidRPr="000801F1">
        <w:rPr>
          <w:b/>
          <w:bCs/>
        </w:rPr>
        <w:t xml:space="preserve">Cost </w:t>
      </w:r>
      <w:r w:rsidR="000801F1" w:rsidRPr="000801F1">
        <w:rPr>
          <w:b/>
          <w:bCs/>
        </w:rPr>
        <w:t>leadership</w:t>
      </w:r>
    </w:p>
    <w:p w14:paraId="0E979E39" w14:textId="66DFC20A" w:rsidR="00043769" w:rsidRDefault="00000000" w:rsidP="00230BB4">
      <w:r w:rsidRPr="00230BB4">
        <w:t>As differentiation increases the perceived value, RB has to maintain a cost-comparative position</w:t>
      </w:r>
      <w:r w:rsidR="00230BB4" w:rsidRPr="00230BB4">
        <w:t xml:space="preserve"> (Lynch, 2021)</w:t>
      </w:r>
      <w:r w:rsidRPr="00230BB4">
        <w:t xml:space="preserve">. </w:t>
      </w:r>
      <w:r w:rsidR="00230BB4" w:rsidRPr="00230BB4">
        <w:t xml:space="preserve">For example, </w:t>
      </w:r>
      <w:r w:rsidRPr="00230BB4">
        <w:t>local sourcing and manufacturing alliances w</w:t>
      </w:r>
      <w:r w:rsidR="00230BB4" w:rsidRPr="00230BB4">
        <w:t>ill</w:t>
      </w:r>
      <w:r w:rsidRPr="00230BB4">
        <w:t xml:space="preserve"> reduce the importation tariffs and logistic expenses</w:t>
      </w:r>
      <w:r w:rsidR="00230BB4" w:rsidRPr="00230BB4">
        <w:t xml:space="preserve">. Besides, </w:t>
      </w:r>
      <w:r w:rsidRPr="00230BB4">
        <w:t xml:space="preserve">creation of smaller size sachets or mini-packs </w:t>
      </w:r>
      <w:r w:rsidR="00230BB4" w:rsidRPr="00230BB4">
        <w:t>will</w:t>
      </w:r>
      <w:r w:rsidRPr="00230BB4">
        <w:t xml:space="preserve"> make their products more affordable in poorer markets</w:t>
      </w:r>
      <w:r w:rsidR="00230BB4" w:rsidRPr="00230BB4">
        <w:t xml:space="preserve"> (Hill, Jones and Schilling, 2020). </w:t>
      </w:r>
      <w:r w:rsidR="00230BB4">
        <w:t>T</w:t>
      </w:r>
      <w:r>
        <w:t>he employment of digital and direct-to-consumer strategies will minimise the distribution mark-up.</w:t>
      </w:r>
    </w:p>
    <w:p w14:paraId="699DA395" w14:textId="77777777" w:rsidR="00043769" w:rsidRPr="000801F1" w:rsidRDefault="00000000">
      <w:pPr>
        <w:rPr>
          <w:b/>
          <w:bCs/>
        </w:rPr>
      </w:pPr>
      <w:r w:rsidRPr="000801F1">
        <w:rPr>
          <w:b/>
          <w:bCs/>
        </w:rPr>
        <w:t xml:space="preserve">Strategic Outcome  </w:t>
      </w:r>
    </w:p>
    <w:p w14:paraId="5F9971C7" w14:textId="3FAE0126" w:rsidR="00043769" w:rsidRDefault="00000000">
      <w:r>
        <w:t>The differentiation/ affordability hybrid strategy will be used to make sure that the brand name has prestige in the urban cities, but is affordable in the developing rural markets</w:t>
      </w:r>
      <w:r w:rsidR="00372B9D">
        <w:t xml:space="preserve"> (</w:t>
      </w:r>
      <w:r w:rsidR="00372B9D" w:rsidRPr="002D4922">
        <w:t>Bruijl, 2018</w:t>
      </w:r>
      <w:r w:rsidR="00372B9D">
        <w:t>)</w:t>
      </w:r>
      <w:r>
        <w:t>.</w:t>
      </w:r>
    </w:p>
    <w:p w14:paraId="1CAED9A7" w14:textId="77777777" w:rsidR="00043769" w:rsidRDefault="00000000">
      <w:pPr>
        <w:pStyle w:val="Heading2"/>
      </w:pPr>
      <w:bookmarkStart w:id="31" w:name="_Toc217119452"/>
      <w:bookmarkStart w:id="32" w:name="_Toc217231371"/>
      <w:r>
        <w:t>3.5 Strategic Fit and Capability Assessment: VRIO Framework</w:t>
      </w:r>
      <w:bookmarkEnd w:id="31"/>
      <w:bookmarkEnd w:id="32"/>
    </w:p>
    <w:p w14:paraId="7AE0A6E5" w14:textId="51CEF382" w:rsidR="00043769" w:rsidRDefault="00000000">
      <w:r>
        <w:t>The VRIO framework assists in considering the potential of the internal resources of RB to maintain a competitive edge</w:t>
      </w:r>
      <w:r w:rsidR="002D4922">
        <w:t xml:space="preserve"> (</w:t>
      </w:r>
      <w:r w:rsidR="002D4922" w:rsidRPr="002D4922">
        <w:t>Dess</w:t>
      </w:r>
      <w:r w:rsidR="002D4922">
        <w:t xml:space="preserve"> et al., </w:t>
      </w:r>
      <w:r w:rsidR="002D4922" w:rsidRPr="002D4922">
        <w:t>2014)</w:t>
      </w:r>
      <w:r>
        <w:t xml:space="preserve">. </w:t>
      </w:r>
    </w:p>
    <w:tbl>
      <w:tblPr>
        <w:tblStyle w:val="TableGrid"/>
        <w:tblW w:w="0" w:type="auto"/>
        <w:tblLook w:val="04A0" w:firstRow="1" w:lastRow="0" w:firstColumn="1" w:lastColumn="0" w:noHBand="0" w:noVBand="1"/>
      </w:tblPr>
      <w:tblGrid>
        <w:gridCol w:w="2895"/>
        <w:gridCol w:w="1151"/>
        <w:gridCol w:w="737"/>
        <w:gridCol w:w="1244"/>
        <w:gridCol w:w="1324"/>
        <w:gridCol w:w="1999"/>
      </w:tblGrid>
      <w:tr w:rsidR="00043769" w14:paraId="631E23DC" w14:textId="77777777" w:rsidTr="00732917">
        <w:tc>
          <w:tcPr>
            <w:tcW w:w="0" w:type="auto"/>
          </w:tcPr>
          <w:p w14:paraId="176F871F" w14:textId="77777777" w:rsidR="00043769" w:rsidRDefault="00000000">
            <w:r>
              <w:t xml:space="preserve">Resource/Capability </w:t>
            </w:r>
          </w:p>
        </w:tc>
        <w:tc>
          <w:tcPr>
            <w:tcW w:w="0" w:type="auto"/>
          </w:tcPr>
          <w:p w14:paraId="2C9F6157" w14:textId="77777777" w:rsidR="00043769" w:rsidRDefault="00000000">
            <w:r>
              <w:t xml:space="preserve">Valuable </w:t>
            </w:r>
          </w:p>
        </w:tc>
        <w:tc>
          <w:tcPr>
            <w:tcW w:w="0" w:type="auto"/>
          </w:tcPr>
          <w:p w14:paraId="79661F78" w14:textId="77777777" w:rsidR="00043769" w:rsidRDefault="00000000">
            <w:r>
              <w:t xml:space="preserve">Rare </w:t>
            </w:r>
          </w:p>
        </w:tc>
        <w:tc>
          <w:tcPr>
            <w:tcW w:w="0" w:type="auto"/>
          </w:tcPr>
          <w:p w14:paraId="5DD228C4" w14:textId="77777777" w:rsidR="00043769" w:rsidRDefault="00000000">
            <w:r>
              <w:t xml:space="preserve">Inimitable </w:t>
            </w:r>
          </w:p>
        </w:tc>
        <w:tc>
          <w:tcPr>
            <w:tcW w:w="0" w:type="auto"/>
          </w:tcPr>
          <w:p w14:paraId="6272CFE0" w14:textId="77777777" w:rsidR="00043769" w:rsidRDefault="00000000">
            <w:r>
              <w:t xml:space="preserve">Organised </w:t>
            </w:r>
          </w:p>
        </w:tc>
        <w:tc>
          <w:tcPr>
            <w:tcW w:w="0" w:type="auto"/>
          </w:tcPr>
          <w:p w14:paraId="699DBB0F" w14:textId="77777777" w:rsidR="00043769" w:rsidRDefault="00000000">
            <w:r>
              <w:t xml:space="preserve">Competitive Implication </w:t>
            </w:r>
          </w:p>
        </w:tc>
      </w:tr>
      <w:tr w:rsidR="00043769" w14:paraId="257E452E" w14:textId="77777777" w:rsidTr="00732917">
        <w:tc>
          <w:tcPr>
            <w:tcW w:w="0" w:type="auto"/>
          </w:tcPr>
          <w:p w14:paraId="1652A0F7" w14:textId="77777777" w:rsidR="00043769" w:rsidRDefault="00000000">
            <w:r>
              <w:t>Global brand equity (Dettol, Durex)</w:t>
            </w:r>
          </w:p>
        </w:tc>
        <w:tc>
          <w:tcPr>
            <w:tcW w:w="0" w:type="auto"/>
          </w:tcPr>
          <w:p w14:paraId="7AF5E8BC" w14:textId="77777777" w:rsidR="00043769" w:rsidRDefault="00000000">
            <w:r>
              <w:rPr>
                <w:rFonts w:cs="Arial"/>
              </w:rPr>
              <w:t>√</w:t>
            </w:r>
          </w:p>
        </w:tc>
        <w:tc>
          <w:tcPr>
            <w:tcW w:w="0" w:type="auto"/>
          </w:tcPr>
          <w:p w14:paraId="46EE7FAA" w14:textId="77777777" w:rsidR="00043769" w:rsidRDefault="00000000">
            <w:r>
              <w:rPr>
                <w:rFonts w:cs="Arial"/>
              </w:rPr>
              <w:t>√</w:t>
            </w:r>
          </w:p>
        </w:tc>
        <w:tc>
          <w:tcPr>
            <w:tcW w:w="0" w:type="auto"/>
          </w:tcPr>
          <w:p w14:paraId="46A470E7" w14:textId="77777777" w:rsidR="00043769" w:rsidRDefault="00000000">
            <w:r>
              <w:rPr>
                <w:rFonts w:cs="Arial"/>
              </w:rPr>
              <w:t>√</w:t>
            </w:r>
          </w:p>
        </w:tc>
        <w:tc>
          <w:tcPr>
            <w:tcW w:w="0" w:type="auto"/>
          </w:tcPr>
          <w:p w14:paraId="2D8C2716" w14:textId="77777777" w:rsidR="00043769" w:rsidRDefault="00000000">
            <w:r>
              <w:rPr>
                <w:rFonts w:cs="Arial"/>
              </w:rPr>
              <w:t>√</w:t>
            </w:r>
          </w:p>
        </w:tc>
        <w:tc>
          <w:tcPr>
            <w:tcW w:w="0" w:type="auto"/>
          </w:tcPr>
          <w:p w14:paraId="74C4304F" w14:textId="77777777" w:rsidR="00043769" w:rsidRDefault="00000000">
            <w:r>
              <w:t xml:space="preserve">Sustainable competitive advantage </w:t>
            </w:r>
          </w:p>
        </w:tc>
      </w:tr>
      <w:tr w:rsidR="00043769" w14:paraId="45C33AE3" w14:textId="77777777" w:rsidTr="00732917">
        <w:tc>
          <w:tcPr>
            <w:tcW w:w="0" w:type="auto"/>
          </w:tcPr>
          <w:p w14:paraId="7830C090" w14:textId="77777777" w:rsidR="00043769" w:rsidRDefault="00000000">
            <w:r>
              <w:lastRenderedPageBreak/>
              <w:t xml:space="preserve">R&amp;D and innovation expertise </w:t>
            </w:r>
          </w:p>
        </w:tc>
        <w:tc>
          <w:tcPr>
            <w:tcW w:w="0" w:type="auto"/>
          </w:tcPr>
          <w:p w14:paraId="01583FC4" w14:textId="77777777" w:rsidR="00043769" w:rsidRDefault="00000000">
            <w:r>
              <w:rPr>
                <w:rFonts w:cs="Arial"/>
              </w:rPr>
              <w:t>√</w:t>
            </w:r>
          </w:p>
        </w:tc>
        <w:tc>
          <w:tcPr>
            <w:tcW w:w="0" w:type="auto"/>
          </w:tcPr>
          <w:p w14:paraId="3192E199" w14:textId="77777777" w:rsidR="00043769" w:rsidRDefault="00000000">
            <w:r>
              <w:rPr>
                <w:rFonts w:cs="Arial"/>
              </w:rPr>
              <w:t>√</w:t>
            </w:r>
          </w:p>
        </w:tc>
        <w:tc>
          <w:tcPr>
            <w:tcW w:w="0" w:type="auto"/>
          </w:tcPr>
          <w:p w14:paraId="6AE5888A" w14:textId="77777777" w:rsidR="00043769" w:rsidRDefault="00000000">
            <w:r>
              <w:rPr>
                <w:rFonts w:cs="Arial"/>
              </w:rPr>
              <w:t>√</w:t>
            </w:r>
          </w:p>
        </w:tc>
        <w:tc>
          <w:tcPr>
            <w:tcW w:w="0" w:type="auto"/>
          </w:tcPr>
          <w:p w14:paraId="02B4194D" w14:textId="77777777" w:rsidR="00043769" w:rsidRDefault="00000000">
            <w:r>
              <w:rPr>
                <w:rFonts w:cs="Arial"/>
              </w:rPr>
              <w:t>√</w:t>
            </w:r>
          </w:p>
        </w:tc>
        <w:tc>
          <w:tcPr>
            <w:tcW w:w="0" w:type="auto"/>
          </w:tcPr>
          <w:p w14:paraId="523B3DEB" w14:textId="77777777" w:rsidR="00043769" w:rsidRDefault="00000000">
            <w:r>
              <w:t xml:space="preserve">Sustainable competitive advantage </w:t>
            </w:r>
          </w:p>
        </w:tc>
      </w:tr>
      <w:tr w:rsidR="00043769" w14:paraId="56FAF8EE" w14:textId="77777777" w:rsidTr="00732917">
        <w:tc>
          <w:tcPr>
            <w:tcW w:w="0" w:type="auto"/>
          </w:tcPr>
          <w:p w14:paraId="6DB6F120" w14:textId="77777777" w:rsidR="00043769" w:rsidRDefault="00000000">
            <w:r>
              <w:t xml:space="preserve">Supply chain and partnerships </w:t>
            </w:r>
          </w:p>
        </w:tc>
        <w:tc>
          <w:tcPr>
            <w:tcW w:w="0" w:type="auto"/>
          </w:tcPr>
          <w:p w14:paraId="1E4D5096" w14:textId="77777777" w:rsidR="00043769" w:rsidRDefault="00000000">
            <w:r>
              <w:rPr>
                <w:rFonts w:cs="Arial"/>
              </w:rPr>
              <w:t>√</w:t>
            </w:r>
          </w:p>
        </w:tc>
        <w:tc>
          <w:tcPr>
            <w:tcW w:w="0" w:type="auto"/>
          </w:tcPr>
          <w:p w14:paraId="17195CFE" w14:textId="77777777" w:rsidR="00043769" w:rsidRDefault="00000000">
            <w:r>
              <w:rPr>
                <w:rFonts w:cs="Arial"/>
              </w:rPr>
              <w:t>ᵡ</w:t>
            </w:r>
          </w:p>
        </w:tc>
        <w:tc>
          <w:tcPr>
            <w:tcW w:w="0" w:type="auto"/>
          </w:tcPr>
          <w:p w14:paraId="43112F3A" w14:textId="77777777" w:rsidR="00043769" w:rsidRDefault="00000000">
            <w:r>
              <w:rPr>
                <w:rFonts w:cs="Arial"/>
              </w:rPr>
              <w:t>ᵡ</w:t>
            </w:r>
          </w:p>
        </w:tc>
        <w:tc>
          <w:tcPr>
            <w:tcW w:w="0" w:type="auto"/>
          </w:tcPr>
          <w:p w14:paraId="054D8B55" w14:textId="77777777" w:rsidR="00043769" w:rsidRDefault="00000000">
            <w:r>
              <w:rPr>
                <w:rFonts w:cs="Arial"/>
              </w:rPr>
              <w:t>√</w:t>
            </w:r>
          </w:p>
        </w:tc>
        <w:tc>
          <w:tcPr>
            <w:tcW w:w="0" w:type="auto"/>
          </w:tcPr>
          <w:p w14:paraId="0AE6E565" w14:textId="77777777" w:rsidR="00043769" w:rsidRDefault="00000000">
            <w:r>
              <w:t xml:space="preserve">Temporary competitive advantage </w:t>
            </w:r>
          </w:p>
        </w:tc>
      </w:tr>
      <w:tr w:rsidR="00043769" w14:paraId="3D3C88EA" w14:textId="77777777" w:rsidTr="00732917">
        <w:tc>
          <w:tcPr>
            <w:tcW w:w="0" w:type="auto"/>
          </w:tcPr>
          <w:p w14:paraId="752CA6DD" w14:textId="77777777" w:rsidR="00043769" w:rsidRDefault="00000000">
            <w:r>
              <w:t>Financial capacity and capital access</w:t>
            </w:r>
          </w:p>
        </w:tc>
        <w:tc>
          <w:tcPr>
            <w:tcW w:w="0" w:type="auto"/>
          </w:tcPr>
          <w:p w14:paraId="4D0A5569" w14:textId="77777777" w:rsidR="00043769" w:rsidRDefault="00000000">
            <w:r>
              <w:rPr>
                <w:rFonts w:cs="Arial"/>
              </w:rPr>
              <w:t>√</w:t>
            </w:r>
          </w:p>
        </w:tc>
        <w:tc>
          <w:tcPr>
            <w:tcW w:w="0" w:type="auto"/>
          </w:tcPr>
          <w:p w14:paraId="207B70FE" w14:textId="77777777" w:rsidR="00043769" w:rsidRDefault="00000000">
            <w:r>
              <w:rPr>
                <w:rFonts w:cs="Arial"/>
              </w:rPr>
              <w:t>ᵡ</w:t>
            </w:r>
          </w:p>
        </w:tc>
        <w:tc>
          <w:tcPr>
            <w:tcW w:w="0" w:type="auto"/>
          </w:tcPr>
          <w:p w14:paraId="3AAA7D91" w14:textId="77777777" w:rsidR="00043769" w:rsidRDefault="00000000">
            <w:r>
              <w:rPr>
                <w:rFonts w:cs="Arial"/>
              </w:rPr>
              <w:t>ᵡ</w:t>
            </w:r>
          </w:p>
        </w:tc>
        <w:tc>
          <w:tcPr>
            <w:tcW w:w="0" w:type="auto"/>
          </w:tcPr>
          <w:p w14:paraId="399FED7B" w14:textId="77777777" w:rsidR="00043769" w:rsidRDefault="00000000">
            <w:r>
              <w:rPr>
                <w:rFonts w:cs="Arial"/>
              </w:rPr>
              <w:t>√</w:t>
            </w:r>
          </w:p>
        </w:tc>
        <w:tc>
          <w:tcPr>
            <w:tcW w:w="0" w:type="auto"/>
          </w:tcPr>
          <w:p w14:paraId="47665E4D" w14:textId="77777777" w:rsidR="00043769" w:rsidRDefault="00000000">
            <w:r>
              <w:t xml:space="preserve">Competitive parity </w:t>
            </w:r>
          </w:p>
        </w:tc>
      </w:tr>
      <w:tr w:rsidR="00043769" w14:paraId="452508B0" w14:textId="77777777" w:rsidTr="00732917">
        <w:tc>
          <w:tcPr>
            <w:tcW w:w="0" w:type="auto"/>
          </w:tcPr>
          <w:p w14:paraId="565D43C9" w14:textId="77777777" w:rsidR="00043769" w:rsidRDefault="00000000">
            <w:r>
              <w:t xml:space="preserve">Corporate sustainability and CSR reputation </w:t>
            </w:r>
          </w:p>
        </w:tc>
        <w:tc>
          <w:tcPr>
            <w:tcW w:w="0" w:type="auto"/>
          </w:tcPr>
          <w:p w14:paraId="52FE5A7F" w14:textId="77777777" w:rsidR="00043769" w:rsidRDefault="00000000">
            <w:r>
              <w:rPr>
                <w:rFonts w:cs="Arial"/>
              </w:rPr>
              <w:t>√</w:t>
            </w:r>
          </w:p>
        </w:tc>
        <w:tc>
          <w:tcPr>
            <w:tcW w:w="0" w:type="auto"/>
          </w:tcPr>
          <w:p w14:paraId="02E2AA3C" w14:textId="77777777" w:rsidR="00043769" w:rsidRDefault="00000000">
            <w:r>
              <w:rPr>
                <w:rFonts w:cs="Arial"/>
              </w:rPr>
              <w:t>√</w:t>
            </w:r>
          </w:p>
        </w:tc>
        <w:tc>
          <w:tcPr>
            <w:tcW w:w="0" w:type="auto"/>
          </w:tcPr>
          <w:p w14:paraId="4CA96915" w14:textId="77777777" w:rsidR="00043769" w:rsidRDefault="00000000">
            <w:r>
              <w:rPr>
                <w:rFonts w:cs="Arial"/>
              </w:rPr>
              <w:t>√</w:t>
            </w:r>
          </w:p>
        </w:tc>
        <w:tc>
          <w:tcPr>
            <w:tcW w:w="0" w:type="auto"/>
          </w:tcPr>
          <w:p w14:paraId="1A3127B2" w14:textId="77777777" w:rsidR="00043769" w:rsidRDefault="00000000">
            <w:r>
              <w:rPr>
                <w:rFonts w:cs="Arial"/>
              </w:rPr>
              <w:t>√</w:t>
            </w:r>
          </w:p>
        </w:tc>
        <w:tc>
          <w:tcPr>
            <w:tcW w:w="0" w:type="auto"/>
          </w:tcPr>
          <w:p w14:paraId="6ACC92B5" w14:textId="77777777" w:rsidR="00043769" w:rsidRDefault="00000000">
            <w:r>
              <w:t xml:space="preserve">Sustainable competitive advantage </w:t>
            </w:r>
          </w:p>
        </w:tc>
      </w:tr>
      <w:tr w:rsidR="00043769" w14:paraId="01540FCE" w14:textId="77777777" w:rsidTr="00732917">
        <w:tc>
          <w:tcPr>
            <w:tcW w:w="0" w:type="auto"/>
          </w:tcPr>
          <w:p w14:paraId="38CB272C" w14:textId="77777777" w:rsidR="00043769" w:rsidRDefault="00000000">
            <w:r>
              <w:t xml:space="preserve">Digital marketing and analytics </w:t>
            </w:r>
          </w:p>
        </w:tc>
        <w:tc>
          <w:tcPr>
            <w:tcW w:w="0" w:type="auto"/>
          </w:tcPr>
          <w:p w14:paraId="64AA97A7" w14:textId="77777777" w:rsidR="00043769" w:rsidRDefault="00000000">
            <w:r>
              <w:rPr>
                <w:rFonts w:cs="Arial"/>
              </w:rPr>
              <w:t>√</w:t>
            </w:r>
          </w:p>
        </w:tc>
        <w:tc>
          <w:tcPr>
            <w:tcW w:w="0" w:type="auto"/>
          </w:tcPr>
          <w:p w14:paraId="7F88C53E" w14:textId="77777777" w:rsidR="00043769" w:rsidRDefault="00000000">
            <w:r>
              <w:rPr>
                <w:rFonts w:cs="Arial"/>
              </w:rPr>
              <w:t>ᵡ</w:t>
            </w:r>
          </w:p>
        </w:tc>
        <w:tc>
          <w:tcPr>
            <w:tcW w:w="0" w:type="auto"/>
          </w:tcPr>
          <w:p w14:paraId="3D03EB16" w14:textId="77777777" w:rsidR="00043769" w:rsidRDefault="00000000">
            <w:r>
              <w:rPr>
                <w:rFonts w:cs="Arial"/>
              </w:rPr>
              <w:t>ᵡ</w:t>
            </w:r>
          </w:p>
        </w:tc>
        <w:tc>
          <w:tcPr>
            <w:tcW w:w="0" w:type="auto"/>
          </w:tcPr>
          <w:p w14:paraId="5A5E85BB" w14:textId="77777777" w:rsidR="00043769" w:rsidRDefault="00000000">
            <w:r>
              <w:rPr>
                <w:rFonts w:cs="Arial"/>
              </w:rPr>
              <w:t>√</w:t>
            </w:r>
          </w:p>
        </w:tc>
        <w:tc>
          <w:tcPr>
            <w:tcW w:w="0" w:type="auto"/>
          </w:tcPr>
          <w:p w14:paraId="773D2F7F" w14:textId="77777777" w:rsidR="00043769" w:rsidRDefault="00000000">
            <w:r>
              <w:t xml:space="preserve">Temporary competitive advantage </w:t>
            </w:r>
          </w:p>
        </w:tc>
      </w:tr>
    </w:tbl>
    <w:p w14:paraId="3B9D6BE5" w14:textId="77777777" w:rsidR="00043769" w:rsidRDefault="00000000">
      <w:r>
        <w:t>As a VRIO analysis reveals, brand equity, R&amp;D, and sustainability reputation provide LTC and inimitable benefits to RB, whereas supply-chain and digital capabilities present short-term benefits which need to be sustained at a high level (Manaeva et al., 2023).</w:t>
      </w:r>
    </w:p>
    <w:p w14:paraId="2140F278" w14:textId="77777777" w:rsidR="00043769" w:rsidRDefault="00000000">
      <w:pPr>
        <w:pStyle w:val="Heading2"/>
      </w:pPr>
      <w:bookmarkStart w:id="33" w:name="_Toc217119453"/>
      <w:bookmarkStart w:id="34" w:name="_Toc217231372"/>
      <w:r>
        <w:t>3.6 Strategy Implementation Components</w:t>
      </w:r>
      <w:bookmarkEnd w:id="33"/>
      <w:bookmarkEnd w:id="34"/>
      <w:r>
        <w:t xml:space="preserve"> </w:t>
      </w:r>
    </w:p>
    <w:p w14:paraId="20C5AE7B" w14:textId="0A834846" w:rsidR="00043769" w:rsidRDefault="00000000">
      <w:r w:rsidRPr="00E03A29">
        <w:rPr>
          <w:b/>
          <w:bCs/>
        </w:rPr>
        <w:t>Product Strategy</w:t>
      </w:r>
      <w:r w:rsidR="000801F1" w:rsidRPr="00E03A29">
        <w:rPr>
          <w:b/>
          <w:bCs/>
        </w:rPr>
        <w:t>:</w:t>
      </w:r>
      <w:r w:rsidR="000801F1">
        <w:t xml:space="preserve"> </w:t>
      </w:r>
      <w:r>
        <w:t>The organisation will launch Dettol and Lysol as iconic hygiene category products with regional products including lemon or herbal smell, hence appealing to local consumers</w:t>
      </w:r>
      <w:r w:rsidR="002B19A8">
        <w:t xml:space="preserve"> (</w:t>
      </w:r>
      <w:r w:rsidR="002B19A8" w:rsidRPr="002B19A8">
        <w:t>Reckitt</w:t>
      </w:r>
      <w:r w:rsidR="002B19A8">
        <w:t xml:space="preserve">, </w:t>
      </w:r>
      <w:r w:rsidR="002B19A8" w:rsidRPr="002B19A8">
        <w:t>2025b)</w:t>
      </w:r>
      <w:r>
        <w:t xml:space="preserve">. Durex and Veet, as targeted awareness campaigns, should focus on safe intimacy practices, and self-care practices will be undertaken to facilitate the expansion of Durex and Veet in the health and personal care segment </w:t>
      </w:r>
      <w:r w:rsidR="00230BB4" w:rsidRPr="00230BB4">
        <w:t>(Ken Research, 2024)</w:t>
      </w:r>
      <w:r>
        <w:t>.</w:t>
      </w:r>
    </w:p>
    <w:p w14:paraId="138449C9" w14:textId="715B423F" w:rsidR="00043769" w:rsidRDefault="00000000">
      <w:r w:rsidRPr="00E03A29">
        <w:rPr>
          <w:b/>
          <w:bCs/>
        </w:rPr>
        <w:t>Pricing Strategy</w:t>
      </w:r>
      <w:r w:rsidR="000801F1" w:rsidRPr="00E03A29">
        <w:rPr>
          <w:b/>
          <w:bCs/>
        </w:rPr>
        <w:t>:</w:t>
      </w:r>
      <w:r w:rsidR="000801F1">
        <w:t xml:space="preserve"> </w:t>
      </w:r>
      <w:r>
        <w:t>It will use a tiered pricing strategy whereby in metropolitan areas like Ho</w:t>
      </w:r>
      <w:r>
        <w:rPr>
          <w:rFonts w:ascii="MS Gothic" w:eastAsia="MS Gothic" w:hAnsi="MS Gothic" w:cs="MS Gothic" w:hint="eastAsia"/>
        </w:rPr>
        <w:t> </w:t>
      </w:r>
      <w:r>
        <w:t xml:space="preserve">-Chi and Hanoi premium pricing will be used, but value-based and smaller packs will be provided in rural areas (Goss, 2024). Promotions and loyalty programmes will be </w:t>
      </w:r>
      <w:r>
        <w:lastRenderedPageBreak/>
        <w:t>included in both the modern shopping establishments and online stores, such as Tiki, Shopee, and Lazada. Prices will be justified according to the perceived quality, and deep discounts will be shunned to protect brand prestige</w:t>
      </w:r>
      <w:r w:rsidR="002D4922">
        <w:t xml:space="preserve"> (</w:t>
      </w:r>
      <w:r w:rsidR="002D4922" w:rsidRPr="002D4922">
        <w:t>Kabue and Kilika, 2016</w:t>
      </w:r>
      <w:r w:rsidR="002D4922">
        <w:t>)</w:t>
      </w:r>
      <w:r>
        <w:t>.</w:t>
      </w:r>
    </w:p>
    <w:p w14:paraId="48B093E7" w14:textId="0C1D41D2" w:rsidR="00043769" w:rsidRDefault="00000000">
      <w:r w:rsidRPr="00E03A29">
        <w:rPr>
          <w:b/>
          <w:bCs/>
        </w:rPr>
        <w:t>Distribution Strategy</w:t>
      </w:r>
      <w:r w:rsidR="000801F1" w:rsidRPr="00E03A29">
        <w:rPr>
          <w:b/>
          <w:bCs/>
        </w:rPr>
        <w:t>:</w:t>
      </w:r>
      <w:r w:rsidR="000801F1">
        <w:t xml:space="preserve"> </w:t>
      </w:r>
      <w:r>
        <w:t xml:space="preserve">The Omnichannel distribution will be exploited and consists of modern retail, such as VinMart and </w:t>
      </w:r>
      <w:r w:rsidR="002D4922">
        <w:t>Co-opmart</w:t>
      </w:r>
      <w:r>
        <w:t>, e-commerce, and classic market channels</w:t>
      </w:r>
      <w:r w:rsidR="00372B9D">
        <w:t xml:space="preserve"> (Reckitt, 2024)</w:t>
      </w:r>
      <w:r>
        <w:t>. Local logistics providers will be strategic partners to make sure that there is penetration in rural settings</w:t>
      </w:r>
      <w:r w:rsidR="002D4922">
        <w:t xml:space="preserve"> (</w:t>
      </w:r>
      <w:r w:rsidR="002D4922" w:rsidRPr="002D4922">
        <w:t>Kuptsova</w:t>
      </w:r>
      <w:r w:rsidR="002D4922">
        <w:t xml:space="preserve"> et al., </w:t>
      </w:r>
      <w:r w:rsidR="002D4922" w:rsidRPr="002D4922">
        <w:t>2021</w:t>
      </w:r>
      <w:r w:rsidR="002D4922">
        <w:t>)</w:t>
      </w:r>
      <w:r>
        <w:t>. An information-based distribution planning is going to be adopted to reduce out-of-stock infractions and reduce the possibility of counterfeit (Rybska, 2024).</w:t>
      </w:r>
    </w:p>
    <w:p w14:paraId="24985A81" w14:textId="06A706CD" w:rsidR="00043769" w:rsidRDefault="00000000">
      <w:r w:rsidRPr="00E03A29">
        <w:rPr>
          <w:b/>
          <w:bCs/>
        </w:rPr>
        <w:t>Promotion Strategy</w:t>
      </w:r>
      <w:r w:rsidR="000801F1" w:rsidRPr="00E03A29">
        <w:rPr>
          <w:b/>
          <w:bCs/>
        </w:rPr>
        <w:t>:</w:t>
      </w:r>
      <w:r w:rsidR="000801F1">
        <w:t xml:space="preserve"> </w:t>
      </w:r>
      <w:r>
        <w:t>Together with the Ministry of Health, it will launch a nationwide campaign, Healthy Vietnam, which will be used to promote hygiene education and disease prevention</w:t>
      </w:r>
      <w:r w:rsidR="002D4922">
        <w:t xml:space="preserve"> </w:t>
      </w:r>
      <w:r w:rsidR="00230BB4" w:rsidRPr="00230BB4">
        <w:t>(Ken Research, 2024)</w:t>
      </w:r>
      <w:r>
        <w:t>. The partnerships with influencers and online creators will be directed at content about health and wellness. Cause marketing will also be done, as is the case with the Clean Hands, Safe Homes school programmes by Dettol (Tarba et al., 2023). To encourage emotional appeal, digital storytelling and social media channels, including TikTok and Facebook, will be used.</w:t>
      </w:r>
    </w:p>
    <w:p w14:paraId="77F604BA" w14:textId="77777777" w:rsidR="00043769" w:rsidRDefault="00000000">
      <w:pPr>
        <w:pStyle w:val="Heading2"/>
      </w:pPr>
      <w:bookmarkStart w:id="35" w:name="_Toc217119454"/>
      <w:bookmarkStart w:id="36" w:name="_Toc217231373"/>
      <w:r>
        <w:t>3.7 Risk analysis and mitigation</w:t>
      </w:r>
      <w:bookmarkEnd w:id="35"/>
      <w:bookmarkEnd w:id="36"/>
      <w:r>
        <w:t xml:space="preserve"> </w:t>
      </w:r>
    </w:p>
    <w:p w14:paraId="34204649" w14:textId="77777777" w:rsidR="00043769" w:rsidRPr="000801F1" w:rsidRDefault="00000000">
      <w:pPr>
        <w:rPr>
          <w:b/>
          <w:bCs/>
        </w:rPr>
      </w:pPr>
      <w:r w:rsidRPr="000801F1">
        <w:rPr>
          <w:b/>
          <w:bCs/>
        </w:rPr>
        <w:t xml:space="preserve">Regulatory Risk  </w:t>
      </w:r>
    </w:p>
    <w:p w14:paraId="55353BF4" w14:textId="77777777" w:rsidR="00043769" w:rsidRDefault="00000000">
      <w:r>
        <w:t xml:space="preserve">Any delay in product registration and complex compliance may really halt development. Hence, mitigation measures will include conducting early due diligence, which includes legal investigations; recruiting local advisory firms; and collaborating with a JV with regulatory experience (Waithaka et al., 2022).  </w:t>
      </w:r>
    </w:p>
    <w:p w14:paraId="7649ECE2" w14:textId="77777777" w:rsidR="00043769" w:rsidRPr="000801F1" w:rsidRDefault="00000000">
      <w:pPr>
        <w:rPr>
          <w:b/>
          <w:bCs/>
        </w:rPr>
      </w:pPr>
      <w:r w:rsidRPr="000801F1">
        <w:rPr>
          <w:b/>
          <w:bCs/>
        </w:rPr>
        <w:t xml:space="preserve">Cultural Misalignment  </w:t>
      </w:r>
    </w:p>
    <w:p w14:paraId="0D1193DD" w14:textId="77777777" w:rsidR="00043769" w:rsidRDefault="00000000">
      <w:r>
        <w:t xml:space="preserve">The local consumer may not respond to marketing or branding.  As mitigation strategies, RB should localise the communication; run focus groups, and engage Vietnamese brand ambassadors on board (Pérez, 2022).  </w:t>
      </w:r>
    </w:p>
    <w:p w14:paraId="00FFA795" w14:textId="77777777" w:rsidR="00043769" w:rsidRPr="000801F1" w:rsidRDefault="00000000">
      <w:pPr>
        <w:rPr>
          <w:b/>
          <w:bCs/>
        </w:rPr>
      </w:pPr>
      <w:r w:rsidRPr="000801F1">
        <w:rPr>
          <w:b/>
          <w:bCs/>
        </w:rPr>
        <w:t xml:space="preserve">Price Sensitivity  </w:t>
      </w:r>
    </w:p>
    <w:p w14:paraId="6ACCA0D8" w14:textId="40953EFC" w:rsidR="00043769" w:rsidRDefault="00000000">
      <w:r>
        <w:lastRenderedPageBreak/>
        <w:t>Mass adopters may be driven away by premium pricing.  Hence, RB should provide differentiated prices and reduced-size packs and conduct specific promotions</w:t>
      </w:r>
      <w:r w:rsidR="00F84E84">
        <w:t xml:space="preserve"> (</w:t>
      </w:r>
      <w:r w:rsidR="00F84E84" w:rsidRPr="00F84E84">
        <w:t>Kuptsova</w:t>
      </w:r>
      <w:r w:rsidR="00F84E84">
        <w:t xml:space="preserve"> et al., </w:t>
      </w:r>
      <w:r w:rsidR="00F84E84" w:rsidRPr="00F84E84">
        <w:t>2021</w:t>
      </w:r>
      <w:r w:rsidR="00F84E84">
        <w:t>)</w:t>
      </w:r>
      <w:r>
        <w:t xml:space="preserve">.  </w:t>
      </w:r>
    </w:p>
    <w:p w14:paraId="474374A2" w14:textId="77777777" w:rsidR="00043769" w:rsidRPr="000801F1" w:rsidRDefault="00000000">
      <w:pPr>
        <w:rPr>
          <w:b/>
          <w:bCs/>
        </w:rPr>
      </w:pPr>
      <w:r w:rsidRPr="000801F1">
        <w:rPr>
          <w:b/>
          <w:bCs/>
        </w:rPr>
        <w:t xml:space="preserve">Logistical Challenges  </w:t>
      </w:r>
    </w:p>
    <w:p w14:paraId="01DE3B1B" w14:textId="77777777" w:rsidR="00043769" w:rsidRDefault="00000000">
      <w:r>
        <w:t>The problem of distribution gaps in rural locations exists. Therefore, RB should collaborate with national distributors and invest in the last-mile delivery infrastructure (Varadarajan, 2020).</w:t>
      </w:r>
    </w:p>
    <w:p w14:paraId="06B711E7" w14:textId="77777777" w:rsidR="00043769" w:rsidRDefault="00000000">
      <w:r>
        <w:br w:type="page"/>
      </w:r>
    </w:p>
    <w:p w14:paraId="38368F54" w14:textId="77777777" w:rsidR="00043769" w:rsidRDefault="00000000">
      <w:pPr>
        <w:pStyle w:val="Heading1"/>
      </w:pPr>
      <w:bookmarkStart w:id="37" w:name="_Toc217119455"/>
      <w:bookmarkStart w:id="38" w:name="_Toc217231374"/>
      <w:r>
        <w:lastRenderedPageBreak/>
        <w:t>Section 4: Performance Evaluation Framework</w:t>
      </w:r>
      <w:bookmarkEnd w:id="37"/>
      <w:bookmarkEnd w:id="38"/>
      <w:r>
        <w:t xml:space="preserve"> </w:t>
      </w:r>
    </w:p>
    <w:p w14:paraId="20255D23" w14:textId="0D41FEEC" w:rsidR="00043769" w:rsidRDefault="00F84E84">
      <w:pPr>
        <w:rPr>
          <w:b/>
        </w:rPr>
      </w:pPr>
      <w:r>
        <w:t xml:space="preserve">A performance analysis framework cannot be ignored when establishing the effectiveness and feasibility of Reckitt Benckiser's expansion strategy in the Vietnamese market. Since it has multidimensional goals, this section suggests implementing a Balanced Scorecard (BSC) and Triple Bottom Line (TBL) approach (Kabue and Kilika, 2016). </w:t>
      </w:r>
    </w:p>
    <w:p w14:paraId="5472D677" w14:textId="77777777" w:rsidR="00043769" w:rsidRDefault="00000000">
      <w:pPr>
        <w:pStyle w:val="Heading2"/>
      </w:pPr>
      <w:bookmarkStart w:id="39" w:name="_Toc217119456"/>
      <w:bookmarkStart w:id="40" w:name="_Toc217231375"/>
      <w:r>
        <w:t>4.1 The Balanced Scorecard Framework</w:t>
      </w:r>
      <w:bookmarkEnd w:id="39"/>
      <w:bookmarkEnd w:id="40"/>
    </w:p>
    <w:p w14:paraId="70915125" w14:textId="7ED6E50D" w:rsidR="00B86B36" w:rsidRDefault="00B86B36" w:rsidP="00B86B36">
      <w:pPr>
        <w:rPr>
          <w:lang w:eastAsia="en-US"/>
        </w:rPr>
      </w:pPr>
      <w:r w:rsidRPr="00B86B36">
        <w:rPr>
          <w:lang w:eastAsia="en-US"/>
        </w:rPr>
        <w:t xml:space="preserve">Balanced Scorecard is a multi-dimensional instrument of strategic measurements, which were invented in 1996 by Kaplan and Norton </w:t>
      </w:r>
      <w:r w:rsidR="00230BB4" w:rsidRPr="00230BB4">
        <w:rPr>
          <w:lang w:eastAsia="en-US"/>
        </w:rPr>
        <w:t>(Norton and Kaplan, 2018)</w:t>
      </w:r>
      <w:r w:rsidRPr="00B86B36">
        <w:rPr>
          <w:lang w:eastAsia="en-US"/>
        </w:rPr>
        <w:t>. It is a framework that defines evaluation perspectives in four areas, that is, Financial, Customer, Internal Business Processes, and Learning and Growth (Oviatt and McDougall, 2018).</w:t>
      </w:r>
    </w:p>
    <w:p w14:paraId="5E7D51BD" w14:textId="6278FE6A" w:rsidR="00732917" w:rsidRDefault="00F875AB" w:rsidP="00F875AB">
      <w:pPr>
        <w:jc w:val="center"/>
        <w:rPr>
          <w:lang w:eastAsia="en-US"/>
        </w:rPr>
      </w:pPr>
      <w:r>
        <w:rPr>
          <w:noProof/>
          <w:lang w:eastAsia="en-US"/>
        </w:rPr>
        <w:drawing>
          <wp:inline distT="0" distB="0" distL="0" distR="0" wp14:anchorId="3365D670" wp14:editId="1D530A6C">
            <wp:extent cx="5364480" cy="3017520"/>
            <wp:effectExtent l="0" t="0" r="7620" b="0"/>
            <wp:docPr id="12854608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4480" cy="3017520"/>
                    </a:xfrm>
                    <a:prstGeom prst="rect">
                      <a:avLst/>
                    </a:prstGeom>
                    <a:noFill/>
                  </pic:spPr>
                </pic:pic>
              </a:graphicData>
            </a:graphic>
          </wp:inline>
        </w:drawing>
      </w:r>
    </w:p>
    <w:p w14:paraId="0A1A3C88" w14:textId="3085AD2B" w:rsidR="00F875AB" w:rsidRDefault="00F875AB" w:rsidP="00F875AB">
      <w:pPr>
        <w:jc w:val="center"/>
        <w:rPr>
          <w:lang w:eastAsia="en-US"/>
        </w:rPr>
      </w:pPr>
      <w:r>
        <w:rPr>
          <w:lang w:eastAsia="en-US"/>
        </w:rPr>
        <w:t xml:space="preserve">Figure 07-Balanced Scorecard </w:t>
      </w:r>
    </w:p>
    <w:p w14:paraId="26850753" w14:textId="2D5E6B4F" w:rsidR="0004294E" w:rsidRPr="00B86B36" w:rsidRDefault="0004294E" w:rsidP="00F875AB">
      <w:pPr>
        <w:jc w:val="center"/>
        <w:rPr>
          <w:lang w:eastAsia="en-US"/>
        </w:rPr>
      </w:pPr>
      <w:r>
        <w:rPr>
          <w:lang w:eastAsia="en-US"/>
        </w:rPr>
        <w:t xml:space="preserve">Source: </w:t>
      </w:r>
      <w:r w:rsidRPr="0004294E">
        <w:rPr>
          <w:lang w:eastAsia="en-US"/>
        </w:rPr>
        <w:t>(Singh, 2024)</w:t>
      </w:r>
    </w:p>
    <w:p w14:paraId="42CA438C" w14:textId="77777777" w:rsidR="00043769" w:rsidRPr="000801F1" w:rsidRDefault="00000000">
      <w:pPr>
        <w:rPr>
          <w:b/>
          <w:bCs/>
        </w:rPr>
      </w:pPr>
      <w:r w:rsidRPr="000801F1">
        <w:rPr>
          <w:b/>
          <w:bCs/>
        </w:rPr>
        <w:t>Financial Perspective</w:t>
      </w:r>
    </w:p>
    <w:p w14:paraId="648E355D" w14:textId="2994E670" w:rsidR="00043769" w:rsidRDefault="00E03A29">
      <w:r>
        <w:t>Financial goal in Vietnam is to achieve profitability and increase market share</w:t>
      </w:r>
      <w:r w:rsidR="000C5F74">
        <w:t xml:space="preserve"> </w:t>
      </w:r>
      <w:r w:rsidR="000C5F74" w:rsidRPr="000C5F74">
        <w:t>(Singh, 2024)</w:t>
      </w:r>
      <w:r>
        <w:t xml:space="preserve">. The main KPIs are the rate of annual revenue growth in Vietnam as a percentage of the growth, market share in health and hygiene markets, operating profit margin, and </w:t>
      </w:r>
      <w:r>
        <w:lastRenderedPageBreak/>
        <w:t xml:space="preserve">the ratio of cost and efficiency in production and logistics costs divided by revenue </w:t>
      </w:r>
      <w:r w:rsidR="00230BB4">
        <w:t>(</w:t>
      </w:r>
      <w:r w:rsidR="00230BB4">
        <w:rPr>
          <w:shd w:val="clear" w:color="auto" w:fill="FFFFFF"/>
        </w:rPr>
        <w:t>Kopecká, 2017)</w:t>
      </w:r>
      <w:r>
        <w:t>. However, RB’s short-term goals are to attain an average annual revenue growth rate of 10-12% within three years and attain a market share of 5% by Year Five</w:t>
      </w:r>
      <w:r w:rsidR="00F84E84">
        <w:t xml:space="preserve"> (</w:t>
      </w:r>
      <w:r w:rsidR="00F84E84" w:rsidRPr="00F84E84">
        <w:t>Goss, 2024</w:t>
      </w:r>
      <w:r w:rsidR="00F84E84">
        <w:t>)</w:t>
      </w:r>
      <w:r>
        <w:t>.</w:t>
      </w:r>
    </w:p>
    <w:p w14:paraId="3EA21304" w14:textId="77777777" w:rsidR="00043769" w:rsidRPr="000801F1" w:rsidRDefault="00000000">
      <w:pPr>
        <w:rPr>
          <w:b/>
          <w:bCs/>
        </w:rPr>
      </w:pPr>
      <w:r w:rsidRPr="000801F1">
        <w:rPr>
          <w:b/>
          <w:bCs/>
        </w:rPr>
        <w:t>Customer Perspective</w:t>
      </w:r>
    </w:p>
    <w:p w14:paraId="6AC05F4F" w14:textId="7D671DBD" w:rsidR="00043769" w:rsidRDefault="00000000">
      <w:r>
        <w:t>Here, the strategy is to develop strong brand equity and customer loyalty by differentiating and gaining earned trust</w:t>
      </w:r>
      <w:r w:rsidR="002B19A8">
        <w:t xml:space="preserve"> (</w:t>
      </w:r>
      <w:r w:rsidR="002B19A8" w:rsidRPr="002B19A8">
        <w:t>Shams</w:t>
      </w:r>
      <w:r w:rsidR="002B19A8">
        <w:t xml:space="preserve"> et al., </w:t>
      </w:r>
      <w:r w:rsidR="002B19A8" w:rsidRPr="002B19A8">
        <w:t>2021</w:t>
      </w:r>
      <w:r w:rsidR="002B19A8">
        <w:t>)</w:t>
      </w:r>
      <w:r>
        <w:t>. The KPIs are awareness and preference scores based on market surveys, the level of customer satisfaction expressed in Net Promoter Score, e-commerce conversion rates and repeat purchases, and the percentage of sales, which remain counterfeit-free quality assurance levels (Norton and Kaplan, 2018). Therefore, RB has to achieve 80% brand awareness in the urban markets and a customer satisfaction rating of above 85</w:t>
      </w:r>
      <w:r w:rsidR="00F84E84">
        <w:t xml:space="preserve"> </w:t>
      </w:r>
      <w:r w:rsidR="00230BB4" w:rsidRPr="00230BB4">
        <w:t>(Ken Research, 2024)</w:t>
      </w:r>
      <w:r>
        <w:t>.</w:t>
      </w:r>
    </w:p>
    <w:p w14:paraId="71155840" w14:textId="77777777" w:rsidR="00043769" w:rsidRPr="000801F1" w:rsidRDefault="00000000">
      <w:pPr>
        <w:rPr>
          <w:b/>
          <w:bCs/>
        </w:rPr>
      </w:pPr>
      <w:r w:rsidRPr="000801F1">
        <w:rPr>
          <w:b/>
          <w:bCs/>
        </w:rPr>
        <w:t>Internal Business Process Perspective</w:t>
      </w:r>
    </w:p>
    <w:p w14:paraId="5AE7876F" w14:textId="23B29586" w:rsidR="00043769" w:rsidRDefault="00000000">
      <w:r>
        <w:t>Here, the goal is to achieve effective, compliant, and innovative processes of operation</w:t>
      </w:r>
      <w:r w:rsidR="000C5F74">
        <w:t xml:space="preserve"> </w:t>
      </w:r>
      <w:r w:rsidR="000C5F74" w:rsidRPr="000C5F74">
        <w:t>(Singh, 2024)</w:t>
      </w:r>
      <w:r>
        <w:t>. KPIs include time to market regarding the launch of new products, the number of local supplier relationships that have been formed, a score on regulatory compliance</w:t>
      </w:r>
      <w:r w:rsidR="000C5F74">
        <w:t xml:space="preserve"> </w:t>
      </w:r>
      <w:r w:rsidR="000C5F74" w:rsidRPr="00230BB4">
        <w:t>(Norton and Kaplan, 2018)</w:t>
      </w:r>
      <w:r>
        <w:t>, such as audits passed, and the rate of recyclable or environmentally friendly packaging that has been used. The goal will be achieved by ensuring 95% regulatory compliance, 80% local sourcing, and a complete eco-packaging rollout by Year four</w:t>
      </w:r>
      <w:r w:rsidR="00F84E84">
        <w:t xml:space="preserve"> (</w:t>
      </w:r>
      <w:r w:rsidR="00F84E84" w:rsidRPr="00F84E84">
        <w:t>Kuptsova</w:t>
      </w:r>
      <w:r w:rsidR="00F84E84">
        <w:t xml:space="preserve"> et al., </w:t>
      </w:r>
      <w:r w:rsidR="00F84E84" w:rsidRPr="00F84E84">
        <w:t>2021</w:t>
      </w:r>
      <w:r w:rsidR="00F84E84">
        <w:t>)</w:t>
      </w:r>
      <w:r>
        <w:t>.</w:t>
      </w:r>
    </w:p>
    <w:p w14:paraId="7F4394A6" w14:textId="77777777" w:rsidR="00043769" w:rsidRPr="000801F1" w:rsidRDefault="00000000">
      <w:pPr>
        <w:rPr>
          <w:b/>
          <w:bCs/>
        </w:rPr>
      </w:pPr>
      <w:r w:rsidRPr="000801F1">
        <w:rPr>
          <w:b/>
          <w:bCs/>
        </w:rPr>
        <w:t>Learning and Growth Perspective</w:t>
      </w:r>
    </w:p>
    <w:p w14:paraId="5EAA90A6" w14:textId="1282A7D7" w:rsidR="00043769" w:rsidRDefault="00000000">
      <w:r>
        <w:t>There is a need to develop talent, improve innovation and augment organisational agility. The key performance indicators cover the engagement and retention rate among the employees</w:t>
      </w:r>
      <w:r w:rsidR="000C5F74">
        <w:t xml:space="preserve"> </w:t>
      </w:r>
      <w:r w:rsidR="000C5F74" w:rsidRPr="000C5F74">
        <w:t>(Singh, 2024)</w:t>
      </w:r>
      <w:r>
        <w:t xml:space="preserve">, the hours of the annual training per employee, the number of local-specific product innovations, and a digital transformation index, as it will incorporate the use of analytics and the integration of e-commerce (Feldman, 2020). </w:t>
      </w:r>
    </w:p>
    <w:p w14:paraId="507C2352" w14:textId="77777777" w:rsidR="00043769" w:rsidRDefault="00000000">
      <w:pPr>
        <w:pStyle w:val="Heading2"/>
      </w:pPr>
      <w:bookmarkStart w:id="41" w:name="_Toc217119457"/>
      <w:bookmarkStart w:id="42" w:name="_Toc217231376"/>
      <w:r>
        <w:lastRenderedPageBreak/>
        <w:t>4.2 Triple Bottom Line (TBL) Integration</w:t>
      </w:r>
      <w:bookmarkEnd w:id="41"/>
      <w:bookmarkEnd w:id="42"/>
    </w:p>
    <w:p w14:paraId="4563D3A9" w14:textId="12B088EF" w:rsidR="00043769" w:rsidRDefault="00000000">
      <w:r>
        <w:t>The Balanced Scorecard takes into consideration the TBL metrics, namely People, Planet, and Profit</w:t>
      </w:r>
      <w:r w:rsidR="00F84E84">
        <w:t>,</w:t>
      </w:r>
      <w:r>
        <w:t xml:space="preserve"> to guarantee that RB will expand not solely profitably, but also being a socially and environmentally responsible company</w:t>
      </w:r>
      <w:r w:rsidR="00F84E84">
        <w:t xml:space="preserve"> </w:t>
      </w:r>
      <w:r w:rsidR="00230BB4">
        <w:t>(</w:t>
      </w:r>
      <w:r w:rsidR="00230BB4" w:rsidRPr="00230BB4">
        <w:t>Fauzi</w:t>
      </w:r>
      <w:r w:rsidR="00230BB4">
        <w:t xml:space="preserve"> et al., 2010)</w:t>
      </w:r>
      <w:r>
        <w:t>.</w:t>
      </w:r>
    </w:p>
    <w:tbl>
      <w:tblPr>
        <w:tblStyle w:val="TableGrid"/>
        <w:tblW w:w="0" w:type="auto"/>
        <w:tblLook w:val="04A0" w:firstRow="1" w:lastRow="0" w:firstColumn="1" w:lastColumn="0" w:noHBand="0" w:noVBand="1"/>
      </w:tblPr>
      <w:tblGrid>
        <w:gridCol w:w="2099"/>
        <w:gridCol w:w="2567"/>
        <w:gridCol w:w="4684"/>
      </w:tblGrid>
      <w:tr w:rsidR="00043769" w14:paraId="480255D3" w14:textId="77777777" w:rsidTr="000801F1">
        <w:tc>
          <w:tcPr>
            <w:tcW w:w="0" w:type="auto"/>
          </w:tcPr>
          <w:p w14:paraId="21BBD031" w14:textId="6C0E4ECB" w:rsidR="00043769" w:rsidRPr="000801F1" w:rsidRDefault="00000000" w:rsidP="000801F1">
            <w:pPr>
              <w:jc w:val="center"/>
              <w:rPr>
                <w:b/>
                <w:bCs/>
              </w:rPr>
            </w:pPr>
            <w:r w:rsidRPr="000801F1">
              <w:rPr>
                <w:b/>
                <w:bCs/>
              </w:rPr>
              <w:t>Dimension</w:t>
            </w:r>
          </w:p>
        </w:tc>
        <w:tc>
          <w:tcPr>
            <w:tcW w:w="0" w:type="auto"/>
          </w:tcPr>
          <w:p w14:paraId="3D2E9A74" w14:textId="7BF1B3B5" w:rsidR="00043769" w:rsidRPr="000801F1" w:rsidRDefault="00000000" w:rsidP="000801F1">
            <w:pPr>
              <w:jc w:val="center"/>
              <w:rPr>
                <w:b/>
                <w:bCs/>
              </w:rPr>
            </w:pPr>
            <w:r w:rsidRPr="000801F1">
              <w:rPr>
                <w:b/>
                <w:bCs/>
              </w:rPr>
              <w:t>Strategic Focus</w:t>
            </w:r>
          </w:p>
        </w:tc>
        <w:tc>
          <w:tcPr>
            <w:tcW w:w="0" w:type="auto"/>
          </w:tcPr>
          <w:p w14:paraId="3FE825E3" w14:textId="0288319A" w:rsidR="00043769" w:rsidRPr="000801F1" w:rsidRDefault="00000000" w:rsidP="000801F1">
            <w:pPr>
              <w:jc w:val="center"/>
              <w:rPr>
                <w:b/>
                <w:bCs/>
              </w:rPr>
            </w:pPr>
            <w:r w:rsidRPr="000801F1">
              <w:rPr>
                <w:b/>
                <w:bCs/>
              </w:rPr>
              <w:t>Sample indicators</w:t>
            </w:r>
          </w:p>
        </w:tc>
      </w:tr>
      <w:tr w:rsidR="00043769" w14:paraId="7988A07A" w14:textId="77777777" w:rsidTr="000801F1">
        <w:tc>
          <w:tcPr>
            <w:tcW w:w="0" w:type="auto"/>
          </w:tcPr>
          <w:p w14:paraId="1CA349C2" w14:textId="77777777" w:rsidR="00043769" w:rsidRDefault="00000000">
            <w:r>
              <w:t>People (Social)</w:t>
            </w:r>
          </w:p>
        </w:tc>
        <w:tc>
          <w:tcPr>
            <w:tcW w:w="0" w:type="auto"/>
          </w:tcPr>
          <w:p w14:paraId="3F51639B" w14:textId="77777777" w:rsidR="00043769" w:rsidRDefault="00000000">
            <w:r>
              <w:t>Enhancing community health and well-being.</w:t>
            </w:r>
          </w:p>
        </w:tc>
        <w:tc>
          <w:tcPr>
            <w:tcW w:w="0" w:type="auto"/>
          </w:tcPr>
          <w:p w14:paraId="3066F9C4" w14:textId="176D4D4F" w:rsidR="00043769" w:rsidRDefault="00000000">
            <w:r>
              <w:t>Introduction of hygiene education programmes; number of beneficiaries reached; workplace diversity ratio</w:t>
            </w:r>
            <w:r w:rsidR="000D606B">
              <w:t xml:space="preserve"> (</w:t>
            </w:r>
            <w:r w:rsidR="000D606B" w:rsidRPr="000D606B">
              <w:t>Adams</w:t>
            </w:r>
            <w:r w:rsidR="000D606B">
              <w:t xml:space="preserve"> et al., </w:t>
            </w:r>
            <w:r w:rsidR="000C5F74">
              <w:t>2013)</w:t>
            </w:r>
            <w:r>
              <w:t>.</w:t>
            </w:r>
          </w:p>
        </w:tc>
      </w:tr>
      <w:tr w:rsidR="00043769" w14:paraId="645EF6C7" w14:textId="77777777" w:rsidTr="000801F1">
        <w:tc>
          <w:tcPr>
            <w:tcW w:w="0" w:type="auto"/>
          </w:tcPr>
          <w:p w14:paraId="09816514" w14:textId="77777777" w:rsidR="00043769" w:rsidRDefault="00000000">
            <w:r>
              <w:t>Planet (Environmental)</w:t>
            </w:r>
          </w:p>
        </w:tc>
        <w:tc>
          <w:tcPr>
            <w:tcW w:w="0" w:type="auto"/>
          </w:tcPr>
          <w:p w14:paraId="440F7460" w14:textId="77777777" w:rsidR="00043769" w:rsidRDefault="00000000">
            <w:r>
              <w:t>Increasing the sustainable operations and packaging.</w:t>
            </w:r>
          </w:p>
        </w:tc>
        <w:tc>
          <w:tcPr>
            <w:tcW w:w="0" w:type="auto"/>
          </w:tcPr>
          <w:p w14:paraId="1FF064FD" w14:textId="57420C53" w:rsidR="00043769" w:rsidRDefault="00000000">
            <w:r>
              <w:t>The decrease in CO</w:t>
            </w:r>
            <w:r>
              <w:rPr>
                <w:vertAlign w:val="subscript"/>
              </w:rPr>
              <w:t>2</w:t>
            </w:r>
            <w:r>
              <w:t xml:space="preserve"> emissions, </w:t>
            </w:r>
            <w:r w:rsidR="00C12B0A">
              <w:t xml:space="preserve">the </w:t>
            </w:r>
            <w:r>
              <w:t>percentage of recyclable packaging, and the ratio of waste to unit.</w:t>
            </w:r>
          </w:p>
        </w:tc>
      </w:tr>
      <w:tr w:rsidR="00043769" w14:paraId="4812C817" w14:textId="77777777" w:rsidTr="000801F1">
        <w:tc>
          <w:tcPr>
            <w:tcW w:w="0" w:type="auto"/>
          </w:tcPr>
          <w:p w14:paraId="2A2E2B54" w14:textId="77777777" w:rsidR="00043769" w:rsidRDefault="00000000">
            <w:r>
              <w:t>Profit (Economic)</w:t>
            </w:r>
          </w:p>
        </w:tc>
        <w:tc>
          <w:tcPr>
            <w:tcW w:w="0" w:type="auto"/>
          </w:tcPr>
          <w:p w14:paraId="4840F2BB" w14:textId="77777777" w:rsidR="00043769" w:rsidRDefault="00000000">
            <w:r>
              <w:t>Developing profitable and responsible growth.</w:t>
            </w:r>
          </w:p>
        </w:tc>
        <w:tc>
          <w:tcPr>
            <w:tcW w:w="0" w:type="auto"/>
          </w:tcPr>
          <w:p w14:paraId="7EACD921" w14:textId="7FB23F9B" w:rsidR="00043769" w:rsidRDefault="00000000">
            <w:r>
              <w:t>Revenue and margin plans, reinvestment of the local innovation and corporate social responsibility</w:t>
            </w:r>
            <w:r w:rsidR="000C5F74">
              <w:t xml:space="preserve"> </w:t>
            </w:r>
            <w:r w:rsidR="000C5F74">
              <w:t>(</w:t>
            </w:r>
            <w:r w:rsidR="000C5F74" w:rsidRPr="000D606B">
              <w:t>Adams</w:t>
            </w:r>
            <w:r w:rsidR="000C5F74">
              <w:t xml:space="preserve"> et al., 2013)</w:t>
            </w:r>
            <w:r>
              <w:t>.</w:t>
            </w:r>
          </w:p>
        </w:tc>
      </w:tr>
    </w:tbl>
    <w:p w14:paraId="0780F5E9" w14:textId="77777777" w:rsidR="00043769" w:rsidRDefault="00000000">
      <w:r>
        <w:t>Such alignment will make the success of RB in Vietnam serve the goal of national development and the United Nations Sustainable Development Goals (SDGs), especially SDG3 (Good Health and Well-Being) and SDG12 (Responsible Consumption and Production) (Kuptsova et al., 2021).</w:t>
      </w:r>
    </w:p>
    <w:p w14:paraId="796693E1" w14:textId="77777777" w:rsidR="00043769" w:rsidRDefault="00000000">
      <w:pPr>
        <w:pStyle w:val="Heading2"/>
      </w:pPr>
      <w:bookmarkStart w:id="43" w:name="_Toc217119458"/>
      <w:bookmarkStart w:id="44" w:name="_Toc217231377"/>
      <w:r>
        <w:t>4.3 Monitoring and Mechanisms of Governance</w:t>
      </w:r>
      <w:bookmarkEnd w:id="43"/>
      <w:bookmarkEnd w:id="44"/>
    </w:p>
    <w:p w14:paraId="6F440D54" w14:textId="2EBC005F" w:rsidR="00043769" w:rsidRDefault="00000000">
      <w:r>
        <w:t>The Vietnam Strategic Business Unit (SBU) will be operationalised to implement the Balanced Scorecard and quarterly report performance to the Asia-Pacific regional office</w:t>
      </w:r>
      <w:r w:rsidR="00C12B0A">
        <w:t xml:space="preserve"> (</w:t>
      </w:r>
      <w:r w:rsidR="00C12B0A" w:rsidRPr="00C12B0A">
        <w:t>Shams</w:t>
      </w:r>
      <w:r w:rsidR="00C12B0A">
        <w:t xml:space="preserve"> et al., </w:t>
      </w:r>
      <w:r w:rsidR="00C12B0A" w:rsidRPr="00C12B0A">
        <w:t>2021)</w:t>
      </w:r>
      <w:r>
        <w:t xml:space="preserve">. Key performance indicators will be observed by real-time data dashboards that will allow identifying the performance gap early (WARC, 2024). Social and environmental metrics will be checked with respect to the annual sustainability audits. Managers will be rewarded via performance-based concepts based on the meeting of the </w:t>
      </w:r>
      <w:r>
        <w:lastRenderedPageBreak/>
        <w:t>financial and ESG targets</w:t>
      </w:r>
      <w:r w:rsidR="00C12B0A">
        <w:t xml:space="preserve"> (</w:t>
      </w:r>
      <w:r w:rsidR="00C12B0A" w:rsidRPr="00C12B0A">
        <w:t>Norton and Kaplan, 2018</w:t>
      </w:r>
      <w:r w:rsidR="00C12B0A">
        <w:t>)</w:t>
      </w:r>
      <w:r>
        <w:t>. Such governance mechanisms enhance accountability, transparency, and agility -some of the pillars of strategic momentum in a proactive emerging market.</w:t>
      </w:r>
      <w:r>
        <w:br w:type="page"/>
      </w:r>
    </w:p>
    <w:p w14:paraId="20C0539E" w14:textId="77777777" w:rsidR="00043769" w:rsidRDefault="00000000">
      <w:pPr>
        <w:pStyle w:val="Heading1"/>
      </w:pPr>
      <w:bookmarkStart w:id="45" w:name="_Toc217119459"/>
      <w:bookmarkStart w:id="46" w:name="_Toc217231378"/>
      <w:r>
        <w:lastRenderedPageBreak/>
        <w:t>Conclusion</w:t>
      </w:r>
      <w:bookmarkEnd w:id="45"/>
      <w:bookmarkEnd w:id="46"/>
    </w:p>
    <w:p w14:paraId="0D5490DE" w14:textId="0B2CBE0A" w:rsidR="00043769" w:rsidRDefault="00B86B36">
      <w:r>
        <w:t>To conclude, environment analysis revealed a favourable market condition for expansion of RB in Vietnam. Though the competitive forces were active</w:t>
      </w:r>
      <w:r w:rsidR="00423E14">
        <w:t xml:space="preserve">, GSK has strengths that will provide the company with competitive advantage in Vietnam market. Based on insights from environment analysis, competitive analysis and OLI factors, joint venture is recommended for RB to expand in Vietnam. </w:t>
      </w:r>
      <w:r>
        <w:t xml:space="preserve">The merger between the Balanced Scorecard and the Triple Bottom Line concepts will provide Reckitt Benckiser with the overall framework through which it can assess the effectiveness of its growth strategy in Vietnam. The juxtaposition of the financial discipline, operational excellence, customer satisfaction, and sustainability can enable this firm to track the short-term as well as the long-term effects. </w:t>
      </w:r>
    </w:p>
    <w:p w14:paraId="00465E88" w14:textId="77777777" w:rsidR="00043769" w:rsidRDefault="00000000">
      <w:pPr>
        <w:spacing w:after="160" w:line="259" w:lineRule="auto"/>
        <w:jc w:val="left"/>
      </w:pPr>
      <w:r>
        <w:br w:type="page"/>
      </w:r>
    </w:p>
    <w:p w14:paraId="26A53EA1" w14:textId="77777777" w:rsidR="00043769" w:rsidRDefault="00000000">
      <w:pPr>
        <w:pStyle w:val="Heading1"/>
      </w:pPr>
      <w:bookmarkStart w:id="47" w:name="_Toc217119460"/>
      <w:bookmarkStart w:id="48" w:name="_Toc217231379"/>
      <w:r>
        <w:lastRenderedPageBreak/>
        <w:t>References</w:t>
      </w:r>
      <w:bookmarkEnd w:id="47"/>
      <w:bookmarkEnd w:id="48"/>
      <w:r>
        <w:t xml:space="preserve"> </w:t>
      </w:r>
    </w:p>
    <w:p w14:paraId="6BFD659B" w14:textId="77777777" w:rsidR="000C5F74" w:rsidRDefault="000C5F74" w:rsidP="000C5F74">
      <w:pPr>
        <w:numPr>
          <w:ilvl w:val="0"/>
          <w:numId w:val="4"/>
        </w:numPr>
      </w:pPr>
      <w:r>
        <w:rPr>
          <w:shd w:val="clear" w:color="auto" w:fill="FFFFFF"/>
        </w:rPr>
        <w:t>Adams, C., Frost, G. and Webber, W., (2013). Triple bottom line: A review of the literature. </w:t>
      </w:r>
      <w:r>
        <w:rPr>
          <w:i/>
          <w:iCs/>
          <w:shd w:val="clear" w:color="auto" w:fill="FFFFFF"/>
        </w:rPr>
        <w:t>The triple bottom line</w:t>
      </w:r>
      <w:r>
        <w:rPr>
          <w:shd w:val="clear" w:color="auto" w:fill="FFFFFF"/>
        </w:rPr>
        <w:t>, pp.17-25.</w:t>
      </w:r>
    </w:p>
    <w:p w14:paraId="70564434" w14:textId="66BCE573" w:rsidR="0004294E" w:rsidRDefault="0004294E" w:rsidP="0004294E">
      <w:pPr>
        <w:numPr>
          <w:ilvl w:val="0"/>
          <w:numId w:val="4"/>
        </w:numPr>
      </w:pPr>
      <w:r>
        <w:t>Bruijl, D. G. H. T. (2018). The relevance of Porter's five forces in today's innovative and changing business environment. </w:t>
      </w:r>
      <w:r>
        <w:rPr>
          <w:i/>
          <w:iCs/>
        </w:rPr>
        <w:t>Available at SSRN 3192207</w:t>
      </w:r>
      <w:r>
        <w:t>.</w:t>
      </w:r>
    </w:p>
    <w:p w14:paraId="388368B1" w14:textId="77777777" w:rsidR="0004294E" w:rsidRPr="009262AA" w:rsidRDefault="0004294E" w:rsidP="0004294E">
      <w:pPr>
        <w:numPr>
          <w:ilvl w:val="0"/>
          <w:numId w:val="4"/>
        </w:numPr>
        <w:rPr>
          <w:lang w:bidi="bn-BD"/>
        </w:rPr>
      </w:pPr>
      <w:r w:rsidRPr="009262AA">
        <w:rPr>
          <w:lang w:bidi="bn-BD"/>
        </w:rPr>
        <w:t xml:space="preserve">DCF Modeling (2024). </w:t>
      </w:r>
      <w:r w:rsidRPr="009262AA">
        <w:rPr>
          <w:i/>
          <w:iCs/>
          <w:lang w:bidi="bn-BD"/>
        </w:rPr>
        <w:t>Breaking Down Reckitt Benckiser Group plc Financial Health: Key Insights for Investors</w:t>
      </w:r>
      <w:r w:rsidRPr="009262AA">
        <w:rPr>
          <w:lang w:bidi="bn-BD"/>
        </w:rPr>
        <w:t>. [online] DCF, SWOT, CANVAS, PESTEL, BCG Editable Templates. Available at: https://dcfmodeling.com/blogs/health/rktl-financial-health [Accessed 20 Dec. 2025].</w:t>
      </w:r>
    </w:p>
    <w:p w14:paraId="24541410" w14:textId="77777777" w:rsidR="0004294E" w:rsidRDefault="0004294E" w:rsidP="0004294E">
      <w:pPr>
        <w:numPr>
          <w:ilvl w:val="0"/>
          <w:numId w:val="4"/>
        </w:numPr>
      </w:pPr>
      <w:bookmarkStart w:id="49" w:name="_Hlk212972466"/>
      <w:r>
        <w:t>Dess, G. G., Lumpkin, G. T., Eisner, A. B., and McNamara, G. (2014). </w:t>
      </w:r>
      <w:bookmarkEnd w:id="49"/>
      <w:r>
        <w:rPr>
          <w:i/>
          <w:iCs/>
        </w:rPr>
        <w:t>Strategic management: Text and cases</w:t>
      </w:r>
      <w:r>
        <w:t> (Vol. 2). New York: McGraw-Hill Education.</w:t>
      </w:r>
    </w:p>
    <w:p w14:paraId="48926169" w14:textId="77777777" w:rsidR="0004294E" w:rsidRDefault="0004294E" w:rsidP="0004294E">
      <w:pPr>
        <w:numPr>
          <w:ilvl w:val="0"/>
          <w:numId w:val="4"/>
        </w:numPr>
      </w:pPr>
      <w:bookmarkStart w:id="50" w:name="_Hlk212972166"/>
      <w:r>
        <w:t>Dhir, S., and Dhir, S. (2015</w:t>
      </w:r>
      <w:bookmarkEnd w:id="50"/>
      <w:r>
        <w:t>). Diversification: Literature review and issues. </w:t>
      </w:r>
      <w:r>
        <w:rPr>
          <w:i/>
          <w:iCs/>
        </w:rPr>
        <w:t>Strategic Change</w:t>
      </w:r>
      <w:r>
        <w:t>, </w:t>
      </w:r>
      <w:r>
        <w:rPr>
          <w:i/>
          <w:iCs/>
        </w:rPr>
        <w:t>24</w:t>
      </w:r>
      <w:r>
        <w:t>(6), 569-588.</w:t>
      </w:r>
    </w:p>
    <w:p w14:paraId="32AFCA71" w14:textId="77777777" w:rsidR="0004294E" w:rsidRDefault="0004294E" w:rsidP="0004294E">
      <w:pPr>
        <w:numPr>
          <w:ilvl w:val="0"/>
          <w:numId w:val="4"/>
        </w:numPr>
      </w:pPr>
      <w:r>
        <w:rPr>
          <w:shd w:val="clear" w:color="auto" w:fill="FFFFFF"/>
        </w:rPr>
        <w:t>Fauzi, H., Svensson, G. and Rahman, A.A., (2010). “Triple bottom line” as “Sustainable corporate performance”: A proposition for the future. </w:t>
      </w:r>
      <w:r>
        <w:rPr>
          <w:i/>
          <w:iCs/>
          <w:shd w:val="clear" w:color="auto" w:fill="FFFFFF"/>
        </w:rPr>
        <w:t>Sustainability</w:t>
      </w:r>
      <w:r>
        <w:rPr>
          <w:shd w:val="clear" w:color="auto" w:fill="FFFFFF"/>
        </w:rPr>
        <w:t>, </w:t>
      </w:r>
      <w:r>
        <w:rPr>
          <w:i/>
          <w:iCs/>
          <w:shd w:val="clear" w:color="auto" w:fill="FFFFFF"/>
        </w:rPr>
        <w:t>2</w:t>
      </w:r>
      <w:r>
        <w:rPr>
          <w:shd w:val="clear" w:color="auto" w:fill="FFFFFF"/>
        </w:rPr>
        <w:t>(5), pp.1345-1360.</w:t>
      </w:r>
    </w:p>
    <w:p w14:paraId="1CF62DF7" w14:textId="77777777" w:rsidR="0004294E" w:rsidRDefault="0004294E" w:rsidP="0004294E">
      <w:pPr>
        <w:numPr>
          <w:ilvl w:val="0"/>
          <w:numId w:val="4"/>
        </w:numPr>
      </w:pPr>
      <w:bookmarkStart w:id="51" w:name="_Hlk212972272"/>
      <w:r>
        <w:t>Feldman, E. R. (2020</w:t>
      </w:r>
      <w:bookmarkEnd w:id="51"/>
      <w:r>
        <w:t>). Corporate strategy: Past, present, and future. </w:t>
      </w:r>
      <w:r>
        <w:rPr>
          <w:i/>
          <w:iCs/>
        </w:rPr>
        <w:t>Strategic Management Review</w:t>
      </w:r>
      <w:r>
        <w:t>, </w:t>
      </w:r>
      <w:r>
        <w:rPr>
          <w:i/>
          <w:iCs/>
        </w:rPr>
        <w:t>1</w:t>
      </w:r>
      <w:r>
        <w:t>(1), 179-206.</w:t>
      </w:r>
    </w:p>
    <w:p w14:paraId="2B4E1933" w14:textId="77777777" w:rsidR="0004294E" w:rsidRDefault="0004294E" w:rsidP="0004294E">
      <w:pPr>
        <w:numPr>
          <w:ilvl w:val="0"/>
          <w:numId w:val="4"/>
        </w:numPr>
      </w:pPr>
      <w:bookmarkStart w:id="52" w:name="_Hlk212973886"/>
      <w:bookmarkStart w:id="53" w:name="_Hlk212973486"/>
      <w:r>
        <w:t>Financial Times (2024</w:t>
      </w:r>
      <w:bookmarkEnd w:id="52"/>
      <w:r>
        <w:t xml:space="preserve">). </w:t>
      </w:r>
      <w:bookmarkEnd w:id="53"/>
      <w:r>
        <w:rPr>
          <w:i/>
          <w:iCs/>
        </w:rPr>
        <w:t>Reckitt Benckiser Group PLC, RKT:LSE profile - FT.com</w:t>
      </w:r>
      <w:r>
        <w:t>. [online] Available at: https://markets.ft.com/data/equities/tearsheet/profile?s=RKT%3ALSE.</w:t>
      </w:r>
    </w:p>
    <w:p w14:paraId="6E298367" w14:textId="77777777" w:rsidR="0004294E" w:rsidRDefault="0004294E" w:rsidP="0004294E">
      <w:pPr>
        <w:numPr>
          <w:ilvl w:val="0"/>
          <w:numId w:val="4"/>
        </w:numPr>
      </w:pPr>
      <w:bookmarkStart w:id="54" w:name="_Hlk212971906"/>
      <w:r>
        <w:t>Goss, L. (2024</w:t>
      </w:r>
      <w:bookmarkEnd w:id="54"/>
      <w:r>
        <w:t xml:space="preserve">). </w:t>
      </w:r>
      <w:r>
        <w:rPr>
          <w:i/>
          <w:iCs/>
        </w:rPr>
        <w:t>Reckitt to simplify by dropping home products and troubled infant-formula unit</w:t>
      </w:r>
      <w:r>
        <w:t>. [online] MarketWatch. Available at: https://www.marketwatch.com/story/reckitt-to-simplify-by-dropping-home-products-and-troubled-infant-formula-unit-df97316c?.</w:t>
      </w:r>
    </w:p>
    <w:p w14:paraId="49A30A5E" w14:textId="77777777" w:rsidR="0004294E" w:rsidRDefault="0004294E" w:rsidP="0004294E">
      <w:pPr>
        <w:numPr>
          <w:ilvl w:val="0"/>
          <w:numId w:val="4"/>
        </w:numPr>
      </w:pPr>
      <w:bookmarkStart w:id="55" w:name="_Hlk212972062"/>
      <w:r>
        <w:t>Grant, R. M. (2021</w:t>
      </w:r>
      <w:bookmarkEnd w:id="55"/>
      <w:r>
        <w:t>). </w:t>
      </w:r>
      <w:r>
        <w:rPr>
          <w:i/>
          <w:iCs/>
        </w:rPr>
        <w:t>Contemporary strategy analysis</w:t>
      </w:r>
      <w:r>
        <w:t>. John Wiley &amp; Sons.</w:t>
      </w:r>
    </w:p>
    <w:p w14:paraId="0ED18D0C" w14:textId="77777777" w:rsidR="0004294E" w:rsidRDefault="0004294E" w:rsidP="0004294E">
      <w:pPr>
        <w:numPr>
          <w:ilvl w:val="0"/>
          <w:numId w:val="4"/>
        </w:numPr>
      </w:pPr>
      <w:bookmarkStart w:id="56" w:name="_Hlk212972095"/>
      <w:r>
        <w:lastRenderedPageBreak/>
        <w:t>Haseeb, M., Hussain, H. I., Kot, S., Androniceanu, A., and Jermsittiparsert, K. (2019</w:t>
      </w:r>
      <w:bookmarkEnd w:id="56"/>
      <w:r>
        <w:t>). Role of social and technological challenges in achieving a sustainable competitive advantage and sustainable business performance. </w:t>
      </w:r>
      <w:r>
        <w:rPr>
          <w:i/>
          <w:iCs/>
        </w:rPr>
        <w:t>Sustainability</w:t>
      </w:r>
      <w:r>
        <w:t>, </w:t>
      </w:r>
      <w:r>
        <w:rPr>
          <w:i/>
          <w:iCs/>
        </w:rPr>
        <w:t>11</w:t>
      </w:r>
      <w:r>
        <w:t>(14), 3811.</w:t>
      </w:r>
    </w:p>
    <w:p w14:paraId="181CB11F" w14:textId="77777777" w:rsidR="0004294E" w:rsidRPr="009262AA" w:rsidRDefault="0004294E" w:rsidP="0004294E">
      <w:pPr>
        <w:numPr>
          <w:ilvl w:val="0"/>
          <w:numId w:val="4"/>
        </w:numPr>
        <w:rPr>
          <w:lang w:bidi="bn-BD"/>
        </w:rPr>
      </w:pPr>
      <w:r w:rsidRPr="009262AA">
        <w:rPr>
          <w:lang w:bidi="bn-BD"/>
        </w:rPr>
        <w:t xml:space="preserve">Hill, C.W.L., Jones, G.R. and Schilling, M.A. (2020). </w:t>
      </w:r>
      <w:r w:rsidRPr="009262AA">
        <w:rPr>
          <w:i/>
          <w:iCs/>
          <w:lang w:bidi="bn-BD"/>
        </w:rPr>
        <w:t>Strategic management : an integrated approach : theory and cases</w:t>
      </w:r>
      <w:r w:rsidRPr="009262AA">
        <w:rPr>
          <w:lang w:bidi="bn-BD"/>
        </w:rPr>
        <w:t>. 13th ed. Boston, Ma Cengage Learning.</w:t>
      </w:r>
    </w:p>
    <w:p w14:paraId="1FC3A8BD" w14:textId="77777777" w:rsidR="0004294E" w:rsidRPr="009262AA" w:rsidRDefault="0004294E" w:rsidP="0004294E">
      <w:pPr>
        <w:numPr>
          <w:ilvl w:val="0"/>
          <w:numId w:val="4"/>
        </w:numPr>
        <w:rPr>
          <w:lang w:bidi="bn-BD"/>
        </w:rPr>
      </w:pPr>
      <w:r w:rsidRPr="009262AA">
        <w:rPr>
          <w:lang w:bidi="bn-BD"/>
        </w:rPr>
        <w:t xml:space="preserve">Hoang, A. (2025). </w:t>
      </w:r>
      <w:r w:rsidRPr="009262AA">
        <w:rPr>
          <w:i/>
          <w:iCs/>
          <w:lang w:bidi="bn-BD"/>
        </w:rPr>
        <w:t>FMCG market in face of new challenges</w:t>
      </w:r>
      <w:r w:rsidRPr="009262AA">
        <w:rPr>
          <w:lang w:bidi="bn-BD"/>
        </w:rPr>
        <w:t>. [online] VnEconomy. Available at: https://en.vneconomy.vn/fmcg-market-in-face-of-new-challenges.htm [Accessed 21 Dec. 2025].</w:t>
      </w:r>
    </w:p>
    <w:p w14:paraId="302D1029" w14:textId="77777777" w:rsidR="0004294E" w:rsidRDefault="0004294E" w:rsidP="0004294E">
      <w:pPr>
        <w:numPr>
          <w:ilvl w:val="0"/>
          <w:numId w:val="4"/>
        </w:numPr>
      </w:pPr>
      <w:bookmarkStart w:id="57" w:name="_Hlk212972116"/>
      <w:r>
        <w:t>Kabue, L. W., and Kilika, J. M. (2016</w:t>
      </w:r>
      <w:bookmarkEnd w:id="57"/>
      <w:r>
        <w:t>). Firm resources, core competencies and sustainable competitive advantage: An integrative theoretical framework. </w:t>
      </w:r>
      <w:r>
        <w:rPr>
          <w:i/>
          <w:iCs/>
        </w:rPr>
        <w:t>Journal of management and strategy</w:t>
      </w:r>
      <w:r>
        <w:t>, </w:t>
      </w:r>
      <w:r>
        <w:rPr>
          <w:i/>
          <w:iCs/>
        </w:rPr>
        <w:t>7</w:t>
      </w:r>
      <w:r>
        <w:t>(1), 98-108.</w:t>
      </w:r>
    </w:p>
    <w:p w14:paraId="4BD1C2E5" w14:textId="77777777" w:rsidR="0004294E" w:rsidRPr="009262AA" w:rsidRDefault="0004294E" w:rsidP="0004294E">
      <w:pPr>
        <w:numPr>
          <w:ilvl w:val="0"/>
          <w:numId w:val="4"/>
        </w:numPr>
        <w:rPr>
          <w:lang w:bidi="bn-BD"/>
        </w:rPr>
      </w:pPr>
      <w:r w:rsidRPr="009262AA">
        <w:rPr>
          <w:lang w:bidi="bn-BD"/>
        </w:rPr>
        <w:t xml:space="preserve">Ken Research (2024). </w:t>
      </w:r>
      <w:r w:rsidRPr="009262AA">
        <w:rPr>
          <w:i/>
          <w:iCs/>
          <w:lang w:bidi="bn-BD"/>
        </w:rPr>
        <w:t>Vietnam Personal Hygiene Market</w:t>
      </w:r>
      <w:r w:rsidRPr="009262AA">
        <w:rPr>
          <w:lang w:bidi="bn-BD"/>
        </w:rPr>
        <w:t>. [online] Kenresearch.com. Available at: https://www.kenresearch.com/industry-reports/vietnam-personal-hygiene-market [Accessed 20 Dec. 2025].</w:t>
      </w:r>
    </w:p>
    <w:p w14:paraId="492EA867" w14:textId="77777777" w:rsidR="0004294E" w:rsidRDefault="0004294E" w:rsidP="0004294E">
      <w:pPr>
        <w:numPr>
          <w:ilvl w:val="0"/>
          <w:numId w:val="4"/>
        </w:numPr>
        <w:rPr>
          <w:shd w:val="clear" w:color="auto" w:fill="FFFFFF"/>
        </w:rPr>
      </w:pPr>
      <w:r>
        <w:rPr>
          <w:shd w:val="clear" w:color="auto" w:fill="FFFFFF"/>
        </w:rPr>
        <w:t>Kopecká, N., (2017), December. A literature review of financial performance measures and value relevance. In </w:t>
      </w:r>
      <w:r>
        <w:rPr>
          <w:i/>
          <w:iCs/>
          <w:shd w:val="clear" w:color="auto" w:fill="FFFFFF"/>
        </w:rPr>
        <w:t>The Impact of Globalization on International Finance and Accounting: 18th Annual Conference on Finance and Accounting (ACFA)</w:t>
      </w:r>
      <w:r>
        <w:rPr>
          <w:shd w:val="clear" w:color="auto" w:fill="FFFFFF"/>
        </w:rPr>
        <w:t> (pp. 385-393). Cham: Springer International Publishing.</w:t>
      </w:r>
    </w:p>
    <w:p w14:paraId="1DFF4FC3" w14:textId="77777777" w:rsidR="0004294E" w:rsidRDefault="0004294E" w:rsidP="0004294E">
      <w:pPr>
        <w:numPr>
          <w:ilvl w:val="0"/>
          <w:numId w:val="4"/>
        </w:numPr>
      </w:pPr>
      <w:bookmarkStart w:id="58" w:name="_Hlk212972485"/>
      <w:r>
        <w:t xml:space="preserve">Kuptsova, E. V., Maslennikov, V. V., and Kalinina, I. A. (2021). </w:t>
      </w:r>
      <w:bookmarkEnd w:id="58"/>
      <w:r>
        <w:t>Improving the Level of Digital Maturity of the Company (Based on Example of Reckitt Benckiser Group PLC). In </w:t>
      </w:r>
      <w:r>
        <w:rPr>
          <w:i/>
          <w:iCs/>
        </w:rPr>
        <w:t>Socio-economic Systems: Paradigms for the Future</w:t>
      </w:r>
      <w:r>
        <w:t> (pp. 309-321). Cham: Springer International Publishing.</w:t>
      </w:r>
    </w:p>
    <w:p w14:paraId="66A3A53C" w14:textId="77777777" w:rsidR="0004294E" w:rsidRPr="009262AA" w:rsidRDefault="0004294E" w:rsidP="0004294E">
      <w:pPr>
        <w:numPr>
          <w:ilvl w:val="0"/>
          <w:numId w:val="4"/>
        </w:numPr>
        <w:rPr>
          <w:lang w:bidi="bn-BD"/>
        </w:rPr>
      </w:pPr>
      <w:r w:rsidRPr="009262AA">
        <w:rPr>
          <w:lang w:bidi="bn-BD"/>
        </w:rPr>
        <w:t xml:space="preserve">Lynch, R. (2021). </w:t>
      </w:r>
      <w:r w:rsidRPr="009262AA">
        <w:rPr>
          <w:i/>
          <w:iCs/>
          <w:lang w:bidi="bn-BD"/>
        </w:rPr>
        <w:t>Strategic Management.</w:t>
      </w:r>
      <w:r w:rsidRPr="009262AA">
        <w:rPr>
          <w:lang w:bidi="bn-BD"/>
        </w:rPr>
        <w:t xml:space="preserve"> S.L.: Sage Publications.</w:t>
      </w:r>
    </w:p>
    <w:p w14:paraId="2F06CDE2" w14:textId="77777777" w:rsidR="0004294E" w:rsidRDefault="0004294E" w:rsidP="0004294E">
      <w:pPr>
        <w:numPr>
          <w:ilvl w:val="0"/>
          <w:numId w:val="4"/>
        </w:numPr>
      </w:pPr>
      <w:bookmarkStart w:id="59" w:name="_Hlk212972679"/>
      <w:bookmarkStart w:id="60" w:name="_Hlk212971817"/>
      <w:r>
        <w:t>Manaeva, I.V., Rastopchina, Y.L. and Kovaleva, E.I. (202</w:t>
      </w:r>
      <w:bookmarkEnd w:id="59"/>
      <w:r>
        <w:t>3</w:t>
      </w:r>
      <w:bookmarkEnd w:id="60"/>
      <w:r>
        <w:t xml:space="preserve">). Effectiveness of ESG-principles in the corporate sector of economics. </w:t>
      </w:r>
      <w:r>
        <w:rPr>
          <w:i/>
          <w:iCs/>
        </w:rPr>
        <w:t>Èkonomika v promyšlennosti</w:t>
      </w:r>
      <w:r>
        <w:t xml:space="preserve">, 16(4), pp.442–455. </w:t>
      </w:r>
    </w:p>
    <w:p w14:paraId="33151DD6" w14:textId="77777777" w:rsidR="0004294E" w:rsidRDefault="0004294E" w:rsidP="0004294E">
      <w:pPr>
        <w:numPr>
          <w:ilvl w:val="0"/>
          <w:numId w:val="4"/>
        </w:numPr>
      </w:pPr>
      <w:r>
        <w:rPr>
          <w:shd w:val="clear" w:color="auto" w:fill="FFFFFF"/>
        </w:rPr>
        <w:lastRenderedPageBreak/>
        <w:t xml:space="preserve">Nandakumar, M.K., Ghobadian, A. and O'Regan, N., </w:t>
      </w:r>
      <w:r>
        <w:rPr>
          <w:shd w:val="clear" w:color="auto" w:fill="FFFFFF"/>
        </w:rPr>
        <w:t>(</w:t>
      </w:r>
      <w:r>
        <w:rPr>
          <w:shd w:val="clear" w:color="auto" w:fill="FFFFFF"/>
        </w:rPr>
        <w:t>2011</w:t>
      </w:r>
      <w:r>
        <w:rPr>
          <w:shd w:val="clear" w:color="auto" w:fill="FFFFFF"/>
        </w:rPr>
        <w:t>)</w:t>
      </w:r>
      <w:r>
        <w:rPr>
          <w:shd w:val="clear" w:color="auto" w:fill="FFFFFF"/>
        </w:rPr>
        <w:t>. Generic strategies and performance–evidence from manufacturing firms. </w:t>
      </w:r>
      <w:r>
        <w:rPr>
          <w:i/>
          <w:iCs/>
          <w:shd w:val="clear" w:color="auto" w:fill="FFFFFF"/>
        </w:rPr>
        <w:t>International Journal of productivity and performance management</w:t>
      </w:r>
      <w:r>
        <w:rPr>
          <w:shd w:val="clear" w:color="auto" w:fill="FFFFFF"/>
        </w:rPr>
        <w:t>, </w:t>
      </w:r>
      <w:r>
        <w:rPr>
          <w:i/>
          <w:iCs/>
          <w:shd w:val="clear" w:color="auto" w:fill="FFFFFF"/>
        </w:rPr>
        <w:t>60</w:t>
      </w:r>
      <w:r>
        <w:rPr>
          <w:shd w:val="clear" w:color="auto" w:fill="FFFFFF"/>
        </w:rPr>
        <w:t>(3), pp.222-251.</w:t>
      </w:r>
    </w:p>
    <w:p w14:paraId="4C266033" w14:textId="77777777" w:rsidR="0004294E" w:rsidRDefault="0004294E" w:rsidP="0004294E">
      <w:pPr>
        <w:numPr>
          <w:ilvl w:val="0"/>
          <w:numId w:val="4"/>
        </w:numPr>
      </w:pPr>
      <w:bookmarkStart w:id="61" w:name="_Hlk212971794"/>
      <w:r>
        <w:t>Newman, J. (2024</w:t>
      </w:r>
      <w:bookmarkEnd w:id="61"/>
      <w:r>
        <w:t xml:space="preserve">). </w:t>
      </w:r>
      <w:r>
        <w:rPr>
          <w:i/>
          <w:iCs/>
        </w:rPr>
        <w:t>Baby death ruling wipes £7bn off Reckitt’s value</w:t>
      </w:r>
      <w:r>
        <w:t xml:space="preserve">. [online] Thetimes.com. Available at: </w:t>
      </w:r>
      <w:hyperlink r:id="rId20" w:history="1">
        <w:r>
          <w:rPr>
            <w:rStyle w:val="Hyperlink"/>
          </w:rPr>
          <w:t>https://www.thetimes.com/business-money/article/court-setback-wipes-billions-off-reckitts-stock-market-value-qp70xd65g?</w:t>
        </w:r>
      </w:hyperlink>
      <w:r>
        <w:t xml:space="preserve"> [Accessed 31 Oct. 2025].</w:t>
      </w:r>
    </w:p>
    <w:p w14:paraId="77456CF9" w14:textId="77777777" w:rsidR="0004294E" w:rsidRDefault="0004294E" w:rsidP="0004294E">
      <w:pPr>
        <w:numPr>
          <w:ilvl w:val="0"/>
          <w:numId w:val="4"/>
        </w:numPr>
      </w:pPr>
      <w:bookmarkStart w:id="62" w:name="_Hlk212972183"/>
      <w:r>
        <w:t xml:space="preserve">Norton, D. P., and Kaplan, R. S. (2018). </w:t>
      </w:r>
      <w:bookmarkEnd w:id="62"/>
      <w:r>
        <w:t>Balanced scorecard. In </w:t>
      </w:r>
      <w:r>
        <w:rPr>
          <w:i/>
          <w:iCs/>
        </w:rPr>
        <w:t>The Palgrave encyclopedia of strategic management</w:t>
      </w:r>
      <w:r>
        <w:t> (pp. 80-84). Palgrave Macmillan, London.</w:t>
      </w:r>
    </w:p>
    <w:p w14:paraId="3D72949A" w14:textId="77777777" w:rsidR="0004294E" w:rsidRDefault="0004294E" w:rsidP="0004294E">
      <w:pPr>
        <w:numPr>
          <w:ilvl w:val="0"/>
          <w:numId w:val="4"/>
        </w:numPr>
      </w:pPr>
      <w:bookmarkStart w:id="63" w:name="_Hlk212972143"/>
      <w:r>
        <w:t>Oviatt, B. M., and McDougall, P. P. (2018</w:t>
      </w:r>
      <w:bookmarkEnd w:id="63"/>
      <w:r>
        <w:t>). Toward a theory of international new ventures. In </w:t>
      </w:r>
      <w:r>
        <w:rPr>
          <w:i/>
          <w:iCs/>
        </w:rPr>
        <w:t>International Entrepreneurship: The Pursuit of Opportunities across National Borders</w:t>
      </w:r>
      <w:r>
        <w:t> (pp. 31-57). Cham: Springer International Publishing.</w:t>
      </w:r>
    </w:p>
    <w:p w14:paraId="6FBBB36E" w14:textId="77777777" w:rsidR="0004294E" w:rsidRDefault="0004294E" w:rsidP="0004294E">
      <w:pPr>
        <w:numPr>
          <w:ilvl w:val="0"/>
          <w:numId w:val="4"/>
        </w:numPr>
      </w:pPr>
      <w:bookmarkStart w:id="64" w:name="_Hlk212972039"/>
      <w:r>
        <w:t>Pérez, J. E. P. (2022</w:t>
      </w:r>
      <w:bookmarkEnd w:id="64"/>
      <w:r>
        <w:t>). Key fundamentals of strategy for decision-making in international business. </w:t>
      </w:r>
      <w:r>
        <w:rPr>
          <w:i/>
          <w:iCs/>
        </w:rPr>
        <w:t>Revista Escuela de Administración de Negocios</w:t>
      </w:r>
      <w:r>
        <w:t>, (93), 10.</w:t>
      </w:r>
    </w:p>
    <w:p w14:paraId="0EDF7AD9" w14:textId="77777777" w:rsidR="0004294E" w:rsidRDefault="0004294E" w:rsidP="0004294E">
      <w:pPr>
        <w:numPr>
          <w:ilvl w:val="0"/>
          <w:numId w:val="4"/>
        </w:numPr>
      </w:pPr>
      <w:bookmarkStart w:id="65" w:name="_Hlk212972511"/>
      <w:bookmarkStart w:id="66" w:name="_Hlk212973950"/>
      <w:r>
        <w:t>Ralph, A. (2025</w:t>
      </w:r>
      <w:bookmarkEnd w:id="65"/>
      <w:r>
        <w:t xml:space="preserve">). </w:t>
      </w:r>
      <w:bookmarkEnd w:id="66"/>
      <w:r>
        <w:rPr>
          <w:i/>
          <w:iCs/>
        </w:rPr>
        <w:t>Reckitt Benckiser shares jump after upgrade</w:t>
      </w:r>
      <w:r>
        <w:t>. [online] Thetimes.com. Available at: https://www.thetimes.com/business-money/companies/article/reckitt-shares-jump-on-upgrade-5ksjrtl88? [Accessed 31 Oct. 2025].</w:t>
      </w:r>
    </w:p>
    <w:p w14:paraId="2E78A249" w14:textId="77777777" w:rsidR="0004294E" w:rsidRPr="009262AA" w:rsidRDefault="0004294E" w:rsidP="0004294E">
      <w:pPr>
        <w:numPr>
          <w:ilvl w:val="0"/>
          <w:numId w:val="4"/>
        </w:numPr>
        <w:rPr>
          <w:lang w:bidi="bn-BD"/>
        </w:rPr>
      </w:pPr>
      <w:r w:rsidRPr="009262AA">
        <w:rPr>
          <w:lang w:bidi="bn-BD"/>
        </w:rPr>
        <w:t xml:space="preserve">Reckitt (2024). </w:t>
      </w:r>
      <w:r w:rsidRPr="009262AA">
        <w:rPr>
          <w:i/>
          <w:iCs/>
          <w:lang w:bidi="bn-BD"/>
        </w:rPr>
        <w:t>Reckitt Annual Report and Accounts 2024</w:t>
      </w:r>
      <w:r w:rsidRPr="009262AA">
        <w:rPr>
          <w:lang w:bidi="bn-BD"/>
        </w:rPr>
        <w:t>. [online] Available at: https://www.reckitt.com/media/uk2nda3y/reckitt-annual-report-and-accounts-2024.pdf [Accessed 21 Dec. 2025].</w:t>
      </w:r>
    </w:p>
    <w:p w14:paraId="64F6A0FC" w14:textId="77777777" w:rsidR="0004294E" w:rsidRDefault="0004294E" w:rsidP="0004294E">
      <w:pPr>
        <w:numPr>
          <w:ilvl w:val="0"/>
          <w:numId w:val="4"/>
        </w:numPr>
      </w:pPr>
      <w:bookmarkStart w:id="67" w:name="_Hlk212973549"/>
      <w:r>
        <w:t>Reckitt (2025a</w:t>
      </w:r>
      <w:bookmarkEnd w:id="67"/>
      <w:r>
        <w:t xml:space="preserve">). </w:t>
      </w:r>
      <w:r>
        <w:rPr>
          <w:i/>
          <w:iCs/>
        </w:rPr>
        <w:t>Our company</w:t>
      </w:r>
      <w:r>
        <w:t>. [online] www.reckitt.com. Available at: https://www.reckitt.com/our-company/.</w:t>
      </w:r>
    </w:p>
    <w:p w14:paraId="648AD4E9" w14:textId="77777777" w:rsidR="0004294E" w:rsidRDefault="0004294E" w:rsidP="0004294E">
      <w:pPr>
        <w:numPr>
          <w:ilvl w:val="0"/>
          <w:numId w:val="4"/>
        </w:numPr>
      </w:pPr>
      <w:bookmarkStart w:id="68" w:name="_Hlk212973564"/>
      <w:r>
        <w:t>Reckitt (2025b</w:t>
      </w:r>
      <w:bookmarkEnd w:id="68"/>
      <w:r>
        <w:t xml:space="preserve">). </w:t>
      </w:r>
      <w:r>
        <w:rPr>
          <w:i/>
          <w:iCs/>
        </w:rPr>
        <w:t>Reckitt Focus On: Unified Global Category Organisation</w:t>
      </w:r>
      <w:r>
        <w:t>. [online] Reckitt.com. Available at: https://www.reckitt.com/media-landing/press-releases/2025/reckitt-focus-on-unified-global-category-organisation/ [Accessed 2 Nov. 2025].</w:t>
      </w:r>
    </w:p>
    <w:p w14:paraId="3D16E807" w14:textId="77777777" w:rsidR="0004294E" w:rsidRDefault="0004294E" w:rsidP="0004294E">
      <w:pPr>
        <w:numPr>
          <w:ilvl w:val="0"/>
          <w:numId w:val="4"/>
        </w:numPr>
      </w:pPr>
      <w:bookmarkStart w:id="69" w:name="_Hlk212973931"/>
      <w:bookmarkStart w:id="70" w:name="_Hlk212973448"/>
      <w:r>
        <w:lastRenderedPageBreak/>
        <w:t>Research and Markets (2025</w:t>
      </w:r>
      <w:bookmarkEnd w:id="69"/>
      <w:r>
        <w:t xml:space="preserve">). </w:t>
      </w:r>
      <w:bookmarkEnd w:id="70"/>
      <w:r>
        <w:rPr>
          <w:i/>
          <w:iCs/>
        </w:rPr>
        <w:t>Vietnam Probiotic Supplements Market - Forecasts from 2025 to 2030</w:t>
      </w:r>
      <w:r>
        <w:t>. [online] Researchandmarkets.com. Available at: https://www.researchandmarkets.com/reports/6040091/vietnam-probiotic-supplements-market-forecasts.</w:t>
      </w:r>
    </w:p>
    <w:p w14:paraId="32D03846" w14:textId="77777777" w:rsidR="0004294E" w:rsidRDefault="0004294E" w:rsidP="0004294E">
      <w:pPr>
        <w:numPr>
          <w:ilvl w:val="0"/>
          <w:numId w:val="4"/>
        </w:numPr>
      </w:pPr>
      <w:bookmarkStart w:id="71" w:name="_Hlk212971923"/>
      <w:r>
        <w:t>Rybska, A. (2024</w:t>
      </w:r>
      <w:bookmarkEnd w:id="71"/>
      <w:r>
        <w:t xml:space="preserve">). Reckitt to offload homecare brands, consider nutrition options. </w:t>
      </w:r>
      <w:r>
        <w:rPr>
          <w:i/>
          <w:iCs/>
        </w:rPr>
        <w:t>Reuters</w:t>
      </w:r>
      <w:r>
        <w:t>. [online] 24 Jul. Available at: https://www.reuters.com/business/retail-consumer/reckitt-cuts-outlook-supply-disruptions-its-nutrition-business-2024-07-24/.</w:t>
      </w:r>
    </w:p>
    <w:p w14:paraId="790BA633" w14:textId="77777777" w:rsidR="0004294E" w:rsidRDefault="0004294E" w:rsidP="0004294E">
      <w:pPr>
        <w:numPr>
          <w:ilvl w:val="0"/>
          <w:numId w:val="4"/>
        </w:numPr>
      </w:pPr>
      <w:bookmarkStart w:id="72" w:name="_Hlk212971994"/>
      <w:r>
        <w:t>Shams, R., Vrontis, D., Belyaeva, Z., Ferraris, A., and Czinkota, M. R. (2021</w:t>
      </w:r>
      <w:bookmarkEnd w:id="72"/>
      <w:r>
        <w:t>). Strategic agility in international business: A conceptual framework for “agile” multinationals. </w:t>
      </w:r>
      <w:r>
        <w:rPr>
          <w:i/>
          <w:iCs/>
        </w:rPr>
        <w:t>Journal of International Management</w:t>
      </w:r>
      <w:r>
        <w:t>, </w:t>
      </w:r>
      <w:r>
        <w:rPr>
          <w:i/>
          <w:iCs/>
        </w:rPr>
        <w:t>27</w:t>
      </w:r>
      <w:r>
        <w:t>(1), 100737.</w:t>
      </w:r>
    </w:p>
    <w:p w14:paraId="4EF3EB63" w14:textId="77777777" w:rsidR="0004294E" w:rsidRPr="0004294E" w:rsidRDefault="0004294E" w:rsidP="0004294E">
      <w:pPr>
        <w:numPr>
          <w:ilvl w:val="0"/>
          <w:numId w:val="4"/>
        </w:numPr>
      </w:pPr>
      <w:r>
        <w:t xml:space="preserve">Singh, D. (2024). </w:t>
      </w:r>
      <w:r>
        <w:rPr>
          <w:i/>
          <w:iCs/>
        </w:rPr>
        <w:t>Balanced Scorecards Explained: A Guide for HR Professionals</w:t>
      </w:r>
      <w:r>
        <w:t>. [online] peoplestrong. Available at: https://www.peoplestrong.com/blog/balanced-scorecards/ [Accessed 21 Dec. 2025].</w:t>
      </w:r>
    </w:p>
    <w:p w14:paraId="7E9A0E5A" w14:textId="77777777" w:rsidR="0004294E" w:rsidRPr="009262AA" w:rsidRDefault="0004294E" w:rsidP="0004294E">
      <w:pPr>
        <w:numPr>
          <w:ilvl w:val="0"/>
          <w:numId w:val="4"/>
        </w:numPr>
        <w:rPr>
          <w:lang w:bidi="bn-BD"/>
        </w:rPr>
      </w:pPr>
      <w:r w:rsidRPr="009262AA">
        <w:rPr>
          <w:lang w:bidi="bn-BD"/>
        </w:rPr>
        <w:t xml:space="preserve">Stone, A. (2025). </w:t>
      </w:r>
      <w:r w:rsidRPr="009262AA">
        <w:rPr>
          <w:i/>
          <w:iCs/>
          <w:lang w:bidi="bn-BD"/>
        </w:rPr>
        <w:t>Reckitt Benckiser Reports 4.2% Core Revenue Growth And Upgraded 2025 Outlook</w:t>
      </w:r>
      <w:r w:rsidRPr="009262AA">
        <w:rPr>
          <w:lang w:bidi="bn-BD"/>
        </w:rPr>
        <w:t>. [online] DirectorsTalk Interviews. Available at: https://www.directorstalkinterviews.com/reckitt-benckiser-reports-4-2-core-revenue-growth-and-upgraded-2025-outlook/4121208960 [Accessed 20 Dec. 2025].</w:t>
      </w:r>
    </w:p>
    <w:p w14:paraId="77258748" w14:textId="77777777" w:rsidR="0004294E" w:rsidRPr="009262AA" w:rsidRDefault="0004294E" w:rsidP="0004294E">
      <w:pPr>
        <w:numPr>
          <w:ilvl w:val="0"/>
          <w:numId w:val="4"/>
        </w:numPr>
        <w:rPr>
          <w:lang w:bidi="bn-BD"/>
        </w:rPr>
      </w:pPr>
      <w:r w:rsidRPr="009262AA">
        <w:rPr>
          <w:lang w:bidi="bn-BD"/>
        </w:rPr>
        <w:t xml:space="preserve">StrategyHelix Group (2025). </w:t>
      </w:r>
      <w:r w:rsidRPr="009262AA">
        <w:rPr>
          <w:i/>
          <w:iCs/>
          <w:lang w:bidi="bn-BD"/>
        </w:rPr>
        <w:t>Vietnam Home Care Market 2025</w:t>
      </w:r>
      <w:r w:rsidRPr="009262AA">
        <w:rPr>
          <w:lang w:bidi="bn-BD"/>
        </w:rPr>
        <w:t>. [online] Strategyh.com. Available at: https://strategyh.com/report/home-care-market-in-vietnam/ [Accessed 20 Dec. 2025].</w:t>
      </w:r>
    </w:p>
    <w:p w14:paraId="75C3C745" w14:textId="77777777" w:rsidR="0004294E" w:rsidRDefault="0004294E" w:rsidP="0004294E">
      <w:pPr>
        <w:numPr>
          <w:ilvl w:val="0"/>
          <w:numId w:val="4"/>
        </w:numPr>
      </w:pPr>
      <w:bookmarkStart w:id="73" w:name="_Hlk212971942"/>
      <w:bookmarkStart w:id="74" w:name="_Hlk212974070"/>
      <w:r>
        <w:t>Tarba, S. Y., Frynas, J. G., Liu, Y., Wood, G., Sarala, R. M., and Fainshmidt, S. (2023</w:t>
      </w:r>
      <w:bookmarkEnd w:id="73"/>
      <w:r>
        <w:t>).</w:t>
      </w:r>
      <w:bookmarkEnd w:id="74"/>
      <w:r>
        <w:t xml:space="preserve"> Strategic agility in international business. </w:t>
      </w:r>
      <w:r>
        <w:rPr>
          <w:i/>
          <w:iCs/>
        </w:rPr>
        <w:t>Journal of World Business</w:t>
      </w:r>
      <w:r>
        <w:t>, </w:t>
      </w:r>
      <w:r>
        <w:rPr>
          <w:i/>
          <w:iCs/>
        </w:rPr>
        <w:t>58</w:t>
      </w:r>
      <w:r>
        <w:t>(2), 101411.</w:t>
      </w:r>
    </w:p>
    <w:p w14:paraId="72C0947B" w14:textId="77777777" w:rsidR="0004294E" w:rsidRDefault="0004294E" w:rsidP="0004294E">
      <w:pPr>
        <w:numPr>
          <w:ilvl w:val="0"/>
          <w:numId w:val="4"/>
        </w:numPr>
      </w:pPr>
      <w:bookmarkStart w:id="75" w:name="_Hlk212973864"/>
      <w:r>
        <w:t xml:space="preserve">Thumrongchote, K. (2025). </w:t>
      </w:r>
      <w:bookmarkEnd w:id="75"/>
      <w:r>
        <w:rPr>
          <w:i/>
          <w:iCs/>
        </w:rPr>
        <w:t>Vietnam FMCG Retail Pulse: Trends &amp; Insights | Global Angle</w:t>
      </w:r>
      <w:r>
        <w:t>. [online] Global Angle. Available at: https://global-angle.com/vietnam-fmcg-retail-trends-insights/.</w:t>
      </w:r>
    </w:p>
    <w:p w14:paraId="610D1A9C" w14:textId="77777777" w:rsidR="0004294E" w:rsidRDefault="0004294E" w:rsidP="0004294E">
      <w:pPr>
        <w:numPr>
          <w:ilvl w:val="0"/>
          <w:numId w:val="4"/>
        </w:numPr>
      </w:pPr>
      <w:bookmarkStart w:id="76" w:name="_Hlk212972078"/>
      <w:r>
        <w:lastRenderedPageBreak/>
        <w:t>Varadarajan, R. (2020</w:t>
      </w:r>
      <w:bookmarkEnd w:id="76"/>
      <w:r>
        <w:t>). Customer information resources advantage, marketing strategy and business performance: A market resources based view. </w:t>
      </w:r>
      <w:r>
        <w:rPr>
          <w:i/>
          <w:iCs/>
        </w:rPr>
        <w:t>Industrial marketing management</w:t>
      </w:r>
      <w:r>
        <w:t>, </w:t>
      </w:r>
      <w:r>
        <w:rPr>
          <w:i/>
          <w:iCs/>
        </w:rPr>
        <w:t>89</w:t>
      </w:r>
      <w:r>
        <w:t>, 89-97.</w:t>
      </w:r>
    </w:p>
    <w:p w14:paraId="4EC2AA1D" w14:textId="77777777" w:rsidR="0004294E" w:rsidRDefault="0004294E" w:rsidP="0004294E">
      <w:pPr>
        <w:numPr>
          <w:ilvl w:val="0"/>
          <w:numId w:val="4"/>
        </w:numPr>
      </w:pPr>
      <w:bookmarkStart w:id="77" w:name="_Hlk212973744"/>
      <w:r>
        <w:t>VietnamPlus (2025</w:t>
      </w:r>
      <w:bookmarkEnd w:id="77"/>
      <w:r>
        <w:t xml:space="preserve">). </w:t>
      </w:r>
      <w:r>
        <w:rPr>
          <w:i/>
          <w:iCs/>
        </w:rPr>
        <w:t>Shaping competitive strategy: An opportunity for Vietnam’s FMCG to make breakthrough</w:t>
      </w:r>
      <w:r>
        <w:t>. [online] Vietnam+ (VietnamPlus). Available at: https://en.vietnamplus.vn/shaping-competitive-strategy-an-opportunity-for-vietnams-fmcg-to-make-breakthrough-post323405.vnp.</w:t>
      </w:r>
    </w:p>
    <w:p w14:paraId="1D04F367" w14:textId="77777777" w:rsidR="0004294E" w:rsidRDefault="0004294E" w:rsidP="0004294E">
      <w:pPr>
        <w:numPr>
          <w:ilvl w:val="0"/>
          <w:numId w:val="4"/>
        </w:numPr>
      </w:pPr>
      <w:bookmarkStart w:id="78" w:name="_Hlk212972016"/>
      <w:r>
        <w:t>Waithaka, P., Kubai, E. M., Mwamuye, J. D., and Godwin, P. (2022</w:t>
      </w:r>
      <w:bookmarkEnd w:id="78"/>
      <w:r>
        <w:t>). </w:t>
      </w:r>
      <w:r>
        <w:rPr>
          <w:i/>
          <w:iCs/>
        </w:rPr>
        <w:t>Fundamentals in Strategic Management</w:t>
      </w:r>
      <w:r>
        <w:t>. Cari Journals USA LLC.</w:t>
      </w:r>
    </w:p>
    <w:p w14:paraId="61FA7A3A" w14:textId="77777777" w:rsidR="0004294E" w:rsidRDefault="0004294E" w:rsidP="0004294E">
      <w:pPr>
        <w:numPr>
          <w:ilvl w:val="0"/>
          <w:numId w:val="4"/>
        </w:numPr>
        <w:rPr>
          <w:color w:val="000000"/>
        </w:rPr>
      </w:pPr>
      <w:bookmarkStart w:id="79" w:name="_Hlk212973755"/>
      <w:r>
        <w:t>WARC (2024</w:t>
      </w:r>
      <w:bookmarkEnd w:id="79"/>
      <w:r>
        <w:t xml:space="preserve">). </w:t>
      </w:r>
      <w:r>
        <w:rPr>
          <w:i/>
          <w:iCs/>
        </w:rPr>
        <w:t>Reckitt Benckiser sharpens its brand portfolio | WARC | The Feed</w:t>
      </w:r>
      <w:r>
        <w:t>. [online] Warc.com. Available at: https://www.warc.com/content/feed/reckitt-benckiser-sharpens-its-brand-portfolio/en-GB/9723.</w:t>
      </w:r>
    </w:p>
    <w:p w14:paraId="6CDFD833" w14:textId="77777777" w:rsidR="00043769" w:rsidRDefault="00043769"/>
    <w:sectPr w:rsidR="00043769">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331A0" w14:textId="77777777" w:rsidR="000D7183" w:rsidRDefault="000D7183">
      <w:pPr>
        <w:spacing w:after="0" w:line="240" w:lineRule="auto"/>
      </w:pPr>
      <w:r>
        <w:separator/>
      </w:r>
    </w:p>
  </w:endnote>
  <w:endnote w:type="continuationSeparator" w:id="0">
    <w:p w14:paraId="4870252C" w14:textId="77777777" w:rsidR="000D7183" w:rsidRDefault="000D7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31AF2" w14:textId="77777777" w:rsidR="00043769" w:rsidRDefault="00000000">
    <w:pPr>
      <w:pStyle w:val="Footer"/>
      <w:jc w:val="right"/>
    </w:pPr>
    <w:r>
      <w:fldChar w:fldCharType="begin"/>
    </w:r>
    <w:r>
      <w:instrText>PAGE   \* MERGEFORMAT</w:instrText>
    </w:r>
    <w:r>
      <w:fldChar w:fldCharType="separate"/>
    </w:r>
    <w:r>
      <w:t>2</w:t>
    </w:r>
    <w:r>
      <w:fldChar w:fldCharType="end"/>
    </w:r>
  </w:p>
  <w:p w14:paraId="6D8D92F9" w14:textId="77777777" w:rsidR="00043769" w:rsidRDefault="00043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82A9F" w14:textId="77777777" w:rsidR="000D7183" w:rsidRDefault="000D7183">
      <w:pPr>
        <w:spacing w:after="0" w:line="240" w:lineRule="auto"/>
      </w:pPr>
      <w:r>
        <w:separator/>
      </w:r>
    </w:p>
  </w:footnote>
  <w:footnote w:type="continuationSeparator" w:id="0">
    <w:p w14:paraId="11C9E413" w14:textId="77777777" w:rsidR="000D7183" w:rsidRDefault="000D7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63700"/>
    <w:multiLevelType w:val="hybridMultilevel"/>
    <w:tmpl w:val="9482E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335260"/>
    <w:multiLevelType w:val="hybridMultilevel"/>
    <w:tmpl w:val="F7DC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8A3680"/>
    <w:multiLevelType w:val="hybridMultilevel"/>
    <w:tmpl w:val="0E60F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693D75"/>
    <w:multiLevelType w:val="hybridMultilevel"/>
    <w:tmpl w:val="D6981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046382">
    <w:abstractNumId w:val="1"/>
  </w:num>
  <w:num w:numId="2" w16cid:durableId="421220776">
    <w:abstractNumId w:val="2"/>
  </w:num>
  <w:num w:numId="3" w16cid:durableId="2029989496">
    <w:abstractNumId w:val="3"/>
  </w:num>
  <w:num w:numId="4" w16cid:durableId="889266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3MjQyMDc1NzM1N7FU0lEKTi0uzszPAykwrQUABO81UCwAAAA="/>
  </w:docVars>
  <w:rsids>
    <w:rsidRoot w:val="00043769"/>
    <w:rsid w:val="0004294E"/>
    <w:rsid w:val="00043769"/>
    <w:rsid w:val="000650E5"/>
    <w:rsid w:val="000801F1"/>
    <w:rsid w:val="000A5B9E"/>
    <w:rsid w:val="000B31A4"/>
    <w:rsid w:val="000C5F74"/>
    <w:rsid w:val="000D606B"/>
    <w:rsid w:val="000D7183"/>
    <w:rsid w:val="0011135C"/>
    <w:rsid w:val="001268F8"/>
    <w:rsid w:val="00181699"/>
    <w:rsid w:val="00204AFA"/>
    <w:rsid w:val="00230BB4"/>
    <w:rsid w:val="002B19A8"/>
    <w:rsid w:val="002D4922"/>
    <w:rsid w:val="00323F8B"/>
    <w:rsid w:val="00372B9D"/>
    <w:rsid w:val="00375284"/>
    <w:rsid w:val="003B473B"/>
    <w:rsid w:val="003F1A32"/>
    <w:rsid w:val="003F439C"/>
    <w:rsid w:val="00423E14"/>
    <w:rsid w:val="004D3911"/>
    <w:rsid w:val="00597734"/>
    <w:rsid w:val="00632A85"/>
    <w:rsid w:val="006C1D07"/>
    <w:rsid w:val="00701405"/>
    <w:rsid w:val="00732917"/>
    <w:rsid w:val="007E5335"/>
    <w:rsid w:val="00811D75"/>
    <w:rsid w:val="00864176"/>
    <w:rsid w:val="008F6DF5"/>
    <w:rsid w:val="00921254"/>
    <w:rsid w:val="00951C57"/>
    <w:rsid w:val="009C06D8"/>
    <w:rsid w:val="00A271CC"/>
    <w:rsid w:val="00A37F6B"/>
    <w:rsid w:val="00A874E0"/>
    <w:rsid w:val="00B635B2"/>
    <w:rsid w:val="00B86B36"/>
    <w:rsid w:val="00C12B0A"/>
    <w:rsid w:val="00C470B5"/>
    <w:rsid w:val="00C82006"/>
    <w:rsid w:val="00C975E4"/>
    <w:rsid w:val="00CC5081"/>
    <w:rsid w:val="00DF34DF"/>
    <w:rsid w:val="00E03A29"/>
    <w:rsid w:val="00E47EA3"/>
    <w:rsid w:val="00EA531C"/>
    <w:rsid w:val="00F70AB4"/>
    <w:rsid w:val="00F84E84"/>
    <w:rsid w:val="00F87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FF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Verdana" w:hAnsi="Calibri" w:cs="Arial"/>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Arial" w:hAnsi="Arial" w:cs="Verdana"/>
      <w:sz w:val="24"/>
      <w:szCs w:val="24"/>
      <w:lang w:eastAsia="en-GB"/>
      <w14:ligatures w14:val="none"/>
    </w:rPr>
  </w:style>
  <w:style w:type="paragraph" w:styleId="Heading1">
    <w:name w:val="heading 1"/>
    <w:basedOn w:val="Normal"/>
    <w:next w:val="Normal"/>
    <w:link w:val="Heading1Char"/>
    <w:uiPriority w:val="9"/>
    <w:qFormat/>
    <w:pPr>
      <w:keepNext/>
      <w:keepLines/>
      <w:spacing w:before="360" w:after="80"/>
      <w:outlineLvl w:val="0"/>
    </w:pPr>
    <w:rPr>
      <w:rFonts w:eastAsia="SimSun" w:cs="Times New Roman"/>
      <w:b/>
      <w:color w:val="000000"/>
      <w:sz w:val="32"/>
      <w:szCs w:val="40"/>
      <w:lang w:eastAsia="en-US"/>
      <w14:ligatures w14:val="standardContextual"/>
    </w:rPr>
  </w:style>
  <w:style w:type="paragraph" w:styleId="Heading2">
    <w:name w:val="heading 2"/>
    <w:basedOn w:val="Normal"/>
    <w:next w:val="Normal"/>
    <w:link w:val="Heading2Char"/>
    <w:uiPriority w:val="9"/>
    <w:unhideWhenUsed/>
    <w:qFormat/>
    <w:pPr>
      <w:keepNext/>
      <w:keepLines/>
      <w:spacing w:before="160" w:after="80"/>
      <w:outlineLvl w:val="1"/>
    </w:pPr>
    <w:rPr>
      <w:rFonts w:eastAsia="SimSun" w:cs="Times New Roman"/>
      <w:b/>
      <w:color w:val="000000"/>
      <w:sz w:val="28"/>
      <w:szCs w:val="32"/>
      <w:lang w:eastAsia="en-US"/>
      <w14:ligatures w14:val="standardContextual"/>
    </w:rPr>
  </w:style>
  <w:style w:type="paragraph" w:styleId="Heading3">
    <w:name w:val="heading 3"/>
    <w:basedOn w:val="Normal"/>
    <w:next w:val="Normal"/>
    <w:link w:val="Heading3Char"/>
    <w:uiPriority w:val="9"/>
    <w:semiHidden/>
    <w:unhideWhenUsed/>
    <w:qFormat/>
    <w:pPr>
      <w:keepNext/>
      <w:keepLines/>
      <w:spacing w:before="40"/>
      <w:outlineLvl w:val="2"/>
    </w:pPr>
    <w:rPr>
      <w:rFonts w:eastAsia="SimSun" w:cs="Times New Roman"/>
      <w:b/>
      <w:sz w:val="26"/>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SimSun" w:hAnsi="Calibri" w:cs="Times New Roman"/>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SimSun" w:hAnsi="Calibri" w:cs="Times New Roma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SimSun" w:hAnsi="Calibri"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ascii="Calibri" w:eastAsia="SimSun" w:hAnsi="Calibri" w:cs="Times New Roman"/>
      <w:color w:val="595959"/>
    </w:rPr>
  </w:style>
  <w:style w:type="paragraph" w:styleId="Heading8">
    <w:name w:val="heading 8"/>
    <w:basedOn w:val="Normal"/>
    <w:next w:val="Normal"/>
    <w:link w:val="Heading8Char"/>
    <w:uiPriority w:val="9"/>
    <w:qFormat/>
    <w:pPr>
      <w:keepNext/>
      <w:keepLines/>
      <w:spacing w:after="0"/>
      <w:outlineLvl w:val="7"/>
    </w:pPr>
    <w:rPr>
      <w:rFonts w:ascii="Calibri" w:eastAsia="SimSun" w:hAnsi="Calibri"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ascii="Calibri" w:eastAsia="SimSu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Times New Roman"/>
      <w:b/>
      <w:color w:val="000000"/>
      <w:sz w:val="32"/>
      <w:szCs w:val="40"/>
    </w:rPr>
  </w:style>
  <w:style w:type="character" w:customStyle="1" w:styleId="Heading2Char">
    <w:name w:val="Heading 2 Char"/>
    <w:basedOn w:val="DefaultParagraphFont"/>
    <w:link w:val="Heading2"/>
    <w:uiPriority w:val="9"/>
    <w:rPr>
      <w:rFonts w:ascii="Arial" w:eastAsia="SimSun" w:hAnsi="Arial" w:cs="Times New Roman"/>
      <w:b/>
      <w:color w:val="000000"/>
      <w:sz w:val="28"/>
      <w:szCs w:val="32"/>
    </w:rPr>
  </w:style>
  <w:style w:type="character" w:customStyle="1" w:styleId="Heading3Char">
    <w:name w:val="Heading 3 Char"/>
    <w:basedOn w:val="DefaultParagraphFont"/>
    <w:link w:val="Heading3"/>
    <w:uiPriority w:val="9"/>
    <w:rPr>
      <w:rFonts w:ascii="Arial" w:eastAsia="SimSun" w:hAnsi="Arial" w:cs="Times New Roman"/>
      <w:b/>
      <w:sz w:val="26"/>
      <w:szCs w:val="24"/>
    </w:rPr>
  </w:style>
  <w:style w:type="character" w:customStyle="1" w:styleId="Heading4Char">
    <w:name w:val="Heading 4 Char"/>
    <w:basedOn w:val="DefaultParagraphFont"/>
    <w:link w:val="Heading4"/>
    <w:uiPriority w:val="9"/>
    <w:rPr>
      <w:rFonts w:eastAsia="SimSun" w:cs="Times New Roman"/>
      <w:i/>
      <w:iCs/>
      <w:color w:val="2F5496"/>
      <w:sz w:val="24"/>
      <w:szCs w:val="24"/>
      <w:lang w:eastAsia="en-GB"/>
      <w14:ligatures w14:val="none"/>
    </w:rPr>
  </w:style>
  <w:style w:type="character" w:customStyle="1" w:styleId="Heading5Char">
    <w:name w:val="Heading 5 Char"/>
    <w:basedOn w:val="DefaultParagraphFont"/>
    <w:link w:val="Heading5"/>
    <w:uiPriority w:val="9"/>
    <w:rPr>
      <w:rFonts w:eastAsia="SimSun" w:cs="Times New Roman"/>
      <w:color w:val="2F5496"/>
      <w:sz w:val="24"/>
      <w:szCs w:val="24"/>
      <w:lang w:eastAsia="en-GB"/>
      <w14:ligatures w14:val="none"/>
    </w:rPr>
  </w:style>
  <w:style w:type="character" w:customStyle="1" w:styleId="Heading6Char">
    <w:name w:val="Heading 6 Char"/>
    <w:basedOn w:val="DefaultParagraphFont"/>
    <w:link w:val="Heading6"/>
    <w:uiPriority w:val="9"/>
    <w:rPr>
      <w:rFonts w:eastAsia="SimSun" w:cs="Times New Roman"/>
      <w:i/>
      <w:iCs/>
      <w:color w:val="595959"/>
      <w:sz w:val="24"/>
      <w:szCs w:val="24"/>
      <w:lang w:eastAsia="en-GB"/>
      <w14:ligatures w14:val="none"/>
    </w:rPr>
  </w:style>
  <w:style w:type="character" w:customStyle="1" w:styleId="Heading7Char">
    <w:name w:val="Heading 7 Char"/>
    <w:basedOn w:val="DefaultParagraphFont"/>
    <w:link w:val="Heading7"/>
    <w:uiPriority w:val="9"/>
    <w:rPr>
      <w:rFonts w:eastAsia="SimSun" w:cs="Times New Roman"/>
      <w:color w:val="595959"/>
      <w:sz w:val="24"/>
      <w:szCs w:val="24"/>
      <w:lang w:eastAsia="en-GB"/>
      <w14:ligatures w14:val="none"/>
    </w:rPr>
  </w:style>
  <w:style w:type="character" w:customStyle="1" w:styleId="Heading8Char">
    <w:name w:val="Heading 8 Char"/>
    <w:basedOn w:val="DefaultParagraphFont"/>
    <w:link w:val="Heading8"/>
    <w:uiPriority w:val="9"/>
    <w:rPr>
      <w:rFonts w:eastAsia="SimSun" w:cs="Times New Roman"/>
      <w:i/>
      <w:iCs/>
      <w:color w:val="272727"/>
      <w:sz w:val="24"/>
      <w:szCs w:val="24"/>
      <w:lang w:eastAsia="en-GB"/>
      <w14:ligatures w14:val="none"/>
    </w:rPr>
  </w:style>
  <w:style w:type="character" w:customStyle="1" w:styleId="Heading9Char">
    <w:name w:val="Heading 9 Char"/>
    <w:basedOn w:val="DefaultParagraphFont"/>
    <w:link w:val="Heading9"/>
    <w:uiPriority w:val="9"/>
    <w:rPr>
      <w:rFonts w:eastAsia="SimSun" w:cs="Times New Roman"/>
      <w:color w:val="272727"/>
      <w:sz w:val="24"/>
      <w:szCs w:val="24"/>
      <w:lang w:eastAsia="en-GB"/>
      <w14:ligatures w14:val="none"/>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cs="Times New Roman"/>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Times New Roman"/>
      <w:spacing w:val="-10"/>
      <w:kern w:val="28"/>
      <w:sz w:val="56"/>
      <w:szCs w:val="56"/>
      <w:lang w:eastAsia="en-GB"/>
      <w14:ligatures w14:val="none"/>
    </w:rPr>
  </w:style>
  <w:style w:type="paragraph" w:styleId="Subtitle">
    <w:name w:val="Subtitle"/>
    <w:basedOn w:val="Normal"/>
    <w:next w:val="Normal"/>
    <w:link w:val="SubtitleChar"/>
    <w:uiPriority w:val="11"/>
    <w:qFormat/>
    <w:pPr>
      <w:numPr>
        <w:ilvl w:val="1"/>
      </w:numPr>
      <w:spacing w:after="160"/>
    </w:pPr>
    <w:rPr>
      <w:rFonts w:ascii="Calibri" w:eastAsia="SimSun" w:hAnsi="Calibri"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lang w:eastAsia="en-GB"/>
      <w14:ligatures w14:val="none"/>
    </w:rPr>
  </w:style>
  <w:style w:type="paragraph" w:styleId="Quote">
    <w:name w:val="Quote"/>
    <w:basedOn w:val="Normal"/>
    <w:next w:val="Normal"/>
    <w:link w:val="QuoteChar"/>
    <w:uiPriority w:val="29"/>
    <w:qFormat/>
    <w:pPr>
      <w:spacing w:before="160" w:after="160"/>
      <w:jc w:val="center"/>
    </w:pPr>
    <w:rPr>
      <w:i/>
      <w:iCs/>
      <w:color w:val="404040"/>
    </w:rPr>
  </w:style>
  <w:style w:type="character" w:customStyle="1" w:styleId="QuoteChar">
    <w:name w:val="Quote Char"/>
    <w:basedOn w:val="DefaultParagraphFont"/>
    <w:link w:val="Quote"/>
    <w:uiPriority w:val="29"/>
    <w:rPr>
      <w:rFonts w:ascii="Arial" w:hAnsi="Arial" w:cs="Verdana"/>
      <w:i/>
      <w:iCs/>
      <w:color w:val="404040"/>
      <w:sz w:val="24"/>
      <w:szCs w:val="24"/>
      <w:lang w:eastAsia="en-GB"/>
      <w14:ligatures w14:val="none"/>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rFonts w:ascii="Arial" w:hAnsi="Arial" w:cs="Verdana"/>
      <w:i/>
      <w:iCs/>
      <w:color w:val="2F5496"/>
      <w:sz w:val="24"/>
      <w:szCs w:val="24"/>
      <w:lang w:eastAsia="en-GB"/>
      <w14:ligatures w14:val="none"/>
    </w:rPr>
  </w:style>
  <w:style w:type="character" w:styleId="IntenseReference">
    <w:name w:val="Intense Reference"/>
    <w:basedOn w:val="DefaultParagraphFont"/>
    <w:uiPriority w:val="32"/>
    <w:qFormat/>
    <w:rPr>
      <w:b/>
      <w:bCs/>
      <w:smallCaps/>
      <w:color w:val="2F5496"/>
      <w:spacing w:val="5"/>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rial" w:hAnsi="Arial" w:cs="Verdana"/>
      <w:sz w:val="24"/>
      <w:szCs w:val="24"/>
      <w:lang w:eastAsia="en-GB"/>
      <w14:ligatures w14:val="none"/>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rial" w:hAnsi="Arial" w:cs="Verdana"/>
      <w:sz w:val="24"/>
      <w:szCs w:val="24"/>
      <w:lang w:eastAsia="en-GB"/>
      <w14:ligatures w14:val="none"/>
    </w:rPr>
  </w:style>
  <w:style w:type="paragraph" w:styleId="TOCHeading">
    <w:name w:val="TOC Heading"/>
    <w:basedOn w:val="Heading1"/>
    <w:next w:val="Normal"/>
    <w:uiPriority w:val="39"/>
    <w:qFormat/>
    <w:pPr>
      <w:spacing w:before="240" w:after="0" w:line="259" w:lineRule="auto"/>
      <w:jc w:val="left"/>
      <w:outlineLvl w:val="9"/>
    </w:pPr>
    <w:rPr>
      <w:rFonts w:ascii="Calibri Light" w:hAnsi="Calibri Light"/>
      <w:b w:val="0"/>
      <w:color w:val="2F5496"/>
      <w:szCs w:val="32"/>
      <w:lang w:eastAsia="en-GB"/>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NormalWeb">
    <w:name w:val="Normal (Web)"/>
    <w:basedOn w:val="Normal"/>
    <w:uiPriority w:val="99"/>
    <w:unhideWhenUsed/>
    <w:rsid w:val="0004294E"/>
    <w:pPr>
      <w:spacing w:before="100" w:beforeAutospacing="1" w:after="100" w:afterAutospacing="1" w:line="240" w:lineRule="auto"/>
      <w:jc w:val="left"/>
    </w:pPr>
    <w:rPr>
      <w:rFonts w:ascii="Times New Roman" w:eastAsia="Times New Roman" w:hAnsi="Times New Roman" w:cs="Times New Roman"/>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www.thetimes.com/business-money/article/court-setback-wipes-billions-off-reckitts-stock-market-value-qp70xd65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4193F8-1E7B-432C-8C68-2D9BA06A30E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F0E2E388-2FC4-4602-BC4C-1E560E01FD22}">
      <dgm:prSet phldrT="[Text]"/>
      <dgm:spPr/>
      <dgm:t>
        <a:bodyPr/>
        <a:lstStyle/>
        <a:p>
          <a:pPr algn="ctr"/>
          <a:r>
            <a:rPr lang="en-GB"/>
            <a:t>Ownership Advanatges </a:t>
          </a:r>
        </a:p>
      </dgm:t>
    </dgm:pt>
    <dgm:pt modelId="{231B8D13-636B-4966-9602-6475884E4E90}" type="parTrans" cxnId="{D832214E-1C3F-41B3-BC31-BE7A7BD7F383}">
      <dgm:prSet/>
      <dgm:spPr/>
      <dgm:t>
        <a:bodyPr/>
        <a:lstStyle/>
        <a:p>
          <a:pPr algn="ctr"/>
          <a:endParaRPr lang="en-GB"/>
        </a:p>
      </dgm:t>
    </dgm:pt>
    <dgm:pt modelId="{F424F512-6A4E-4BAB-8BBC-8D17F200D70E}" type="sibTrans" cxnId="{D832214E-1C3F-41B3-BC31-BE7A7BD7F383}">
      <dgm:prSet/>
      <dgm:spPr/>
      <dgm:t>
        <a:bodyPr/>
        <a:lstStyle/>
        <a:p>
          <a:pPr algn="ctr"/>
          <a:endParaRPr lang="en-GB"/>
        </a:p>
      </dgm:t>
    </dgm:pt>
    <dgm:pt modelId="{2215C01B-A072-4BF8-AA8A-DB7C90348B72}">
      <dgm:prSet phldrT="[Text]"/>
      <dgm:spPr/>
      <dgm:t>
        <a:bodyPr/>
        <a:lstStyle/>
        <a:p>
          <a:pPr algn="ctr"/>
          <a:r>
            <a:rPr lang="en-GB"/>
            <a:t>Global brand equity (Dettol, Durex)</a:t>
          </a:r>
        </a:p>
      </dgm:t>
    </dgm:pt>
    <dgm:pt modelId="{56A7DCE5-CF82-41A5-A399-BAA2C476ECE0}" type="parTrans" cxnId="{B27BE45A-9E28-4C40-9043-1B2C04C439E8}">
      <dgm:prSet/>
      <dgm:spPr/>
      <dgm:t>
        <a:bodyPr/>
        <a:lstStyle/>
        <a:p>
          <a:pPr algn="ctr"/>
          <a:endParaRPr lang="en-GB"/>
        </a:p>
      </dgm:t>
    </dgm:pt>
    <dgm:pt modelId="{09B2A42C-AC98-4013-A5DF-DD1DEE06EE92}" type="sibTrans" cxnId="{B27BE45A-9E28-4C40-9043-1B2C04C439E8}">
      <dgm:prSet/>
      <dgm:spPr/>
      <dgm:t>
        <a:bodyPr/>
        <a:lstStyle/>
        <a:p>
          <a:pPr algn="ctr"/>
          <a:endParaRPr lang="en-GB"/>
        </a:p>
      </dgm:t>
    </dgm:pt>
    <dgm:pt modelId="{CB7D3B1B-DEC8-42D6-83B9-ECA5D55CEC4C}">
      <dgm:prSet phldrT="[Text]"/>
      <dgm:spPr/>
      <dgm:t>
        <a:bodyPr/>
        <a:lstStyle/>
        <a:p>
          <a:pPr algn="ctr"/>
          <a:r>
            <a:rPr lang="en-GB"/>
            <a:t>Internalisation Advantages </a:t>
          </a:r>
        </a:p>
      </dgm:t>
    </dgm:pt>
    <dgm:pt modelId="{7E5FC20F-3A95-4E28-8284-F8E3F77DEE93}" type="parTrans" cxnId="{DD4FB00B-FEBA-40D0-B591-40AB202020B9}">
      <dgm:prSet/>
      <dgm:spPr/>
      <dgm:t>
        <a:bodyPr/>
        <a:lstStyle/>
        <a:p>
          <a:pPr algn="ctr"/>
          <a:endParaRPr lang="en-GB"/>
        </a:p>
      </dgm:t>
    </dgm:pt>
    <dgm:pt modelId="{01B55B08-F4B3-4F19-AA0C-BF7D53236388}" type="sibTrans" cxnId="{DD4FB00B-FEBA-40D0-B591-40AB202020B9}">
      <dgm:prSet/>
      <dgm:spPr/>
      <dgm:t>
        <a:bodyPr/>
        <a:lstStyle/>
        <a:p>
          <a:pPr algn="ctr"/>
          <a:endParaRPr lang="en-GB"/>
        </a:p>
      </dgm:t>
    </dgm:pt>
    <dgm:pt modelId="{F0764889-8BFB-4C6D-8DC9-3875EBC4AFB8}">
      <dgm:prSet phldrT="[Text]"/>
      <dgm:spPr/>
      <dgm:t>
        <a:bodyPr/>
        <a:lstStyle/>
        <a:p>
          <a:pPr algn="ctr"/>
          <a:r>
            <a:rPr lang="en-GB"/>
            <a:t>Need to protect IP and quality </a:t>
          </a:r>
        </a:p>
      </dgm:t>
    </dgm:pt>
    <dgm:pt modelId="{6FD636C3-E022-4EE5-BA45-EF8366CC9923}" type="parTrans" cxnId="{9812295D-4807-4680-BC92-6B2EF93ED047}">
      <dgm:prSet/>
      <dgm:spPr/>
      <dgm:t>
        <a:bodyPr/>
        <a:lstStyle/>
        <a:p>
          <a:pPr algn="ctr"/>
          <a:endParaRPr lang="en-GB"/>
        </a:p>
      </dgm:t>
    </dgm:pt>
    <dgm:pt modelId="{A960012B-44E0-4399-B01C-A1D9193C681D}" type="sibTrans" cxnId="{9812295D-4807-4680-BC92-6B2EF93ED047}">
      <dgm:prSet/>
      <dgm:spPr/>
      <dgm:t>
        <a:bodyPr/>
        <a:lstStyle/>
        <a:p>
          <a:pPr algn="ctr"/>
          <a:endParaRPr lang="en-GB"/>
        </a:p>
      </dgm:t>
    </dgm:pt>
    <dgm:pt modelId="{E6C9F5F1-9269-4480-A3B0-E3F522A82F91}">
      <dgm:prSet phldrT="[Text]"/>
      <dgm:spPr>
        <a:solidFill>
          <a:schemeClr val="accent2"/>
        </a:solidFill>
      </dgm:spPr>
      <dgm:t>
        <a:bodyPr/>
        <a:lstStyle/>
        <a:p>
          <a:pPr algn="ctr"/>
          <a:r>
            <a:rPr lang="en-GB"/>
            <a:t>Recommended entre mode: Joint Venture</a:t>
          </a:r>
        </a:p>
      </dgm:t>
    </dgm:pt>
    <dgm:pt modelId="{84D19AE1-E882-4DE6-926D-3109F5F07AB1}" type="parTrans" cxnId="{792BECAD-D4F0-4815-A73A-1A28B225C5D9}">
      <dgm:prSet/>
      <dgm:spPr/>
      <dgm:t>
        <a:bodyPr/>
        <a:lstStyle/>
        <a:p>
          <a:pPr algn="ctr"/>
          <a:endParaRPr lang="en-GB"/>
        </a:p>
      </dgm:t>
    </dgm:pt>
    <dgm:pt modelId="{9681204F-F12A-4C4D-8FC4-8FB4CE1CD9CB}" type="sibTrans" cxnId="{792BECAD-D4F0-4815-A73A-1A28B225C5D9}">
      <dgm:prSet/>
      <dgm:spPr/>
      <dgm:t>
        <a:bodyPr/>
        <a:lstStyle/>
        <a:p>
          <a:pPr algn="ctr"/>
          <a:endParaRPr lang="en-GB"/>
        </a:p>
      </dgm:t>
    </dgm:pt>
    <dgm:pt modelId="{870D86BE-2BE6-4F40-AE3B-E36457ADD152}">
      <dgm:prSet phldrT="[Text]"/>
      <dgm:spPr/>
      <dgm:t>
        <a:bodyPr/>
        <a:lstStyle/>
        <a:p>
          <a:pPr algn="ctr"/>
          <a:r>
            <a:rPr lang="en-GB"/>
            <a:t>local partner (Masan consumer/ Vincommerce)</a:t>
          </a:r>
        </a:p>
      </dgm:t>
    </dgm:pt>
    <dgm:pt modelId="{47ADB9AD-AABF-4289-B362-7096F32502FB}" type="parTrans" cxnId="{45DD08BC-D8FC-494E-96D7-7315D3A5276F}">
      <dgm:prSet/>
      <dgm:spPr/>
      <dgm:t>
        <a:bodyPr/>
        <a:lstStyle/>
        <a:p>
          <a:pPr algn="ctr"/>
          <a:endParaRPr lang="en-GB"/>
        </a:p>
      </dgm:t>
    </dgm:pt>
    <dgm:pt modelId="{0591D70D-4146-48A9-9ED5-1978EB9AAA61}" type="sibTrans" cxnId="{45DD08BC-D8FC-494E-96D7-7315D3A5276F}">
      <dgm:prSet/>
      <dgm:spPr/>
      <dgm:t>
        <a:bodyPr/>
        <a:lstStyle/>
        <a:p>
          <a:pPr algn="ctr"/>
          <a:endParaRPr lang="en-GB"/>
        </a:p>
      </dgm:t>
    </dgm:pt>
    <dgm:pt modelId="{29257A63-FFD5-45A9-94DB-A8F8A13384BB}">
      <dgm:prSet/>
      <dgm:spPr/>
      <dgm:t>
        <a:bodyPr/>
        <a:lstStyle/>
        <a:p>
          <a:pPr algn="ctr"/>
          <a:r>
            <a:rPr lang="en-GB"/>
            <a:t>Location Advantages </a:t>
          </a:r>
        </a:p>
      </dgm:t>
    </dgm:pt>
    <dgm:pt modelId="{89E8348F-E0B7-417C-BC37-6BD381DF71B5}" type="parTrans" cxnId="{3F1A546F-6120-4FD3-94C5-12482AD4BD5C}">
      <dgm:prSet/>
      <dgm:spPr/>
      <dgm:t>
        <a:bodyPr/>
        <a:lstStyle/>
        <a:p>
          <a:pPr algn="ctr"/>
          <a:endParaRPr lang="en-GB"/>
        </a:p>
      </dgm:t>
    </dgm:pt>
    <dgm:pt modelId="{168D76DD-6C77-4EF6-A1C2-1288D5A7B920}" type="sibTrans" cxnId="{3F1A546F-6120-4FD3-94C5-12482AD4BD5C}">
      <dgm:prSet/>
      <dgm:spPr/>
      <dgm:t>
        <a:bodyPr/>
        <a:lstStyle/>
        <a:p>
          <a:pPr algn="ctr"/>
          <a:endParaRPr lang="en-GB"/>
        </a:p>
      </dgm:t>
    </dgm:pt>
    <dgm:pt modelId="{6A38954A-BF6C-4206-AB41-FD30F76ED44C}">
      <dgm:prSet phldrT="[Text]"/>
      <dgm:spPr/>
      <dgm:t>
        <a:bodyPr/>
        <a:lstStyle/>
        <a:p>
          <a:pPr algn="ctr"/>
          <a:r>
            <a:rPr lang="en-GB"/>
            <a:t>R&amp;D innovation</a:t>
          </a:r>
        </a:p>
      </dgm:t>
    </dgm:pt>
    <dgm:pt modelId="{28CF5397-A44A-4743-BC86-4055DF49B42D}" type="parTrans" cxnId="{10F3BABC-79FA-4078-A1B4-6D039E1CF511}">
      <dgm:prSet/>
      <dgm:spPr/>
      <dgm:t>
        <a:bodyPr/>
        <a:lstStyle/>
        <a:p>
          <a:pPr algn="ctr"/>
          <a:endParaRPr lang="en-GB"/>
        </a:p>
      </dgm:t>
    </dgm:pt>
    <dgm:pt modelId="{1397598D-9F80-4129-9CD5-11EA42EE186C}" type="sibTrans" cxnId="{10F3BABC-79FA-4078-A1B4-6D039E1CF511}">
      <dgm:prSet/>
      <dgm:spPr/>
      <dgm:t>
        <a:bodyPr/>
        <a:lstStyle/>
        <a:p>
          <a:pPr algn="ctr"/>
          <a:endParaRPr lang="en-GB"/>
        </a:p>
      </dgm:t>
    </dgm:pt>
    <dgm:pt modelId="{E8AD2A8A-7F89-472B-BA4E-7D1654583D20}">
      <dgm:prSet phldrT="[Text]"/>
      <dgm:spPr/>
      <dgm:t>
        <a:bodyPr/>
        <a:lstStyle/>
        <a:p>
          <a:pPr algn="ctr"/>
          <a:r>
            <a:rPr lang="en-GB"/>
            <a:t>Financial resources</a:t>
          </a:r>
        </a:p>
      </dgm:t>
    </dgm:pt>
    <dgm:pt modelId="{18D7C495-7223-42B6-9E8D-0CE5E6E1DD72}" type="parTrans" cxnId="{E1A71FAE-875B-4E0D-9DBC-59D516CC2303}">
      <dgm:prSet/>
      <dgm:spPr/>
      <dgm:t>
        <a:bodyPr/>
        <a:lstStyle/>
        <a:p>
          <a:pPr algn="ctr"/>
          <a:endParaRPr lang="en-GB"/>
        </a:p>
      </dgm:t>
    </dgm:pt>
    <dgm:pt modelId="{77894D3A-5F9A-49D1-8098-C63722FA5B39}" type="sibTrans" cxnId="{E1A71FAE-875B-4E0D-9DBC-59D516CC2303}">
      <dgm:prSet/>
      <dgm:spPr/>
      <dgm:t>
        <a:bodyPr/>
        <a:lstStyle/>
        <a:p>
          <a:pPr algn="ctr"/>
          <a:endParaRPr lang="en-GB"/>
        </a:p>
      </dgm:t>
    </dgm:pt>
    <dgm:pt modelId="{09CD4457-B225-4148-9E07-39404310A960}">
      <dgm:prSet/>
      <dgm:spPr/>
      <dgm:t>
        <a:bodyPr/>
        <a:lstStyle/>
        <a:p>
          <a:pPr algn="ctr"/>
          <a:r>
            <a:rPr lang="en-GB"/>
            <a:t>Growing Vietnamese fygiene market</a:t>
          </a:r>
        </a:p>
      </dgm:t>
    </dgm:pt>
    <dgm:pt modelId="{6A3655DF-E973-4D8E-92D4-6E7E21958DAD}" type="parTrans" cxnId="{39D962BE-2F31-43C7-A38F-AA36F4ED5BE1}">
      <dgm:prSet/>
      <dgm:spPr/>
      <dgm:t>
        <a:bodyPr/>
        <a:lstStyle/>
        <a:p>
          <a:pPr algn="ctr"/>
          <a:endParaRPr lang="en-GB"/>
        </a:p>
      </dgm:t>
    </dgm:pt>
    <dgm:pt modelId="{4F5EB63D-9FA9-49A0-BD8D-40E6347CCA36}" type="sibTrans" cxnId="{39D962BE-2F31-43C7-A38F-AA36F4ED5BE1}">
      <dgm:prSet/>
      <dgm:spPr/>
      <dgm:t>
        <a:bodyPr/>
        <a:lstStyle/>
        <a:p>
          <a:pPr algn="ctr"/>
          <a:endParaRPr lang="en-GB"/>
        </a:p>
      </dgm:t>
    </dgm:pt>
    <dgm:pt modelId="{8E871460-C925-4A76-8E49-C0DEBD1825FC}">
      <dgm:prSet/>
      <dgm:spPr/>
      <dgm:t>
        <a:bodyPr/>
        <a:lstStyle/>
        <a:p>
          <a:pPr algn="ctr"/>
          <a:r>
            <a:rPr lang="en-GB"/>
            <a:t>low production costs </a:t>
          </a:r>
        </a:p>
      </dgm:t>
    </dgm:pt>
    <dgm:pt modelId="{A5FD0C6A-35C4-4B72-A089-BECD458B2678}" type="parTrans" cxnId="{CF87E53B-A9E9-4A57-87BB-7D809855C55C}">
      <dgm:prSet/>
      <dgm:spPr/>
      <dgm:t>
        <a:bodyPr/>
        <a:lstStyle/>
        <a:p>
          <a:pPr algn="ctr"/>
          <a:endParaRPr lang="en-GB"/>
        </a:p>
      </dgm:t>
    </dgm:pt>
    <dgm:pt modelId="{22E6AD7A-6658-4598-AF91-CEFCEFF41E4A}" type="sibTrans" cxnId="{CF87E53B-A9E9-4A57-87BB-7D809855C55C}">
      <dgm:prSet/>
      <dgm:spPr/>
      <dgm:t>
        <a:bodyPr/>
        <a:lstStyle/>
        <a:p>
          <a:pPr algn="ctr"/>
          <a:endParaRPr lang="en-GB"/>
        </a:p>
      </dgm:t>
    </dgm:pt>
    <dgm:pt modelId="{02DF8842-33E4-4E8B-876A-C63E443E606B}">
      <dgm:prSet/>
      <dgm:spPr/>
      <dgm:t>
        <a:bodyPr/>
        <a:lstStyle/>
        <a:p>
          <a:pPr algn="ctr"/>
          <a:r>
            <a:rPr lang="en-GB"/>
            <a:t>Regional trade access (ASEAN)</a:t>
          </a:r>
        </a:p>
      </dgm:t>
    </dgm:pt>
    <dgm:pt modelId="{951E39C7-D009-425C-97EB-775373649E07}" type="parTrans" cxnId="{99AC59EA-09FA-4F9D-A845-F713B8A51E7E}">
      <dgm:prSet/>
      <dgm:spPr/>
      <dgm:t>
        <a:bodyPr/>
        <a:lstStyle/>
        <a:p>
          <a:pPr algn="ctr"/>
          <a:endParaRPr lang="en-GB"/>
        </a:p>
      </dgm:t>
    </dgm:pt>
    <dgm:pt modelId="{EAC9B2EA-7EA9-46EF-B2CF-198142B41B7E}" type="sibTrans" cxnId="{99AC59EA-09FA-4F9D-A845-F713B8A51E7E}">
      <dgm:prSet/>
      <dgm:spPr/>
      <dgm:t>
        <a:bodyPr/>
        <a:lstStyle/>
        <a:p>
          <a:pPr algn="ctr"/>
          <a:endParaRPr lang="en-GB"/>
        </a:p>
      </dgm:t>
    </dgm:pt>
    <dgm:pt modelId="{58AE30ED-1FD8-4BBC-AC71-8E306F9C1236}">
      <dgm:prSet phldrT="[Text]"/>
      <dgm:spPr/>
      <dgm:t>
        <a:bodyPr/>
        <a:lstStyle/>
        <a:p>
          <a:pPr algn="ctr"/>
          <a:r>
            <a:rPr lang="en-GB"/>
            <a:t>Desire for local control</a:t>
          </a:r>
        </a:p>
      </dgm:t>
    </dgm:pt>
    <dgm:pt modelId="{54E1D24A-4796-4F3F-8BEB-1909D72A7C12}" type="parTrans" cxnId="{9A84BD7F-C194-427C-B9D2-E32BB542376F}">
      <dgm:prSet/>
      <dgm:spPr/>
      <dgm:t>
        <a:bodyPr/>
        <a:lstStyle/>
        <a:p>
          <a:pPr algn="ctr"/>
          <a:endParaRPr lang="en-GB"/>
        </a:p>
      </dgm:t>
    </dgm:pt>
    <dgm:pt modelId="{66772196-1619-4E87-A113-99BCCFDCD0E9}" type="sibTrans" cxnId="{9A84BD7F-C194-427C-B9D2-E32BB542376F}">
      <dgm:prSet/>
      <dgm:spPr/>
      <dgm:t>
        <a:bodyPr/>
        <a:lstStyle/>
        <a:p>
          <a:pPr algn="ctr"/>
          <a:endParaRPr lang="en-GB"/>
        </a:p>
      </dgm:t>
    </dgm:pt>
    <dgm:pt modelId="{9621F947-45BE-466D-91EE-53CE17CA432A}" type="pres">
      <dgm:prSet presAssocID="{314193F8-1E7B-432C-8C68-2D9BA06A30E2}" presName="linearFlow" presStyleCnt="0">
        <dgm:presLayoutVars>
          <dgm:dir/>
          <dgm:animLvl val="lvl"/>
          <dgm:resizeHandles val="exact"/>
        </dgm:presLayoutVars>
      </dgm:prSet>
      <dgm:spPr/>
    </dgm:pt>
    <dgm:pt modelId="{642EA201-0C5E-4805-A1AC-E488A7AD446B}" type="pres">
      <dgm:prSet presAssocID="{F0E2E388-2FC4-4602-BC4C-1E560E01FD22}" presName="composite" presStyleCnt="0"/>
      <dgm:spPr/>
    </dgm:pt>
    <dgm:pt modelId="{F6B8AAB9-0CB1-4C88-9B6C-AE20A18A08AD}" type="pres">
      <dgm:prSet presAssocID="{F0E2E388-2FC4-4602-BC4C-1E560E01FD22}" presName="parTx" presStyleLbl="node1" presStyleIdx="0" presStyleCnt="4">
        <dgm:presLayoutVars>
          <dgm:chMax val="0"/>
          <dgm:chPref val="0"/>
          <dgm:bulletEnabled val="1"/>
        </dgm:presLayoutVars>
      </dgm:prSet>
      <dgm:spPr/>
    </dgm:pt>
    <dgm:pt modelId="{15CE390B-5DB4-477F-9BFB-9D0AD6F9F3C2}" type="pres">
      <dgm:prSet presAssocID="{F0E2E388-2FC4-4602-BC4C-1E560E01FD22}" presName="parSh" presStyleLbl="node1" presStyleIdx="0" presStyleCnt="4"/>
      <dgm:spPr/>
    </dgm:pt>
    <dgm:pt modelId="{38441214-53E0-4BC5-9166-A3780B155FFC}" type="pres">
      <dgm:prSet presAssocID="{F0E2E388-2FC4-4602-BC4C-1E560E01FD22}" presName="desTx" presStyleLbl="fgAcc1" presStyleIdx="0" presStyleCnt="4">
        <dgm:presLayoutVars>
          <dgm:bulletEnabled val="1"/>
        </dgm:presLayoutVars>
      </dgm:prSet>
      <dgm:spPr/>
    </dgm:pt>
    <dgm:pt modelId="{6E61B8C6-223E-46B0-A711-C9C75402760B}" type="pres">
      <dgm:prSet presAssocID="{F424F512-6A4E-4BAB-8BBC-8D17F200D70E}" presName="sibTrans" presStyleLbl="sibTrans2D1" presStyleIdx="0" presStyleCnt="3"/>
      <dgm:spPr/>
    </dgm:pt>
    <dgm:pt modelId="{18621C09-81C2-42E1-AF0A-1D587660C573}" type="pres">
      <dgm:prSet presAssocID="{F424F512-6A4E-4BAB-8BBC-8D17F200D70E}" presName="connTx" presStyleLbl="sibTrans2D1" presStyleIdx="0" presStyleCnt="3"/>
      <dgm:spPr/>
    </dgm:pt>
    <dgm:pt modelId="{8171E498-AF43-4045-8DE4-37BC0A277D53}" type="pres">
      <dgm:prSet presAssocID="{29257A63-FFD5-45A9-94DB-A8F8A13384BB}" presName="composite" presStyleCnt="0"/>
      <dgm:spPr/>
    </dgm:pt>
    <dgm:pt modelId="{FBC327C0-FE68-47C9-A446-BDFC2E80266D}" type="pres">
      <dgm:prSet presAssocID="{29257A63-FFD5-45A9-94DB-A8F8A13384BB}" presName="parTx" presStyleLbl="node1" presStyleIdx="0" presStyleCnt="4">
        <dgm:presLayoutVars>
          <dgm:chMax val="0"/>
          <dgm:chPref val="0"/>
          <dgm:bulletEnabled val="1"/>
        </dgm:presLayoutVars>
      </dgm:prSet>
      <dgm:spPr/>
    </dgm:pt>
    <dgm:pt modelId="{77046B97-C34A-41CE-904C-AF7C7E7D305F}" type="pres">
      <dgm:prSet presAssocID="{29257A63-FFD5-45A9-94DB-A8F8A13384BB}" presName="parSh" presStyleLbl="node1" presStyleIdx="1" presStyleCnt="4"/>
      <dgm:spPr/>
    </dgm:pt>
    <dgm:pt modelId="{40220EC8-110D-42BF-B535-E1267C347CE0}" type="pres">
      <dgm:prSet presAssocID="{29257A63-FFD5-45A9-94DB-A8F8A13384BB}" presName="desTx" presStyleLbl="fgAcc1" presStyleIdx="1" presStyleCnt="4">
        <dgm:presLayoutVars>
          <dgm:bulletEnabled val="1"/>
        </dgm:presLayoutVars>
      </dgm:prSet>
      <dgm:spPr/>
    </dgm:pt>
    <dgm:pt modelId="{662E3656-C3DE-4D9F-BF1D-6B4F7791174F}" type="pres">
      <dgm:prSet presAssocID="{168D76DD-6C77-4EF6-A1C2-1288D5A7B920}" presName="sibTrans" presStyleLbl="sibTrans2D1" presStyleIdx="1" presStyleCnt="3"/>
      <dgm:spPr/>
    </dgm:pt>
    <dgm:pt modelId="{FC171B93-E03C-4D17-BE53-6B08DCC6B760}" type="pres">
      <dgm:prSet presAssocID="{168D76DD-6C77-4EF6-A1C2-1288D5A7B920}" presName="connTx" presStyleLbl="sibTrans2D1" presStyleIdx="1" presStyleCnt="3"/>
      <dgm:spPr/>
    </dgm:pt>
    <dgm:pt modelId="{1DA62BEE-F6F9-42C1-86C2-C4B7E03EC13D}" type="pres">
      <dgm:prSet presAssocID="{CB7D3B1B-DEC8-42D6-83B9-ECA5D55CEC4C}" presName="composite" presStyleCnt="0"/>
      <dgm:spPr/>
    </dgm:pt>
    <dgm:pt modelId="{F38C15D1-3CE7-4884-A1CE-FD74810FB028}" type="pres">
      <dgm:prSet presAssocID="{CB7D3B1B-DEC8-42D6-83B9-ECA5D55CEC4C}" presName="parTx" presStyleLbl="node1" presStyleIdx="1" presStyleCnt="4">
        <dgm:presLayoutVars>
          <dgm:chMax val="0"/>
          <dgm:chPref val="0"/>
          <dgm:bulletEnabled val="1"/>
        </dgm:presLayoutVars>
      </dgm:prSet>
      <dgm:spPr/>
    </dgm:pt>
    <dgm:pt modelId="{9C480202-8884-44F3-8E4F-7B83738A8C27}" type="pres">
      <dgm:prSet presAssocID="{CB7D3B1B-DEC8-42D6-83B9-ECA5D55CEC4C}" presName="parSh" presStyleLbl="node1" presStyleIdx="2" presStyleCnt="4"/>
      <dgm:spPr/>
    </dgm:pt>
    <dgm:pt modelId="{78784FDA-8505-418E-BDE9-A33F598BB8D9}" type="pres">
      <dgm:prSet presAssocID="{CB7D3B1B-DEC8-42D6-83B9-ECA5D55CEC4C}" presName="desTx" presStyleLbl="fgAcc1" presStyleIdx="2" presStyleCnt="4">
        <dgm:presLayoutVars>
          <dgm:bulletEnabled val="1"/>
        </dgm:presLayoutVars>
      </dgm:prSet>
      <dgm:spPr/>
    </dgm:pt>
    <dgm:pt modelId="{9BA94647-4FE9-4422-B2AD-958A96ACE11D}" type="pres">
      <dgm:prSet presAssocID="{01B55B08-F4B3-4F19-AA0C-BF7D53236388}" presName="sibTrans" presStyleLbl="sibTrans2D1" presStyleIdx="2" presStyleCnt="3"/>
      <dgm:spPr/>
    </dgm:pt>
    <dgm:pt modelId="{78BECB4D-5B34-43A2-81E3-966B7AE1736D}" type="pres">
      <dgm:prSet presAssocID="{01B55B08-F4B3-4F19-AA0C-BF7D53236388}" presName="connTx" presStyleLbl="sibTrans2D1" presStyleIdx="2" presStyleCnt="3"/>
      <dgm:spPr/>
    </dgm:pt>
    <dgm:pt modelId="{0EC4EF8E-89DB-4B29-A400-440D51E38419}" type="pres">
      <dgm:prSet presAssocID="{E6C9F5F1-9269-4480-A3B0-E3F522A82F91}" presName="composite" presStyleCnt="0"/>
      <dgm:spPr/>
    </dgm:pt>
    <dgm:pt modelId="{C80BD6CE-4EBA-4C4A-A83E-1BFC26848211}" type="pres">
      <dgm:prSet presAssocID="{E6C9F5F1-9269-4480-A3B0-E3F522A82F91}" presName="parTx" presStyleLbl="node1" presStyleIdx="2" presStyleCnt="4">
        <dgm:presLayoutVars>
          <dgm:chMax val="0"/>
          <dgm:chPref val="0"/>
          <dgm:bulletEnabled val="1"/>
        </dgm:presLayoutVars>
      </dgm:prSet>
      <dgm:spPr/>
    </dgm:pt>
    <dgm:pt modelId="{BD3418C1-F416-4521-9168-FF59F6786A42}" type="pres">
      <dgm:prSet presAssocID="{E6C9F5F1-9269-4480-A3B0-E3F522A82F91}" presName="parSh" presStyleLbl="node1" presStyleIdx="3" presStyleCnt="4"/>
      <dgm:spPr/>
    </dgm:pt>
    <dgm:pt modelId="{EA345905-07B4-452F-9933-7A90DB059080}" type="pres">
      <dgm:prSet presAssocID="{E6C9F5F1-9269-4480-A3B0-E3F522A82F91}" presName="desTx" presStyleLbl="fgAcc1" presStyleIdx="3" presStyleCnt="4">
        <dgm:presLayoutVars>
          <dgm:bulletEnabled val="1"/>
        </dgm:presLayoutVars>
      </dgm:prSet>
      <dgm:spPr/>
    </dgm:pt>
  </dgm:ptLst>
  <dgm:cxnLst>
    <dgm:cxn modelId="{8F37C607-00AA-4E24-98D2-47D4F2764889}" type="presOf" srcId="{58AE30ED-1FD8-4BBC-AC71-8E306F9C1236}" destId="{78784FDA-8505-418E-BDE9-A33F598BB8D9}" srcOrd="0" destOrd="1" presId="urn:microsoft.com/office/officeart/2005/8/layout/process3"/>
    <dgm:cxn modelId="{DD4FB00B-FEBA-40D0-B591-40AB202020B9}" srcId="{314193F8-1E7B-432C-8C68-2D9BA06A30E2}" destId="{CB7D3B1B-DEC8-42D6-83B9-ECA5D55CEC4C}" srcOrd="2" destOrd="0" parTransId="{7E5FC20F-3A95-4E28-8284-F8E3F77DEE93}" sibTransId="{01B55B08-F4B3-4F19-AA0C-BF7D53236388}"/>
    <dgm:cxn modelId="{CE36722E-02E1-4413-AB6B-78B469D215BA}" type="presOf" srcId="{168D76DD-6C77-4EF6-A1C2-1288D5A7B920}" destId="{662E3656-C3DE-4D9F-BF1D-6B4F7791174F}" srcOrd="0" destOrd="0" presId="urn:microsoft.com/office/officeart/2005/8/layout/process3"/>
    <dgm:cxn modelId="{CF87E53B-A9E9-4A57-87BB-7D809855C55C}" srcId="{29257A63-FFD5-45A9-94DB-A8F8A13384BB}" destId="{8E871460-C925-4A76-8E49-C0DEBD1825FC}" srcOrd="1" destOrd="0" parTransId="{A5FD0C6A-35C4-4B72-A089-BECD458B2678}" sibTransId="{22E6AD7A-6658-4598-AF91-CEFCEFF41E4A}"/>
    <dgm:cxn modelId="{34B6623C-EA5B-4527-B0DF-B1A3350D98C4}" type="presOf" srcId="{E6C9F5F1-9269-4480-A3B0-E3F522A82F91}" destId="{BD3418C1-F416-4521-9168-FF59F6786A42}" srcOrd="1" destOrd="0" presId="urn:microsoft.com/office/officeart/2005/8/layout/process3"/>
    <dgm:cxn modelId="{424DA540-1062-480E-9C27-B8B3B79F3763}" type="presOf" srcId="{6A38954A-BF6C-4206-AB41-FD30F76ED44C}" destId="{38441214-53E0-4BC5-9166-A3780B155FFC}" srcOrd="0" destOrd="1" presId="urn:microsoft.com/office/officeart/2005/8/layout/process3"/>
    <dgm:cxn modelId="{9812295D-4807-4680-BC92-6B2EF93ED047}" srcId="{CB7D3B1B-DEC8-42D6-83B9-ECA5D55CEC4C}" destId="{F0764889-8BFB-4C6D-8DC9-3875EBC4AFB8}" srcOrd="0" destOrd="0" parTransId="{6FD636C3-E022-4EE5-BA45-EF8366CC9923}" sibTransId="{A960012B-44E0-4399-B01C-A1D9193C681D}"/>
    <dgm:cxn modelId="{F1AE805E-B68F-44DF-B9CF-0366B2DFAB19}" type="presOf" srcId="{E8AD2A8A-7F89-472B-BA4E-7D1654583D20}" destId="{38441214-53E0-4BC5-9166-A3780B155FFC}" srcOrd="0" destOrd="2" presId="urn:microsoft.com/office/officeart/2005/8/layout/process3"/>
    <dgm:cxn modelId="{68456544-85A2-4014-9A1F-3A0CF138AAE9}" type="presOf" srcId="{29257A63-FFD5-45A9-94DB-A8F8A13384BB}" destId="{FBC327C0-FE68-47C9-A446-BDFC2E80266D}" srcOrd="0" destOrd="0" presId="urn:microsoft.com/office/officeart/2005/8/layout/process3"/>
    <dgm:cxn modelId="{2C7CCB45-0CEE-4DFE-B8D9-D2642ECD59B8}" type="presOf" srcId="{01B55B08-F4B3-4F19-AA0C-BF7D53236388}" destId="{78BECB4D-5B34-43A2-81E3-966B7AE1736D}" srcOrd="1" destOrd="0" presId="urn:microsoft.com/office/officeart/2005/8/layout/process3"/>
    <dgm:cxn modelId="{A8861246-1267-4AA4-B00C-D631E77F8DBC}" type="presOf" srcId="{F0E2E388-2FC4-4602-BC4C-1E560E01FD22}" destId="{15CE390B-5DB4-477F-9BFB-9D0AD6F9F3C2}" srcOrd="1" destOrd="0" presId="urn:microsoft.com/office/officeart/2005/8/layout/process3"/>
    <dgm:cxn modelId="{1A9B2649-0493-49AC-A487-7077027278ED}" type="presOf" srcId="{F424F512-6A4E-4BAB-8BBC-8D17F200D70E}" destId="{6E61B8C6-223E-46B0-A711-C9C75402760B}" srcOrd="0" destOrd="0" presId="urn:microsoft.com/office/officeart/2005/8/layout/process3"/>
    <dgm:cxn modelId="{759A806A-A894-41FD-A1F2-5821A96AE08E}" type="presOf" srcId="{F424F512-6A4E-4BAB-8BBC-8D17F200D70E}" destId="{18621C09-81C2-42E1-AF0A-1D587660C573}" srcOrd="1" destOrd="0" presId="urn:microsoft.com/office/officeart/2005/8/layout/process3"/>
    <dgm:cxn modelId="{D832214E-1C3F-41B3-BC31-BE7A7BD7F383}" srcId="{314193F8-1E7B-432C-8C68-2D9BA06A30E2}" destId="{F0E2E388-2FC4-4602-BC4C-1E560E01FD22}" srcOrd="0" destOrd="0" parTransId="{231B8D13-636B-4966-9602-6475884E4E90}" sibTransId="{F424F512-6A4E-4BAB-8BBC-8D17F200D70E}"/>
    <dgm:cxn modelId="{3F1A546F-6120-4FD3-94C5-12482AD4BD5C}" srcId="{314193F8-1E7B-432C-8C68-2D9BA06A30E2}" destId="{29257A63-FFD5-45A9-94DB-A8F8A13384BB}" srcOrd="1" destOrd="0" parTransId="{89E8348F-E0B7-417C-BC37-6BD381DF71B5}" sibTransId="{168D76DD-6C77-4EF6-A1C2-1288D5A7B920}"/>
    <dgm:cxn modelId="{29D2B959-777C-437F-9856-967B650E55DA}" type="presOf" srcId="{CB7D3B1B-DEC8-42D6-83B9-ECA5D55CEC4C}" destId="{9C480202-8884-44F3-8E4F-7B83738A8C27}" srcOrd="1" destOrd="0" presId="urn:microsoft.com/office/officeart/2005/8/layout/process3"/>
    <dgm:cxn modelId="{B27BE45A-9E28-4C40-9043-1B2C04C439E8}" srcId="{F0E2E388-2FC4-4602-BC4C-1E560E01FD22}" destId="{2215C01B-A072-4BF8-AA8A-DB7C90348B72}" srcOrd="0" destOrd="0" parTransId="{56A7DCE5-CF82-41A5-A399-BAA2C476ECE0}" sibTransId="{09B2A42C-AC98-4013-A5DF-DD1DEE06EE92}"/>
    <dgm:cxn modelId="{0131D77D-2836-442F-B665-6E0808E92F35}" type="presOf" srcId="{09CD4457-B225-4148-9E07-39404310A960}" destId="{40220EC8-110D-42BF-B535-E1267C347CE0}" srcOrd="0" destOrd="0" presId="urn:microsoft.com/office/officeart/2005/8/layout/process3"/>
    <dgm:cxn modelId="{9A84BD7F-C194-427C-B9D2-E32BB542376F}" srcId="{CB7D3B1B-DEC8-42D6-83B9-ECA5D55CEC4C}" destId="{58AE30ED-1FD8-4BBC-AC71-8E306F9C1236}" srcOrd="1" destOrd="0" parTransId="{54E1D24A-4796-4F3F-8BEB-1909D72A7C12}" sibTransId="{66772196-1619-4E87-A113-99BCCFDCD0E9}"/>
    <dgm:cxn modelId="{1CB851A1-75DA-42AA-90F8-093397E69B80}" type="presOf" srcId="{F0E2E388-2FC4-4602-BC4C-1E560E01FD22}" destId="{F6B8AAB9-0CB1-4C88-9B6C-AE20A18A08AD}" srcOrd="0" destOrd="0" presId="urn:microsoft.com/office/officeart/2005/8/layout/process3"/>
    <dgm:cxn modelId="{792BECAD-D4F0-4815-A73A-1A28B225C5D9}" srcId="{314193F8-1E7B-432C-8C68-2D9BA06A30E2}" destId="{E6C9F5F1-9269-4480-A3B0-E3F522A82F91}" srcOrd="3" destOrd="0" parTransId="{84D19AE1-E882-4DE6-926D-3109F5F07AB1}" sibTransId="{9681204F-F12A-4C4D-8FC4-8FB4CE1CD9CB}"/>
    <dgm:cxn modelId="{E1A71FAE-875B-4E0D-9DBC-59D516CC2303}" srcId="{F0E2E388-2FC4-4602-BC4C-1E560E01FD22}" destId="{E8AD2A8A-7F89-472B-BA4E-7D1654583D20}" srcOrd="2" destOrd="0" parTransId="{18D7C495-7223-42B6-9E8D-0CE5E6E1DD72}" sibTransId="{77894D3A-5F9A-49D1-8098-C63722FA5B39}"/>
    <dgm:cxn modelId="{3A5F40B1-BB22-49E2-9A95-A14D33F222FA}" type="presOf" srcId="{CB7D3B1B-DEC8-42D6-83B9-ECA5D55CEC4C}" destId="{F38C15D1-3CE7-4884-A1CE-FD74810FB028}" srcOrd="0" destOrd="0" presId="urn:microsoft.com/office/officeart/2005/8/layout/process3"/>
    <dgm:cxn modelId="{A1E3EFB1-7440-4B95-BA59-BCBE185D475B}" type="presOf" srcId="{F0764889-8BFB-4C6D-8DC9-3875EBC4AFB8}" destId="{78784FDA-8505-418E-BDE9-A33F598BB8D9}" srcOrd="0" destOrd="0" presId="urn:microsoft.com/office/officeart/2005/8/layout/process3"/>
    <dgm:cxn modelId="{9B2748B2-6B28-430E-BA49-6F89FD8FC135}" type="presOf" srcId="{E6C9F5F1-9269-4480-A3B0-E3F522A82F91}" destId="{C80BD6CE-4EBA-4C4A-A83E-1BFC26848211}" srcOrd="0" destOrd="0" presId="urn:microsoft.com/office/officeart/2005/8/layout/process3"/>
    <dgm:cxn modelId="{45DD08BC-D8FC-494E-96D7-7315D3A5276F}" srcId="{E6C9F5F1-9269-4480-A3B0-E3F522A82F91}" destId="{870D86BE-2BE6-4F40-AE3B-E36457ADD152}" srcOrd="0" destOrd="0" parTransId="{47ADB9AD-AABF-4289-B362-7096F32502FB}" sibTransId="{0591D70D-4146-48A9-9ED5-1978EB9AAA61}"/>
    <dgm:cxn modelId="{10F3BABC-79FA-4078-A1B4-6D039E1CF511}" srcId="{F0E2E388-2FC4-4602-BC4C-1E560E01FD22}" destId="{6A38954A-BF6C-4206-AB41-FD30F76ED44C}" srcOrd="1" destOrd="0" parTransId="{28CF5397-A44A-4743-BC86-4055DF49B42D}" sibTransId="{1397598D-9F80-4129-9CD5-11EA42EE186C}"/>
    <dgm:cxn modelId="{379501BE-A61D-498D-B8F1-3DD77590DECB}" type="presOf" srcId="{02DF8842-33E4-4E8B-876A-C63E443E606B}" destId="{40220EC8-110D-42BF-B535-E1267C347CE0}" srcOrd="0" destOrd="2" presId="urn:microsoft.com/office/officeart/2005/8/layout/process3"/>
    <dgm:cxn modelId="{39D962BE-2F31-43C7-A38F-AA36F4ED5BE1}" srcId="{29257A63-FFD5-45A9-94DB-A8F8A13384BB}" destId="{09CD4457-B225-4148-9E07-39404310A960}" srcOrd="0" destOrd="0" parTransId="{6A3655DF-E973-4D8E-92D4-6E7E21958DAD}" sibTransId="{4F5EB63D-9FA9-49A0-BD8D-40E6347CCA36}"/>
    <dgm:cxn modelId="{A8A368C5-BFD6-43C1-87ED-1930FC96DB87}" type="presOf" srcId="{870D86BE-2BE6-4F40-AE3B-E36457ADD152}" destId="{EA345905-07B4-452F-9933-7A90DB059080}" srcOrd="0" destOrd="0" presId="urn:microsoft.com/office/officeart/2005/8/layout/process3"/>
    <dgm:cxn modelId="{CE0B24CC-85AB-4103-9550-18B0F119C0BE}" type="presOf" srcId="{01B55B08-F4B3-4F19-AA0C-BF7D53236388}" destId="{9BA94647-4FE9-4422-B2AD-958A96ACE11D}" srcOrd="0" destOrd="0" presId="urn:microsoft.com/office/officeart/2005/8/layout/process3"/>
    <dgm:cxn modelId="{1D517CD1-EDD1-480C-867F-0F1D1E24BA8E}" type="presOf" srcId="{314193F8-1E7B-432C-8C68-2D9BA06A30E2}" destId="{9621F947-45BE-466D-91EE-53CE17CA432A}" srcOrd="0" destOrd="0" presId="urn:microsoft.com/office/officeart/2005/8/layout/process3"/>
    <dgm:cxn modelId="{1D020FE5-4551-4AE8-9C16-9A0262CFC6D9}" type="presOf" srcId="{168D76DD-6C77-4EF6-A1C2-1288D5A7B920}" destId="{FC171B93-E03C-4D17-BE53-6B08DCC6B760}" srcOrd="1" destOrd="0" presId="urn:microsoft.com/office/officeart/2005/8/layout/process3"/>
    <dgm:cxn modelId="{99AC59EA-09FA-4F9D-A845-F713B8A51E7E}" srcId="{29257A63-FFD5-45A9-94DB-A8F8A13384BB}" destId="{02DF8842-33E4-4E8B-876A-C63E443E606B}" srcOrd="2" destOrd="0" parTransId="{951E39C7-D009-425C-97EB-775373649E07}" sibTransId="{EAC9B2EA-7EA9-46EF-B2CF-198142B41B7E}"/>
    <dgm:cxn modelId="{B537AFEA-7883-4F74-8CB1-2F2BBBD078E6}" type="presOf" srcId="{8E871460-C925-4A76-8E49-C0DEBD1825FC}" destId="{40220EC8-110D-42BF-B535-E1267C347CE0}" srcOrd="0" destOrd="1" presId="urn:microsoft.com/office/officeart/2005/8/layout/process3"/>
    <dgm:cxn modelId="{4E9F87EB-0A69-463C-8567-7A3917559728}" type="presOf" srcId="{2215C01B-A072-4BF8-AA8A-DB7C90348B72}" destId="{38441214-53E0-4BC5-9166-A3780B155FFC}" srcOrd="0" destOrd="0" presId="urn:microsoft.com/office/officeart/2005/8/layout/process3"/>
    <dgm:cxn modelId="{687ED2EF-6619-4F37-BC2F-C286A764DC72}" type="presOf" srcId="{29257A63-FFD5-45A9-94DB-A8F8A13384BB}" destId="{77046B97-C34A-41CE-904C-AF7C7E7D305F}" srcOrd="1" destOrd="0" presId="urn:microsoft.com/office/officeart/2005/8/layout/process3"/>
    <dgm:cxn modelId="{42FBABF1-3C8D-49A9-AAA9-B1F2AC3DA6DF}" type="presParOf" srcId="{9621F947-45BE-466D-91EE-53CE17CA432A}" destId="{642EA201-0C5E-4805-A1AC-E488A7AD446B}" srcOrd="0" destOrd="0" presId="urn:microsoft.com/office/officeart/2005/8/layout/process3"/>
    <dgm:cxn modelId="{91BD9DFA-E2FE-4380-A4C2-DC44F16031B1}" type="presParOf" srcId="{642EA201-0C5E-4805-A1AC-E488A7AD446B}" destId="{F6B8AAB9-0CB1-4C88-9B6C-AE20A18A08AD}" srcOrd="0" destOrd="0" presId="urn:microsoft.com/office/officeart/2005/8/layout/process3"/>
    <dgm:cxn modelId="{E629AFD3-3D63-4CFD-98C3-FA0F440AC9A9}" type="presParOf" srcId="{642EA201-0C5E-4805-A1AC-E488A7AD446B}" destId="{15CE390B-5DB4-477F-9BFB-9D0AD6F9F3C2}" srcOrd="1" destOrd="0" presId="urn:microsoft.com/office/officeart/2005/8/layout/process3"/>
    <dgm:cxn modelId="{BBF8E4A6-6317-4776-BF52-BA5B6B0976EF}" type="presParOf" srcId="{642EA201-0C5E-4805-A1AC-E488A7AD446B}" destId="{38441214-53E0-4BC5-9166-A3780B155FFC}" srcOrd="2" destOrd="0" presId="urn:microsoft.com/office/officeart/2005/8/layout/process3"/>
    <dgm:cxn modelId="{7DA32AB7-5147-48C4-A49C-5E495AEA462E}" type="presParOf" srcId="{9621F947-45BE-466D-91EE-53CE17CA432A}" destId="{6E61B8C6-223E-46B0-A711-C9C75402760B}" srcOrd="1" destOrd="0" presId="urn:microsoft.com/office/officeart/2005/8/layout/process3"/>
    <dgm:cxn modelId="{F562C6D3-9809-454E-90E5-69EE5BCA8A80}" type="presParOf" srcId="{6E61B8C6-223E-46B0-A711-C9C75402760B}" destId="{18621C09-81C2-42E1-AF0A-1D587660C573}" srcOrd="0" destOrd="0" presId="urn:microsoft.com/office/officeart/2005/8/layout/process3"/>
    <dgm:cxn modelId="{0DC3AAED-B842-476F-9BBD-F1FAABE131CF}" type="presParOf" srcId="{9621F947-45BE-466D-91EE-53CE17CA432A}" destId="{8171E498-AF43-4045-8DE4-37BC0A277D53}" srcOrd="2" destOrd="0" presId="urn:microsoft.com/office/officeart/2005/8/layout/process3"/>
    <dgm:cxn modelId="{4F589EDC-F5FD-4215-A87F-F69B4CC7976E}" type="presParOf" srcId="{8171E498-AF43-4045-8DE4-37BC0A277D53}" destId="{FBC327C0-FE68-47C9-A446-BDFC2E80266D}" srcOrd="0" destOrd="0" presId="urn:microsoft.com/office/officeart/2005/8/layout/process3"/>
    <dgm:cxn modelId="{E94DF82A-C494-4388-BE60-CEEB47C99CB4}" type="presParOf" srcId="{8171E498-AF43-4045-8DE4-37BC0A277D53}" destId="{77046B97-C34A-41CE-904C-AF7C7E7D305F}" srcOrd="1" destOrd="0" presId="urn:microsoft.com/office/officeart/2005/8/layout/process3"/>
    <dgm:cxn modelId="{F49D0EF7-5645-4CF9-8B03-2069C08AC20D}" type="presParOf" srcId="{8171E498-AF43-4045-8DE4-37BC0A277D53}" destId="{40220EC8-110D-42BF-B535-E1267C347CE0}" srcOrd="2" destOrd="0" presId="urn:microsoft.com/office/officeart/2005/8/layout/process3"/>
    <dgm:cxn modelId="{ED6017D6-5B63-4D55-9341-18A9BD90A1CC}" type="presParOf" srcId="{9621F947-45BE-466D-91EE-53CE17CA432A}" destId="{662E3656-C3DE-4D9F-BF1D-6B4F7791174F}" srcOrd="3" destOrd="0" presId="urn:microsoft.com/office/officeart/2005/8/layout/process3"/>
    <dgm:cxn modelId="{2EA9FC32-DA37-4B36-8012-BACDDE7A2B1C}" type="presParOf" srcId="{662E3656-C3DE-4D9F-BF1D-6B4F7791174F}" destId="{FC171B93-E03C-4D17-BE53-6B08DCC6B760}" srcOrd="0" destOrd="0" presId="urn:microsoft.com/office/officeart/2005/8/layout/process3"/>
    <dgm:cxn modelId="{5D571765-DD67-42FE-B0AA-92AE9B08C18B}" type="presParOf" srcId="{9621F947-45BE-466D-91EE-53CE17CA432A}" destId="{1DA62BEE-F6F9-42C1-86C2-C4B7E03EC13D}" srcOrd="4" destOrd="0" presId="urn:microsoft.com/office/officeart/2005/8/layout/process3"/>
    <dgm:cxn modelId="{C6EA3D60-BE25-4316-BBCB-895BE1E40D21}" type="presParOf" srcId="{1DA62BEE-F6F9-42C1-86C2-C4B7E03EC13D}" destId="{F38C15D1-3CE7-4884-A1CE-FD74810FB028}" srcOrd="0" destOrd="0" presId="urn:microsoft.com/office/officeart/2005/8/layout/process3"/>
    <dgm:cxn modelId="{978B1ACD-20E9-4960-BBD6-FC94C54B52E0}" type="presParOf" srcId="{1DA62BEE-F6F9-42C1-86C2-C4B7E03EC13D}" destId="{9C480202-8884-44F3-8E4F-7B83738A8C27}" srcOrd="1" destOrd="0" presId="urn:microsoft.com/office/officeart/2005/8/layout/process3"/>
    <dgm:cxn modelId="{A6254FD6-575D-494C-A571-EA6347167826}" type="presParOf" srcId="{1DA62BEE-F6F9-42C1-86C2-C4B7E03EC13D}" destId="{78784FDA-8505-418E-BDE9-A33F598BB8D9}" srcOrd="2" destOrd="0" presId="urn:microsoft.com/office/officeart/2005/8/layout/process3"/>
    <dgm:cxn modelId="{90282489-352C-4705-8C54-AC6CBADBCD82}" type="presParOf" srcId="{9621F947-45BE-466D-91EE-53CE17CA432A}" destId="{9BA94647-4FE9-4422-B2AD-958A96ACE11D}" srcOrd="5" destOrd="0" presId="urn:microsoft.com/office/officeart/2005/8/layout/process3"/>
    <dgm:cxn modelId="{DD44BD77-4219-4EAB-A3F1-871C8FDFDEDC}" type="presParOf" srcId="{9BA94647-4FE9-4422-B2AD-958A96ACE11D}" destId="{78BECB4D-5B34-43A2-81E3-966B7AE1736D}" srcOrd="0" destOrd="0" presId="urn:microsoft.com/office/officeart/2005/8/layout/process3"/>
    <dgm:cxn modelId="{9B8EFB4A-92AE-400B-9BC9-AA479B08BE2F}" type="presParOf" srcId="{9621F947-45BE-466D-91EE-53CE17CA432A}" destId="{0EC4EF8E-89DB-4B29-A400-440D51E38419}" srcOrd="6" destOrd="0" presId="urn:microsoft.com/office/officeart/2005/8/layout/process3"/>
    <dgm:cxn modelId="{2009E2B7-D3E0-4BDC-8A3E-10B8E4D1BFB1}" type="presParOf" srcId="{0EC4EF8E-89DB-4B29-A400-440D51E38419}" destId="{C80BD6CE-4EBA-4C4A-A83E-1BFC26848211}" srcOrd="0" destOrd="0" presId="urn:microsoft.com/office/officeart/2005/8/layout/process3"/>
    <dgm:cxn modelId="{E45D7360-5DD5-4B88-B7B0-0FE6A86CF743}" type="presParOf" srcId="{0EC4EF8E-89DB-4B29-A400-440D51E38419}" destId="{BD3418C1-F416-4521-9168-FF59F6786A42}" srcOrd="1" destOrd="0" presId="urn:microsoft.com/office/officeart/2005/8/layout/process3"/>
    <dgm:cxn modelId="{410378F7-4006-451F-A549-AF6C6CFCE3ED}" type="presParOf" srcId="{0EC4EF8E-89DB-4B29-A400-440D51E38419}" destId="{EA345905-07B4-452F-9933-7A90DB059080}" srcOrd="2" destOrd="0" presId="urn:microsoft.com/office/officeart/2005/8/layout/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CE390B-5DB4-477F-9BFB-9D0AD6F9F3C2}">
      <dsp:nvSpPr>
        <dsp:cNvPr id="0" name=""/>
        <dsp:cNvSpPr/>
      </dsp:nvSpPr>
      <dsp:spPr>
        <a:xfrm>
          <a:off x="777" y="284312"/>
          <a:ext cx="976912" cy="4088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marL="0" lvl="0" indent="0" algn="ctr" defTabSz="311150">
            <a:lnSpc>
              <a:spcPct val="90000"/>
            </a:lnSpc>
            <a:spcBef>
              <a:spcPct val="0"/>
            </a:spcBef>
            <a:spcAft>
              <a:spcPct val="35000"/>
            </a:spcAft>
            <a:buNone/>
          </a:pPr>
          <a:r>
            <a:rPr lang="en-GB" sz="700" kern="1200"/>
            <a:t>Ownership Advanatges </a:t>
          </a:r>
        </a:p>
      </dsp:txBody>
      <dsp:txXfrm>
        <a:off x="777" y="284312"/>
        <a:ext cx="976912" cy="272536"/>
      </dsp:txXfrm>
    </dsp:sp>
    <dsp:sp modelId="{38441214-53E0-4BC5-9166-A3780B155FFC}">
      <dsp:nvSpPr>
        <dsp:cNvPr id="0" name=""/>
        <dsp:cNvSpPr/>
      </dsp:nvSpPr>
      <dsp:spPr>
        <a:xfrm>
          <a:off x="200867" y="556849"/>
          <a:ext cx="976912" cy="6733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ctr" defTabSz="311150">
            <a:lnSpc>
              <a:spcPct val="90000"/>
            </a:lnSpc>
            <a:spcBef>
              <a:spcPct val="0"/>
            </a:spcBef>
            <a:spcAft>
              <a:spcPct val="15000"/>
            </a:spcAft>
            <a:buChar char="•"/>
          </a:pPr>
          <a:r>
            <a:rPr lang="en-GB" sz="700" kern="1200"/>
            <a:t>Global brand equity (Dettol, Durex)</a:t>
          </a:r>
        </a:p>
        <a:p>
          <a:pPr marL="57150" lvl="1" indent="-57150" algn="ctr" defTabSz="311150">
            <a:lnSpc>
              <a:spcPct val="90000"/>
            </a:lnSpc>
            <a:spcBef>
              <a:spcPct val="0"/>
            </a:spcBef>
            <a:spcAft>
              <a:spcPct val="15000"/>
            </a:spcAft>
            <a:buChar char="•"/>
          </a:pPr>
          <a:r>
            <a:rPr lang="en-GB" sz="700" kern="1200"/>
            <a:t>R&amp;D innovation</a:t>
          </a:r>
        </a:p>
        <a:p>
          <a:pPr marL="57150" lvl="1" indent="-57150" algn="ctr" defTabSz="311150">
            <a:lnSpc>
              <a:spcPct val="90000"/>
            </a:lnSpc>
            <a:spcBef>
              <a:spcPct val="0"/>
            </a:spcBef>
            <a:spcAft>
              <a:spcPct val="15000"/>
            </a:spcAft>
            <a:buChar char="•"/>
          </a:pPr>
          <a:r>
            <a:rPr lang="en-GB" sz="700" kern="1200"/>
            <a:t>Financial resources</a:t>
          </a:r>
        </a:p>
      </dsp:txBody>
      <dsp:txXfrm>
        <a:off x="220588" y="576570"/>
        <a:ext cx="937470" cy="633870"/>
      </dsp:txXfrm>
    </dsp:sp>
    <dsp:sp modelId="{6E61B8C6-223E-46B0-A711-C9C75402760B}">
      <dsp:nvSpPr>
        <dsp:cNvPr id="0" name=""/>
        <dsp:cNvSpPr/>
      </dsp:nvSpPr>
      <dsp:spPr>
        <a:xfrm>
          <a:off x="1125785" y="298969"/>
          <a:ext cx="313964" cy="24322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125785" y="347613"/>
        <a:ext cx="240997" cy="145934"/>
      </dsp:txXfrm>
    </dsp:sp>
    <dsp:sp modelId="{77046B97-C34A-41CE-904C-AF7C7E7D305F}">
      <dsp:nvSpPr>
        <dsp:cNvPr id="0" name=""/>
        <dsp:cNvSpPr/>
      </dsp:nvSpPr>
      <dsp:spPr>
        <a:xfrm>
          <a:off x="1570074" y="284312"/>
          <a:ext cx="976912" cy="4088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marL="0" lvl="0" indent="0" algn="ctr" defTabSz="311150">
            <a:lnSpc>
              <a:spcPct val="90000"/>
            </a:lnSpc>
            <a:spcBef>
              <a:spcPct val="0"/>
            </a:spcBef>
            <a:spcAft>
              <a:spcPct val="35000"/>
            </a:spcAft>
            <a:buNone/>
          </a:pPr>
          <a:r>
            <a:rPr lang="en-GB" sz="700" kern="1200"/>
            <a:t>Location Advantages </a:t>
          </a:r>
        </a:p>
      </dsp:txBody>
      <dsp:txXfrm>
        <a:off x="1570074" y="284312"/>
        <a:ext cx="976912" cy="272536"/>
      </dsp:txXfrm>
    </dsp:sp>
    <dsp:sp modelId="{40220EC8-110D-42BF-B535-E1267C347CE0}">
      <dsp:nvSpPr>
        <dsp:cNvPr id="0" name=""/>
        <dsp:cNvSpPr/>
      </dsp:nvSpPr>
      <dsp:spPr>
        <a:xfrm>
          <a:off x="1770165" y="556849"/>
          <a:ext cx="976912" cy="6733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ctr" defTabSz="311150">
            <a:lnSpc>
              <a:spcPct val="90000"/>
            </a:lnSpc>
            <a:spcBef>
              <a:spcPct val="0"/>
            </a:spcBef>
            <a:spcAft>
              <a:spcPct val="15000"/>
            </a:spcAft>
            <a:buChar char="•"/>
          </a:pPr>
          <a:r>
            <a:rPr lang="en-GB" sz="700" kern="1200"/>
            <a:t>Growing Vietnamese fygiene market</a:t>
          </a:r>
        </a:p>
        <a:p>
          <a:pPr marL="57150" lvl="1" indent="-57150" algn="ctr" defTabSz="311150">
            <a:lnSpc>
              <a:spcPct val="90000"/>
            </a:lnSpc>
            <a:spcBef>
              <a:spcPct val="0"/>
            </a:spcBef>
            <a:spcAft>
              <a:spcPct val="15000"/>
            </a:spcAft>
            <a:buChar char="•"/>
          </a:pPr>
          <a:r>
            <a:rPr lang="en-GB" sz="700" kern="1200"/>
            <a:t>low production costs </a:t>
          </a:r>
        </a:p>
        <a:p>
          <a:pPr marL="57150" lvl="1" indent="-57150" algn="ctr" defTabSz="311150">
            <a:lnSpc>
              <a:spcPct val="90000"/>
            </a:lnSpc>
            <a:spcBef>
              <a:spcPct val="0"/>
            </a:spcBef>
            <a:spcAft>
              <a:spcPct val="15000"/>
            </a:spcAft>
            <a:buChar char="•"/>
          </a:pPr>
          <a:r>
            <a:rPr lang="en-GB" sz="700" kern="1200"/>
            <a:t>Regional trade access (ASEAN)</a:t>
          </a:r>
        </a:p>
      </dsp:txBody>
      <dsp:txXfrm>
        <a:off x="1789886" y="576570"/>
        <a:ext cx="937470" cy="633870"/>
      </dsp:txXfrm>
    </dsp:sp>
    <dsp:sp modelId="{662E3656-C3DE-4D9F-BF1D-6B4F7791174F}">
      <dsp:nvSpPr>
        <dsp:cNvPr id="0" name=""/>
        <dsp:cNvSpPr/>
      </dsp:nvSpPr>
      <dsp:spPr>
        <a:xfrm>
          <a:off x="2695083" y="298969"/>
          <a:ext cx="313964" cy="24322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695083" y="347613"/>
        <a:ext cx="240997" cy="145934"/>
      </dsp:txXfrm>
    </dsp:sp>
    <dsp:sp modelId="{9C480202-8884-44F3-8E4F-7B83738A8C27}">
      <dsp:nvSpPr>
        <dsp:cNvPr id="0" name=""/>
        <dsp:cNvSpPr/>
      </dsp:nvSpPr>
      <dsp:spPr>
        <a:xfrm>
          <a:off x="3139372" y="284312"/>
          <a:ext cx="976912" cy="4088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marL="0" lvl="0" indent="0" algn="ctr" defTabSz="311150">
            <a:lnSpc>
              <a:spcPct val="90000"/>
            </a:lnSpc>
            <a:spcBef>
              <a:spcPct val="0"/>
            </a:spcBef>
            <a:spcAft>
              <a:spcPct val="35000"/>
            </a:spcAft>
            <a:buNone/>
          </a:pPr>
          <a:r>
            <a:rPr lang="en-GB" sz="700" kern="1200"/>
            <a:t>Internalisation Advantages </a:t>
          </a:r>
        </a:p>
      </dsp:txBody>
      <dsp:txXfrm>
        <a:off x="3139372" y="284312"/>
        <a:ext cx="976912" cy="272536"/>
      </dsp:txXfrm>
    </dsp:sp>
    <dsp:sp modelId="{78784FDA-8505-418E-BDE9-A33F598BB8D9}">
      <dsp:nvSpPr>
        <dsp:cNvPr id="0" name=""/>
        <dsp:cNvSpPr/>
      </dsp:nvSpPr>
      <dsp:spPr>
        <a:xfrm>
          <a:off x="3339462" y="556849"/>
          <a:ext cx="976912" cy="6733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ctr" defTabSz="311150">
            <a:lnSpc>
              <a:spcPct val="90000"/>
            </a:lnSpc>
            <a:spcBef>
              <a:spcPct val="0"/>
            </a:spcBef>
            <a:spcAft>
              <a:spcPct val="15000"/>
            </a:spcAft>
            <a:buChar char="•"/>
          </a:pPr>
          <a:r>
            <a:rPr lang="en-GB" sz="700" kern="1200"/>
            <a:t>Need to protect IP and quality </a:t>
          </a:r>
        </a:p>
        <a:p>
          <a:pPr marL="57150" lvl="1" indent="-57150" algn="ctr" defTabSz="311150">
            <a:lnSpc>
              <a:spcPct val="90000"/>
            </a:lnSpc>
            <a:spcBef>
              <a:spcPct val="0"/>
            </a:spcBef>
            <a:spcAft>
              <a:spcPct val="15000"/>
            </a:spcAft>
            <a:buChar char="•"/>
          </a:pPr>
          <a:r>
            <a:rPr lang="en-GB" sz="700" kern="1200"/>
            <a:t>Desire for local control</a:t>
          </a:r>
        </a:p>
      </dsp:txBody>
      <dsp:txXfrm>
        <a:off x="3359183" y="576570"/>
        <a:ext cx="937470" cy="633870"/>
      </dsp:txXfrm>
    </dsp:sp>
    <dsp:sp modelId="{9BA94647-4FE9-4422-B2AD-958A96ACE11D}">
      <dsp:nvSpPr>
        <dsp:cNvPr id="0" name=""/>
        <dsp:cNvSpPr/>
      </dsp:nvSpPr>
      <dsp:spPr>
        <a:xfrm>
          <a:off x="4264380" y="298969"/>
          <a:ext cx="313964" cy="24322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264380" y="347613"/>
        <a:ext cx="240997" cy="145934"/>
      </dsp:txXfrm>
    </dsp:sp>
    <dsp:sp modelId="{BD3418C1-F416-4521-9168-FF59F6786A42}">
      <dsp:nvSpPr>
        <dsp:cNvPr id="0" name=""/>
        <dsp:cNvSpPr/>
      </dsp:nvSpPr>
      <dsp:spPr>
        <a:xfrm>
          <a:off x="4708670" y="284312"/>
          <a:ext cx="976912" cy="408805"/>
        </a:xfrm>
        <a:prstGeom prst="roundRect">
          <a:avLst>
            <a:gd name="adj" fmla="val 10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marL="0" lvl="0" indent="0" algn="ctr" defTabSz="311150">
            <a:lnSpc>
              <a:spcPct val="90000"/>
            </a:lnSpc>
            <a:spcBef>
              <a:spcPct val="0"/>
            </a:spcBef>
            <a:spcAft>
              <a:spcPct val="35000"/>
            </a:spcAft>
            <a:buNone/>
          </a:pPr>
          <a:r>
            <a:rPr lang="en-GB" sz="700" kern="1200"/>
            <a:t>Recommended entre mode: Joint Venture</a:t>
          </a:r>
        </a:p>
      </dsp:txBody>
      <dsp:txXfrm>
        <a:off x="4708670" y="284312"/>
        <a:ext cx="976912" cy="272536"/>
      </dsp:txXfrm>
    </dsp:sp>
    <dsp:sp modelId="{EA345905-07B4-452F-9933-7A90DB059080}">
      <dsp:nvSpPr>
        <dsp:cNvPr id="0" name=""/>
        <dsp:cNvSpPr/>
      </dsp:nvSpPr>
      <dsp:spPr>
        <a:xfrm>
          <a:off x="4908760" y="556849"/>
          <a:ext cx="976912" cy="6733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ctr" defTabSz="311150">
            <a:lnSpc>
              <a:spcPct val="90000"/>
            </a:lnSpc>
            <a:spcBef>
              <a:spcPct val="0"/>
            </a:spcBef>
            <a:spcAft>
              <a:spcPct val="15000"/>
            </a:spcAft>
            <a:buChar char="•"/>
          </a:pPr>
          <a:r>
            <a:rPr lang="en-GB" sz="700" kern="1200"/>
            <a:t>local partner (Masan consumer/ Vincommerce)</a:t>
          </a:r>
        </a:p>
      </dsp:txBody>
      <dsp:txXfrm>
        <a:off x="4928481" y="576570"/>
        <a:ext cx="937470" cy="63387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4E5B8-8648-4E47-AB0A-7931DB1E8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7062</Words>
  <Characters>40260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2025-12-20T04:03:00Z</dcterms:created>
  <dcterms:modified xsi:type="dcterms:W3CDTF">2025-12-21T13:46:00Z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8e0c1619db1540d99d66704b2a1fc97f</vt:lpwstr>
  </property>
  <property fmtid="{D5CDD505-2E9C-101B-9397-08002B2CF9AE}" pid="3" name="GrammarlyDocumentId">
    <vt:lpwstr>95e9dc82-eec2-4f96-a184-0ebd39cc606f</vt:lpwstr>
  </property>
</Properties>
</file>