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E23E9A" w14:paraId="09A0B786" w14:textId="77777777" w:rsidTr="00E23E9A">
        <w:tc>
          <w:tcPr>
            <w:tcW w:w="9016" w:type="dxa"/>
          </w:tcPr>
          <w:p w14:paraId="478D0FB7" w14:textId="28120DF2" w:rsidR="00E23E9A" w:rsidRDefault="00E23E9A"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Current Proposed Title (20/30 words):</w:t>
            </w:r>
          </w:p>
        </w:tc>
      </w:tr>
      <w:tr w:rsidR="00E23E9A" w14:paraId="156BAAE2" w14:textId="77777777" w:rsidTr="00E23E9A">
        <w:tc>
          <w:tcPr>
            <w:tcW w:w="9016" w:type="dxa"/>
          </w:tcPr>
          <w:p w14:paraId="75AD5390" w14:textId="29B44ED5" w:rsidR="00E23E9A" w:rsidRDefault="008E274D"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Does an activation warm-up incorporating knee stability exercises improve</w:t>
            </w:r>
            <w:r w:rsidR="005A53B8">
              <w:rPr>
                <w:rFonts w:ascii="ArialMT" w:eastAsia="Times New Roman" w:hAnsi="ArialMT" w:cs="Times New Roman"/>
                <w:kern w:val="0"/>
                <w:sz w:val="22"/>
                <w:szCs w:val="22"/>
                <w:shd w:val="clear" w:color="auto" w:fill="EFEFEF"/>
                <w:lang w:eastAsia="en-GB"/>
                <w14:ligatures w14:val="none"/>
              </w:rPr>
              <w:t xml:space="preserve"> dynamic knee stability and lower limb performance in amateur and semi-professional male rugby players?</w:t>
            </w:r>
          </w:p>
        </w:tc>
      </w:tr>
      <w:tr w:rsidR="00E23E9A" w14:paraId="0B4A47A9" w14:textId="77777777" w:rsidTr="00E23E9A">
        <w:tc>
          <w:tcPr>
            <w:tcW w:w="9016" w:type="dxa"/>
          </w:tcPr>
          <w:p w14:paraId="5E876569" w14:textId="50C400DA" w:rsidR="00E23E9A" w:rsidRDefault="00FA0917"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Background</w:t>
            </w:r>
            <w:r w:rsidR="008F5A6D">
              <w:rPr>
                <w:rFonts w:ascii="ArialMT" w:eastAsia="Times New Roman" w:hAnsi="ArialMT" w:cs="Times New Roman"/>
                <w:kern w:val="0"/>
                <w:sz w:val="22"/>
                <w:szCs w:val="22"/>
                <w:shd w:val="clear" w:color="auto" w:fill="EFEFEF"/>
                <w:lang w:eastAsia="en-GB"/>
                <w14:ligatures w14:val="none"/>
              </w:rPr>
              <w:t xml:space="preserve"> &amp; Context (500 words)</w:t>
            </w:r>
            <w:r w:rsidR="007212E4">
              <w:rPr>
                <w:rFonts w:ascii="ArialMT" w:eastAsia="Times New Roman" w:hAnsi="ArialMT" w:cs="Times New Roman"/>
                <w:kern w:val="0"/>
                <w:sz w:val="22"/>
                <w:szCs w:val="22"/>
                <w:shd w:val="clear" w:color="auto" w:fill="EFEFEF"/>
                <w:lang w:eastAsia="en-GB"/>
                <w14:ligatures w14:val="none"/>
              </w:rPr>
              <w:t>:</w:t>
            </w:r>
          </w:p>
        </w:tc>
      </w:tr>
      <w:tr w:rsidR="00E23E9A" w14:paraId="4C0C0DC0" w14:textId="77777777" w:rsidTr="00E23E9A">
        <w:tc>
          <w:tcPr>
            <w:tcW w:w="9016" w:type="dxa"/>
          </w:tcPr>
          <w:p w14:paraId="53B9B8F6" w14:textId="77777777" w:rsidR="002D78CE" w:rsidRDefault="00573504"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Rugb</w:t>
            </w:r>
            <w:r w:rsidR="00DC1BED">
              <w:rPr>
                <w:rFonts w:ascii="ArialMT" w:eastAsia="Times New Roman" w:hAnsi="ArialMT" w:cs="Times New Roman"/>
                <w:kern w:val="0"/>
                <w:sz w:val="22"/>
                <w:szCs w:val="22"/>
                <w:shd w:val="clear" w:color="auto" w:fill="EFEFEF"/>
                <w:lang w:eastAsia="en-GB"/>
                <w14:ligatures w14:val="none"/>
              </w:rPr>
              <w:t>y union is a high-intensity, collision-based sports that demands frequent accelerations, decel</w:t>
            </w:r>
            <w:r w:rsidR="00A7199C">
              <w:rPr>
                <w:rFonts w:ascii="ArialMT" w:eastAsia="Times New Roman" w:hAnsi="ArialMT" w:cs="Times New Roman"/>
                <w:kern w:val="0"/>
                <w:sz w:val="22"/>
                <w:szCs w:val="22"/>
                <w:shd w:val="clear" w:color="auto" w:fill="EFEFEF"/>
                <w:lang w:eastAsia="en-GB"/>
                <w14:ligatures w14:val="none"/>
              </w:rPr>
              <w:t>erations, and directional changes, all of which place significant stress on the lower limbs. The</w:t>
            </w:r>
            <w:r w:rsidR="005316BC">
              <w:rPr>
                <w:rFonts w:ascii="ArialMT" w:eastAsia="Times New Roman" w:hAnsi="ArialMT" w:cs="Times New Roman"/>
                <w:kern w:val="0"/>
                <w:sz w:val="22"/>
                <w:szCs w:val="22"/>
                <w:shd w:val="clear" w:color="auto" w:fill="EFEFEF"/>
                <w:lang w:eastAsia="en-GB"/>
                <w14:ligatures w14:val="none"/>
              </w:rPr>
              <w:t xml:space="preserve"> knee joint is particularly</w:t>
            </w:r>
            <w:r w:rsidR="00F83AFE">
              <w:rPr>
                <w:rFonts w:ascii="ArialMT" w:eastAsia="Times New Roman" w:hAnsi="ArialMT" w:cs="Times New Roman"/>
                <w:kern w:val="0"/>
                <w:sz w:val="22"/>
                <w:szCs w:val="22"/>
                <w:shd w:val="clear" w:color="auto" w:fill="EFEFEF"/>
                <w:lang w:eastAsia="en-GB"/>
                <w14:ligatures w14:val="none"/>
              </w:rPr>
              <w:t xml:space="preserve"> venerable to both contact </w:t>
            </w:r>
            <w:r w:rsidR="00F4648C">
              <w:rPr>
                <w:rFonts w:ascii="ArialMT" w:eastAsia="Times New Roman" w:hAnsi="ArialMT" w:cs="Times New Roman"/>
                <w:kern w:val="0"/>
                <w:sz w:val="22"/>
                <w:szCs w:val="22"/>
                <w:shd w:val="clear" w:color="auto" w:fill="EFEFEF"/>
                <w:lang w:eastAsia="en-GB"/>
                <w14:ligatures w14:val="none"/>
              </w:rPr>
              <w:t>and non-contact injuries such as anterior cruciate ligament (ACL) sprains and meniscal tears</w:t>
            </w:r>
            <w:r w:rsidR="00D758CE">
              <w:rPr>
                <w:rFonts w:ascii="ArialMT" w:eastAsia="Times New Roman" w:hAnsi="ArialMT" w:cs="Times New Roman"/>
                <w:kern w:val="0"/>
                <w:sz w:val="22"/>
                <w:szCs w:val="22"/>
                <w:shd w:val="clear" w:color="auto" w:fill="EFEFEF"/>
                <w:lang w:eastAsia="en-GB"/>
                <w14:ligatures w14:val="none"/>
              </w:rPr>
              <w:t xml:space="preserve"> </w:t>
            </w:r>
            <w:r w:rsidR="00B5141A">
              <w:rPr>
                <w:rFonts w:ascii="ArialMT" w:eastAsia="Times New Roman" w:hAnsi="ArialMT" w:cs="Times New Roman"/>
                <w:kern w:val="0"/>
                <w:sz w:val="22"/>
                <w:szCs w:val="22"/>
                <w:shd w:val="clear" w:color="auto" w:fill="EFEFEF"/>
                <w:lang w:eastAsia="en-GB"/>
                <w14:ligatures w14:val="none"/>
              </w:rPr>
              <w:t>(</w:t>
            </w:r>
            <w:proofErr w:type="spellStart"/>
            <w:r w:rsidR="00B5141A">
              <w:rPr>
                <w:rFonts w:ascii="ArialMT" w:eastAsia="Times New Roman" w:hAnsi="ArialMT" w:cs="Times New Roman"/>
                <w:kern w:val="0"/>
                <w:sz w:val="22"/>
                <w:szCs w:val="22"/>
                <w:shd w:val="clear" w:color="auto" w:fill="EFEFEF"/>
                <w:lang w:eastAsia="en-GB"/>
                <w14:ligatures w14:val="none"/>
              </w:rPr>
              <w:t>Dallalana</w:t>
            </w:r>
            <w:proofErr w:type="spellEnd"/>
            <w:r w:rsidR="00B5141A">
              <w:rPr>
                <w:rFonts w:ascii="ArialMT" w:eastAsia="Times New Roman" w:hAnsi="ArialMT" w:cs="Times New Roman"/>
                <w:kern w:val="0"/>
                <w:sz w:val="22"/>
                <w:szCs w:val="22"/>
                <w:shd w:val="clear" w:color="auto" w:fill="EFEFEF"/>
                <w:lang w:eastAsia="en-GB"/>
                <w14:ligatures w14:val="none"/>
              </w:rPr>
              <w:t xml:space="preserve"> et al., 2007)</w:t>
            </w:r>
            <w:r w:rsidR="00776ABF">
              <w:rPr>
                <w:rFonts w:ascii="ArialMT" w:eastAsia="Times New Roman" w:hAnsi="ArialMT" w:cs="Times New Roman"/>
                <w:kern w:val="0"/>
                <w:sz w:val="22"/>
                <w:szCs w:val="22"/>
                <w:shd w:val="clear" w:color="auto" w:fill="EFEFEF"/>
                <w:lang w:eastAsia="en-GB"/>
                <w14:ligatures w14:val="none"/>
              </w:rPr>
              <w:t>. Dynamic knee stability</w:t>
            </w:r>
            <w:r w:rsidR="00000122">
              <w:rPr>
                <w:rFonts w:ascii="ArialMT" w:eastAsia="Times New Roman" w:hAnsi="ArialMT" w:cs="Times New Roman"/>
                <w:kern w:val="0"/>
                <w:sz w:val="22"/>
                <w:szCs w:val="22"/>
                <w:shd w:val="clear" w:color="auto" w:fill="EFEFEF"/>
                <w:lang w:eastAsia="en-GB"/>
                <w14:ligatures w14:val="none"/>
              </w:rPr>
              <w:t>, the ability to maintain joint alignment and control during motion, it’s a critical component of both performance and injury prevention (</w:t>
            </w:r>
            <w:r w:rsidR="00C61429">
              <w:rPr>
                <w:rFonts w:ascii="ArialMT" w:eastAsia="Times New Roman" w:hAnsi="ArialMT" w:cs="Times New Roman"/>
                <w:kern w:val="0"/>
                <w:sz w:val="22"/>
                <w:szCs w:val="22"/>
                <w:shd w:val="clear" w:color="auto" w:fill="EFEFEF"/>
                <w:lang w:eastAsia="en-GB"/>
                <w14:ligatures w14:val="none"/>
              </w:rPr>
              <w:t>Chmiel</w:t>
            </w:r>
            <w:r w:rsidR="00147387">
              <w:rPr>
                <w:rFonts w:ascii="ArialMT" w:eastAsia="Times New Roman" w:hAnsi="ArialMT" w:cs="Times New Roman"/>
                <w:kern w:val="0"/>
                <w:sz w:val="22"/>
                <w:szCs w:val="22"/>
                <w:shd w:val="clear" w:color="auto" w:fill="EFEFEF"/>
                <w:lang w:eastAsia="en-GB"/>
                <w14:ligatures w14:val="none"/>
              </w:rPr>
              <w:t>ewski</w:t>
            </w:r>
            <w:r w:rsidR="00BF4112">
              <w:rPr>
                <w:rFonts w:ascii="ArialMT" w:eastAsia="Times New Roman" w:hAnsi="ArialMT" w:cs="Times New Roman"/>
                <w:kern w:val="0"/>
                <w:sz w:val="22"/>
                <w:szCs w:val="22"/>
                <w:shd w:val="clear" w:color="auto" w:fill="EFEFEF"/>
                <w:lang w:eastAsia="en-GB"/>
                <w14:ligatures w14:val="none"/>
              </w:rPr>
              <w:t xml:space="preserve"> et al.,</w:t>
            </w:r>
            <w:r w:rsidR="002D78CE">
              <w:rPr>
                <w:rFonts w:ascii="ArialMT" w:eastAsia="Times New Roman" w:hAnsi="ArialMT" w:cs="Times New Roman"/>
                <w:kern w:val="0"/>
                <w:sz w:val="22"/>
                <w:szCs w:val="22"/>
                <w:shd w:val="clear" w:color="auto" w:fill="EFEFEF"/>
                <w:lang w:eastAsia="en-GB"/>
                <w14:ligatures w14:val="none"/>
              </w:rPr>
              <w:t xml:space="preserve"> 2002).</w:t>
            </w:r>
          </w:p>
          <w:p w14:paraId="2365A4FD" w14:textId="77777777" w:rsidR="002D78CE" w:rsidRDefault="002D78CE"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Recent evidence supports the use of activation warm-ups to enhance neuromuscular readiness and reduce injury risk. These warm-ups target key stabilising muscles, such as glutes, quadriceps and hamstrings, which play a vital role in maintaining knee alignment during weight-bearing movements</w:t>
            </w:r>
            <w:r w:rsidR="00710A2B">
              <w:rPr>
                <w:rFonts w:ascii="ArialMT" w:eastAsia="Times New Roman" w:hAnsi="ArialMT" w:cs="Times New Roman"/>
                <w:kern w:val="0"/>
                <w:sz w:val="22"/>
                <w:szCs w:val="22"/>
                <w:shd w:val="clear" w:color="auto" w:fill="EFEFEF"/>
                <w:lang w:eastAsia="en-GB"/>
                <w14:ligatures w14:val="none"/>
              </w:rPr>
              <w:t xml:space="preserve"> (</w:t>
            </w:r>
            <w:r w:rsidR="008331AF">
              <w:rPr>
                <w:rFonts w:ascii="ArialMT" w:eastAsia="Times New Roman" w:hAnsi="ArialMT" w:cs="Times New Roman"/>
                <w:kern w:val="0"/>
                <w:sz w:val="22"/>
                <w:szCs w:val="22"/>
                <w:shd w:val="clear" w:color="auto" w:fill="EFEFEF"/>
                <w:lang w:eastAsia="en-GB"/>
                <w14:ligatures w14:val="none"/>
              </w:rPr>
              <w:t>Dis</w:t>
            </w:r>
            <w:r w:rsidR="006B2BB2">
              <w:rPr>
                <w:rFonts w:ascii="ArialMT" w:eastAsia="Times New Roman" w:hAnsi="ArialMT" w:cs="Times New Roman"/>
                <w:kern w:val="0"/>
                <w:sz w:val="22"/>
                <w:szCs w:val="22"/>
                <w:shd w:val="clear" w:color="auto" w:fill="EFEFEF"/>
                <w:lang w:eastAsia="en-GB"/>
                <w14:ligatures w14:val="none"/>
              </w:rPr>
              <w:t>tefano et al., 2009). Integrating activation exercises into team preparation can improve proprioceptive control, joint stability, and lower limb power (</w:t>
            </w:r>
            <w:r w:rsidR="006C6A00">
              <w:rPr>
                <w:rFonts w:ascii="ArialMT" w:eastAsia="Times New Roman" w:hAnsi="ArialMT" w:cs="Times New Roman"/>
                <w:kern w:val="0"/>
                <w:sz w:val="22"/>
                <w:szCs w:val="22"/>
                <w:shd w:val="clear" w:color="auto" w:fill="EFEFEF"/>
                <w:lang w:eastAsia="en-GB"/>
                <w14:ligatures w14:val="none"/>
              </w:rPr>
              <w:t>Yilmaz</w:t>
            </w:r>
            <w:r w:rsidR="00B20198">
              <w:rPr>
                <w:rFonts w:ascii="ArialMT" w:eastAsia="Times New Roman" w:hAnsi="ArialMT" w:cs="Times New Roman"/>
                <w:kern w:val="0"/>
                <w:sz w:val="22"/>
                <w:szCs w:val="22"/>
                <w:shd w:val="clear" w:color="auto" w:fill="EFEFEF"/>
                <w:lang w:eastAsia="en-GB"/>
                <w14:ligatures w14:val="none"/>
              </w:rPr>
              <w:t xml:space="preserve"> et al., 2024)</w:t>
            </w:r>
            <w:r w:rsidR="001F47F7">
              <w:rPr>
                <w:rFonts w:ascii="ArialMT" w:eastAsia="Times New Roman" w:hAnsi="ArialMT" w:cs="Times New Roman"/>
                <w:kern w:val="0"/>
                <w:sz w:val="22"/>
                <w:szCs w:val="22"/>
                <w:shd w:val="clear" w:color="auto" w:fill="EFEFEF"/>
                <w:lang w:eastAsia="en-GB"/>
                <w14:ligatures w14:val="none"/>
              </w:rPr>
              <w:t>.</w:t>
            </w:r>
          </w:p>
          <w:p w14:paraId="79367395" w14:textId="77777777" w:rsidR="001F47F7" w:rsidRDefault="001F47F7"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The RFU Activate program, developed by the Rugby football union, provid</w:t>
            </w:r>
            <w:r w:rsidR="007232D6">
              <w:rPr>
                <w:rFonts w:ascii="ArialMT" w:eastAsia="Times New Roman" w:hAnsi="ArialMT" w:cs="Times New Roman"/>
                <w:kern w:val="0"/>
                <w:sz w:val="22"/>
                <w:szCs w:val="22"/>
                <w:shd w:val="clear" w:color="auto" w:fill="EFEFEF"/>
                <w:lang w:eastAsia="en-GB"/>
                <w14:ligatures w14:val="none"/>
              </w:rPr>
              <w:t xml:space="preserve">es an evidence-based framework for structured warm-ups aimed at improving balance, strength and movement control </w:t>
            </w:r>
            <w:r w:rsidR="001E0E2E">
              <w:rPr>
                <w:rFonts w:ascii="ArialMT" w:eastAsia="Times New Roman" w:hAnsi="ArialMT" w:cs="Times New Roman"/>
                <w:kern w:val="0"/>
                <w:sz w:val="22"/>
                <w:szCs w:val="22"/>
                <w:shd w:val="clear" w:color="auto" w:fill="EFEFEF"/>
                <w:lang w:eastAsia="en-GB"/>
                <w14:ligatures w14:val="none"/>
              </w:rPr>
              <w:t xml:space="preserve">(England rugby, 2020). Studies have shown that the activate warm-up significantly reduces musculoskeletal and concussion injuries across both schoolboy and adult </w:t>
            </w:r>
            <w:r w:rsidR="00FF3827">
              <w:rPr>
                <w:rFonts w:ascii="ArialMT" w:eastAsia="Times New Roman" w:hAnsi="ArialMT" w:cs="Times New Roman"/>
                <w:kern w:val="0"/>
                <w:sz w:val="22"/>
                <w:szCs w:val="22"/>
                <w:shd w:val="clear" w:color="auto" w:fill="EFEFEF"/>
                <w:lang w:eastAsia="en-GB"/>
                <w14:ligatures w14:val="none"/>
              </w:rPr>
              <w:t>rugby players (Attwood et al., 2018). However, there is limited research examining whether activation warm-ups</w:t>
            </w:r>
            <w:r w:rsidR="00D31BB1">
              <w:rPr>
                <w:rFonts w:ascii="ArialMT" w:eastAsia="Times New Roman" w:hAnsi="ArialMT" w:cs="Times New Roman"/>
                <w:kern w:val="0"/>
                <w:sz w:val="22"/>
                <w:szCs w:val="22"/>
                <w:shd w:val="clear" w:color="auto" w:fill="EFEFEF"/>
                <w:lang w:eastAsia="en-GB"/>
                <w14:ligatures w14:val="none"/>
              </w:rPr>
              <w:t xml:space="preserve"> that specifically include knee stability exercises produce measurable improvements in dynamic knee stability and lower limb performance among amateur and semi-</w:t>
            </w:r>
            <w:r w:rsidR="00F84AB7">
              <w:rPr>
                <w:rFonts w:ascii="ArialMT" w:eastAsia="Times New Roman" w:hAnsi="ArialMT" w:cs="Times New Roman"/>
                <w:kern w:val="0"/>
                <w:sz w:val="22"/>
                <w:szCs w:val="22"/>
                <w:shd w:val="clear" w:color="auto" w:fill="EFEFEF"/>
                <w:lang w:eastAsia="en-GB"/>
                <w14:ligatures w14:val="none"/>
              </w:rPr>
              <w:t>professional</w:t>
            </w:r>
            <w:r w:rsidR="00D31BB1">
              <w:rPr>
                <w:rFonts w:ascii="ArialMT" w:eastAsia="Times New Roman" w:hAnsi="ArialMT" w:cs="Times New Roman"/>
                <w:kern w:val="0"/>
                <w:sz w:val="22"/>
                <w:szCs w:val="22"/>
                <w:shd w:val="clear" w:color="auto" w:fill="EFEFEF"/>
                <w:lang w:eastAsia="en-GB"/>
                <w14:ligatures w14:val="none"/>
              </w:rPr>
              <w:t xml:space="preserve"> players</w:t>
            </w:r>
            <w:r w:rsidR="00F84AB7">
              <w:rPr>
                <w:rFonts w:ascii="ArialMT" w:eastAsia="Times New Roman" w:hAnsi="ArialMT" w:cs="Times New Roman"/>
                <w:kern w:val="0"/>
                <w:sz w:val="22"/>
                <w:szCs w:val="22"/>
                <w:shd w:val="clear" w:color="auto" w:fill="EFEFEF"/>
                <w:lang w:eastAsia="en-GB"/>
                <w14:ligatures w14:val="none"/>
              </w:rPr>
              <w:t>.</w:t>
            </w:r>
          </w:p>
          <w:p w14:paraId="5B4556EA" w14:textId="77777777" w:rsidR="00F84AB7" w:rsidRDefault="003E7B0E"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As amateur and semi-professional players typically have less access to formal conditioning </w:t>
            </w:r>
            <w:r w:rsidR="00B248BC">
              <w:rPr>
                <w:rFonts w:ascii="ArialMT" w:eastAsia="Times New Roman" w:hAnsi="ArialMT" w:cs="Times New Roman"/>
                <w:kern w:val="0"/>
                <w:sz w:val="22"/>
                <w:szCs w:val="22"/>
                <w:shd w:val="clear" w:color="auto" w:fill="EFEFEF"/>
                <w:lang w:eastAsia="en-GB"/>
                <w14:ligatures w14:val="none"/>
              </w:rPr>
              <w:t>and injury prevention support, implementing a simple</w:t>
            </w:r>
            <w:r w:rsidR="00BB7C0B">
              <w:rPr>
                <w:rFonts w:ascii="ArialMT" w:eastAsia="Times New Roman" w:hAnsi="ArialMT" w:cs="Times New Roman"/>
                <w:kern w:val="0"/>
                <w:sz w:val="22"/>
                <w:szCs w:val="22"/>
                <w:shd w:val="clear" w:color="auto" w:fill="EFEFEF"/>
                <w:lang w:eastAsia="en-GB"/>
                <w14:ligatures w14:val="none"/>
              </w:rPr>
              <w:t>, structured warm-up could provide</w:t>
            </w:r>
            <w:r w:rsidR="00000152">
              <w:rPr>
                <w:rFonts w:ascii="ArialMT" w:eastAsia="Times New Roman" w:hAnsi="ArialMT" w:cs="Times New Roman"/>
                <w:kern w:val="0"/>
                <w:sz w:val="22"/>
                <w:szCs w:val="22"/>
                <w:shd w:val="clear" w:color="auto" w:fill="EFEFEF"/>
                <w:lang w:eastAsia="en-GB"/>
                <w14:ligatures w14:val="none"/>
              </w:rPr>
              <w:t xml:space="preserve"> a practical and cost-effective approach to improving performance and reducing injury risk. Objective </w:t>
            </w:r>
            <w:r w:rsidR="0039691E">
              <w:rPr>
                <w:rFonts w:ascii="ArialMT" w:eastAsia="Times New Roman" w:hAnsi="ArialMT" w:cs="Times New Roman"/>
                <w:kern w:val="0"/>
                <w:sz w:val="22"/>
                <w:szCs w:val="22"/>
                <w:shd w:val="clear" w:color="auto" w:fill="EFEFEF"/>
                <w:lang w:eastAsia="en-GB"/>
                <w14:ligatures w14:val="none"/>
              </w:rPr>
              <w:t>tests such as star excursion balance test (SEBT</w:t>
            </w:r>
            <w:proofErr w:type="gramStart"/>
            <w:r w:rsidR="0039691E">
              <w:rPr>
                <w:rFonts w:ascii="ArialMT" w:eastAsia="Times New Roman" w:hAnsi="ArialMT" w:cs="Times New Roman"/>
                <w:kern w:val="0"/>
                <w:sz w:val="22"/>
                <w:szCs w:val="22"/>
                <w:shd w:val="clear" w:color="auto" w:fill="EFEFEF"/>
                <w:lang w:eastAsia="en-GB"/>
                <w14:ligatures w14:val="none"/>
              </w:rPr>
              <w:t>)</w:t>
            </w:r>
            <w:proofErr w:type="gramEnd"/>
            <w:r w:rsidR="0039691E">
              <w:rPr>
                <w:rFonts w:ascii="ArialMT" w:eastAsia="Times New Roman" w:hAnsi="ArialMT" w:cs="Times New Roman"/>
                <w:kern w:val="0"/>
                <w:sz w:val="22"/>
                <w:szCs w:val="22"/>
                <w:shd w:val="clear" w:color="auto" w:fill="EFEFEF"/>
                <w:lang w:eastAsia="en-GB"/>
                <w14:ligatures w14:val="none"/>
              </w:rPr>
              <w:t xml:space="preserve"> and Countermovement jump (CMJ) can effectively evaluate changes in dynamic balance and lower limb power before and after intervention (</w:t>
            </w:r>
            <w:r w:rsidR="00F44A07">
              <w:rPr>
                <w:rFonts w:ascii="ArialMT" w:eastAsia="Times New Roman" w:hAnsi="ArialMT" w:cs="Times New Roman"/>
                <w:kern w:val="0"/>
                <w:sz w:val="22"/>
                <w:szCs w:val="22"/>
                <w:shd w:val="clear" w:color="auto" w:fill="EFEFEF"/>
                <w:lang w:eastAsia="en-GB"/>
                <w14:ligatures w14:val="none"/>
              </w:rPr>
              <w:t>Phill</w:t>
            </w:r>
            <w:r w:rsidR="00D865E7">
              <w:rPr>
                <w:rFonts w:ascii="ArialMT" w:eastAsia="Times New Roman" w:hAnsi="ArialMT" w:cs="Times New Roman"/>
                <w:kern w:val="0"/>
                <w:sz w:val="22"/>
                <w:szCs w:val="22"/>
                <w:shd w:val="clear" w:color="auto" w:fill="EFEFEF"/>
                <w:lang w:eastAsia="en-GB"/>
                <w14:ligatures w14:val="none"/>
              </w:rPr>
              <w:t>ip. A et al., 2012).</w:t>
            </w:r>
          </w:p>
          <w:p w14:paraId="3BABE20E" w14:textId="46771FB8" w:rsidR="00D865E7" w:rsidRDefault="004B7290"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This study therefore aims to determine whether a four-week activation warm-up, incorporating knee stability exercises, can improve dynamic knee stability and lower limp performance in amateur and semi-professional male rugby players</w:t>
            </w:r>
            <w:r w:rsidR="006520DF">
              <w:rPr>
                <w:rFonts w:ascii="ArialMT" w:eastAsia="Times New Roman" w:hAnsi="ArialMT" w:cs="Times New Roman"/>
                <w:kern w:val="0"/>
                <w:sz w:val="22"/>
                <w:szCs w:val="22"/>
                <w:shd w:val="clear" w:color="auto" w:fill="EFEFEF"/>
                <w:lang w:eastAsia="en-GB"/>
                <w14:ligatures w14:val="none"/>
              </w:rPr>
              <w:t>. The findings will contribute to evidence-based recommendations for warm-up design within community and semi-pro rugby</w:t>
            </w:r>
          </w:p>
        </w:tc>
      </w:tr>
      <w:tr w:rsidR="00E23E9A" w14:paraId="73AF38C0" w14:textId="77777777" w:rsidTr="00E23E9A">
        <w:tc>
          <w:tcPr>
            <w:tcW w:w="9016" w:type="dxa"/>
          </w:tcPr>
          <w:p w14:paraId="0578505A" w14:textId="28A9739E" w:rsidR="00E23E9A" w:rsidRDefault="008F5A6D"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Aims &amp; Objectives (250-500 words)</w:t>
            </w:r>
            <w:r w:rsidR="007212E4">
              <w:rPr>
                <w:rFonts w:ascii="ArialMT" w:eastAsia="Times New Roman" w:hAnsi="ArialMT" w:cs="Times New Roman"/>
                <w:kern w:val="0"/>
                <w:sz w:val="22"/>
                <w:szCs w:val="22"/>
                <w:shd w:val="clear" w:color="auto" w:fill="EFEFEF"/>
                <w:lang w:eastAsia="en-GB"/>
                <w14:ligatures w14:val="none"/>
              </w:rPr>
              <w:t>:</w:t>
            </w:r>
          </w:p>
        </w:tc>
      </w:tr>
      <w:tr w:rsidR="00E23E9A" w14:paraId="24677852" w14:textId="77777777" w:rsidTr="00E23E9A">
        <w:tc>
          <w:tcPr>
            <w:tcW w:w="9016" w:type="dxa"/>
          </w:tcPr>
          <w:p w14:paraId="77480E2E" w14:textId="053A2847" w:rsidR="00E23E9A" w:rsidRDefault="00EF16B5"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Aim: </w:t>
            </w:r>
            <w:r w:rsidR="004866BA">
              <w:rPr>
                <w:rFonts w:ascii="ArialMT" w:eastAsia="Times New Roman" w:hAnsi="ArialMT" w:cs="Times New Roman"/>
                <w:kern w:val="0"/>
                <w:sz w:val="22"/>
                <w:szCs w:val="22"/>
                <w:shd w:val="clear" w:color="auto" w:fill="EFEFEF"/>
                <w:lang w:eastAsia="en-GB"/>
                <w14:ligatures w14:val="none"/>
              </w:rPr>
              <w:t xml:space="preserve">The aim of </w:t>
            </w:r>
            <w:r w:rsidR="00687A7F">
              <w:rPr>
                <w:rFonts w:ascii="ArialMT" w:eastAsia="Times New Roman" w:hAnsi="ArialMT" w:cs="Times New Roman"/>
                <w:kern w:val="0"/>
                <w:sz w:val="22"/>
                <w:szCs w:val="22"/>
                <w:shd w:val="clear" w:color="auto" w:fill="EFEFEF"/>
                <w:lang w:eastAsia="en-GB"/>
                <w14:ligatures w14:val="none"/>
              </w:rPr>
              <w:t xml:space="preserve">study is to examine the effect of an activation-based warm-up </w:t>
            </w:r>
            <w:r w:rsidR="005052B9">
              <w:rPr>
                <w:rFonts w:ascii="ArialMT" w:eastAsia="Times New Roman" w:hAnsi="ArialMT" w:cs="Times New Roman"/>
                <w:kern w:val="0"/>
                <w:sz w:val="22"/>
                <w:szCs w:val="22"/>
                <w:shd w:val="clear" w:color="auto" w:fill="EFEFEF"/>
                <w:lang w:eastAsia="en-GB"/>
                <w14:ligatures w14:val="none"/>
              </w:rPr>
              <w:t>targeting knee stability exercised based on dynamic knee stability and lower limb performance in amateur and semi-professional male rugby players.</w:t>
            </w:r>
          </w:p>
          <w:p w14:paraId="5453FD92" w14:textId="72F45C89" w:rsidR="005052B9" w:rsidRDefault="005052B9"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Dynamic knee stability plays a critical role in maintaining joint integrity during high-intensity sporting movements such as acceleration, deaccel</w:t>
            </w:r>
            <w:r w:rsidR="002A0306">
              <w:rPr>
                <w:rFonts w:ascii="ArialMT" w:eastAsia="Times New Roman" w:hAnsi="ArialMT" w:cs="Times New Roman"/>
                <w:kern w:val="0"/>
                <w:sz w:val="22"/>
                <w:szCs w:val="22"/>
                <w:shd w:val="clear" w:color="auto" w:fill="EFEFEF"/>
                <w:lang w:eastAsia="en-GB"/>
                <w14:ligatures w14:val="none"/>
              </w:rPr>
              <w:t>eration,</w:t>
            </w:r>
            <w:r>
              <w:rPr>
                <w:rFonts w:ascii="ArialMT" w:eastAsia="Times New Roman" w:hAnsi="ArialMT" w:cs="Times New Roman"/>
                <w:kern w:val="0"/>
                <w:sz w:val="22"/>
                <w:szCs w:val="22"/>
                <w:shd w:val="clear" w:color="auto" w:fill="EFEFEF"/>
                <w:lang w:eastAsia="en-GB"/>
                <w14:ligatures w14:val="none"/>
              </w:rPr>
              <w:t xml:space="preserve"> cutting</w:t>
            </w:r>
            <w:r w:rsidR="002A0306">
              <w:rPr>
                <w:rFonts w:ascii="ArialMT" w:eastAsia="Times New Roman" w:hAnsi="ArialMT" w:cs="Times New Roman"/>
                <w:kern w:val="0"/>
                <w:sz w:val="22"/>
                <w:szCs w:val="22"/>
                <w:shd w:val="clear" w:color="auto" w:fill="EFEFEF"/>
                <w:lang w:eastAsia="en-GB"/>
                <w14:ligatures w14:val="none"/>
              </w:rPr>
              <w:t xml:space="preserve">, tackling, and rapid changes in directions. Poor neuromuscular control and instability around the knee joint have been strongly linked </w:t>
            </w:r>
            <w:r w:rsidR="00C03515">
              <w:rPr>
                <w:rFonts w:ascii="ArialMT" w:eastAsia="Times New Roman" w:hAnsi="ArialMT" w:cs="Times New Roman"/>
                <w:kern w:val="0"/>
                <w:sz w:val="22"/>
                <w:szCs w:val="22"/>
                <w:shd w:val="clear" w:color="auto" w:fill="EFEFEF"/>
                <w:lang w:eastAsia="en-GB"/>
                <w14:ligatures w14:val="none"/>
              </w:rPr>
              <w:t>to increased risk of lower limb injuries, particularly anterior cruciate ligament (ACL) and medial col</w:t>
            </w:r>
            <w:r w:rsidR="000939B8">
              <w:rPr>
                <w:rFonts w:ascii="ArialMT" w:eastAsia="Times New Roman" w:hAnsi="ArialMT" w:cs="Times New Roman"/>
                <w:kern w:val="0"/>
                <w:sz w:val="22"/>
                <w:szCs w:val="22"/>
                <w:shd w:val="clear" w:color="auto" w:fill="EFEFEF"/>
                <w:lang w:eastAsia="en-GB"/>
                <w14:ligatures w14:val="none"/>
              </w:rPr>
              <w:t>lateral ligament (MCL) injuries, which are prevalent in rugby due to the sports high contact and multidirectional nature. Therefore, interventions that enhance knee stability may not</w:t>
            </w:r>
            <w:r w:rsidR="00083328">
              <w:rPr>
                <w:rFonts w:ascii="ArialMT" w:eastAsia="Times New Roman" w:hAnsi="ArialMT" w:cs="Times New Roman"/>
                <w:kern w:val="0"/>
                <w:sz w:val="22"/>
                <w:szCs w:val="22"/>
                <w:shd w:val="clear" w:color="auto" w:fill="EFEFEF"/>
                <w:lang w:eastAsia="en-GB"/>
                <w14:ligatures w14:val="none"/>
              </w:rPr>
              <w:t xml:space="preserve"> only reduce the risk of </w:t>
            </w:r>
            <w:proofErr w:type="gramStart"/>
            <w:r w:rsidR="00083328">
              <w:rPr>
                <w:rFonts w:ascii="ArialMT" w:eastAsia="Times New Roman" w:hAnsi="ArialMT" w:cs="Times New Roman"/>
                <w:kern w:val="0"/>
                <w:sz w:val="22"/>
                <w:szCs w:val="22"/>
                <w:shd w:val="clear" w:color="auto" w:fill="EFEFEF"/>
                <w:lang w:eastAsia="en-GB"/>
                <w14:ligatures w14:val="none"/>
              </w:rPr>
              <w:t>injury, but</w:t>
            </w:r>
            <w:proofErr w:type="gramEnd"/>
            <w:r w:rsidR="00083328">
              <w:rPr>
                <w:rFonts w:ascii="ArialMT" w:eastAsia="Times New Roman" w:hAnsi="ArialMT" w:cs="Times New Roman"/>
                <w:kern w:val="0"/>
                <w:sz w:val="22"/>
                <w:szCs w:val="22"/>
                <w:shd w:val="clear" w:color="auto" w:fill="EFEFEF"/>
                <w:lang w:eastAsia="en-GB"/>
                <w14:ligatures w14:val="none"/>
              </w:rPr>
              <w:t xml:space="preserve"> could </w:t>
            </w:r>
            <w:r w:rsidR="00083328">
              <w:rPr>
                <w:rFonts w:ascii="ArialMT" w:eastAsia="Times New Roman" w:hAnsi="ArialMT" w:cs="Times New Roman"/>
                <w:kern w:val="0"/>
                <w:sz w:val="22"/>
                <w:szCs w:val="22"/>
                <w:shd w:val="clear" w:color="auto" w:fill="EFEFEF"/>
                <w:lang w:eastAsia="en-GB"/>
                <w14:ligatures w14:val="none"/>
              </w:rPr>
              <w:lastRenderedPageBreak/>
              <w:t>also improve overall performance by enabling more efficient force transfer and movement control</w:t>
            </w:r>
            <w:r w:rsidR="00BD5AC5">
              <w:rPr>
                <w:rFonts w:ascii="ArialMT" w:eastAsia="Times New Roman" w:hAnsi="ArialMT" w:cs="Times New Roman"/>
                <w:kern w:val="0"/>
                <w:sz w:val="22"/>
                <w:szCs w:val="22"/>
                <w:shd w:val="clear" w:color="auto" w:fill="EFEFEF"/>
                <w:lang w:eastAsia="en-GB"/>
                <w14:ligatures w14:val="none"/>
              </w:rPr>
              <w:t>.</w:t>
            </w:r>
          </w:p>
          <w:p w14:paraId="1FE06026" w14:textId="4DF61A97" w:rsidR="00B450BE" w:rsidRDefault="00B450BE"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Activation warm-ups, such as those incorp</w:t>
            </w:r>
            <w:r w:rsidR="00D3299A">
              <w:rPr>
                <w:rFonts w:ascii="ArialMT" w:eastAsia="Times New Roman" w:hAnsi="ArialMT" w:cs="Times New Roman"/>
                <w:kern w:val="0"/>
                <w:sz w:val="22"/>
                <w:szCs w:val="22"/>
                <w:shd w:val="clear" w:color="auto" w:fill="EFEFEF"/>
                <w:lang w:eastAsia="en-GB"/>
                <w14:ligatures w14:val="none"/>
              </w:rPr>
              <w:t>orating mobility drills, neuromuscular activation, and sport-specific movement patterns, are increasingly recognised as essential components</w:t>
            </w:r>
            <w:r w:rsidR="006A4378">
              <w:rPr>
                <w:rFonts w:ascii="ArialMT" w:eastAsia="Times New Roman" w:hAnsi="ArialMT" w:cs="Times New Roman"/>
                <w:kern w:val="0"/>
                <w:sz w:val="22"/>
                <w:szCs w:val="22"/>
                <w:shd w:val="clear" w:color="auto" w:fill="EFEFEF"/>
                <w:lang w:eastAsia="en-GB"/>
                <w14:ligatures w14:val="none"/>
              </w:rPr>
              <w:t xml:space="preserve"> of pre-training and pre-match preparation. The addition of knee stability exercises, targeting key surrounding muscle groups, such as the quads, hamstrings, glutes, and core stabilisers, this may further improve proprioception, balance, and muscle recruitment patterns around the knee joint</w:t>
            </w:r>
            <w:r w:rsidR="001C0632">
              <w:rPr>
                <w:rFonts w:ascii="ArialMT" w:eastAsia="Times New Roman" w:hAnsi="ArialMT" w:cs="Times New Roman"/>
                <w:kern w:val="0"/>
                <w:sz w:val="22"/>
                <w:szCs w:val="22"/>
                <w:shd w:val="clear" w:color="auto" w:fill="EFEFEF"/>
                <w:lang w:eastAsia="en-GB"/>
                <w14:ligatures w14:val="none"/>
              </w:rPr>
              <w:t xml:space="preserve">. This could then lead to better dynamic stability during functional movements such as </w:t>
            </w:r>
            <w:proofErr w:type="gramStart"/>
            <w:r w:rsidR="001C0632">
              <w:rPr>
                <w:rFonts w:ascii="ArialMT" w:eastAsia="Times New Roman" w:hAnsi="ArialMT" w:cs="Times New Roman"/>
                <w:kern w:val="0"/>
                <w:sz w:val="22"/>
                <w:szCs w:val="22"/>
                <w:shd w:val="clear" w:color="auto" w:fill="EFEFEF"/>
                <w:lang w:eastAsia="en-GB"/>
                <w14:ligatures w14:val="none"/>
              </w:rPr>
              <w:t>single-leg</w:t>
            </w:r>
            <w:proofErr w:type="gramEnd"/>
            <w:r w:rsidR="001C0632">
              <w:rPr>
                <w:rFonts w:ascii="ArialMT" w:eastAsia="Times New Roman" w:hAnsi="ArialMT" w:cs="Times New Roman"/>
                <w:kern w:val="0"/>
                <w:sz w:val="22"/>
                <w:szCs w:val="22"/>
                <w:shd w:val="clear" w:color="auto" w:fill="EFEFEF"/>
                <w:lang w:eastAsia="en-GB"/>
                <w14:ligatures w14:val="none"/>
              </w:rPr>
              <w:t xml:space="preserve"> jumps, cutting tasks,</w:t>
            </w:r>
            <w:r w:rsidR="000B3484">
              <w:rPr>
                <w:rFonts w:ascii="ArialMT" w:eastAsia="Times New Roman" w:hAnsi="ArialMT" w:cs="Times New Roman"/>
                <w:kern w:val="0"/>
                <w:sz w:val="22"/>
                <w:szCs w:val="22"/>
                <w:shd w:val="clear" w:color="auto" w:fill="EFEFEF"/>
                <w:lang w:eastAsia="en-GB"/>
                <w14:ligatures w14:val="none"/>
              </w:rPr>
              <w:t xml:space="preserve"> and landing </w:t>
            </w:r>
            <w:proofErr w:type="spellStart"/>
            <w:r w:rsidR="000B3484">
              <w:rPr>
                <w:rFonts w:ascii="ArialMT" w:eastAsia="Times New Roman" w:hAnsi="ArialMT" w:cs="Times New Roman"/>
                <w:kern w:val="0"/>
                <w:sz w:val="22"/>
                <w:szCs w:val="22"/>
                <w:shd w:val="clear" w:color="auto" w:fill="EFEFEF"/>
                <w:lang w:eastAsia="en-GB"/>
                <w14:ligatures w14:val="none"/>
              </w:rPr>
              <w:t>manoevers</w:t>
            </w:r>
            <w:proofErr w:type="spellEnd"/>
            <w:r w:rsidR="000B3484">
              <w:rPr>
                <w:rFonts w:ascii="ArialMT" w:eastAsia="Times New Roman" w:hAnsi="ArialMT" w:cs="Times New Roman"/>
                <w:kern w:val="0"/>
                <w:sz w:val="22"/>
                <w:szCs w:val="22"/>
                <w:shd w:val="clear" w:color="auto" w:fill="EFEFEF"/>
                <w:lang w:eastAsia="en-GB"/>
                <w14:ligatures w14:val="none"/>
              </w:rPr>
              <w:t>.</w:t>
            </w:r>
          </w:p>
          <w:p w14:paraId="4A92A40D" w14:textId="77777777" w:rsidR="00135BFF" w:rsidRDefault="00135BFF"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p>
          <w:p w14:paraId="2FA266BC" w14:textId="77777777" w:rsidR="009B7969" w:rsidRDefault="002F1161"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Objectives:</w:t>
            </w:r>
          </w:p>
          <w:p w14:paraId="284FBDE9" w14:textId="77777777" w:rsidR="002F1161" w:rsidRDefault="002F1161" w:rsidP="002F1161">
            <w:pPr>
              <w:pStyle w:val="ListParagraph"/>
              <w:numPr>
                <w:ilvl w:val="0"/>
                <w:numId w:val="2"/>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To measure baseline </w:t>
            </w:r>
            <w:r w:rsidR="00835338">
              <w:rPr>
                <w:rFonts w:ascii="ArialMT" w:eastAsia="Times New Roman" w:hAnsi="ArialMT" w:cs="Times New Roman"/>
                <w:kern w:val="0"/>
                <w:sz w:val="22"/>
                <w:szCs w:val="22"/>
                <w:shd w:val="clear" w:color="auto" w:fill="EFEFEF"/>
                <w:lang w:eastAsia="en-GB"/>
                <w14:ligatures w14:val="none"/>
              </w:rPr>
              <w:t>levels of dynamic balance (SEBT) and lower limb power (CMJ).</w:t>
            </w:r>
          </w:p>
          <w:p w14:paraId="10677840" w14:textId="77777777" w:rsidR="00835338" w:rsidRDefault="00835338" w:rsidP="002F1161">
            <w:pPr>
              <w:pStyle w:val="ListParagraph"/>
              <w:numPr>
                <w:ilvl w:val="0"/>
                <w:numId w:val="2"/>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To implement a structured four-week activation warm-up including targeted knee stability exercises within existing training sessions.</w:t>
            </w:r>
          </w:p>
          <w:p w14:paraId="7A30462A" w14:textId="77777777" w:rsidR="00835338" w:rsidRDefault="00835338" w:rsidP="002F1161">
            <w:pPr>
              <w:pStyle w:val="ListParagraph"/>
              <w:numPr>
                <w:ilvl w:val="0"/>
                <w:numId w:val="2"/>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To </w:t>
            </w:r>
            <w:r w:rsidR="00B06DD1">
              <w:rPr>
                <w:rFonts w:ascii="ArialMT" w:eastAsia="Times New Roman" w:hAnsi="ArialMT" w:cs="Times New Roman"/>
                <w:kern w:val="0"/>
                <w:sz w:val="22"/>
                <w:szCs w:val="22"/>
                <w:shd w:val="clear" w:color="auto" w:fill="EFEFEF"/>
                <w:lang w:eastAsia="en-GB"/>
                <w14:ligatures w14:val="none"/>
              </w:rPr>
              <w:t xml:space="preserve">reassess dynamic balance and jump performance after the intervention, comparing </w:t>
            </w:r>
            <w:r w:rsidR="00856EF6">
              <w:rPr>
                <w:rFonts w:ascii="ArialMT" w:eastAsia="Times New Roman" w:hAnsi="ArialMT" w:cs="Times New Roman"/>
                <w:kern w:val="0"/>
                <w:sz w:val="22"/>
                <w:szCs w:val="22"/>
                <w:shd w:val="clear" w:color="auto" w:fill="EFEFEF"/>
                <w:lang w:eastAsia="en-GB"/>
                <w14:ligatures w14:val="none"/>
              </w:rPr>
              <w:t>pre- and post- test results</w:t>
            </w:r>
          </w:p>
          <w:p w14:paraId="18217979" w14:textId="5B474A96" w:rsidR="003A5B49" w:rsidRDefault="00411482" w:rsidP="002F1161">
            <w:pPr>
              <w:pStyle w:val="ListParagraph"/>
              <w:numPr>
                <w:ilvl w:val="0"/>
                <w:numId w:val="2"/>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To </w:t>
            </w:r>
            <w:r w:rsidR="00197192">
              <w:rPr>
                <w:rFonts w:ascii="ArialMT" w:eastAsia="Times New Roman" w:hAnsi="ArialMT" w:cs="Times New Roman"/>
                <w:kern w:val="0"/>
                <w:sz w:val="22"/>
                <w:szCs w:val="22"/>
                <w:shd w:val="clear" w:color="auto" w:fill="EFEFEF"/>
                <w:lang w:eastAsia="en-GB"/>
                <w14:ligatures w14:val="none"/>
              </w:rPr>
              <w:t>evaluate whether</w:t>
            </w:r>
            <w:r>
              <w:rPr>
                <w:rFonts w:ascii="ArialMT" w:eastAsia="Times New Roman" w:hAnsi="ArialMT" w:cs="Times New Roman"/>
                <w:kern w:val="0"/>
                <w:sz w:val="22"/>
                <w:szCs w:val="22"/>
                <w:shd w:val="clear" w:color="auto" w:fill="EFEFEF"/>
                <w:lang w:eastAsia="en-GB"/>
                <w14:ligatures w14:val="none"/>
              </w:rPr>
              <w:t xml:space="preserve"> the inclusion of stability-based activation exer</w:t>
            </w:r>
            <w:r w:rsidR="00866961">
              <w:rPr>
                <w:rFonts w:ascii="ArialMT" w:eastAsia="Times New Roman" w:hAnsi="ArialMT" w:cs="Times New Roman"/>
                <w:kern w:val="0"/>
                <w:sz w:val="22"/>
                <w:szCs w:val="22"/>
                <w:shd w:val="clear" w:color="auto" w:fill="EFEFEF"/>
                <w:lang w:eastAsia="en-GB"/>
                <w14:ligatures w14:val="none"/>
              </w:rPr>
              <w:t xml:space="preserve">cises enhances neuromuscular </w:t>
            </w:r>
            <w:r w:rsidR="00BC4453">
              <w:rPr>
                <w:rFonts w:ascii="ArialMT" w:eastAsia="Times New Roman" w:hAnsi="ArialMT" w:cs="Times New Roman"/>
                <w:kern w:val="0"/>
                <w:sz w:val="22"/>
                <w:szCs w:val="22"/>
                <w:shd w:val="clear" w:color="auto" w:fill="EFEFEF"/>
                <w:lang w:eastAsia="en-GB"/>
                <w14:ligatures w14:val="none"/>
              </w:rPr>
              <w:t>control and</w:t>
            </w:r>
            <w:r w:rsidR="00866961">
              <w:rPr>
                <w:rFonts w:ascii="ArialMT" w:eastAsia="Times New Roman" w:hAnsi="ArialMT" w:cs="Times New Roman"/>
                <w:kern w:val="0"/>
                <w:sz w:val="22"/>
                <w:szCs w:val="22"/>
                <w:shd w:val="clear" w:color="auto" w:fill="EFEFEF"/>
                <w:lang w:eastAsia="en-GB"/>
                <w14:ligatures w14:val="none"/>
              </w:rPr>
              <w:t xml:space="preserve"> functional performance</w:t>
            </w:r>
          </w:p>
          <w:p w14:paraId="24211676" w14:textId="265FDC7D" w:rsidR="00866961" w:rsidRPr="002F1161" w:rsidRDefault="00866961" w:rsidP="002F1161">
            <w:pPr>
              <w:pStyle w:val="ListParagraph"/>
              <w:numPr>
                <w:ilvl w:val="0"/>
                <w:numId w:val="2"/>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To provide practical recommendations for rugby coaches and </w:t>
            </w:r>
            <w:r w:rsidR="00197192">
              <w:rPr>
                <w:rFonts w:ascii="ArialMT" w:eastAsia="Times New Roman" w:hAnsi="ArialMT" w:cs="Times New Roman"/>
                <w:kern w:val="0"/>
                <w:sz w:val="22"/>
                <w:szCs w:val="22"/>
                <w:shd w:val="clear" w:color="auto" w:fill="EFEFEF"/>
                <w:lang w:eastAsia="en-GB"/>
                <w14:ligatures w14:val="none"/>
              </w:rPr>
              <w:t>practitioners</w:t>
            </w:r>
            <w:r>
              <w:rPr>
                <w:rFonts w:ascii="ArialMT" w:eastAsia="Times New Roman" w:hAnsi="ArialMT" w:cs="Times New Roman"/>
                <w:kern w:val="0"/>
                <w:sz w:val="22"/>
                <w:szCs w:val="22"/>
                <w:shd w:val="clear" w:color="auto" w:fill="EFEFEF"/>
                <w:lang w:eastAsia="en-GB"/>
                <w14:ligatures w14:val="none"/>
              </w:rPr>
              <w:t xml:space="preserve"> on implementing activation warm-ups to enhance performance and reduce injury risk</w:t>
            </w:r>
          </w:p>
        </w:tc>
      </w:tr>
      <w:tr w:rsidR="008F5A6D" w14:paraId="0029A8B6" w14:textId="77777777" w:rsidTr="00E23E9A">
        <w:tc>
          <w:tcPr>
            <w:tcW w:w="9016" w:type="dxa"/>
          </w:tcPr>
          <w:p w14:paraId="539B1962" w14:textId="6D06604E" w:rsidR="008F5A6D" w:rsidRDefault="007212E4"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lastRenderedPageBreak/>
              <w:t>Proposed plan of working including timetable:</w:t>
            </w:r>
          </w:p>
        </w:tc>
      </w:tr>
      <w:tr w:rsidR="008F5A6D" w14:paraId="0DA8ED9E" w14:textId="77777777" w:rsidTr="00E23E9A">
        <w:tc>
          <w:tcPr>
            <w:tcW w:w="9016" w:type="dxa"/>
          </w:tcPr>
          <w:p w14:paraId="105E9D34" w14:textId="77777777" w:rsidR="00BF406B" w:rsidRDefault="00BF406B"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Pre- testing- Monday 19</w:t>
            </w:r>
            <w:r w:rsidRPr="00BF406B">
              <w:rPr>
                <w:rFonts w:ascii="ArialMT" w:eastAsia="Times New Roman" w:hAnsi="ArialMT" w:cs="Times New Roman"/>
                <w:kern w:val="0"/>
                <w:sz w:val="22"/>
                <w:szCs w:val="22"/>
                <w:shd w:val="clear" w:color="auto" w:fill="EFEFEF"/>
                <w:vertAlign w:val="superscript"/>
                <w:lang w:eastAsia="en-GB"/>
                <w14:ligatures w14:val="none"/>
              </w:rPr>
              <w:t>th</w:t>
            </w:r>
            <w:r>
              <w:rPr>
                <w:rFonts w:ascii="ArialMT" w:eastAsia="Times New Roman" w:hAnsi="ArialMT" w:cs="Times New Roman"/>
                <w:kern w:val="0"/>
                <w:sz w:val="22"/>
                <w:szCs w:val="22"/>
                <w:shd w:val="clear" w:color="auto" w:fill="EFEFEF"/>
                <w:lang w:eastAsia="en-GB"/>
                <w14:ligatures w14:val="none"/>
              </w:rPr>
              <w:t xml:space="preserve"> January</w:t>
            </w:r>
          </w:p>
          <w:p w14:paraId="7768AD4D" w14:textId="77777777" w:rsidR="00BF406B" w:rsidRDefault="00BF406B"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Warm-ups will start the following week- Monday 26</w:t>
            </w:r>
            <w:r w:rsidRPr="00BF406B">
              <w:rPr>
                <w:rFonts w:ascii="ArialMT" w:eastAsia="Times New Roman" w:hAnsi="ArialMT" w:cs="Times New Roman"/>
                <w:kern w:val="0"/>
                <w:sz w:val="22"/>
                <w:szCs w:val="22"/>
                <w:shd w:val="clear" w:color="auto" w:fill="EFEFEF"/>
                <w:vertAlign w:val="superscript"/>
                <w:lang w:eastAsia="en-GB"/>
                <w14:ligatures w14:val="none"/>
              </w:rPr>
              <w:t>th</w:t>
            </w:r>
            <w:r>
              <w:rPr>
                <w:rFonts w:ascii="ArialMT" w:eastAsia="Times New Roman" w:hAnsi="ArialMT" w:cs="Times New Roman"/>
                <w:kern w:val="0"/>
                <w:sz w:val="22"/>
                <w:szCs w:val="22"/>
                <w:shd w:val="clear" w:color="auto" w:fill="EFEFEF"/>
                <w:lang w:eastAsia="en-GB"/>
                <w14:ligatures w14:val="none"/>
              </w:rPr>
              <w:t xml:space="preserve"> of January</w:t>
            </w:r>
          </w:p>
          <w:p w14:paraId="252A9F47" w14:textId="77777777" w:rsidR="00BF406B" w:rsidRDefault="004F39D6"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The final week of the program will be the 19</w:t>
            </w:r>
            <w:r w:rsidRPr="004F39D6">
              <w:rPr>
                <w:rFonts w:ascii="ArialMT" w:eastAsia="Times New Roman" w:hAnsi="ArialMT" w:cs="Times New Roman"/>
                <w:kern w:val="0"/>
                <w:sz w:val="22"/>
                <w:szCs w:val="22"/>
                <w:shd w:val="clear" w:color="auto" w:fill="EFEFEF"/>
                <w:vertAlign w:val="superscript"/>
                <w:lang w:eastAsia="en-GB"/>
                <w14:ligatures w14:val="none"/>
              </w:rPr>
              <w:t>th</w:t>
            </w:r>
            <w:r>
              <w:rPr>
                <w:rFonts w:ascii="ArialMT" w:eastAsia="Times New Roman" w:hAnsi="ArialMT" w:cs="Times New Roman"/>
                <w:kern w:val="0"/>
                <w:sz w:val="22"/>
                <w:szCs w:val="22"/>
                <w:shd w:val="clear" w:color="auto" w:fill="EFEFEF"/>
                <w:lang w:eastAsia="en-GB"/>
                <w14:ligatures w14:val="none"/>
              </w:rPr>
              <w:t xml:space="preserve"> of March</w:t>
            </w:r>
          </w:p>
          <w:p w14:paraId="0BC13207" w14:textId="41326518" w:rsidR="004F39D6" w:rsidRDefault="00774D0E"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Post-testing will commence on the following week- Monday 26</w:t>
            </w:r>
            <w:r w:rsidRPr="00774D0E">
              <w:rPr>
                <w:rFonts w:ascii="ArialMT" w:eastAsia="Times New Roman" w:hAnsi="ArialMT" w:cs="Times New Roman"/>
                <w:kern w:val="0"/>
                <w:sz w:val="22"/>
                <w:szCs w:val="22"/>
                <w:shd w:val="clear" w:color="auto" w:fill="EFEFEF"/>
                <w:vertAlign w:val="superscript"/>
                <w:lang w:eastAsia="en-GB"/>
                <w14:ligatures w14:val="none"/>
              </w:rPr>
              <w:t>th</w:t>
            </w:r>
            <w:r>
              <w:rPr>
                <w:rFonts w:ascii="ArialMT" w:eastAsia="Times New Roman" w:hAnsi="ArialMT" w:cs="Times New Roman"/>
                <w:kern w:val="0"/>
                <w:sz w:val="22"/>
                <w:szCs w:val="22"/>
                <w:shd w:val="clear" w:color="auto" w:fill="EFEFEF"/>
                <w:lang w:eastAsia="en-GB"/>
                <w14:ligatures w14:val="none"/>
              </w:rPr>
              <w:t xml:space="preserve"> of March</w:t>
            </w:r>
          </w:p>
        </w:tc>
      </w:tr>
      <w:tr w:rsidR="008F5A6D" w14:paraId="4DBBBF6E" w14:textId="77777777" w:rsidTr="00E23E9A">
        <w:tc>
          <w:tcPr>
            <w:tcW w:w="9016" w:type="dxa"/>
          </w:tcPr>
          <w:p w14:paraId="2428D68E" w14:textId="0FF202E9" w:rsidR="00A06E96" w:rsidRDefault="007212E4"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Proposed methodology (500 words):</w:t>
            </w:r>
          </w:p>
        </w:tc>
      </w:tr>
      <w:tr w:rsidR="00A06E96" w14:paraId="0DB37640" w14:textId="77777777" w:rsidTr="00E23E9A">
        <w:tc>
          <w:tcPr>
            <w:tcW w:w="9016" w:type="dxa"/>
          </w:tcPr>
          <w:p w14:paraId="04F48D36" w14:textId="77777777" w:rsidR="00A06E96" w:rsidRDefault="008C658F"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Study design: This study will see how an activation warm-up with knee stability exercises affects dynamic knee stability and lower limb performance in male rugby players, each player will </w:t>
            </w:r>
            <w:r w:rsidR="00815CFC">
              <w:rPr>
                <w:rFonts w:ascii="ArialMT" w:eastAsia="Times New Roman" w:hAnsi="ArialMT" w:cs="Times New Roman"/>
                <w:kern w:val="0"/>
                <w:sz w:val="22"/>
                <w:szCs w:val="22"/>
                <w:shd w:val="clear" w:color="auto" w:fill="EFEFEF"/>
                <w:lang w:eastAsia="en-GB"/>
                <w14:ligatures w14:val="none"/>
              </w:rPr>
              <w:t>perform an activation warm-up 3x a week before their training/workout</w:t>
            </w:r>
            <w:r w:rsidR="003D3C75">
              <w:rPr>
                <w:rFonts w:ascii="ArialMT" w:eastAsia="Times New Roman" w:hAnsi="ArialMT" w:cs="Times New Roman"/>
                <w:kern w:val="0"/>
                <w:sz w:val="22"/>
                <w:szCs w:val="22"/>
                <w:shd w:val="clear" w:color="auto" w:fill="EFEFEF"/>
                <w:lang w:eastAsia="en-GB"/>
                <w14:ligatures w14:val="none"/>
              </w:rPr>
              <w:t xml:space="preserve">. </w:t>
            </w:r>
          </w:p>
          <w:p w14:paraId="0D45319F" w14:textId="77777777" w:rsidR="003D3C75" w:rsidRDefault="003D3C75"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Participants: A total of 10-15 male rugby players, aged between 18-23, will take part</w:t>
            </w:r>
            <w:r w:rsidR="009A6BE6">
              <w:rPr>
                <w:rFonts w:ascii="ArialMT" w:eastAsia="Times New Roman" w:hAnsi="ArialMT" w:cs="Times New Roman"/>
                <w:kern w:val="0"/>
                <w:sz w:val="22"/>
                <w:szCs w:val="22"/>
                <w:shd w:val="clear" w:color="auto" w:fill="EFEFEF"/>
                <w:lang w:eastAsia="en-GB"/>
                <w14:ligatures w14:val="none"/>
              </w:rPr>
              <w:t xml:space="preserve"> in this study. Players from the university who also play from amateur to semi-professional level rugby clubs. All participants must currently be training or playing adleast once a week</w:t>
            </w:r>
            <w:r w:rsidR="00AC0168">
              <w:rPr>
                <w:rFonts w:ascii="ArialMT" w:eastAsia="Times New Roman" w:hAnsi="ArialMT" w:cs="Times New Roman"/>
                <w:kern w:val="0"/>
                <w:sz w:val="22"/>
                <w:szCs w:val="22"/>
                <w:shd w:val="clear" w:color="auto" w:fill="EFEFEF"/>
                <w:lang w:eastAsia="en-GB"/>
                <w14:ligatures w14:val="none"/>
              </w:rPr>
              <w:t xml:space="preserve"> and have no lower limb injuries within the last 2 months. Players with any recent knee surgery or conditions affecting balance will not be included. Everyone will fill in a form with question regarding personal details and past medical history information</w:t>
            </w:r>
            <w:r w:rsidR="008D078C">
              <w:rPr>
                <w:rFonts w:ascii="ArialMT" w:eastAsia="Times New Roman" w:hAnsi="ArialMT" w:cs="Times New Roman"/>
                <w:kern w:val="0"/>
                <w:sz w:val="22"/>
                <w:szCs w:val="22"/>
                <w:shd w:val="clear" w:color="auto" w:fill="EFEFEF"/>
                <w:lang w:eastAsia="en-GB"/>
                <w14:ligatures w14:val="none"/>
              </w:rPr>
              <w:t>, this will also include consent, so we can carry on with the studies, and ethical approval will be gained from our lecturers.</w:t>
            </w:r>
          </w:p>
          <w:p w14:paraId="4EC94D88" w14:textId="78F41C5D" w:rsidR="009B695D" w:rsidRDefault="008D078C"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Intervention:</w:t>
            </w:r>
            <w:r w:rsidR="003024D5">
              <w:rPr>
                <w:rFonts w:ascii="ArialMT" w:eastAsia="Times New Roman" w:hAnsi="ArialMT" w:cs="Times New Roman"/>
                <w:kern w:val="0"/>
                <w:sz w:val="22"/>
                <w:szCs w:val="22"/>
                <w:shd w:val="clear" w:color="auto" w:fill="EFEFEF"/>
                <w:lang w:eastAsia="en-GB"/>
                <w14:ligatures w14:val="none"/>
              </w:rPr>
              <w:t xml:space="preserve"> The activation warm-up </w:t>
            </w:r>
            <w:r w:rsidR="009014A9">
              <w:rPr>
                <w:rFonts w:ascii="ArialMT" w:eastAsia="Times New Roman" w:hAnsi="ArialMT" w:cs="Times New Roman"/>
                <w:kern w:val="0"/>
                <w:sz w:val="22"/>
                <w:szCs w:val="22"/>
                <w:shd w:val="clear" w:color="auto" w:fill="EFEFEF"/>
                <w:lang w:eastAsia="en-GB"/>
                <w14:ligatures w14:val="none"/>
              </w:rPr>
              <w:t xml:space="preserve">will involve bits that I’ve picked out from the RFU </w:t>
            </w:r>
            <w:r w:rsidR="00C81001">
              <w:rPr>
                <w:rFonts w:ascii="ArialMT" w:eastAsia="Times New Roman" w:hAnsi="ArialMT" w:cs="Times New Roman"/>
                <w:kern w:val="0"/>
                <w:sz w:val="22"/>
                <w:szCs w:val="22"/>
                <w:shd w:val="clear" w:color="auto" w:fill="EFEFEF"/>
                <w:lang w:eastAsia="en-GB"/>
                <w14:ligatures w14:val="none"/>
              </w:rPr>
              <w:t>Activate study</w:t>
            </w:r>
            <w:r w:rsidR="00411DB5">
              <w:rPr>
                <w:rFonts w:ascii="ArialMT" w:eastAsia="Times New Roman" w:hAnsi="ArialMT" w:cs="Times New Roman"/>
                <w:kern w:val="0"/>
                <w:sz w:val="22"/>
                <w:szCs w:val="22"/>
                <w:shd w:val="clear" w:color="auto" w:fill="EFEFEF"/>
                <w:lang w:eastAsia="en-GB"/>
                <w14:ligatures w14:val="none"/>
              </w:rPr>
              <w:t xml:space="preserve"> and will include exercises for mobility, glute and core activation, and single-</w:t>
            </w:r>
            <w:r w:rsidR="00411DB5">
              <w:rPr>
                <w:rFonts w:ascii="ArialMT" w:eastAsia="Times New Roman" w:hAnsi="ArialMT" w:cs="Times New Roman"/>
                <w:kern w:val="0"/>
                <w:sz w:val="22"/>
                <w:szCs w:val="22"/>
                <w:shd w:val="clear" w:color="auto" w:fill="EFEFEF"/>
                <w:lang w:eastAsia="en-GB"/>
                <w14:ligatures w14:val="none"/>
              </w:rPr>
              <w:lastRenderedPageBreak/>
              <w:t>leg stability</w:t>
            </w:r>
            <w:r w:rsidR="00002177">
              <w:rPr>
                <w:rFonts w:ascii="ArialMT" w:eastAsia="Times New Roman" w:hAnsi="ArialMT" w:cs="Times New Roman"/>
                <w:kern w:val="0"/>
                <w:sz w:val="22"/>
                <w:szCs w:val="22"/>
                <w:shd w:val="clear" w:color="auto" w:fill="EFEFEF"/>
                <w:lang w:eastAsia="en-GB"/>
                <w14:ligatures w14:val="none"/>
              </w:rPr>
              <w:t xml:space="preserve">, and balance drills. Ideally, the </w:t>
            </w:r>
            <w:r w:rsidR="009B695D">
              <w:rPr>
                <w:rFonts w:ascii="ArialMT" w:eastAsia="Times New Roman" w:hAnsi="ArialMT" w:cs="Times New Roman"/>
                <w:kern w:val="0"/>
                <w:sz w:val="22"/>
                <w:szCs w:val="22"/>
                <w:shd w:val="clear" w:color="auto" w:fill="EFEFEF"/>
                <w:lang w:eastAsia="en-GB"/>
                <w14:ligatures w14:val="none"/>
              </w:rPr>
              <w:t>warmups</w:t>
            </w:r>
            <w:r w:rsidR="00002177">
              <w:rPr>
                <w:rFonts w:ascii="ArialMT" w:eastAsia="Times New Roman" w:hAnsi="ArialMT" w:cs="Times New Roman"/>
                <w:kern w:val="0"/>
                <w:sz w:val="22"/>
                <w:szCs w:val="22"/>
                <w:shd w:val="clear" w:color="auto" w:fill="EFEFEF"/>
                <w:lang w:eastAsia="en-GB"/>
                <w14:ligatures w14:val="none"/>
              </w:rPr>
              <w:t xml:space="preserve"> will be done before gym on Monday, Thursday, and Friday.</w:t>
            </w:r>
          </w:p>
          <w:p w14:paraId="5538D884" w14:textId="77777777" w:rsidR="00002177" w:rsidRDefault="009B695D" w:rsidP="00FC1634">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Outcome measures</w:t>
            </w:r>
          </w:p>
          <w:p w14:paraId="1D590FA7" w14:textId="77777777" w:rsidR="009B695D" w:rsidRDefault="009B695D" w:rsidP="009B695D">
            <w:pPr>
              <w:pStyle w:val="ListParagraph"/>
              <w:numPr>
                <w:ilvl w:val="0"/>
                <w:numId w:val="3"/>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Star Excursion balance test (SEBT) </w:t>
            </w:r>
          </w:p>
          <w:p w14:paraId="22EB21B7" w14:textId="3F80EA00" w:rsidR="00F24859" w:rsidRPr="00F24859" w:rsidRDefault="009B695D" w:rsidP="00F24859">
            <w:pPr>
              <w:pStyle w:val="ListParagraph"/>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Knee stability will be measured using the 8-point star excursion balance test (SEBT) Players will stand on one leg in the centre of an eight-point</w:t>
            </w:r>
            <w:r w:rsidR="00224781">
              <w:rPr>
                <w:rFonts w:ascii="ArialMT" w:eastAsia="Times New Roman" w:hAnsi="ArialMT" w:cs="Times New Roman"/>
                <w:kern w:val="0"/>
                <w:sz w:val="22"/>
                <w:szCs w:val="22"/>
                <w:shd w:val="clear" w:color="auto" w:fill="EFEFEF"/>
                <w:lang w:eastAsia="en-GB"/>
                <w14:ligatures w14:val="none"/>
              </w:rPr>
              <w:t xml:space="preserve"> star marked floor and reach as far as possible with the other leg in each direction, while keeping their balance. Reach distances will be measured and adjusted for leg length. Each player will get three practice goes and three recorded attempts on each leg, and the average distance will be used. The SEBT is a reliable test of balance and control (Gribble et al., 2012</w:t>
            </w:r>
            <w:r w:rsidR="00F24859">
              <w:rPr>
                <w:rFonts w:ascii="ArialMT" w:eastAsia="Times New Roman" w:hAnsi="ArialMT" w:cs="Times New Roman"/>
                <w:kern w:val="0"/>
                <w:sz w:val="22"/>
                <w:szCs w:val="22"/>
                <w:shd w:val="clear" w:color="auto" w:fill="EFEFEF"/>
                <w:lang w:eastAsia="en-GB"/>
                <w14:ligatures w14:val="none"/>
              </w:rPr>
              <w:t>h</w:t>
            </w:r>
            <w:r w:rsidR="00224781" w:rsidRPr="00F24859">
              <w:rPr>
                <w:rFonts w:ascii="ArialMT" w:eastAsia="Times New Roman" w:hAnsi="ArialMT" w:cs="Times New Roman"/>
                <w:kern w:val="0"/>
                <w:sz w:val="22"/>
                <w:szCs w:val="22"/>
                <w:shd w:val="clear" w:color="auto" w:fill="EFEFEF"/>
                <w:lang w:eastAsia="en-GB"/>
                <w14:ligatures w14:val="none"/>
              </w:rPr>
              <w:t>)</w:t>
            </w:r>
          </w:p>
          <w:p w14:paraId="741C0EE4" w14:textId="77777777" w:rsidR="00F24859" w:rsidRDefault="00F24859" w:rsidP="009B695D">
            <w:pPr>
              <w:pStyle w:val="ListParagraph"/>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p>
          <w:p w14:paraId="5D849991" w14:textId="77777777" w:rsidR="00F24859" w:rsidRDefault="00C02F8B" w:rsidP="00C02F8B">
            <w:pPr>
              <w:pStyle w:val="ListParagraph"/>
              <w:numPr>
                <w:ilvl w:val="0"/>
                <w:numId w:val="3"/>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Countermovement Jump (CMJ)</w:t>
            </w:r>
          </w:p>
          <w:p w14:paraId="509BA99A" w14:textId="77777777" w:rsidR="00C02F8B" w:rsidRDefault="00C02F8B" w:rsidP="00C02F8B">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Explosive leg power will be measured with the CMJ. Players will perform three jumps with their hands on their hips, using a force platform</w:t>
            </w:r>
            <w:r w:rsidR="00FA1DA2">
              <w:rPr>
                <w:rFonts w:ascii="ArialMT" w:eastAsia="Times New Roman" w:hAnsi="ArialMT" w:cs="Times New Roman"/>
                <w:kern w:val="0"/>
                <w:sz w:val="22"/>
                <w:szCs w:val="22"/>
                <w:shd w:val="clear" w:color="auto" w:fill="EFEFEF"/>
                <w:lang w:eastAsia="en-GB"/>
                <w14:ligatures w14:val="none"/>
              </w:rPr>
              <w:t xml:space="preserve"> to record jump height and power, the platform can also address any imbalances. The CMJ is a simple and reliable way to measure lower limb performance (Markovic et al., 2004)</w:t>
            </w:r>
          </w:p>
          <w:p w14:paraId="09C8916A" w14:textId="77777777" w:rsidR="00272865" w:rsidRDefault="00897C3D" w:rsidP="00272865">
            <w:pPr>
              <w:pStyle w:val="ListParagraph"/>
              <w:numPr>
                <w:ilvl w:val="0"/>
                <w:numId w:val="3"/>
              </w:num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Balance Error Scoring System (BESS)</w:t>
            </w:r>
          </w:p>
          <w:p w14:paraId="3CCF1ED3" w14:textId="1D7C13EF" w:rsidR="005C4B7A" w:rsidRPr="005C4B7A" w:rsidRDefault="005C4B7A" w:rsidP="005C4B7A">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sidRPr="005C4B7A">
              <w:rPr>
                <w:rFonts w:ascii="ArialMT" w:eastAsia="Times New Roman" w:hAnsi="ArialMT" w:cs="Times New Roman"/>
                <w:kern w:val="0"/>
                <w:sz w:val="22"/>
                <w:szCs w:val="22"/>
                <w:shd w:val="clear" w:color="auto" w:fill="EFEFEF"/>
                <w:lang w:eastAsia="en-GB"/>
                <w14:ligatures w14:val="none"/>
              </w:rPr>
              <w:t xml:space="preserve">Static balance will be measured using the </w:t>
            </w:r>
            <w:r w:rsidRPr="005C4B7A">
              <w:rPr>
                <w:rFonts w:ascii="ArialMT" w:eastAsia="Times New Roman" w:hAnsi="ArialMT" w:cs="Times New Roman"/>
                <w:kern w:val="0"/>
                <w:sz w:val="22"/>
                <w:szCs w:val="22"/>
                <w:shd w:val="clear" w:color="auto" w:fill="EFEFEF"/>
                <w:lang w:eastAsia="en-GB"/>
                <w14:ligatures w14:val="none"/>
              </w:rPr>
              <w:t>Balance Error Scoring System (BESS)</w:t>
            </w:r>
            <w:r w:rsidR="0027478B">
              <w:rPr>
                <w:rFonts w:ascii="ArialMT" w:eastAsia="Times New Roman" w:hAnsi="ArialMT" w:cs="Times New Roman"/>
                <w:kern w:val="0"/>
                <w:sz w:val="22"/>
                <w:szCs w:val="22"/>
                <w:shd w:val="clear" w:color="auto" w:fill="EFEFEF"/>
                <w:lang w:eastAsia="en-GB"/>
                <w14:ligatures w14:val="none"/>
              </w:rPr>
              <w:t>. This test involves three stances (Double-leg, single-leg and tandem) performed on both a firm and foam surface for 20s each. Participants will keep their hands on their hips and eyes closed during each trial. Errors such as opening eyes, stepping, or lifting hands are counted, and a total error score is recorded. A lower score indicates better balance control (</w:t>
            </w:r>
            <w:r w:rsidR="00FA358D">
              <w:rPr>
                <w:rFonts w:ascii="ArialMT" w:eastAsia="Times New Roman" w:hAnsi="ArialMT" w:cs="Times New Roman"/>
                <w:kern w:val="0"/>
                <w:sz w:val="22"/>
                <w:szCs w:val="22"/>
                <w:shd w:val="clear" w:color="auto" w:fill="EFEFEF"/>
                <w:lang w:eastAsia="en-GB"/>
                <w14:ligatures w14:val="none"/>
              </w:rPr>
              <w:t>Bell et al., 2011)</w:t>
            </w:r>
          </w:p>
          <w:p w14:paraId="3AE56729" w14:textId="722D49F1" w:rsidR="00897C3D" w:rsidRPr="00897C3D" w:rsidRDefault="003D3DF9" w:rsidP="00897C3D">
            <w:pPr>
              <w:spacing w:before="100" w:beforeAutospacing="1" w:after="100" w:afterAutospacing="1"/>
              <w:rPr>
                <w:rFonts w:ascii="ArialMT" w:eastAsia="Times New Roman" w:hAnsi="ArialMT" w:cs="Times New Roman"/>
                <w:kern w:val="0"/>
                <w:sz w:val="22"/>
                <w:szCs w:val="22"/>
                <w:shd w:val="clear" w:color="auto" w:fill="EFEFEF"/>
                <w:lang w:eastAsia="en-GB"/>
                <w14:ligatures w14:val="none"/>
              </w:rPr>
            </w:pPr>
            <w:r>
              <w:rPr>
                <w:rFonts w:ascii="ArialMT" w:eastAsia="Times New Roman" w:hAnsi="ArialMT" w:cs="Times New Roman"/>
                <w:kern w:val="0"/>
                <w:sz w:val="22"/>
                <w:szCs w:val="22"/>
                <w:shd w:val="clear" w:color="auto" w:fill="EFEFEF"/>
                <w:lang w:eastAsia="en-GB"/>
                <w14:ligatures w14:val="none"/>
              </w:rPr>
              <w:t xml:space="preserve">Data Analysis: </w:t>
            </w:r>
            <w:r w:rsidR="00384ABB">
              <w:rPr>
                <w:rFonts w:ascii="ArialMT" w:eastAsia="Times New Roman" w:hAnsi="ArialMT" w:cs="Times New Roman"/>
                <w:kern w:val="0"/>
                <w:sz w:val="22"/>
                <w:szCs w:val="22"/>
                <w:shd w:val="clear" w:color="auto" w:fill="EFEFEF"/>
                <w:lang w:eastAsia="en-GB"/>
                <w14:ligatures w14:val="none"/>
              </w:rPr>
              <w:t>All data will be entered into SPSS for analysis</w:t>
            </w:r>
            <w:r w:rsidR="00001015">
              <w:rPr>
                <w:rFonts w:ascii="ArialMT" w:eastAsia="Times New Roman" w:hAnsi="ArialMT" w:cs="Times New Roman"/>
                <w:kern w:val="0"/>
                <w:sz w:val="22"/>
                <w:szCs w:val="22"/>
                <w:shd w:val="clear" w:color="auto" w:fill="EFEFEF"/>
                <w:lang w:eastAsia="en-GB"/>
                <w14:ligatures w14:val="none"/>
              </w:rPr>
              <w:t>. Differences between pre v post-intervention scores for SEBT, BESS, and CMJ will be analysed using a paired-samples t-test, as the same participants are measured at two time points. Statistical significance will be set at p value of anything less than 0.05</w:t>
            </w:r>
            <w:r w:rsidR="00B94EFC">
              <w:rPr>
                <w:rFonts w:ascii="ArialMT" w:eastAsia="Times New Roman" w:hAnsi="ArialMT" w:cs="Times New Roman"/>
                <w:kern w:val="0"/>
                <w:sz w:val="22"/>
                <w:szCs w:val="22"/>
                <w:shd w:val="clear" w:color="auto" w:fill="EFEFEF"/>
                <w:lang w:eastAsia="en-GB"/>
                <w14:ligatures w14:val="none"/>
              </w:rPr>
              <w:t>.</w:t>
            </w:r>
          </w:p>
        </w:tc>
      </w:tr>
    </w:tbl>
    <w:p w14:paraId="13B61173" w14:textId="5EF10A7C" w:rsidR="00BB4211" w:rsidRDefault="00BB4211" w:rsidP="00BB4211">
      <w:p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ab/>
        <w:t>Reference list</w:t>
      </w:r>
    </w:p>
    <w:p w14:paraId="18580A5C" w14:textId="77777777" w:rsidR="00B94EFC" w:rsidRPr="00A12A07"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 xml:space="preserve">ACTIVATE ENGLAND RUGBY INJURY PREVENTION EXERCISE PROGRAMME A D U L T AN INTERACTIVE GUIDE FOR PLAYERS AND COACHES THAT IS DESIGNED ESPECIALLY FOR TRAINING SESSIONS AND PRE-MATCH WARM-UP ROUTINES. (n.d.). Available at: </w:t>
      </w:r>
      <w:hyperlink r:id="rId5" w:history="1">
        <w:r w:rsidRPr="002422C2">
          <w:rPr>
            <w:rStyle w:val="Hyperlink"/>
            <w:rFonts w:ascii="Calibri" w:hAnsi="Calibri" w:cs="Calibri"/>
            <w:sz w:val="27"/>
            <w:szCs w:val="27"/>
            <w:shd w:val="clear" w:color="auto" w:fill="FEF1C4"/>
          </w:rPr>
          <w:t>https://keepyourbootson.co.uk/wp-content/uploads/2022/03/Activate-Adult-FINAL.pdf</w:t>
        </w:r>
      </w:hyperlink>
      <w:r>
        <w:rPr>
          <w:rFonts w:ascii="Calibri" w:hAnsi="Calibri" w:cs="Calibri"/>
          <w:color w:val="2C3E50"/>
          <w:sz w:val="27"/>
          <w:szCs w:val="27"/>
          <w:shd w:val="clear" w:color="auto" w:fill="FEF1C4"/>
        </w:rPr>
        <w:t>.</w:t>
      </w:r>
    </w:p>
    <w:p w14:paraId="0492183C" w14:textId="77777777" w:rsidR="00B94EFC" w:rsidRPr="00300ACD"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Attwood, M.J., Roberts, S.P., Trewartha, G., England, M.E. and Stokes, K.A. (2017). Efficacy of a movement control injury prevention programme in adult men’s community rugby union: a cluster randomised controlled trial.</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British Journal of Sports Medicine</w:t>
      </w:r>
      <w:r>
        <w:rPr>
          <w:rFonts w:ascii="Calibri" w:hAnsi="Calibri" w:cs="Calibri"/>
          <w:color w:val="2C3E50"/>
          <w:sz w:val="27"/>
          <w:szCs w:val="27"/>
          <w:shd w:val="clear" w:color="auto" w:fill="FEF1C4"/>
        </w:rPr>
        <w:t xml:space="preserve">, [online] 52(6), </w:t>
      </w:r>
      <w:proofErr w:type="gramStart"/>
      <w:r>
        <w:rPr>
          <w:rFonts w:ascii="Calibri" w:hAnsi="Calibri" w:cs="Calibri"/>
          <w:color w:val="2C3E50"/>
          <w:sz w:val="27"/>
          <w:szCs w:val="27"/>
          <w:shd w:val="clear" w:color="auto" w:fill="FEF1C4"/>
        </w:rPr>
        <w:t>p.bjsports</w:t>
      </w:r>
      <w:proofErr w:type="gramEnd"/>
      <w:r>
        <w:rPr>
          <w:rFonts w:ascii="Calibri" w:hAnsi="Calibri" w:cs="Calibri"/>
          <w:color w:val="2C3E50"/>
          <w:sz w:val="27"/>
          <w:szCs w:val="27"/>
          <w:shd w:val="clear" w:color="auto" w:fill="FEF1C4"/>
        </w:rPr>
        <w:t xml:space="preserve">-2017-098005.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://doi.org/10.1136/bjsports-2017-098005</w:t>
      </w:r>
      <w:proofErr w:type="gramEnd"/>
      <w:r>
        <w:rPr>
          <w:rFonts w:ascii="Calibri" w:hAnsi="Calibri" w:cs="Calibri"/>
          <w:color w:val="2C3E50"/>
          <w:sz w:val="27"/>
          <w:szCs w:val="27"/>
          <w:shd w:val="clear" w:color="auto" w:fill="FEF1C4"/>
        </w:rPr>
        <w:t>.</w:t>
      </w:r>
    </w:p>
    <w:p w14:paraId="73B8663C" w14:textId="77777777" w:rsidR="00B94EFC" w:rsidRPr="006D74DA"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 xml:space="preserve">Bell, D.R., </w:t>
      </w:r>
      <w:proofErr w:type="spellStart"/>
      <w:r>
        <w:rPr>
          <w:rFonts w:ascii="Calibri" w:hAnsi="Calibri" w:cs="Calibri"/>
          <w:color w:val="2C3E50"/>
          <w:sz w:val="27"/>
          <w:szCs w:val="27"/>
          <w:shd w:val="clear" w:color="auto" w:fill="FEF1C4"/>
        </w:rPr>
        <w:t>Guskiewicz</w:t>
      </w:r>
      <w:proofErr w:type="spellEnd"/>
      <w:r>
        <w:rPr>
          <w:rFonts w:ascii="Calibri" w:hAnsi="Calibri" w:cs="Calibri"/>
          <w:color w:val="2C3E50"/>
          <w:sz w:val="27"/>
          <w:szCs w:val="27"/>
          <w:shd w:val="clear" w:color="auto" w:fill="FEF1C4"/>
        </w:rPr>
        <w:t>, K.M., Clark, M.A. and Padua, D.A. (2011). Systematic Review of the Balance Error Scoring System.</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Sports Health</w:t>
      </w:r>
      <w:r>
        <w:rPr>
          <w:rFonts w:ascii="Calibri" w:hAnsi="Calibri" w:cs="Calibri"/>
          <w:color w:val="2C3E50"/>
          <w:sz w:val="27"/>
          <w:szCs w:val="27"/>
          <w:shd w:val="clear" w:color="auto" w:fill="FEF1C4"/>
        </w:rPr>
        <w:t xml:space="preserve">, [online] 3(3), pp.287–295.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://doi.org/10.1177/1941738111403122</w:t>
      </w:r>
      <w:proofErr w:type="gramEnd"/>
      <w:r>
        <w:rPr>
          <w:rFonts w:ascii="Calibri" w:hAnsi="Calibri" w:cs="Calibri"/>
          <w:color w:val="2C3E50"/>
          <w:sz w:val="27"/>
          <w:szCs w:val="27"/>
          <w:shd w:val="clear" w:color="auto" w:fill="FEF1C4"/>
        </w:rPr>
        <w:t>.</w:t>
      </w:r>
    </w:p>
    <w:p w14:paraId="04370958" w14:textId="77777777" w:rsidR="00B94EFC" w:rsidRPr="00FA358D"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lastRenderedPageBreak/>
        <w:t>Chmielewski, T.L., Rudolph, K.S. and Snyder-Mackler, L. (2002). Development of dynamic knee stability after acute ACL injury.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Electromyography and Kinesiology</w:t>
      </w:r>
      <w:r>
        <w:rPr>
          <w:rFonts w:ascii="Calibri" w:hAnsi="Calibri" w:cs="Calibri"/>
          <w:color w:val="2C3E50"/>
          <w:sz w:val="27"/>
          <w:szCs w:val="27"/>
          <w:shd w:val="clear" w:color="auto" w:fill="FEF1C4"/>
        </w:rPr>
        <w:t xml:space="preserve">, 12(4), pp.267–274.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://doi.org/10.1016/s1050-6411(02)00013-5</w:t>
      </w:r>
      <w:proofErr w:type="gramEnd"/>
      <w:r>
        <w:rPr>
          <w:rFonts w:ascii="Calibri" w:hAnsi="Calibri" w:cs="Calibri"/>
          <w:color w:val="2C3E50"/>
          <w:sz w:val="27"/>
          <w:szCs w:val="27"/>
          <w:shd w:val="clear" w:color="auto" w:fill="FEF1C4"/>
        </w:rPr>
        <w:t>.</w:t>
      </w:r>
    </w:p>
    <w:p w14:paraId="4E6E224D" w14:textId="77777777" w:rsidR="00B94EFC" w:rsidRPr="00C61429"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proofErr w:type="spellStart"/>
      <w:r w:rsidRPr="00B5141A">
        <w:rPr>
          <w:rFonts w:ascii="Calibri" w:hAnsi="Calibri" w:cs="Calibri"/>
          <w:color w:val="2C3E50"/>
          <w:sz w:val="27"/>
          <w:szCs w:val="27"/>
          <w:shd w:val="clear" w:color="auto" w:fill="FEF1C4"/>
        </w:rPr>
        <w:t>Dallalana</w:t>
      </w:r>
      <w:proofErr w:type="spellEnd"/>
      <w:r w:rsidRPr="00B5141A">
        <w:rPr>
          <w:rFonts w:ascii="Calibri" w:hAnsi="Calibri" w:cs="Calibri"/>
          <w:color w:val="2C3E50"/>
          <w:sz w:val="27"/>
          <w:szCs w:val="27"/>
          <w:shd w:val="clear" w:color="auto" w:fill="FEF1C4"/>
        </w:rPr>
        <w:t>, R.J., Brooks, J.H.M., Kemp, S.P.T. and Williams, A.M. (2007). The Epidemiology of Knee Injuries in English Professional Rugby Union.</w:t>
      </w:r>
      <w:r w:rsidRPr="00B5141A">
        <w:rPr>
          <w:rStyle w:val="apple-converted-space"/>
          <w:rFonts w:ascii="Calibri" w:hAnsi="Calibri" w:cs="Calibri"/>
          <w:color w:val="2C3E50"/>
          <w:sz w:val="27"/>
          <w:szCs w:val="27"/>
          <w:shd w:val="clear" w:color="auto" w:fill="FEF1C4"/>
        </w:rPr>
        <w:t> </w:t>
      </w:r>
      <w:r w:rsidRPr="00B5141A">
        <w:rPr>
          <w:rFonts w:ascii="Calibri" w:hAnsi="Calibri" w:cs="Calibri"/>
          <w:i/>
          <w:iCs/>
          <w:color w:val="2C3E50"/>
          <w:sz w:val="27"/>
          <w:szCs w:val="27"/>
        </w:rPr>
        <w:t>The American Journal of Sports Medicine</w:t>
      </w:r>
      <w:r w:rsidRPr="00B5141A">
        <w:rPr>
          <w:rFonts w:ascii="Calibri" w:hAnsi="Calibri" w:cs="Calibri"/>
          <w:color w:val="2C3E50"/>
          <w:sz w:val="27"/>
          <w:szCs w:val="27"/>
          <w:shd w:val="clear" w:color="auto" w:fill="FEF1C4"/>
        </w:rPr>
        <w:t xml:space="preserve">, 35(5), pp.818–830. </w:t>
      </w:r>
      <w:proofErr w:type="spellStart"/>
      <w:proofErr w:type="gramStart"/>
      <w:r w:rsidRPr="00B5141A">
        <w:rPr>
          <w:rFonts w:ascii="Calibri" w:hAnsi="Calibri" w:cs="Calibri"/>
          <w:color w:val="2C3E50"/>
          <w:sz w:val="27"/>
          <w:szCs w:val="27"/>
          <w:shd w:val="clear" w:color="auto" w:fill="FEF1C4"/>
        </w:rPr>
        <w:t>doi:https</w:t>
      </w:r>
      <w:proofErr w:type="spellEnd"/>
      <w:r w:rsidRPr="00B5141A">
        <w:rPr>
          <w:rFonts w:ascii="Calibri" w:hAnsi="Calibri" w:cs="Calibri"/>
          <w:color w:val="2C3E50"/>
          <w:sz w:val="27"/>
          <w:szCs w:val="27"/>
          <w:shd w:val="clear" w:color="auto" w:fill="FEF1C4"/>
        </w:rPr>
        <w:t>://doi.org/10.1177/0363546506296738</w:t>
      </w:r>
      <w:proofErr w:type="gramEnd"/>
      <w:r w:rsidRPr="00B5141A">
        <w:rPr>
          <w:rFonts w:ascii="Calibri" w:hAnsi="Calibri" w:cs="Calibri"/>
          <w:color w:val="2C3E50"/>
          <w:sz w:val="27"/>
          <w:szCs w:val="27"/>
          <w:shd w:val="clear" w:color="auto" w:fill="FEF1C4"/>
        </w:rPr>
        <w:t>.</w:t>
      </w:r>
    </w:p>
    <w:p w14:paraId="7226B9B0" w14:textId="77777777" w:rsidR="00B94EFC" w:rsidRPr="006C6A00"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Distefano, L.J., Blackburn, J.T., Marshall, S.W. and Padua, D.A. (2009). Gluteal Muscle Activation During Common Therapeutic Exercises.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Orthopaedic &amp; Sports Physical Therapy</w:t>
      </w:r>
      <w:r>
        <w:rPr>
          <w:rFonts w:ascii="Calibri" w:hAnsi="Calibri" w:cs="Calibri"/>
          <w:color w:val="2C3E50"/>
          <w:sz w:val="27"/>
          <w:szCs w:val="27"/>
          <w:shd w:val="clear" w:color="auto" w:fill="FEF1C4"/>
        </w:rPr>
        <w:t xml:space="preserve">, 39(7), pp.532–540.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://doi.org/10.2519/jospt.2009.2796</w:t>
      </w:r>
      <w:proofErr w:type="gramEnd"/>
      <w:r>
        <w:rPr>
          <w:rFonts w:ascii="Calibri" w:hAnsi="Calibri" w:cs="Calibri"/>
          <w:color w:val="2C3E50"/>
          <w:sz w:val="27"/>
          <w:szCs w:val="27"/>
          <w:shd w:val="clear" w:color="auto" w:fill="FEF1C4"/>
        </w:rPr>
        <w:t>.</w:t>
      </w:r>
    </w:p>
    <w:p w14:paraId="52AE8D59" w14:textId="77777777" w:rsidR="00B94EFC" w:rsidRPr="00B5141A"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r>
        <w:rPr>
          <w:rFonts w:ascii="Calibri" w:hAnsi="Calibri" w:cs="Calibri"/>
          <w:color w:val="2C3E50"/>
          <w:sz w:val="27"/>
          <w:szCs w:val="27"/>
          <w:shd w:val="clear" w:color="auto" w:fill="FEF1C4"/>
        </w:rPr>
        <w:t>Kg</w:t>
      </w:r>
      <w:r>
        <w:rPr>
          <w:rFonts w:ascii="Calibri" w:hAnsi="Calibri" w:cs="Calibri"/>
          <w:color w:val="2C3E50"/>
          <w:sz w:val="27"/>
          <w:szCs w:val="27"/>
          <w:shd w:val="clear" w:color="auto" w:fill="FEF1C4"/>
        </w:rPr>
        <w:t>lmeridian.com. (2025).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nata</w:t>
      </w:r>
      <w:r>
        <w:rPr>
          <w:rFonts w:ascii="Calibri" w:hAnsi="Calibri" w:cs="Calibri"/>
          <w:color w:val="2C3E50"/>
          <w:sz w:val="27"/>
          <w:szCs w:val="27"/>
          <w:shd w:val="clear" w:color="auto" w:fill="FEF1C4"/>
        </w:rPr>
        <w:t>. [online] Available at: https://nata.kglmeridian.com/view/journals/attr/47/3/article-p339.xml.</w:t>
      </w:r>
    </w:p>
    <w:p w14:paraId="0D716547" w14:textId="77777777" w:rsidR="00B94EFC" w:rsidRPr="00CE1D2E" w:rsidRDefault="00B94EFC" w:rsidP="00B5141A">
      <w:pPr>
        <w:pStyle w:val="ListParagraph"/>
        <w:numPr>
          <w:ilvl w:val="0"/>
          <w:numId w:val="1"/>
        </w:numPr>
        <w:tabs>
          <w:tab w:val="left" w:pos="3437"/>
        </w:tabs>
        <w:spacing w:before="100" w:beforeAutospacing="1" w:after="100" w:afterAutospacing="1"/>
        <w:rPr>
          <w:rFonts w:ascii="Times New Roman" w:eastAsia="Times New Roman" w:hAnsi="Times New Roman" w:cs="Times New Roman"/>
          <w:kern w:val="0"/>
          <w:lang w:eastAsia="en-GB"/>
          <w14:ligatures w14:val="none"/>
        </w:rPr>
      </w:pPr>
      <w:proofErr w:type="spellStart"/>
      <w:r>
        <w:rPr>
          <w:rFonts w:ascii="Calibri" w:hAnsi="Calibri" w:cs="Calibri"/>
          <w:color w:val="2C3E50"/>
          <w:sz w:val="27"/>
          <w:szCs w:val="27"/>
          <w:shd w:val="clear" w:color="auto" w:fill="FEF1C4"/>
        </w:rPr>
        <w:t>Yılmaz</w:t>
      </w:r>
      <w:proofErr w:type="spellEnd"/>
      <w:r>
        <w:rPr>
          <w:rFonts w:ascii="Calibri" w:hAnsi="Calibri" w:cs="Calibri"/>
          <w:color w:val="2C3E50"/>
          <w:sz w:val="27"/>
          <w:szCs w:val="27"/>
          <w:shd w:val="clear" w:color="auto" w:fill="FEF1C4"/>
        </w:rPr>
        <w:t xml:space="preserve">, O., Soylu, Y., </w:t>
      </w:r>
      <w:proofErr w:type="spellStart"/>
      <w:r>
        <w:rPr>
          <w:rFonts w:ascii="Calibri" w:hAnsi="Calibri" w:cs="Calibri"/>
          <w:color w:val="2C3E50"/>
          <w:sz w:val="27"/>
          <w:szCs w:val="27"/>
          <w:shd w:val="clear" w:color="auto" w:fill="FEF1C4"/>
        </w:rPr>
        <w:t>Erkmen</w:t>
      </w:r>
      <w:proofErr w:type="spellEnd"/>
      <w:r>
        <w:rPr>
          <w:rFonts w:ascii="Calibri" w:hAnsi="Calibri" w:cs="Calibri"/>
          <w:color w:val="2C3E50"/>
          <w:sz w:val="27"/>
          <w:szCs w:val="27"/>
          <w:shd w:val="clear" w:color="auto" w:fill="FEF1C4"/>
        </w:rPr>
        <w:t xml:space="preserve">, N., Kaplan, T. and </w:t>
      </w:r>
      <w:proofErr w:type="spellStart"/>
      <w:r>
        <w:rPr>
          <w:rFonts w:ascii="Calibri" w:hAnsi="Calibri" w:cs="Calibri"/>
          <w:color w:val="2C3E50"/>
          <w:sz w:val="27"/>
          <w:szCs w:val="27"/>
          <w:shd w:val="clear" w:color="auto" w:fill="FEF1C4"/>
        </w:rPr>
        <w:t>Batalik</w:t>
      </w:r>
      <w:proofErr w:type="spellEnd"/>
      <w:r>
        <w:rPr>
          <w:rFonts w:ascii="Calibri" w:hAnsi="Calibri" w:cs="Calibri"/>
          <w:color w:val="2C3E50"/>
          <w:sz w:val="27"/>
          <w:szCs w:val="27"/>
          <w:shd w:val="clear" w:color="auto" w:fill="FEF1C4"/>
        </w:rPr>
        <w:t>, L. (2024). Effects of proprioceptive training on sports performance: A systematic review.</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BMC sports science, medicine &amp; rehabilitation</w:t>
      </w:r>
      <w:r>
        <w:rPr>
          <w:rFonts w:ascii="Calibri" w:hAnsi="Calibri" w:cs="Calibri"/>
          <w:color w:val="2C3E50"/>
          <w:sz w:val="27"/>
          <w:szCs w:val="27"/>
          <w:shd w:val="clear" w:color="auto" w:fill="FEF1C4"/>
        </w:rPr>
        <w:t xml:space="preserve">, [online] 16(1).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://doi.org/10.1186/s13102-024-00936-z</w:t>
      </w:r>
      <w:proofErr w:type="gramEnd"/>
      <w:r>
        <w:rPr>
          <w:rFonts w:ascii="Calibri" w:hAnsi="Calibri" w:cs="Calibri"/>
          <w:color w:val="2C3E50"/>
          <w:sz w:val="27"/>
          <w:szCs w:val="27"/>
          <w:shd w:val="clear" w:color="auto" w:fill="FEF1C4"/>
        </w:rPr>
        <w:t>.</w:t>
      </w:r>
    </w:p>
    <w:p w14:paraId="29BA01EC" w14:textId="77777777" w:rsidR="00B54B7D" w:rsidRPr="00FC1634" w:rsidRDefault="00B54B7D" w:rsidP="00FC1634">
      <w:pPr>
        <w:spacing w:before="100" w:beforeAutospacing="1" w:after="100" w:afterAutospacing="1"/>
        <w:rPr>
          <w:rFonts w:ascii="Times New Roman" w:eastAsia="Times New Roman" w:hAnsi="Times New Roman" w:cs="Times New Roman"/>
          <w:kern w:val="0"/>
          <w:lang w:eastAsia="en-GB"/>
          <w14:ligatures w14:val="none"/>
        </w:rPr>
      </w:pPr>
    </w:p>
    <w:sectPr w:rsidR="00B54B7D" w:rsidRPr="00FC1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D1861"/>
    <w:multiLevelType w:val="hybridMultilevel"/>
    <w:tmpl w:val="FD88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56ED8"/>
    <w:multiLevelType w:val="hybridMultilevel"/>
    <w:tmpl w:val="69647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7554CB"/>
    <w:multiLevelType w:val="hybridMultilevel"/>
    <w:tmpl w:val="17125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556436">
    <w:abstractNumId w:val="0"/>
  </w:num>
  <w:num w:numId="2" w16cid:durableId="800265998">
    <w:abstractNumId w:val="1"/>
  </w:num>
  <w:num w:numId="3" w16cid:durableId="7294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2C1"/>
    <w:rsid w:val="00000122"/>
    <w:rsid w:val="00000152"/>
    <w:rsid w:val="00001015"/>
    <w:rsid w:val="00002177"/>
    <w:rsid w:val="00002741"/>
    <w:rsid w:val="00071EF6"/>
    <w:rsid w:val="00083328"/>
    <w:rsid w:val="000939B8"/>
    <w:rsid w:val="000B3484"/>
    <w:rsid w:val="000C5061"/>
    <w:rsid w:val="00135BFF"/>
    <w:rsid w:val="00147387"/>
    <w:rsid w:val="00197192"/>
    <w:rsid w:val="001C0632"/>
    <w:rsid w:val="001E0E2E"/>
    <w:rsid w:val="001F47F7"/>
    <w:rsid w:val="00224781"/>
    <w:rsid w:val="00272865"/>
    <w:rsid w:val="0027478B"/>
    <w:rsid w:val="00276705"/>
    <w:rsid w:val="002A0306"/>
    <w:rsid w:val="002D78CE"/>
    <w:rsid w:val="002F1161"/>
    <w:rsid w:val="00300ACD"/>
    <w:rsid w:val="003024D5"/>
    <w:rsid w:val="00384ABB"/>
    <w:rsid w:val="0039691E"/>
    <w:rsid w:val="003A5B49"/>
    <w:rsid w:val="003B3D78"/>
    <w:rsid w:val="003D3C75"/>
    <w:rsid w:val="003D3DF9"/>
    <w:rsid w:val="003E7B0E"/>
    <w:rsid w:val="003F1590"/>
    <w:rsid w:val="00411482"/>
    <w:rsid w:val="00411DB5"/>
    <w:rsid w:val="00452297"/>
    <w:rsid w:val="004866BA"/>
    <w:rsid w:val="004B7290"/>
    <w:rsid w:val="004B7E33"/>
    <w:rsid w:val="004C16B8"/>
    <w:rsid w:val="004F39D6"/>
    <w:rsid w:val="005052B9"/>
    <w:rsid w:val="00522A2D"/>
    <w:rsid w:val="005316BC"/>
    <w:rsid w:val="005375C2"/>
    <w:rsid w:val="00554580"/>
    <w:rsid w:val="00570F0B"/>
    <w:rsid w:val="00573504"/>
    <w:rsid w:val="0058043E"/>
    <w:rsid w:val="005A53B8"/>
    <w:rsid w:val="005C2084"/>
    <w:rsid w:val="005C4B7A"/>
    <w:rsid w:val="006520DF"/>
    <w:rsid w:val="00681611"/>
    <w:rsid w:val="00687A7F"/>
    <w:rsid w:val="006A4378"/>
    <w:rsid w:val="006B2BB2"/>
    <w:rsid w:val="006C6A00"/>
    <w:rsid w:val="006D74DA"/>
    <w:rsid w:val="00701F03"/>
    <w:rsid w:val="00710A2B"/>
    <w:rsid w:val="007212E4"/>
    <w:rsid w:val="007232D6"/>
    <w:rsid w:val="00774D0E"/>
    <w:rsid w:val="00776ABF"/>
    <w:rsid w:val="007D4CAC"/>
    <w:rsid w:val="00815CFC"/>
    <w:rsid w:val="008331AF"/>
    <w:rsid w:val="00835338"/>
    <w:rsid w:val="00856EF6"/>
    <w:rsid w:val="00866961"/>
    <w:rsid w:val="00897C3D"/>
    <w:rsid w:val="008C658F"/>
    <w:rsid w:val="008D078C"/>
    <w:rsid w:val="008D32BA"/>
    <w:rsid w:val="008E274D"/>
    <w:rsid w:val="008F5A6D"/>
    <w:rsid w:val="009014A9"/>
    <w:rsid w:val="009A6BE6"/>
    <w:rsid w:val="009B695D"/>
    <w:rsid w:val="009B7969"/>
    <w:rsid w:val="009F627B"/>
    <w:rsid w:val="00A02FE5"/>
    <w:rsid w:val="00A06E96"/>
    <w:rsid w:val="00A12A07"/>
    <w:rsid w:val="00A7199C"/>
    <w:rsid w:val="00AC0168"/>
    <w:rsid w:val="00AD10B0"/>
    <w:rsid w:val="00B06DD1"/>
    <w:rsid w:val="00B20198"/>
    <w:rsid w:val="00B248BC"/>
    <w:rsid w:val="00B450BE"/>
    <w:rsid w:val="00B5141A"/>
    <w:rsid w:val="00B53E3C"/>
    <w:rsid w:val="00B54B7D"/>
    <w:rsid w:val="00B94EFC"/>
    <w:rsid w:val="00BA61FF"/>
    <w:rsid w:val="00BB4211"/>
    <w:rsid w:val="00BB7C0B"/>
    <w:rsid w:val="00BC4453"/>
    <w:rsid w:val="00BD5AC5"/>
    <w:rsid w:val="00BF406B"/>
    <w:rsid w:val="00BF4112"/>
    <w:rsid w:val="00C02F8B"/>
    <w:rsid w:val="00C03515"/>
    <w:rsid w:val="00C03634"/>
    <w:rsid w:val="00C61429"/>
    <w:rsid w:val="00C80CEE"/>
    <w:rsid w:val="00C81001"/>
    <w:rsid w:val="00CD2949"/>
    <w:rsid w:val="00CE1D2E"/>
    <w:rsid w:val="00D31BB1"/>
    <w:rsid w:val="00D3299A"/>
    <w:rsid w:val="00D43BAD"/>
    <w:rsid w:val="00D758CE"/>
    <w:rsid w:val="00D865E7"/>
    <w:rsid w:val="00DC1BED"/>
    <w:rsid w:val="00E23E9A"/>
    <w:rsid w:val="00EE02C1"/>
    <w:rsid w:val="00EF16B5"/>
    <w:rsid w:val="00F24859"/>
    <w:rsid w:val="00F44A07"/>
    <w:rsid w:val="00F4648C"/>
    <w:rsid w:val="00F83AFE"/>
    <w:rsid w:val="00F84AB7"/>
    <w:rsid w:val="00FA0917"/>
    <w:rsid w:val="00FA1DA2"/>
    <w:rsid w:val="00FA358D"/>
    <w:rsid w:val="00FC1634"/>
    <w:rsid w:val="00FF3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6970D0"/>
  <w15:chartTrackingRefBased/>
  <w15:docId w15:val="{6C967B95-8531-C543-9945-7DEE5B4A5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2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2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2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2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2C1"/>
    <w:rPr>
      <w:rFonts w:eastAsiaTheme="majorEastAsia" w:cstheme="majorBidi"/>
      <w:color w:val="272727" w:themeColor="text1" w:themeTint="D8"/>
    </w:rPr>
  </w:style>
  <w:style w:type="paragraph" w:styleId="Title">
    <w:name w:val="Title"/>
    <w:basedOn w:val="Normal"/>
    <w:next w:val="Normal"/>
    <w:link w:val="TitleChar"/>
    <w:uiPriority w:val="10"/>
    <w:qFormat/>
    <w:rsid w:val="00EE02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2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2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02C1"/>
    <w:rPr>
      <w:i/>
      <w:iCs/>
      <w:color w:val="404040" w:themeColor="text1" w:themeTint="BF"/>
    </w:rPr>
  </w:style>
  <w:style w:type="paragraph" w:styleId="ListParagraph">
    <w:name w:val="List Paragraph"/>
    <w:basedOn w:val="Normal"/>
    <w:uiPriority w:val="34"/>
    <w:qFormat/>
    <w:rsid w:val="00EE02C1"/>
    <w:pPr>
      <w:ind w:left="720"/>
      <w:contextualSpacing/>
    </w:pPr>
  </w:style>
  <w:style w:type="character" w:styleId="IntenseEmphasis">
    <w:name w:val="Intense Emphasis"/>
    <w:basedOn w:val="DefaultParagraphFont"/>
    <w:uiPriority w:val="21"/>
    <w:qFormat/>
    <w:rsid w:val="00EE02C1"/>
    <w:rPr>
      <w:i/>
      <w:iCs/>
      <w:color w:val="0F4761" w:themeColor="accent1" w:themeShade="BF"/>
    </w:rPr>
  </w:style>
  <w:style w:type="paragraph" w:styleId="IntenseQuote">
    <w:name w:val="Intense Quote"/>
    <w:basedOn w:val="Normal"/>
    <w:next w:val="Normal"/>
    <w:link w:val="IntenseQuoteChar"/>
    <w:uiPriority w:val="30"/>
    <w:qFormat/>
    <w:rsid w:val="00EE0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2C1"/>
    <w:rPr>
      <w:i/>
      <w:iCs/>
      <w:color w:val="0F4761" w:themeColor="accent1" w:themeShade="BF"/>
    </w:rPr>
  </w:style>
  <w:style w:type="character" w:styleId="IntenseReference">
    <w:name w:val="Intense Reference"/>
    <w:basedOn w:val="DefaultParagraphFont"/>
    <w:uiPriority w:val="32"/>
    <w:qFormat/>
    <w:rsid w:val="00EE02C1"/>
    <w:rPr>
      <w:b/>
      <w:bCs/>
      <w:smallCaps/>
      <w:color w:val="0F4761" w:themeColor="accent1" w:themeShade="BF"/>
      <w:spacing w:val="5"/>
    </w:rPr>
  </w:style>
  <w:style w:type="paragraph" w:styleId="NormalWeb">
    <w:name w:val="Normal (Web)"/>
    <w:basedOn w:val="Normal"/>
    <w:uiPriority w:val="99"/>
    <w:semiHidden/>
    <w:unhideWhenUsed/>
    <w:rsid w:val="00FC1634"/>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E23E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5141A"/>
  </w:style>
  <w:style w:type="character" w:styleId="Hyperlink">
    <w:name w:val="Hyperlink"/>
    <w:basedOn w:val="DefaultParagraphFont"/>
    <w:uiPriority w:val="99"/>
    <w:unhideWhenUsed/>
    <w:rsid w:val="00A12A07"/>
    <w:rPr>
      <w:color w:val="467886" w:themeColor="hyperlink"/>
      <w:u w:val="single"/>
    </w:rPr>
  </w:style>
  <w:style w:type="character" w:styleId="UnresolvedMention">
    <w:name w:val="Unresolved Mention"/>
    <w:basedOn w:val="DefaultParagraphFont"/>
    <w:uiPriority w:val="99"/>
    <w:semiHidden/>
    <w:unhideWhenUsed/>
    <w:rsid w:val="00A12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9981638">
      <w:bodyDiv w:val="1"/>
      <w:marLeft w:val="0"/>
      <w:marRight w:val="0"/>
      <w:marTop w:val="0"/>
      <w:marBottom w:val="0"/>
      <w:divBdr>
        <w:top w:val="none" w:sz="0" w:space="0" w:color="auto"/>
        <w:left w:val="none" w:sz="0" w:space="0" w:color="auto"/>
        <w:bottom w:val="none" w:sz="0" w:space="0" w:color="auto"/>
        <w:right w:val="none" w:sz="0" w:space="0" w:color="auto"/>
      </w:divBdr>
      <w:divsChild>
        <w:div w:id="228924521">
          <w:marLeft w:val="0"/>
          <w:marRight w:val="0"/>
          <w:marTop w:val="0"/>
          <w:marBottom w:val="0"/>
          <w:divBdr>
            <w:top w:val="none" w:sz="0" w:space="0" w:color="auto"/>
            <w:left w:val="none" w:sz="0" w:space="0" w:color="auto"/>
            <w:bottom w:val="none" w:sz="0" w:space="0" w:color="auto"/>
            <w:right w:val="none" w:sz="0" w:space="0" w:color="auto"/>
          </w:divBdr>
          <w:divsChild>
            <w:div w:id="1236476908">
              <w:marLeft w:val="0"/>
              <w:marRight w:val="0"/>
              <w:marTop w:val="0"/>
              <w:marBottom w:val="0"/>
              <w:divBdr>
                <w:top w:val="none" w:sz="0" w:space="0" w:color="auto"/>
                <w:left w:val="none" w:sz="0" w:space="0" w:color="auto"/>
                <w:bottom w:val="none" w:sz="0" w:space="0" w:color="auto"/>
                <w:right w:val="none" w:sz="0" w:space="0" w:color="auto"/>
              </w:divBdr>
              <w:divsChild>
                <w:div w:id="861015847">
                  <w:marLeft w:val="0"/>
                  <w:marRight w:val="0"/>
                  <w:marTop w:val="0"/>
                  <w:marBottom w:val="0"/>
                  <w:divBdr>
                    <w:top w:val="none" w:sz="0" w:space="0" w:color="auto"/>
                    <w:left w:val="none" w:sz="0" w:space="0" w:color="auto"/>
                    <w:bottom w:val="none" w:sz="0" w:space="0" w:color="auto"/>
                    <w:right w:val="none" w:sz="0" w:space="0" w:color="auto"/>
                  </w:divBdr>
                </w:div>
              </w:divsChild>
            </w:div>
            <w:div w:id="45692226">
              <w:marLeft w:val="0"/>
              <w:marRight w:val="0"/>
              <w:marTop w:val="0"/>
              <w:marBottom w:val="0"/>
              <w:divBdr>
                <w:top w:val="none" w:sz="0" w:space="0" w:color="auto"/>
                <w:left w:val="none" w:sz="0" w:space="0" w:color="auto"/>
                <w:bottom w:val="none" w:sz="0" w:space="0" w:color="auto"/>
                <w:right w:val="none" w:sz="0" w:space="0" w:color="auto"/>
              </w:divBdr>
              <w:divsChild>
                <w:div w:id="420182315">
                  <w:marLeft w:val="0"/>
                  <w:marRight w:val="0"/>
                  <w:marTop w:val="0"/>
                  <w:marBottom w:val="0"/>
                  <w:divBdr>
                    <w:top w:val="none" w:sz="0" w:space="0" w:color="auto"/>
                    <w:left w:val="none" w:sz="0" w:space="0" w:color="auto"/>
                    <w:bottom w:val="none" w:sz="0" w:space="0" w:color="auto"/>
                    <w:right w:val="none" w:sz="0" w:space="0" w:color="auto"/>
                  </w:divBdr>
                </w:div>
              </w:divsChild>
            </w:div>
            <w:div w:id="1237784812">
              <w:marLeft w:val="0"/>
              <w:marRight w:val="0"/>
              <w:marTop w:val="0"/>
              <w:marBottom w:val="0"/>
              <w:divBdr>
                <w:top w:val="none" w:sz="0" w:space="0" w:color="auto"/>
                <w:left w:val="none" w:sz="0" w:space="0" w:color="auto"/>
                <w:bottom w:val="none" w:sz="0" w:space="0" w:color="auto"/>
                <w:right w:val="none" w:sz="0" w:space="0" w:color="auto"/>
              </w:divBdr>
              <w:divsChild>
                <w:div w:id="79478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01767">
          <w:marLeft w:val="0"/>
          <w:marRight w:val="0"/>
          <w:marTop w:val="0"/>
          <w:marBottom w:val="0"/>
          <w:divBdr>
            <w:top w:val="none" w:sz="0" w:space="0" w:color="auto"/>
            <w:left w:val="none" w:sz="0" w:space="0" w:color="auto"/>
            <w:bottom w:val="none" w:sz="0" w:space="0" w:color="auto"/>
            <w:right w:val="none" w:sz="0" w:space="0" w:color="auto"/>
          </w:divBdr>
          <w:divsChild>
            <w:div w:id="1924222161">
              <w:marLeft w:val="0"/>
              <w:marRight w:val="0"/>
              <w:marTop w:val="0"/>
              <w:marBottom w:val="0"/>
              <w:divBdr>
                <w:top w:val="none" w:sz="0" w:space="0" w:color="auto"/>
                <w:left w:val="none" w:sz="0" w:space="0" w:color="auto"/>
                <w:bottom w:val="none" w:sz="0" w:space="0" w:color="auto"/>
                <w:right w:val="none" w:sz="0" w:space="0" w:color="auto"/>
              </w:divBdr>
            </w:div>
          </w:divsChild>
        </w:div>
        <w:div w:id="1633635851">
          <w:marLeft w:val="0"/>
          <w:marRight w:val="0"/>
          <w:marTop w:val="0"/>
          <w:marBottom w:val="0"/>
          <w:divBdr>
            <w:top w:val="none" w:sz="0" w:space="0" w:color="auto"/>
            <w:left w:val="none" w:sz="0" w:space="0" w:color="auto"/>
            <w:bottom w:val="none" w:sz="0" w:space="0" w:color="auto"/>
            <w:right w:val="none" w:sz="0" w:space="0" w:color="auto"/>
          </w:divBdr>
          <w:divsChild>
            <w:div w:id="1380284567">
              <w:marLeft w:val="0"/>
              <w:marRight w:val="0"/>
              <w:marTop w:val="0"/>
              <w:marBottom w:val="0"/>
              <w:divBdr>
                <w:top w:val="none" w:sz="0" w:space="0" w:color="auto"/>
                <w:left w:val="none" w:sz="0" w:space="0" w:color="auto"/>
                <w:bottom w:val="none" w:sz="0" w:space="0" w:color="auto"/>
                <w:right w:val="none" w:sz="0" w:space="0" w:color="auto"/>
              </w:divBdr>
            </w:div>
          </w:divsChild>
        </w:div>
        <w:div w:id="338117476">
          <w:marLeft w:val="0"/>
          <w:marRight w:val="0"/>
          <w:marTop w:val="0"/>
          <w:marBottom w:val="0"/>
          <w:divBdr>
            <w:top w:val="none" w:sz="0" w:space="0" w:color="auto"/>
            <w:left w:val="none" w:sz="0" w:space="0" w:color="auto"/>
            <w:bottom w:val="none" w:sz="0" w:space="0" w:color="auto"/>
            <w:right w:val="none" w:sz="0" w:space="0" w:color="auto"/>
          </w:divBdr>
          <w:divsChild>
            <w:div w:id="561209898">
              <w:marLeft w:val="0"/>
              <w:marRight w:val="0"/>
              <w:marTop w:val="0"/>
              <w:marBottom w:val="0"/>
              <w:divBdr>
                <w:top w:val="none" w:sz="0" w:space="0" w:color="auto"/>
                <w:left w:val="none" w:sz="0" w:space="0" w:color="auto"/>
                <w:bottom w:val="none" w:sz="0" w:space="0" w:color="auto"/>
                <w:right w:val="none" w:sz="0" w:space="0" w:color="auto"/>
              </w:divBdr>
            </w:div>
          </w:divsChild>
        </w:div>
        <w:div w:id="1178084477">
          <w:marLeft w:val="0"/>
          <w:marRight w:val="0"/>
          <w:marTop w:val="0"/>
          <w:marBottom w:val="0"/>
          <w:divBdr>
            <w:top w:val="none" w:sz="0" w:space="0" w:color="auto"/>
            <w:left w:val="none" w:sz="0" w:space="0" w:color="auto"/>
            <w:bottom w:val="none" w:sz="0" w:space="0" w:color="auto"/>
            <w:right w:val="none" w:sz="0" w:space="0" w:color="auto"/>
          </w:divBdr>
          <w:divsChild>
            <w:div w:id="1638756705">
              <w:marLeft w:val="0"/>
              <w:marRight w:val="0"/>
              <w:marTop w:val="0"/>
              <w:marBottom w:val="0"/>
              <w:divBdr>
                <w:top w:val="none" w:sz="0" w:space="0" w:color="auto"/>
                <w:left w:val="none" w:sz="0" w:space="0" w:color="auto"/>
                <w:bottom w:val="none" w:sz="0" w:space="0" w:color="auto"/>
                <w:right w:val="none" w:sz="0" w:space="0" w:color="auto"/>
              </w:divBdr>
              <w:divsChild>
                <w:div w:id="1669212215">
                  <w:marLeft w:val="0"/>
                  <w:marRight w:val="0"/>
                  <w:marTop w:val="0"/>
                  <w:marBottom w:val="0"/>
                  <w:divBdr>
                    <w:top w:val="none" w:sz="0" w:space="0" w:color="auto"/>
                    <w:left w:val="none" w:sz="0" w:space="0" w:color="auto"/>
                    <w:bottom w:val="none" w:sz="0" w:space="0" w:color="auto"/>
                    <w:right w:val="none" w:sz="0" w:space="0" w:color="auto"/>
                  </w:divBdr>
                </w:div>
              </w:divsChild>
            </w:div>
            <w:div w:id="1095711559">
              <w:marLeft w:val="0"/>
              <w:marRight w:val="0"/>
              <w:marTop w:val="0"/>
              <w:marBottom w:val="0"/>
              <w:divBdr>
                <w:top w:val="none" w:sz="0" w:space="0" w:color="auto"/>
                <w:left w:val="none" w:sz="0" w:space="0" w:color="auto"/>
                <w:bottom w:val="none" w:sz="0" w:space="0" w:color="auto"/>
                <w:right w:val="none" w:sz="0" w:space="0" w:color="auto"/>
              </w:divBdr>
              <w:divsChild>
                <w:div w:id="1195268721">
                  <w:marLeft w:val="0"/>
                  <w:marRight w:val="0"/>
                  <w:marTop w:val="0"/>
                  <w:marBottom w:val="0"/>
                  <w:divBdr>
                    <w:top w:val="none" w:sz="0" w:space="0" w:color="auto"/>
                    <w:left w:val="none" w:sz="0" w:space="0" w:color="auto"/>
                    <w:bottom w:val="none" w:sz="0" w:space="0" w:color="auto"/>
                    <w:right w:val="none" w:sz="0" w:space="0" w:color="auto"/>
                  </w:divBdr>
                </w:div>
              </w:divsChild>
            </w:div>
            <w:div w:id="1103722650">
              <w:marLeft w:val="0"/>
              <w:marRight w:val="0"/>
              <w:marTop w:val="0"/>
              <w:marBottom w:val="0"/>
              <w:divBdr>
                <w:top w:val="none" w:sz="0" w:space="0" w:color="auto"/>
                <w:left w:val="none" w:sz="0" w:space="0" w:color="auto"/>
                <w:bottom w:val="none" w:sz="0" w:space="0" w:color="auto"/>
                <w:right w:val="none" w:sz="0" w:space="0" w:color="auto"/>
              </w:divBdr>
              <w:divsChild>
                <w:div w:id="436292548">
                  <w:marLeft w:val="0"/>
                  <w:marRight w:val="0"/>
                  <w:marTop w:val="0"/>
                  <w:marBottom w:val="0"/>
                  <w:divBdr>
                    <w:top w:val="none" w:sz="0" w:space="0" w:color="auto"/>
                    <w:left w:val="none" w:sz="0" w:space="0" w:color="auto"/>
                    <w:bottom w:val="none" w:sz="0" w:space="0" w:color="auto"/>
                    <w:right w:val="none" w:sz="0" w:space="0" w:color="auto"/>
                  </w:divBdr>
                </w:div>
              </w:divsChild>
            </w:div>
            <w:div w:id="287512563">
              <w:marLeft w:val="0"/>
              <w:marRight w:val="0"/>
              <w:marTop w:val="0"/>
              <w:marBottom w:val="0"/>
              <w:divBdr>
                <w:top w:val="none" w:sz="0" w:space="0" w:color="auto"/>
                <w:left w:val="none" w:sz="0" w:space="0" w:color="auto"/>
                <w:bottom w:val="none" w:sz="0" w:space="0" w:color="auto"/>
                <w:right w:val="none" w:sz="0" w:space="0" w:color="auto"/>
              </w:divBdr>
              <w:divsChild>
                <w:div w:id="1612929021">
                  <w:marLeft w:val="0"/>
                  <w:marRight w:val="0"/>
                  <w:marTop w:val="0"/>
                  <w:marBottom w:val="0"/>
                  <w:divBdr>
                    <w:top w:val="none" w:sz="0" w:space="0" w:color="auto"/>
                    <w:left w:val="none" w:sz="0" w:space="0" w:color="auto"/>
                    <w:bottom w:val="none" w:sz="0" w:space="0" w:color="auto"/>
                    <w:right w:val="none" w:sz="0" w:space="0" w:color="auto"/>
                  </w:divBdr>
                </w:div>
                <w:div w:id="936668865">
                  <w:marLeft w:val="0"/>
                  <w:marRight w:val="0"/>
                  <w:marTop w:val="0"/>
                  <w:marBottom w:val="0"/>
                  <w:divBdr>
                    <w:top w:val="none" w:sz="0" w:space="0" w:color="auto"/>
                    <w:left w:val="none" w:sz="0" w:space="0" w:color="auto"/>
                    <w:bottom w:val="none" w:sz="0" w:space="0" w:color="auto"/>
                    <w:right w:val="none" w:sz="0" w:space="0" w:color="auto"/>
                  </w:divBdr>
                </w:div>
              </w:divsChild>
            </w:div>
            <w:div w:id="561213658">
              <w:marLeft w:val="0"/>
              <w:marRight w:val="0"/>
              <w:marTop w:val="0"/>
              <w:marBottom w:val="0"/>
              <w:divBdr>
                <w:top w:val="none" w:sz="0" w:space="0" w:color="auto"/>
                <w:left w:val="none" w:sz="0" w:space="0" w:color="auto"/>
                <w:bottom w:val="none" w:sz="0" w:space="0" w:color="auto"/>
                <w:right w:val="none" w:sz="0" w:space="0" w:color="auto"/>
              </w:divBdr>
              <w:divsChild>
                <w:div w:id="1101756505">
                  <w:marLeft w:val="0"/>
                  <w:marRight w:val="0"/>
                  <w:marTop w:val="0"/>
                  <w:marBottom w:val="0"/>
                  <w:divBdr>
                    <w:top w:val="none" w:sz="0" w:space="0" w:color="auto"/>
                    <w:left w:val="none" w:sz="0" w:space="0" w:color="auto"/>
                    <w:bottom w:val="none" w:sz="0" w:space="0" w:color="auto"/>
                    <w:right w:val="none" w:sz="0" w:space="0" w:color="auto"/>
                  </w:divBdr>
                </w:div>
              </w:divsChild>
            </w:div>
            <w:div w:id="1508983223">
              <w:marLeft w:val="0"/>
              <w:marRight w:val="0"/>
              <w:marTop w:val="0"/>
              <w:marBottom w:val="0"/>
              <w:divBdr>
                <w:top w:val="none" w:sz="0" w:space="0" w:color="auto"/>
                <w:left w:val="none" w:sz="0" w:space="0" w:color="auto"/>
                <w:bottom w:val="none" w:sz="0" w:space="0" w:color="auto"/>
                <w:right w:val="none" w:sz="0" w:space="0" w:color="auto"/>
              </w:divBdr>
              <w:divsChild>
                <w:div w:id="4542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737747">
          <w:marLeft w:val="0"/>
          <w:marRight w:val="0"/>
          <w:marTop w:val="0"/>
          <w:marBottom w:val="0"/>
          <w:divBdr>
            <w:top w:val="none" w:sz="0" w:space="0" w:color="auto"/>
            <w:left w:val="none" w:sz="0" w:space="0" w:color="auto"/>
            <w:bottom w:val="none" w:sz="0" w:space="0" w:color="auto"/>
            <w:right w:val="none" w:sz="0" w:space="0" w:color="auto"/>
          </w:divBdr>
          <w:divsChild>
            <w:div w:id="1070733946">
              <w:marLeft w:val="0"/>
              <w:marRight w:val="0"/>
              <w:marTop w:val="0"/>
              <w:marBottom w:val="0"/>
              <w:divBdr>
                <w:top w:val="none" w:sz="0" w:space="0" w:color="auto"/>
                <w:left w:val="none" w:sz="0" w:space="0" w:color="auto"/>
                <w:bottom w:val="none" w:sz="0" w:space="0" w:color="auto"/>
                <w:right w:val="none" w:sz="0" w:space="0" w:color="auto"/>
              </w:divBdr>
              <w:divsChild>
                <w:div w:id="1547639801">
                  <w:marLeft w:val="0"/>
                  <w:marRight w:val="0"/>
                  <w:marTop w:val="0"/>
                  <w:marBottom w:val="0"/>
                  <w:divBdr>
                    <w:top w:val="none" w:sz="0" w:space="0" w:color="auto"/>
                    <w:left w:val="none" w:sz="0" w:space="0" w:color="auto"/>
                    <w:bottom w:val="none" w:sz="0" w:space="0" w:color="auto"/>
                    <w:right w:val="none" w:sz="0" w:space="0" w:color="auto"/>
                  </w:divBdr>
                </w:div>
              </w:divsChild>
            </w:div>
            <w:div w:id="1803767227">
              <w:marLeft w:val="0"/>
              <w:marRight w:val="0"/>
              <w:marTop w:val="0"/>
              <w:marBottom w:val="0"/>
              <w:divBdr>
                <w:top w:val="none" w:sz="0" w:space="0" w:color="auto"/>
                <w:left w:val="none" w:sz="0" w:space="0" w:color="auto"/>
                <w:bottom w:val="none" w:sz="0" w:space="0" w:color="auto"/>
                <w:right w:val="none" w:sz="0" w:space="0" w:color="auto"/>
              </w:divBdr>
              <w:divsChild>
                <w:div w:id="1196381987">
                  <w:marLeft w:val="0"/>
                  <w:marRight w:val="0"/>
                  <w:marTop w:val="0"/>
                  <w:marBottom w:val="0"/>
                  <w:divBdr>
                    <w:top w:val="none" w:sz="0" w:space="0" w:color="auto"/>
                    <w:left w:val="none" w:sz="0" w:space="0" w:color="auto"/>
                    <w:bottom w:val="none" w:sz="0" w:space="0" w:color="auto"/>
                    <w:right w:val="none" w:sz="0" w:space="0" w:color="auto"/>
                  </w:divBdr>
                </w:div>
              </w:divsChild>
            </w:div>
            <w:div w:id="1665085509">
              <w:marLeft w:val="0"/>
              <w:marRight w:val="0"/>
              <w:marTop w:val="0"/>
              <w:marBottom w:val="0"/>
              <w:divBdr>
                <w:top w:val="none" w:sz="0" w:space="0" w:color="auto"/>
                <w:left w:val="none" w:sz="0" w:space="0" w:color="auto"/>
                <w:bottom w:val="none" w:sz="0" w:space="0" w:color="auto"/>
                <w:right w:val="none" w:sz="0" w:space="0" w:color="auto"/>
              </w:divBdr>
              <w:divsChild>
                <w:div w:id="27001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934064">
          <w:marLeft w:val="0"/>
          <w:marRight w:val="0"/>
          <w:marTop w:val="0"/>
          <w:marBottom w:val="0"/>
          <w:divBdr>
            <w:top w:val="none" w:sz="0" w:space="0" w:color="auto"/>
            <w:left w:val="none" w:sz="0" w:space="0" w:color="auto"/>
            <w:bottom w:val="none" w:sz="0" w:space="0" w:color="auto"/>
            <w:right w:val="none" w:sz="0" w:space="0" w:color="auto"/>
          </w:divBdr>
          <w:divsChild>
            <w:div w:id="467819333">
              <w:marLeft w:val="0"/>
              <w:marRight w:val="0"/>
              <w:marTop w:val="0"/>
              <w:marBottom w:val="0"/>
              <w:divBdr>
                <w:top w:val="none" w:sz="0" w:space="0" w:color="auto"/>
                <w:left w:val="none" w:sz="0" w:space="0" w:color="auto"/>
                <w:bottom w:val="none" w:sz="0" w:space="0" w:color="auto"/>
                <w:right w:val="none" w:sz="0" w:space="0" w:color="auto"/>
              </w:divBdr>
              <w:divsChild>
                <w:div w:id="521289226">
                  <w:marLeft w:val="0"/>
                  <w:marRight w:val="0"/>
                  <w:marTop w:val="0"/>
                  <w:marBottom w:val="0"/>
                  <w:divBdr>
                    <w:top w:val="none" w:sz="0" w:space="0" w:color="auto"/>
                    <w:left w:val="none" w:sz="0" w:space="0" w:color="auto"/>
                    <w:bottom w:val="none" w:sz="0" w:space="0" w:color="auto"/>
                    <w:right w:val="none" w:sz="0" w:space="0" w:color="auto"/>
                  </w:divBdr>
                  <w:divsChild>
                    <w:div w:id="33345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keepyourbootson.co.uk/wp-content/uploads/2022/03/Activate-Adult-FINAL.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4</Pages>
  <Words>1540</Words>
  <Characters>8784</Characters>
  <Application>Microsoft Office Word</Application>
  <DocSecurity>0</DocSecurity>
  <Lines>73</Lines>
  <Paragraphs>20</Paragraphs>
  <ScaleCrop>false</ScaleCrop>
  <Company/>
  <LinksUpToDate>false</LinksUpToDate>
  <CharactersWithSpaces>10304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126</cp:revision>
  <dcterms:created xsi:type="dcterms:W3CDTF">2025-10-07T08:31:00Z</dcterms:created>
  <dcterms:modified xsi:type="dcterms:W3CDTF">2025-10-27T09:08:00Z</dcterms:modified>
</cp:coreProperties>
</file>