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C7C5F1" w14:textId="6B9FAAFA" w:rsidR="001D2192" w:rsidRDefault="001F7A2F">
      <w:pPr>
        <w:rPr>
          <w:b/>
        </w:rPr>
      </w:pPr>
      <w:r>
        <w:rPr>
          <w:b/>
        </w:rPr>
        <w:t>What did the Buddha mean when he taught that there is ‘no self’ (anatman)?</w:t>
      </w:r>
    </w:p>
    <w:p w14:paraId="676F20E5" w14:textId="2D4DD692" w:rsidR="003104F7" w:rsidRDefault="003104F7">
      <w:pPr>
        <w:rPr>
          <w:b/>
        </w:rPr>
      </w:pPr>
    </w:p>
    <w:p w14:paraId="758464A3" w14:textId="402C66C3" w:rsidR="00602755" w:rsidRDefault="003104F7">
      <w:r>
        <w:t>Buddhist traditions do not belief in a self. The idea of a self is an empty one, there is nothing within us that could be regarded as a soul or self</w:t>
      </w:r>
      <w:r w:rsidR="00F7414E">
        <w:t>-</w:t>
      </w:r>
      <w:r>
        <w:t>identity</w:t>
      </w:r>
      <w:r w:rsidR="00F62CE5">
        <w:t>.</w:t>
      </w:r>
      <w:r w:rsidR="00F7414E">
        <w:t xml:space="preserve"> </w:t>
      </w:r>
      <w:r>
        <w:t>The Buddha had never confirmed nor denied the existence of a self, though. When asked about the existence of a self, he surpassed the question. He did not want to be a nihilist or an eternalist. We may experience the self as a person and as other persons, but that does not necessarily mean that there is a continuous self.</w:t>
      </w:r>
      <w:r w:rsidR="00B7527B">
        <w:t xml:space="preserve"> The early Upanishads regarded ‘the self’ as a mysterious entity and something utterly ungraspable,</w:t>
      </w:r>
      <w:r w:rsidR="00662367">
        <w:t xml:space="preserve"> </w:t>
      </w:r>
      <w:r w:rsidR="00602755">
        <w:t>described as “the unseen seer, the unheard hearer, the unthought thinker, the unknown knower, it is the inner-controller…what is immortal in us.”</w:t>
      </w:r>
      <w:r w:rsidR="00602755">
        <w:rPr>
          <w:rStyle w:val="FootnoteReference"/>
        </w:rPr>
        <w:footnoteReference w:id="1"/>
      </w:r>
      <w:r>
        <w:t xml:space="preserve"> </w:t>
      </w:r>
    </w:p>
    <w:p w14:paraId="60AFC117" w14:textId="571CDD6A" w:rsidR="001F7A2F" w:rsidRDefault="003104F7">
      <w:r>
        <w:t>Western philosophy however, does support the idea of a self</w:t>
      </w:r>
      <w:r w:rsidR="00F7414E">
        <w:t>.</w:t>
      </w:r>
      <w:r>
        <w:t xml:space="preserve"> </w:t>
      </w:r>
      <w:r w:rsidR="00C97C59">
        <w:t xml:space="preserve">It is believed by many the that the ‘self’ is who you are, perhaps something which is found within you, or your body itself. Western philosophy supports the idea of the self, the ‘I’ in self is in reference to an essential continuous substance – which gives the ‘I’ </w:t>
      </w:r>
      <w:r w:rsidR="00ED5421">
        <w:t>a meaning</w:t>
      </w:r>
      <w:r w:rsidR="00C97C59">
        <w:t xml:space="preserve">. </w:t>
      </w:r>
      <w:proofErr w:type="spellStart"/>
      <w:r w:rsidR="009E268B">
        <w:t>Walpola</w:t>
      </w:r>
      <w:proofErr w:type="spellEnd"/>
      <w:r w:rsidR="009E268B">
        <w:t xml:space="preserve"> </w:t>
      </w:r>
      <w:proofErr w:type="spellStart"/>
      <w:r w:rsidR="009E268B">
        <w:t>Rahula</w:t>
      </w:r>
      <w:proofErr w:type="spellEnd"/>
      <w:r w:rsidR="009E268B">
        <w:t xml:space="preserve"> explains the ideas of self-protection and self-preservation that is held by man. </w:t>
      </w:r>
    </w:p>
    <w:p w14:paraId="758F9700" w14:textId="39F67A5A" w:rsidR="009E268B" w:rsidRDefault="009E268B" w:rsidP="009E268B">
      <w:pPr>
        <w:jc w:val="center"/>
      </w:pPr>
      <w:r>
        <w:t>“For self-protection man has created God, on whom he depends for his own protection., safety and security, just as a child depends on its parent. For self-preservation man has conceived the idea of an immortal Soul or Atman, which will live eternally.”</w:t>
      </w:r>
      <w:r w:rsidR="003104F7">
        <w:rPr>
          <w:rStyle w:val="FootnoteReference"/>
        </w:rPr>
        <w:footnoteReference w:id="2"/>
      </w:r>
    </w:p>
    <w:p w14:paraId="3FC0A982" w14:textId="239EE318" w:rsidR="006957D1" w:rsidRDefault="006957D1" w:rsidP="006957D1">
      <w:r>
        <w:t>It is comforting for many to believe that after the death of our body, a soul or self continues to live on. For many, to believe that when death occurs there is nothing more is a fearful thought, or perhaps the lack of hope</w:t>
      </w:r>
      <w:r w:rsidR="00F62CE5">
        <w:t xml:space="preserve"> leaves negative outlooks. </w:t>
      </w:r>
      <w:r>
        <w:t>If a soul continues to live after a person’s death, then hope</w:t>
      </w:r>
      <w:r w:rsidR="00F62CE5">
        <w:t xml:space="preserve"> is held</w:t>
      </w:r>
      <w:r>
        <w:t xml:space="preserve"> for the future beyond death which comforts many.</w:t>
      </w:r>
      <w:r w:rsidR="00F7414E">
        <w:t xml:space="preserve"> It is also believed that for our personal experiences to have any significant meaning, then there must be something deeper within us for us to be more than a physical body. </w:t>
      </w:r>
    </w:p>
    <w:p w14:paraId="5F238840" w14:textId="3969E3B4" w:rsidR="00CC2E86" w:rsidRDefault="00CC2E86" w:rsidP="006957D1">
      <w:r>
        <w:t>Buddhis</w:t>
      </w:r>
      <w:r w:rsidR="00F62CE5">
        <w:t>t teachings</w:t>
      </w:r>
      <w:r>
        <w:t xml:space="preserve"> support the idea of the self or use of the term ‘I’ as a convenient designator. </w:t>
      </w:r>
      <w:r w:rsidR="00F20E87">
        <w:t xml:space="preserve">The term ‘I’ is used not because it is in reference to one’s self, it is a way to refer to the parts that make up a human being. When we refer to ‘I’, it can mean something different every time. The parts that make up a person are real, however the self as one whole is not real. </w:t>
      </w:r>
    </w:p>
    <w:p w14:paraId="5AE33D8E" w14:textId="2AE888C1" w:rsidR="00B7527B" w:rsidRDefault="003C563E" w:rsidP="006957D1">
      <w:r>
        <w:t>Rupert Gethin explains that through our language, the term ‘I’ has created the idea of a self, an “unchanging constant behind experiences”</w:t>
      </w:r>
      <w:r>
        <w:rPr>
          <w:rStyle w:val="FootnoteReference"/>
        </w:rPr>
        <w:footnoteReference w:id="3"/>
      </w:r>
      <w:r>
        <w:t xml:space="preserve">. Speaking about our personal experiences without referring to oneself as experiencing the </w:t>
      </w:r>
      <w:r w:rsidR="00B7527B">
        <w:t>action would make no sense. Gethin continues to explain;</w:t>
      </w:r>
    </w:p>
    <w:p w14:paraId="35D31D05" w14:textId="4ECD7018" w:rsidR="00B7527B" w:rsidRDefault="00B7527B" w:rsidP="00B7527B">
      <w:pPr>
        <w:jc w:val="center"/>
      </w:pPr>
      <w:r>
        <w:t xml:space="preserve">“I assume – perhaps unconsciously - that although </w:t>
      </w:r>
      <w:r>
        <w:rPr>
          <w:i/>
        </w:rPr>
        <w:t xml:space="preserve">my </w:t>
      </w:r>
      <w:r>
        <w:t>experiences vary, there is something -</w:t>
      </w:r>
      <w:r>
        <w:rPr>
          <w:i/>
        </w:rPr>
        <w:t>me-</w:t>
      </w:r>
      <w:r>
        <w:t xml:space="preserve"> that remains constant…it only makes sense to talk in terms of having experiences if there is a constant ‘I’”</w:t>
      </w:r>
      <w:r>
        <w:rPr>
          <w:rStyle w:val="FootnoteReference"/>
        </w:rPr>
        <w:footnoteReference w:id="4"/>
      </w:r>
    </w:p>
    <w:p w14:paraId="3A521BE4" w14:textId="2135E7F9" w:rsidR="00EC2B62" w:rsidRDefault="00EC2B62" w:rsidP="00EC2B62">
      <w:r>
        <w:t xml:space="preserve">According to Buddhist teachings, our dualistic language has been one of the largest barriers between a human and moksha. </w:t>
      </w:r>
      <w:r w:rsidR="00201605">
        <w:t>This is regarded as ‘I-conceit’ or ‘self-grasping’. This use of ‘I’ is clinging to the delusionary idea of a self. The use of ‘I’ is causing suffering and attachment, however one may not become aware of this without having experienced it.</w:t>
      </w:r>
      <w:r w:rsidR="002F5122">
        <w:t xml:space="preserve"> Through experience, one will achieve the </w:t>
      </w:r>
      <w:r w:rsidR="002F5122">
        <w:lastRenderedPageBreak/>
        <w:t xml:space="preserve">understanding that ‘I’, or the self, is not a separate entity. There is no self that will continue beyond our life. After achieving this understanding, one will be able to attain moksha.  </w:t>
      </w:r>
    </w:p>
    <w:p w14:paraId="2335A5E0" w14:textId="085D80B9" w:rsidR="006957D1" w:rsidRDefault="006957D1" w:rsidP="006957D1">
      <w:r>
        <w:t>The Four Noble Truths imply that the origin of suffering comes from a person</w:t>
      </w:r>
      <w:r w:rsidR="003C563E">
        <w:t>’</w:t>
      </w:r>
      <w:r>
        <w:t>s ignorance of no self. The first Noble Truth is that there is dukkha (suffering)</w:t>
      </w:r>
      <w:r w:rsidR="006C4A50">
        <w:t xml:space="preserve">. Many cultures refer to suffering as </w:t>
      </w:r>
      <w:r w:rsidR="003C563E">
        <w:t>a</w:t>
      </w:r>
      <w:r w:rsidR="006C4A50">
        <w:t xml:space="preserve"> lack of something, in the context of the First Noble Truth this lacking may be the lack</w:t>
      </w:r>
      <w:r w:rsidR="003C563E">
        <w:t xml:space="preserve"> of</w:t>
      </w:r>
      <w:r w:rsidR="006C4A50">
        <w:t xml:space="preserve"> awareness of no – self. </w:t>
      </w:r>
      <w:r w:rsidR="00602755">
        <w:t>Though Dukkha can be many things, as the Buddha told in his first sermon; “Birth is dukkha, ageing is dukkha, sickness is dukkha, death is dukkha…”</w:t>
      </w:r>
      <w:r w:rsidR="00602755">
        <w:rPr>
          <w:rStyle w:val="FootnoteReference"/>
        </w:rPr>
        <w:footnoteReference w:id="5"/>
      </w:r>
      <w:r w:rsidR="00602755">
        <w:t xml:space="preserve"> </w:t>
      </w:r>
      <w:r w:rsidR="006C4A50">
        <w:t>We are constantly looking for fulfilment, once one need is fulfilled, there is always a</w:t>
      </w:r>
      <w:r w:rsidR="003C563E">
        <w:t xml:space="preserve"> further need, it is an endless forward motion</w:t>
      </w:r>
      <w:r w:rsidR="006C4A50">
        <w:t>. However</w:t>
      </w:r>
      <w:r w:rsidR="00182024">
        <w:t>,</w:t>
      </w:r>
      <w:r w:rsidR="006C4A50">
        <w:t xml:space="preserve"> this is delusional simply because there is no self to fulfil. Dukkha is the ignorance to this. The Four Noble Truths explain that there is a way to the cessation of suffering and it can be done by following the right path. </w:t>
      </w:r>
      <w:r w:rsidR="003C563E">
        <w:t>To overcome dukkha, the cause needs to</w:t>
      </w:r>
      <w:r w:rsidR="00B12784">
        <w:t xml:space="preserve"> be</w:t>
      </w:r>
      <w:r w:rsidR="003C563E">
        <w:t xml:space="preserve"> found first. To conclude, suffering is the belief of the self. </w:t>
      </w:r>
      <w:r w:rsidR="000D1D90">
        <w:t xml:space="preserve">Buddhist teachings argue that we will never experience an unchanging self. </w:t>
      </w:r>
      <w:r w:rsidR="003170AA">
        <w:t>Rupert Gethin explains that by supporting the idea of a self, one is showing their greed. By believing one has a self, they are desiring to identify themselves and thus claim a part of the world.</w:t>
      </w:r>
      <w:r w:rsidR="003170AA">
        <w:rPr>
          <w:rStyle w:val="FootnoteReference"/>
        </w:rPr>
        <w:footnoteReference w:id="6"/>
      </w:r>
      <w:r w:rsidR="003170AA">
        <w:t xml:space="preserve"> Our cravings too are dukkha, and we crave to be able to identify ourselves</w:t>
      </w:r>
      <w:r w:rsidR="00B12784">
        <w:t>. A</w:t>
      </w:r>
      <w:r w:rsidR="003170AA">
        <w:t>gain, this concludes that to belie</w:t>
      </w:r>
      <w:r w:rsidR="00B12784">
        <w:t>ve</w:t>
      </w:r>
      <w:r w:rsidR="003170AA">
        <w:t xml:space="preserve"> in the self is to suffer. We crave to identify ourselves simply by wanting to define ourselves. For example, if I were to have a career in the police force, I would be craving to identify myself as a police officer. The idea of a self only causes problems. According to Gethin, the aim of Buddhism is to realize selflessness and to do this, we must understand there is no self. </w:t>
      </w:r>
    </w:p>
    <w:p w14:paraId="3FB592D8" w14:textId="10CB179A" w:rsidR="00650D19" w:rsidRDefault="0023059C" w:rsidP="006957D1">
      <w:r>
        <w:t>Buddhist teachings use the 5 Skand</w:t>
      </w:r>
      <w:r w:rsidR="003170AA">
        <w:t>h</w:t>
      </w:r>
      <w:r>
        <w:t xml:space="preserve">as in order to summarise the ‘conventional self’ which is caught in the cycle of samsara. </w:t>
      </w:r>
      <w:r w:rsidR="003170AA">
        <w:t>This denies the existence of a self as these 5 Skandhas are what makes a being</w:t>
      </w:r>
      <w:r w:rsidR="00B12784">
        <w:t xml:space="preserve"> and</w:t>
      </w:r>
      <w:r w:rsidR="003170AA">
        <w:t xml:space="preserve"> nothing more. The 5 Skandhas consist of the following; </w:t>
      </w:r>
      <w:r w:rsidR="0049091D">
        <w:t>corporeality, which means that our five senses are in touch with one another</w:t>
      </w:r>
      <w:r w:rsidR="00EC2B62">
        <w:t xml:space="preserve">. </w:t>
      </w:r>
      <w:proofErr w:type="spellStart"/>
      <w:r w:rsidR="00EC2B62">
        <w:t>Viddana</w:t>
      </w:r>
      <w:proofErr w:type="spellEnd"/>
      <w:r w:rsidR="00EC2B62">
        <w:t xml:space="preserve"> means feeling. This is the by-contact between one’s physical body and the external world. It can be classified in different ways, for example, gross and subtle, or pleasurable and painful.</w:t>
      </w:r>
      <w:r w:rsidR="006C40F0">
        <w:t xml:space="preserve"> When a person has an experience, it creates an ‘emotional tone’</w:t>
      </w:r>
      <w:r w:rsidR="006C40F0">
        <w:rPr>
          <w:rStyle w:val="FootnoteReference"/>
        </w:rPr>
        <w:footnoteReference w:id="7"/>
      </w:r>
      <w:r w:rsidR="00B12784">
        <w:t>.</w:t>
      </w:r>
      <w:r w:rsidR="00EC2B62">
        <w:t xml:space="preserve"> Perceptions means the mind’s processing of feelings. Formations are the purposeful acts committed by individuals. These acts can influence karmic formations. The final </w:t>
      </w:r>
      <w:proofErr w:type="spellStart"/>
      <w:r w:rsidR="00EC2B62">
        <w:t>Skandha</w:t>
      </w:r>
      <w:proofErr w:type="spellEnd"/>
      <w:r w:rsidR="00EC2B62">
        <w:t xml:space="preserve"> is consciousness, which can be a result of meditation.</w:t>
      </w:r>
      <w:r w:rsidR="006C40F0">
        <w:t xml:space="preserve"> Consciousness is awareness and can be attained through experience. The 5 Skandhas come together in order to form one mental formation.</w:t>
      </w:r>
      <w:r w:rsidR="00EC2B62">
        <w:t xml:space="preserve"> </w:t>
      </w:r>
      <w:r w:rsidR="00450190">
        <w:t>When one attains understanding of the 5 Skandhas, the wisdom of not-self is achieved. Our world is not based on the idea of a self, it is ba</w:t>
      </w:r>
      <w:r w:rsidR="00F87D4E">
        <w:t>s</w:t>
      </w:r>
      <w:r w:rsidR="00450190">
        <w:t>ed on impersonal changes</w:t>
      </w:r>
      <w:r w:rsidR="00450190">
        <w:rPr>
          <w:rStyle w:val="FootnoteReference"/>
        </w:rPr>
        <w:footnoteReference w:id="8"/>
      </w:r>
      <w:r w:rsidR="00450190">
        <w:t>. The world is</w:t>
      </w:r>
      <w:r w:rsidR="00F87D4E">
        <w:t xml:space="preserve"> constant</w:t>
      </w:r>
      <w:r w:rsidR="007B7812">
        <w:t xml:space="preserve"> state of change</w:t>
      </w:r>
      <w:r w:rsidR="00F87D4E">
        <w:t xml:space="preserve"> and its elements are impermanent. </w:t>
      </w:r>
    </w:p>
    <w:p w14:paraId="3ADDC91D" w14:textId="16BD8A14" w:rsidR="001434DE" w:rsidRDefault="007B7812" w:rsidP="006957D1">
      <w:r>
        <w:t>David Hume supports the idea of ‘no – self’. He argues that only bundles of fleeting sensations can be found, not a self. He explained that numerous philosophers are of the belief that we have a conscious of which we are constantly aware of and is continuous.</w:t>
      </w:r>
    </w:p>
    <w:p w14:paraId="0FA5840B" w14:textId="0066EC33" w:rsidR="007B7812" w:rsidRDefault="007B7812" w:rsidP="007B7812">
      <w:pPr>
        <w:jc w:val="center"/>
      </w:pPr>
      <w:r w:rsidRPr="007B7812">
        <w:t>“There are some philosophers, who imagine we are every moment intimately conscious of what we call our Self; that we feel its existence and its continuance in existence;</w:t>
      </w:r>
      <w:r>
        <w:t>”</w:t>
      </w:r>
      <w:r>
        <w:rPr>
          <w:rStyle w:val="FootnoteReference"/>
        </w:rPr>
        <w:footnoteReference w:id="9"/>
      </w:r>
    </w:p>
    <w:p w14:paraId="07800638" w14:textId="1749FC60" w:rsidR="007B7812" w:rsidRDefault="007B7812" w:rsidP="007B7812">
      <w:r>
        <w:t xml:space="preserve">Hume argues however, that the self is not just one impression. The self is where we are meant to be able to reference </w:t>
      </w:r>
      <w:proofErr w:type="gramStart"/>
      <w:r>
        <w:t>all of</w:t>
      </w:r>
      <w:proofErr w:type="gramEnd"/>
      <w:r>
        <w:t xml:space="preserve"> our own experiences. If the self was just one impression, it would be </w:t>
      </w:r>
      <w:r>
        <w:lastRenderedPageBreak/>
        <w:t>necessary for that impression to be continuously the same</w:t>
      </w:r>
      <w:r w:rsidR="00E70A39">
        <w:t xml:space="preserve"> throughout </w:t>
      </w:r>
      <w:r w:rsidR="00B12784">
        <w:t>a person’s</w:t>
      </w:r>
      <w:r w:rsidR="00E70A39">
        <w:t xml:space="preserve"> entire life. Experiences like pain, pleasure, grief and many more cannot be all be experienced continuously and simultaneously throughout a lifetime. </w:t>
      </w:r>
      <w:proofErr w:type="gramStart"/>
      <w:r w:rsidR="00E70A39">
        <w:t>Thus</w:t>
      </w:r>
      <w:proofErr w:type="gramEnd"/>
      <w:r w:rsidR="00E70A39">
        <w:t xml:space="preserve"> meaning a self cannot be derived from this. </w:t>
      </w:r>
    </w:p>
    <w:p w14:paraId="287D8174" w14:textId="6861537C" w:rsidR="00E70A39" w:rsidRDefault="00E70A39" w:rsidP="007B7812">
      <w:r>
        <w:t xml:space="preserve">Hume continues to explain the bundle theory. Human beings are nothing but bundles of different perceptions; </w:t>
      </w:r>
    </w:p>
    <w:p w14:paraId="6BB40340" w14:textId="4150453F" w:rsidR="00E70A39" w:rsidRDefault="00E70A39" w:rsidP="00E70A39">
      <w:pPr>
        <w:jc w:val="center"/>
      </w:pPr>
      <w:r>
        <w:t>“(Mankind)…</w:t>
      </w:r>
      <w:r w:rsidRPr="00E70A39">
        <w:t>are nothing but a bundle or collection of different perceptions, which succeed each other with an inconceivable rapidity, and are in a perpetual flux and movement. Our eyes cannot turn in their sockets without varying our perceptions</w:t>
      </w:r>
      <w:r>
        <w:t>.”</w:t>
      </w:r>
      <w:r>
        <w:rPr>
          <w:rStyle w:val="FootnoteReference"/>
        </w:rPr>
        <w:footnoteReference w:id="10"/>
      </w:r>
      <w:r w:rsidR="00B12784">
        <w:t>d</w:t>
      </w:r>
    </w:p>
    <w:p w14:paraId="2D2055BC" w14:textId="44E5DCB1" w:rsidR="00B02B6D" w:rsidRDefault="00E70A39" w:rsidP="00E70A39">
      <w:pPr>
        <w:jc w:val="both"/>
      </w:pPr>
      <w:r>
        <w:t xml:space="preserve">Through this theory, Hume is of the belief that human beings are collections of their own experiences and nothing more. There is no room for a self as humans are a series of mental states that happen in an order, these states are impermanent which </w:t>
      </w:r>
      <w:proofErr w:type="gramStart"/>
      <w:r>
        <w:t>refers back</w:t>
      </w:r>
      <w:proofErr w:type="gramEnd"/>
      <w:r>
        <w:t xml:space="preserve"> to </w:t>
      </w:r>
      <w:r w:rsidR="00B02B6D">
        <w:t xml:space="preserve">the idea of the self being dukkha. The owner of these experiences is irrelevant to Hume as the owner is non-existent. </w:t>
      </w:r>
    </w:p>
    <w:p w14:paraId="3B05F8C6" w14:textId="6C544C7E" w:rsidR="00B02B6D" w:rsidRDefault="00B02B6D" w:rsidP="00E70A39">
      <w:pPr>
        <w:jc w:val="both"/>
      </w:pPr>
      <w:r>
        <w:t>David Hume uses the analogy of the ship in order to support his theory.</w:t>
      </w:r>
      <w:r>
        <w:rPr>
          <w:rStyle w:val="FootnoteReference"/>
        </w:rPr>
        <w:footnoteReference w:id="11"/>
      </w:r>
      <w:r>
        <w:t xml:space="preserve"> A ship leaves harbour A an begins its journey to harbour B. During its journey, the ship has received numerous repairs </w:t>
      </w:r>
      <w:r w:rsidR="00547CD3">
        <w:t>and modifications, therefore, when the ship arrives at harbour B it has utterly different parts within it since leaving harbour A. Since its interior and exterior are different from what they were a</w:t>
      </w:r>
      <w:r w:rsidR="00CC2E86">
        <w:t>t</w:t>
      </w:r>
      <w:r w:rsidR="00547CD3">
        <w:t xml:space="preserve"> the beginning, can we truly claim that the ship leaving harbour A, is the same ship as the one that arrived at harbour B? We can compare this to a person’s constantly changing mental states. A person’s mental state is impermanent as it is continuously changing. If you saw a friend yesterday, and again the following day, their mental state will have changed numerous times. Does this mean that you are seeing a different person today, th</w:t>
      </w:r>
      <w:r w:rsidR="00CC2E86">
        <w:t>e</w:t>
      </w:r>
      <w:r w:rsidR="00547CD3">
        <w:t>n you did yesterday?</w:t>
      </w:r>
      <w:r w:rsidR="00CC2E86">
        <w:t xml:space="preserve"> This theory highlights the delusion that is the idea of a self. Humans and objects are continuously changing therefore it would be ludicrous to claim that there is a continuous and unchanging self in existence.</w:t>
      </w:r>
    </w:p>
    <w:p w14:paraId="5028C383" w14:textId="4E75FEDC" w:rsidR="00CC2E86" w:rsidRDefault="00CC2E86" w:rsidP="00E70A39">
      <w:pPr>
        <w:jc w:val="both"/>
      </w:pPr>
      <w:r>
        <w:t>There are many possible criticisms to be had of David Hume’s arguments. In terms of the bundle theory, Hume completely disregards the idea of an owner to the experiences had by a person. There must be an owner for the experiences had, otherwise, who experienced them? Who is the thinker of the thoughts that occur? It is argued that mental feelings, experiences and thoughts</w:t>
      </w:r>
      <w:r w:rsidR="00B12784">
        <w:t xml:space="preserve"> must</w:t>
      </w:r>
      <w:r>
        <w:t xml:space="preserve"> belong to someone, perhaps a centre of our consciousness. There are also differences between my own unique experiences and another individual, thus meaning it is not as simple as David Hume expresses it to be</w:t>
      </w:r>
      <w:r w:rsidR="00B3761F">
        <w:t>.</w:t>
      </w:r>
      <w:r>
        <w:t xml:space="preserve"> </w:t>
      </w:r>
      <w:r w:rsidR="00B3761F">
        <w:t>W</w:t>
      </w:r>
      <w:r>
        <w:t xml:space="preserve">hat makes my experience my own, and another person’s experience theirs? The only logical answer would be that each person has their individual self. </w:t>
      </w:r>
    </w:p>
    <w:p w14:paraId="60D76E40" w14:textId="58C743D0" w:rsidR="00B3761F" w:rsidRDefault="004C2CC6" w:rsidP="00E70A39">
      <w:pPr>
        <w:jc w:val="both"/>
      </w:pPr>
      <w:r>
        <w:t>The Questions</w:t>
      </w:r>
      <w:r w:rsidR="00B12784">
        <w:t xml:space="preserve"> </w:t>
      </w:r>
      <w:r>
        <w:t>of King Milinda</w:t>
      </w:r>
      <w:r w:rsidR="00FB17DD">
        <w:t xml:space="preserve"> is a tex</w:t>
      </w:r>
      <w:r w:rsidR="00B12784">
        <w:t>t containing</w:t>
      </w:r>
      <w:r w:rsidR="00FB17DD">
        <w:t xml:space="preserve"> </w:t>
      </w:r>
      <w:r w:rsidR="00B12784">
        <w:t xml:space="preserve">a </w:t>
      </w:r>
      <w:r w:rsidR="00FB17DD">
        <w:t xml:space="preserve">conversation between a Buddhist sage, Nagasena, and Indo – Greek King Manander I of Bactria. The text was originally in Pali, between 100BCE </w:t>
      </w:r>
      <w:proofErr w:type="spellStart"/>
      <w:r w:rsidR="00FB17DD">
        <w:t>ad</w:t>
      </w:r>
      <w:proofErr w:type="spellEnd"/>
      <w:r w:rsidR="00FB17DD">
        <w:t xml:space="preserve"> 100CE.</w:t>
      </w:r>
      <w:r w:rsidR="00FB17DD">
        <w:rPr>
          <w:rStyle w:val="FootnoteReference"/>
        </w:rPr>
        <w:footnoteReference w:id="12"/>
      </w:r>
      <w:r w:rsidR="00AB0523">
        <w:t xml:space="preserve"> The text discusses the idea of no – self through the means of a conversation. In section 26, it is asked what makes Nagasena, Nagasena?</w:t>
      </w:r>
    </w:p>
    <w:p w14:paraId="6DE555D9" w14:textId="4A42E41B" w:rsidR="00AB0523" w:rsidRDefault="00AB0523" w:rsidP="00AB0523">
      <w:pPr>
        <w:jc w:val="center"/>
      </w:pPr>
      <w:r>
        <w:t>“Is it the nails, the teeth, the skin, the nerves the bones…the tears…the brain…or any or all of these, that is Nagasena?”</w:t>
      </w:r>
      <w:r>
        <w:rPr>
          <w:rStyle w:val="FootnoteReference"/>
        </w:rPr>
        <w:footnoteReference w:id="13"/>
      </w:r>
    </w:p>
    <w:p w14:paraId="7000DEB0" w14:textId="06986307" w:rsidR="002E2606" w:rsidRDefault="00AB0523" w:rsidP="00AB0523">
      <w:r>
        <w:lastRenderedPageBreak/>
        <w:t>The answer is no. None of these physical attributes make a person who they are</w:t>
      </w:r>
      <w:r w:rsidR="00B12784">
        <w:t xml:space="preserve"> </w:t>
      </w:r>
      <w:r>
        <w:t>or create a self. Neither does the ‘outward form’</w:t>
      </w:r>
      <w:r>
        <w:rPr>
          <w:rStyle w:val="FootnoteReference"/>
        </w:rPr>
        <w:footnoteReference w:id="14"/>
      </w:r>
      <w:r>
        <w:t xml:space="preserve"> or the consciousness of a being. It is then asked whether the Sk</w:t>
      </w:r>
      <w:r w:rsidR="00B12784">
        <w:t>andh</w:t>
      </w:r>
      <w:r>
        <w:t xml:space="preserve">as are what forms an individual’s self, the response is still no. If none of the attributes are what can identify a being, then how does one identify another? This argument is followed by the example of a chariot. </w:t>
      </w:r>
      <w:r w:rsidR="00B12784">
        <w:t>Some</w:t>
      </w:r>
      <w:r>
        <w:t xml:space="preserve"> may explain what a chariot is by describing the parts that form to create the </w:t>
      </w:r>
      <w:proofErr w:type="gramStart"/>
      <w:r>
        <w:t>chariot as a whole</w:t>
      </w:r>
      <w:proofErr w:type="gramEnd"/>
      <w:r>
        <w:t xml:space="preserve">. It is asked if the chariot is the wheels it travels on, if it is the framework of the chariot itself, or whether it may be the ropes on the chariot. The answer given is yet still a no. </w:t>
      </w:r>
      <w:r w:rsidR="002E2606">
        <w:t>Following this, it is proving difficult to understand what exactly the chariot i</w:t>
      </w:r>
      <w:r w:rsidR="0087415E">
        <w:t>s</w:t>
      </w:r>
      <w:r w:rsidR="002E2606">
        <w:t xml:space="preserve">. </w:t>
      </w:r>
    </w:p>
    <w:p w14:paraId="6E86B62F" w14:textId="3CCE016D" w:rsidR="00252EA3" w:rsidRDefault="002E2606" w:rsidP="00AB0523">
      <w:r>
        <w:t xml:space="preserve">The argument continues, and it is found difficult to understand that if none of the </w:t>
      </w:r>
      <w:r w:rsidR="0087415E">
        <w:t>previously mentioned</w:t>
      </w:r>
      <w:r>
        <w:t xml:space="preserve"> properties are the chariot, how would a chariot be identified? It is it non-existent? The chariot, according to the text, is</w:t>
      </w:r>
      <w:r w:rsidR="00FC5F36">
        <w:t xml:space="preserve"> </w:t>
      </w:r>
      <w:proofErr w:type="gramStart"/>
      <w:r w:rsidR="00FC5F36">
        <w:t>all of</w:t>
      </w:r>
      <w:proofErr w:type="gramEnd"/>
      <w:r>
        <w:t xml:space="preserve"> these properties.</w:t>
      </w:r>
      <w:r w:rsidR="00FC5F36">
        <w:t xml:space="preserve"> The reason it is called a ‘chariot’ is because it is a ‘generally understood’</w:t>
      </w:r>
      <w:r w:rsidR="00FC5F36">
        <w:rPr>
          <w:rStyle w:val="FootnoteReference"/>
        </w:rPr>
        <w:footnoteReference w:id="15"/>
      </w:r>
      <w:r w:rsidR="00FC5F36">
        <w:t xml:space="preserve"> term. </w:t>
      </w:r>
      <w:proofErr w:type="gramStart"/>
      <w:r w:rsidR="00FC5F36">
        <w:t>Similar</w:t>
      </w:r>
      <w:r w:rsidR="0087415E">
        <w:t>ly</w:t>
      </w:r>
      <w:proofErr w:type="gramEnd"/>
      <w:r w:rsidR="00FC5F36">
        <w:t xml:space="preserve"> to the idea of the ‘I’, the word chariot is used as a convenient designator. When someone refers to the chariot, it is understood what they mean by its title, however the word does not describe what it is. This theory is applied to the idea of the self, also. </w:t>
      </w:r>
    </w:p>
    <w:p w14:paraId="086311FC" w14:textId="1330BEF5" w:rsidR="002E2606" w:rsidRDefault="00252EA3" w:rsidP="00AB0523">
      <w:r>
        <w:t xml:space="preserve">Section 41 of the text discusses a topic </w:t>
      </w:r>
      <w:proofErr w:type="gramStart"/>
      <w:r>
        <w:t>similar to</w:t>
      </w:r>
      <w:proofErr w:type="gramEnd"/>
      <w:r>
        <w:t xml:space="preserve"> the previously mentioned example of the ship. </w:t>
      </w:r>
      <w:r w:rsidR="00FC5F36">
        <w:t xml:space="preserve"> </w:t>
      </w:r>
      <w:r>
        <w:t xml:space="preserve">Human beings are like milk taken from a cow. Over time, the milk will curdle, following that, it can become butter and then ghee. </w:t>
      </w:r>
      <w:r w:rsidR="00777C30">
        <w:t>Can this milk be regarded as the same when it has become the butter or ghee?</w:t>
      </w:r>
      <w:r w:rsidR="00777C30">
        <w:rPr>
          <w:rStyle w:val="FootnoteReference"/>
        </w:rPr>
        <w:footnoteReference w:id="16"/>
      </w:r>
      <w:r w:rsidR="00777C30">
        <w:t xml:space="preserve"> It is believed by Buddhist traditions that this is not possible. Change is occurring constantly. The milk is never the same, like humans are never the same. When a new change occurs, the previous dies. The milk is not the same when it turns into ghee, and a human is not the same when it is born and when it passes away. There is no continuous self because human beings are nothing more than temporary mental states.</w:t>
      </w:r>
    </w:p>
    <w:p w14:paraId="6B35469E" w14:textId="4DEA9EED" w:rsidR="00777C30" w:rsidRDefault="00777C30" w:rsidP="00AB0523">
      <w:r>
        <w:t>In conclusion, Buddhism believes in no – self because human beings are not continuous. The idea of the self has come into existence due to inaccurate use of linguistics. Single terms are very often used in order to speak about things with multiple parts. In the Questions of King Milinda, Nagosena tells that “ultimately there is no person to be found”</w:t>
      </w:r>
      <w:r w:rsidR="00715F40">
        <w:t xml:space="preserve">. The term ultimately meaning that it is not ultimately true that there are individual human beings. It is only conventionally true. The difference between something being ultimately true and conventionally true is that it is not fiction, it is fact only. Conventionally true means it is acceptable if it can come down to common sense. </w:t>
      </w:r>
      <w:proofErr w:type="gramStart"/>
      <w:r w:rsidR="00715F40">
        <w:t>Thus</w:t>
      </w:r>
      <w:proofErr w:type="gramEnd"/>
      <w:r w:rsidR="00715F40">
        <w:t xml:space="preserve"> meaning the idea of the self may be conventionally true, especially in Western traditions, because it could be regarded as common sense and be successful in this way. However</w:t>
      </w:r>
      <w:r w:rsidR="0087415E">
        <w:t>,</w:t>
      </w:r>
      <w:r w:rsidR="00715F40">
        <w:t xml:space="preserve"> the self is not ultimately true because it is not a proven fact and is non - existent. </w:t>
      </w:r>
    </w:p>
    <w:p w14:paraId="3CDFCBA8" w14:textId="20907FEF" w:rsidR="00671476" w:rsidRPr="00671476" w:rsidRDefault="00671476" w:rsidP="00AB0523">
      <w:pPr>
        <w:rPr>
          <w:b/>
          <w:i/>
        </w:rPr>
      </w:pPr>
      <w:r>
        <w:rPr>
          <w:b/>
          <w:i/>
        </w:rPr>
        <w:t>(2,492 words)</w:t>
      </w:r>
      <w:bookmarkStart w:id="0" w:name="_GoBack"/>
      <w:bookmarkEnd w:id="0"/>
    </w:p>
    <w:p w14:paraId="1A7321F6" w14:textId="77777777" w:rsidR="00671476" w:rsidRDefault="00671476" w:rsidP="00AB0523"/>
    <w:p w14:paraId="7CF18158" w14:textId="77777777" w:rsidR="00E70A39" w:rsidRDefault="00E70A39" w:rsidP="00E70A39">
      <w:pPr>
        <w:jc w:val="center"/>
      </w:pPr>
    </w:p>
    <w:p w14:paraId="034D1A67" w14:textId="77777777" w:rsidR="007B7812" w:rsidRDefault="007B7812" w:rsidP="007B7812"/>
    <w:p w14:paraId="62C2AA60" w14:textId="77777777" w:rsidR="00F7414E" w:rsidRDefault="00F7414E" w:rsidP="006957D1"/>
    <w:p w14:paraId="2342A7DC" w14:textId="77777777" w:rsidR="00602755" w:rsidRDefault="00602755" w:rsidP="006957D1"/>
    <w:p w14:paraId="296FB167" w14:textId="77777777" w:rsidR="003C563E" w:rsidRDefault="003C563E" w:rsidP="006957D1"/>
    <w:p w14:paraId="716F8E2E" w14:textId="77777777" w:rsidR="006957D1" w:rsidRDefault="006957D1" w:rsidP="006957D1"/>
    <w:p w14:paraId="72A2198A" w14:textId="32AEDFB8" w:rsidR="006957D1" w:rsidRDefault="002912A5" w:rsidP="002912A5">
      <w:pPr>
        <w:rPr>
          <w:b/>
        </w:rPr>
      </w:pPr>
      <w:r>
        <w:rPr>
          <w:b/>
        </w:rPr>
        <w:t>Bibliography</w:t>
      </w:r>
    </w:p>
    <w:p w14:paraId="79C9621E" w14:textId="3DC615A8" w:rsidR="002912A5" w:rsidRDefault="002912A5" w:rsidP="002912A5">
      <w:pPr>
        <w:rPr>
          <w:b/>
        </w:rPr>
      </w:pPr>
    </w:p>
    <w:p w14:paraId="013BED1A" w14:textId="77777777" w:rsidR="002912A5" w:rsidRDefault="002912A5" w:rsidP="002912A5">
      <w:r>
        <w:t>Anonymous The 5 Aggregates ()</w:t>
      </w:r>
    </w:p>
    <w:p w14:paraId="7303A2A2" w14:textId="77777777" w:rsidR="002912A5" w:rsidRDefault="002912A5" w:rsidP="002912A5"/>
    <w:p w14:paraId="6D8316CA" w14:textId="77777777" w:rsidR="002912A5" w:rsidRDefault="002912A5" w:rsidP="002912A5">
      <w:r>
        <w:t>Chaffee, J. The Philosopher's Way (: Pearson)</w:t>
      </w:r>
    </w:p>
    <w:p w14:paraId="590E2503" w14:textId="77777777" w:rsidR="002912A5" w:rsidRDefault="002912A5" w:rsidP="002912A5"/>
    <w:p w14:paraId="0EAED802" w14:textId="77777777" w:rsidR="002912A5" w:rsidRDefault="002912A5" w:rsidP="002912A5">
      <w:r>
        <w:t>Charles Carlson. 2006. Introduction to Buddhist Philosophy ()</w:t>
      </w:r>
    </w:p>
    <w:p w14:paraId="64A17820" w14:textId="77777777" w:rsidR="002912A5" w:rsidRDefault="002912A5" w:rsidP="002912A5"/>
    <w:p w14:paraId="218A54B2" w14:textId="77777777" w:rsidR="002912A5" w:rsidRDefault="002912A5" w:rsidP="002912A5">
      <w:r>
        <w:t>Gethin, R. 1998. The Foundations of Buddhism (New York: Oxford University Press)</w:t>
      </w:r>
    </w:p>
    <w:p w14:paraId="52DFE7CF" w14:textId="77777777" w:rsidR="002912A5" w:rsidRDefault="002912A5" w:rsidP="002912A5"/>
    <w:p w14:paraId="72CCE469" w14:textId="77777777" w:rsidR="002912A5" w:rsidRDefault="002912A5" w:rsidP="002912A5">
      <w:r>
        <w:t>Harvey. Peter. 1990. An Introduction to Buddhism; Teachings, history and practices (Great Britain: Cambridge University Press)</w:t>
      </w:r>
    </w:p>
    <w:p w14:paraId="396385C8" w14:textId="77777777" w:rsidR="002912A5" w:rsidRDefault="002912A5" w:rsidP="002912A5"/>
    <w:p w14:paraId="3A102A64" w14:textId="77777777" w:rsidR="002912A5" w:rsidRDefault="002912A5" w:rsidP="002912A5">
      <w:r>
        <w:t xml:space="preserve">N.K.G </w:t>
      </w:r>
      <w:proofErr w:type="spellStart"/>
      <w:r>
        <w:t>Mendis</w:t>
      </w:r>
      <w:proofErr w:type="spellEnd"/>
      <w:r>
        <w:t xml:space="preserve">. 1988. The Questions of King </w:t>
      </w:r>
      <w:proofErr w:type="spellStart"/>
      <w:r>
        <w:t>Milinda&amp;nbsp</w:t>
      </w:r>
      <w:proofErr w:type="spellEnd"/>
      <w:r>
        <w:t>; (: Abridged)</w:t>
      </w:r>
    </w:p>
    <w:p w14:paraId="193704EA" w14:textId="77777777" w:rsidR="002912A5" w:rsidRDefault="002912A5" w:rsidP="002912A5"/>
    <w:p w14:paraId="73399223" w14:textId="6EC43C87" w:rsidR="002912A5" w:rsidRPr="002912A5" w:rsidRDefault="002912A5" w:rsidP="002912A5">
      <w:proofErr w:type="spellStart"/>
      <w:r>
        <w:t>Rahula</w:t>
      </w:r>
      <w:proofErr w:type="spellEnd"/>
      <w:r>
        <w:t>, W. 1967. What the Buddha Taught (London: Gordon Fraser)</w:t>
      </w:r>
    </w:p>
    <w:sectPr w:rsidR="002912A5" w:rsidRPr="002912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BB1FC4" w14:textId="77777777" w:rsidR="00392B94" w:rsidRDefault="00392B94" w:rsidP="003104F7">
      <w:pPr>
        <w:spacing w:after="0" w:line="240" w:lineRule="auto"/>
      </w:pPr>
      <w:r>
        <w:separator/>
      </w:r>
    </w:p>
  </w:endnote>
  <w:endnote w:type="continuationSeparator" w:id="0">
    <w:p w14:paraId="7A61FDEB" w14:textId="77777777" w:rsidR="00392B94" w:rsidRDefault="00392B94" w:rsidP="00310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FE4767" w14:textId="77777777" w:rsidR="00392B94" w:rsidRDefault="00392B94" w:rsidP="003104F7">
      <w:pPr>
        <w:spacing w:after="0" w:line="240" w:lineRule="auto"/>
      </w:pPr>
      <w:r>
        <w:separator/>
      </w:r>
    </w:p>
  </w:footnote>
  <w:footnote w:type="continuationSeparator" w:id="0">
    <w:p w14:paraId="3FE31799" w14:textId="77777777" w:rsidR="00392B94" w:rsidRDefault="00392B94" w:rsidP="003104F7">
      <w:pPr>
        <w:spacing w:after="0" w:line="240" w:lineRule="auto"/>
      </w:pPr>
      <w:r>
        <w:continuationSeparator/>
      </w:r>
    </w:p>
  </w:footnote>
  <w:footnote w:id="1">
    <w:p w14:paraId="510DED5D" w14:textId="70445DA0" w:rsidR="00602755" w:rsidRDefault="00602755">
      <w:pPr>
        <w:pStyle w:val="FootnoteText"/>
      </w:pPr>
      <w:r>
        <w:rPr>
          <w:rStyle w:val="FootnoteReference"/>
        </w:rPr>
        <w:footnoteRef/>
      </w:r>
      <w:r>
        <w:t xml:space="preserve"> </w:t>
      </w:r>
      <w:r w:rsidRPr="00602755">
        <w:t>Gethin, R. 1998. The Foundations of Buddhism (New York: Oxford University Press)</w:t>
      </w:r>
      <w:r>
        <w:t xml:space="preserve"> P.134</w:t>
      </w:r>
    </w:p>
  </w:footnote>
  <w:footnote w:id="2">
    <w:p w14:paraId="27DC9B60" w14:textId="7025FB63" w:rsidR="003104F7" w:rsidRDefault="003104F7">
      <w:pPr>
        <w:pStyle w:val="FootnoteText"/>
      </w:pPr>
      <w:r>
        <w:rPr>
          <w:rStyle w:val="FootnoteReference"/>
        </w:rPr>
        <w:footnoteRef/>
      </w:r>
      <w:r>
        <w:t xml:space="preserve"> </w:t>
      </w:r>
      <w:proofErr w:type="spellStart"/>
      <w:r w:rsidRPr="003104F7">
        <w:t>Rahula</w:t>
      </w:r>
      <w:proofErr w:type="spellEnd"/>
      <w:r w:rsidRPr="003104F7">
        <w:t>, W. 1967. What the Buddha Taught (London: Gordon Fraser)</w:t>
      </w:r>
      <w:r>
        <w:t xml:space="preserve"> p. </w:t>
      </w:r>
      <w:r w:rsidR="006957D1">
        <w:t>73 - 74</w:t>
      </w:r>
    </w:p>
  </w:footnote>
  <w:footnote w:id="3">
    <w:p w14:paraId="06BC1844" w14:textId="02AD1C38" w:rsidR="003C563E" w:rsidRDefault="003C563E">
      <w:pPr>
        <w:pStyle w:val="FootnoteText"/>
      </w:pPr>
      <w:r>
        <w:rPr>
          <w:rStyle w:val="FootnoteReference"/>
        </w:rPr>
        <w:footnoteRef/>
      </w:r>
      <w:r>
        <w:t xml:space="preserve"> </w:t>
      </w:r>
      <w:r w:rsidRPr="003C563E">
        <w:t>Gethin, R. 1998. The Foundations of Buddhism (New York: Oxford University Press)</w:t>
      </w:r>
      <w:r>
        <w:t>. P.135</w:t>
      </w:r>
    </w:p>
  </w:footnote>
  <w:footnote w:id="4">
    <w:p w14:paraId="05226ED2" w14:textId="6790B297" w:rsidR="00B7527B" w:rsidRDefault="00B7527B">
      <w:pPr>
        <w:pStyle w:val="FootnoteText"/>
      </w:pPr>
      <w:r>
        <w:rPr>
          <w:rStyle w:val="FootnoteReference"/>
        </w:rPr>
        <w:footnoteRef/>
      </w:r>
      <w:r>
        <w:t xml:space="preserve"> </w:t>
      </w:r>
      <w:r w:rsidRPr="00B7527B">
        <w:t>Gethin, R. 1998. The Foundations of Buddhism (New York: Oxford University Press)</w:t>
      </w:r>
      <w:r>
        <w:t xml:space="preserve"> P.135</w:t>
      </w:r>
    </w:p>
  </w:footnote>
  <w:footnote w:id="5">
    <w:p w14:paraId="37E5A587" w14:textId="5BFEE4BA" w:rsidR="00602755" w:rsidRDefault="00602755">
      <w:pPr>
        <w:pStyle w:val="FootnoteText"/>
      </w:pPr>
      <w:r>
        <w:rPr>
          <w:rStyle w:val="FootnoteReference"/>
        </w:rPr>
        <w:footnoteRef/>
      </w:r>
      <w:r>
        <w:t xml:space="preserve"> </w:t>
      </w:r>
      <w:r w:rsidR="00F7414E" w:rsidRPr="00F7414E">
        <w:t>Harvey. Peter. 1990. An Introduction to Buddhism; Teachings, history and practices (Great Britain: Cambridge University Press)</w:t>
      </w:r>
      <w:r w:rsidR="00F7414E">
        <w:t xml:space="preserve"> P.47</w:t>
      </w:r>
    </w:p>
  </w:footnote>
  <w:footnote w:id="6">
    <w:p w14:paraId="49340AAA" w14:textId="3EDD22DE" w:rsidR="003170AA" w:rsidRDefault="003170AA">
      <w:pPr>
        <w:pStyle w:val="FootnoteText"/>
      </w:pPr>
      <w:r>
        <w:rPr>
          <w:rStyle w:val="FootnoteReference"/>
        </w:rPr>
        <w:footnoteRef/>
      </w:r>
      <w:r>
        <w:t xml:space="preserve"> </w:t>
      </w:r>
      <w:r w:rsidRPr="003170AA">
        <w:t>Gethin, R. 1998. The Foundations of Buddhism (New York: Oxford University Press)</w:t>
      </w:r>
      <w:r>
        <w:t xml:space="preserve"> P.146 - 147</w:t>
      </w:r>
    </w:p>
  </w:footnote>
  <w:footnote w:id="7">
    <w:p w14:paraId="7871BDDF" w14:textId="73756E41" w:rsidR="006C40F0" w:rsidRDefault="006C40F0">
      <w:pPr>
        <w:pStyle w:val="FootnoteText"/>
      </w:pPr>
      <w:r>
        <w:rPr>
          <w:rStyle w:val="FootnoteReference"/>
        </w:rPr>
        <w:footnoteRef/>
      </w:r>
      <w:r>
        <w:t xml:space="preserve"> </w:t>
      </w:r>
      <w:r w:rsidRPr="006C40F0">
        <w:t>Anonymous The 5 Aggregates (</w:t>
      </w:r>
      <w:r>
        <w:t>05/12/2018)</w:t>
      </w:r>
    </w:p>
  </w:footnote>
  <w:footnote w:id="8">
    <w:p w14:paraId="001A2694" w14:textId="0BCD9C88" w:rsidR="00450190" w:rsidRDefault="00450190">
      <w:pPr>
        <w:pStyle w:val="FootnoteText"/>
      </w:pPr>
      <w:r>
        <w:rPr>
          <w:rStyle w:val="FootnoteReference"/>
        </w:rPr>
        <w:footnoteRef/>
      </w:r>
      <w:r>
        <w:t xml:space="preserve"> </w:t>
      </w:r>
      <w:r w:rsidRPr="00450190">
        <w:t>Anonymous The 5 Aggregates (</w:t>
      </w:r>
      <w:r>
        <w:t>05/12/2018)</w:t>
      </w:r>
    </w:p>
  </w:footnote>
  <w:footnote w:id="9">
    <w:p w14:paraId="139E4AB4" w14:textId="4EE7184B" w:rsidR="007B7812" w:rsidRDefault="007B7812">
      <w:pPr>
        <w:pStyle w:val="FootnoteText"/>
      </w:pPr>
      <w:r>
        <w:rPr>
          <w:rStyle w:val="FootnoteReference"/>
        </w:rPr>
        <w:footnoteRef/>
      </w:r>
      <w:r>
        <w:t xml:space="preserve"> </w:t>
      </w:r>
      <w:r w:rsidRPr="007B7812">
        <w:t>Charles Carlson. 2006. Introduction to Buddhist Philosophy (</w:t>
      </w:r>
      <w:r w:rsidR="00E70A39">
        <w:t>06/12/2018</w:t>
      </w:r>
      <w:r w:rsidRPr="007B7812">
        <w:t>)</w:t>
      </w:r>
    </w:p>
  </w:footnote>
  <w:footnote w:id="10">
    <w:p w14:paraId="48C040F8" w14:textId="0CB07EC1" w:rsidR="00E70A39" w:rsidRDefault="00E70A39">
      <w:pPr>
        <w:pStyle w:val="FootnoteText"/>
      </w:pPr>
      <w:r>
        <w:rPr>
          <w:rStyle w:val="FootnoteReference"/>
        </w:rPr>
        <w:footnoteRef/>
      </w:r>
      <w:r>
        <w:t xml:space="preserve"> </w:t>
      </w:r>
      <w:r w:rsidRPr="00E70A39">
        <w:t>Charles Carlson. 2006. Introduction to Buddhist Philosophy (</w:t>
      </w:r>
      <w:r>
        <w:t>06/12/2018)</w:t>
      </w:r>
    </w:p>
  </w:footnote>
  <w:footnote w:id="11">
    <w:p w14:paraId="6A61D91E" w14:textId="152278F0" w:rsidR="00B02B6D" w:rsidRDefault="00B02B6D">
      <w:pPr>
        <w:pStyle w:val="FootnoteText"/>
      </w:pPr>
      <w:r>
        <w:rPr>
          <w:rStyle w:val="FootnoteReference"/>
        </w:rPr>
        <w:footnoteRef/>
      </w:r>
      <w:r>
        <w:t xml:space="preserve"> </w:t>
      </w:r>
      <w:r w:rsidRPr="00B02B6D">
        <w:t>Chaffee, J. The Philosopher's Way (: Pearson)</w:t>
      </w:r>
      <w:r>
        <w:t xml:space="preserve"> P.311</w:t>
      </w:r>
    </w:p>
  </w:footnote>
  <w:footnote w:id="12">
    <w:p w14:paraId="747CFBE5" w14:textId="70CC94BE" w:rsidR="00FB17DD" w:rsidRDefault="00FB17DD">
      <w:pPr>
        <w:pStyle w:val="FootnoteText"/>
      </w:pPr>
      <w:r>
        <w:rPr>
          <w:rStyle w:val="FootnoteReference"/>
        </w:rPr>
        <w:footnoteRef/>
      </w:r>
      <w:r>
        <w:t xml:space="preserve"> </w:t>
      </w:r>
      <w:r w:rsidRPr="00FB17DD">
        <w:t xml:space="preserve">N.K.G </w:t>
      </w:r>
      <w:proofErr w:type="spellStart"/>
      <w:r w:rsidRPr="00FB17DD">
        <w:t>Mendis</w:t>
      </w:r>
      <w:proofErr w:type="spellEnd"/>
      <w:r w:rsidRPr="00FB17DD">
        <w:t xml:space="preserve">. 1988. The Questions of King </w:t>
      </w:r>
      <w:proofErr w:type="spellStart"/>
      <w:r w:rsidRPr="00FB17DD">
        <w:t>Milinda&amp;nbsp</w:t>
      </w:r>
      <w:proofErr w:type="spellEnd"/>
      <w:r w:rsidRPr="00FB17DD">
        <w:t>; (: Abridged)</w:t>
      </w:r>
    </w:p>
  </w:footnote>
  <w:footnote w:id="13">
    <w:p w14:paraId="757BAC94" w14:textId="7DDAB446" w:rsidR="00AB0523" w:rsidRDefault="00AB0523">
      <w:pPr>
        <w:pStyle w:val="FootnoteText"/>
      </w:pPr>
      <w:r>
        <w:rPr>
          <w:rStyle w:val="FootnoteReference"/>
        </w:rPr>
        <w:footnoteRef/>
      </w:r>
      <w:r>
        <w:t xml:space="preserve"> </w:t>
      </w:r>
      <w:r w:rsidRPr="00AB0523">
        <w:t xml:space="preserve">N.K.G </w:t>
      </w:r>
      <w:proofErr w:type="spellStart"/>
      <w:r w:rsidRPr="00AB0523">
        <w:t>Mendis</w:t>
      </w:r>
      <w:proofErr w:type="spellEnd"/>
      <w:r w:rsidRPr="00AB0523">
        <w:t xml:space="preserve">. 1988. The Questions of King </w:t>
      </w:r>
      <w:proofErr w:type="spellStart"/>
      <w:r w:rsidRPr="00AB0523">
        <w:t>Milinda&amp;nbsp</w:t>
      </w:r>
      <w:proofErr w:type="spellEnd"/>
      <w:r w:rsidRPr="00AB0523">
        <w:t>; (: Abridged)</w:t>
      </w:r>
      <w:r>
        <w:t xml:space="preserve"> P. 42</w:t>
      </w:r>
    </w:p>
  </w:footnote>
  <w:footnote w:id="14">
    <w:p w14:paraId="218E1982" w14:textId="07636086" w:rsidR="00AB0523" w:rsidRDefault="00AB0523">
      <w:pPr>
        <w:pStyle w:val="FootnoteText"/>
      </w:pPr>
      <w:r>
        <w:rPr>
          <w:rStyle w:val="FootnoteReference"/>
        </w:rPr>
        <w:footnoteRef/>
      </w:r>
      <w:r>
        <w:t xml:space="preserve"> </w:t>
      </w:r>
      <w:r w:rsidRPr="00AB0523">
        <w:t xml:space="preserve">N.K.G </w:t>
      </w:r>
      <w:proofErr w:type="spellStart"/>
      <w:r w:rsidRPr="00AB0523">
        <w:t>Mendis</w:t>
      </w:r>
      <w:proofErr w:type="spellEnd"/>
      <w:r w:rsidRPr="00AB0523">
        <w:t xml:space="preserve">. 1988. The Questions of King </w:t>
      </w:r>
      <w:proofErr w:type="spellStart"/>
      <w:r w:rsidRPr="00AB0523">
        <w:t>Milinda&amp;nbsp</w:t>
      </w:r>
      <w:proofErr w:type="spellEnd"/>
      <w:r w:rsidRPr="00AB0523">
        <w:t>; (: Abridged)</w:t>
      </w:r>
      <w:r>
        <w:t xml:space="preserve"> P.42</w:t>
      </w:r>
    </w:p>
  </w:footnote>
  <w:footnote w:id="15">
    <w:p w14:paraId="6070A635" w14:textId="09FB9F5E" w:rsidR="00FC5F36" w:rsidRDefault="00FC5F36">
      <w:pPr>
        <w:pStyle w:val="FootnoteText"/>
      </w:pPr>
      <w:r>
        <w:rPr>
          <w:rStyle w:val="FootnoteReference"/>
        </w:rPr>
        <w:footnoteRef/>
      </w:r>
      <w:r>
        <w:t xml:space="preserve"> </w:t>
      </w:r>
      <w:r w:rsidRPr="00FC5F36">
        <w:t xml:space="preserve">N.K.G </w:t>
      </w:r>
      <w:proofErr w:type="spellStart"/>
      <w:r w:rsidRPr="00FC5F36">
        <w:t>Mendis</w:t>
      </w:r>
      <w:proofErr w:type="spellEnd"/>
      <w:r w:rsidRPr="00FC5F36">
        <w:t xml:space="preserve">. 1988. The Questions of King </w:t>
      </w:r>
      <w:proofErr w:type="spellStart"/>
      <w:r w:rsidRPr="00FC5F36">
        <w:t>Milinda&amp;nbsp</w:t>
      </w:r>
      <w:proofErr w:type="spellEnd"/>
      <w:r w:rsidRPr="00FC5F36">
        <w:t>; (: Abridged)</w:t>
      </w:r>
      <w:r>
        <w:t xml:space="preserve"> P.44</w:t>
      </w:r>
    </w:p>
  </w:footnote>
  <w:footnote w:id="16">
    <w:p w14:paraId="76D3D5E9" w14:textId="6E765A8C" w:rsidR="00777C30" w:rsidRDefault="00777C30">
      <w:pPr>
        <w:pStyle w:val="FootnoteText"/>
      </w:pPr>
      <w:r>
        <w:rPr>
          <w:rStyle w:val="FootnoteReference"/>
        </w:rPr>
        <w:footnoteRef/>
      </w:r>
      <w:r>
        <w:t xml:space="preserve"> </w:t>
      </w:r>
      <w:r w:rsidRPr="00777C30">
        <w:t xml:space="preserve">N.K.G </w:t>
      </w:r>
      <w:proofErr w:type="spellStart"/>
      <w:r w:rsidRPr="00777C30">
        <w:t>Mendis</w:t>
      </w:r>
      <w:proofErr w:type="spellEnd"/>
      <w:r w:rsidRPr="00777C30">
        <w:t xml:space="preserve">. 1988. The Questions of King </w:t>
      </w:r>
      <w:proofErr w:type="spellStart"/>
      <w:r w:rsidRPr="00777C30">
        <w:t>Milinda&amp;nbsp</w:t>
      </w:r>
      <w:proofErr w:type="spellEnd"/>
      <w:r w:rsidRPr="00777C30">
        <w:t>; (: Abridged)</w:t>
      </w:r>
      <w:r>
        <w:t xml:space="preserve"> P.65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A2F"/>
    <w:rsid w:val="000D1D90"/>
    <w:rsid w:val="00100C2C"/>
    <w:rsid w:val="00101694"/>
    <w:rsid w:val="001434DE"/>
    <w:rsid w:val="00182024"/>
    <w:rsid w:val="001D2192"/>
    <w:rsid w:val="001F7A2F"/>
    <w:rsid w:val="0020147D"/>
    <w:rsid w:val="00201605"/>
    <w:rsid w:val="0023059C"/>
    <w:rsid w:val="00252EA3"/>
    <w:rsid w:val="0026645F"/>
    <w:rsid w:val="002912A5"/>
    <w:rsid w:val="002C438D"/>
    <w:rsid w:val="002D134E"/>
    <w:rsid w:val="002E2606"/>
    <w:rsid w:val="002F5122"/>
    <w:rsid w:val="003104F7"/>
    <w:rsid w:val="003170AA"/>
    <w:rsid w:val="00392B94"/>
    <w:rsid w:val="003C563E"/>
    <w:rsid w:val="00450190"/>
    <w:rsid w:val="0049091D"/>
    <w:rsid w:val="004C2CC6"/>
    <w:rsid w:val="00547CD3"/>
    <w:rsid w:val="005756C5"/>
    <w:rsid w:val="005B02C5"/>
    <w:rsid w:val="00602755"/>
    <w:rsid w:val="00623BD8"/>
    <w:rsid w:val="00650D19"/>
    <w:rsid w:val="00662367"/>
    <w:rsid w:val="00671476"/>
    <w:rsid w:val="006957D1"/>
    <w:rsid w:val="006C40F0"/>
    <w:rsid w:val="006C4A50"/>
    <w:rsid w:val="006D3C68"/>
    <w:rsid w:val="00715F40"/>
    <w:rsid w:val="00777C30"/>
    <w:rsid w:val="007B7812"/>
    <w:rsid w:val="00823554"/>
    <w:rsid w:val="0087415E"/>
    <w:rsid w:val="008A553B"/>
    <w:rsid w:val="008D1279"/>
    <w:rsid w:val="009E268B"/>
    <w:rsid w:val="00AB0523"/>
    <w:rsid w:val="00B01004"/>
    <w:rsid w:val="00B02B6D"/>
    <w:rsid w:val="00B12784"/>
    <w:rsid w:val="00B3761F"/>
    <w:rsid w:val="00B7527B"/>
    <w:rsid w:val="00C97C59"/>
    <w:rsid w:val="00CC2E86"/>
    <w:rsid w:val="00D003EB"/>
    <w:rsid w:val="00D30340"/>
    <w:rsid w:val="00D45A0C"/>
    <w:rsid w:val="00DF78EB"/>
    <w:rsid w:val="00E14C6C"/>
    <w:rsid w:val="00E70A39"/>
    <w:rsid w:val="00EC2B62"/>
    <w:rsid w:val="00ED5421"/>
    <w:rsid w:val="00EE3064"/>
    <w:rsid w:val="00EF3F5D"/>
    <w:rsid w:val="00F20E87"/>
    <w:rsid w:val="00F62CE5"/>
    <w:rsid w:val="00F67971"/>
    <w:rsid w:val="00F7414E"/>
    <w:rsid w:val="00F87D4E"/>
    <w:rsid w:val="00FB17DD"/>
    <w:rsid w:val="00FC15FA"/>
    <w:rsid w:val="00FC5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B51C1"/>
  <w15:chartTrackingRefBased/>
  <w15:docId w15:val="{0A61B58E-EF03-4AA9-94B5-EC9650B73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104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04F7"/>
    <w:rPr>
      <w:sz w:val="20"/>
      <w:szCs w:val="20"/>
    </w:rPr>
  </w:style>
  <w:style w:type="character" w:styleId="FootnoteReference">
    <w:name w:val="footnote reference"/>
    <w:basedOn w:val="DefaultParagraphFont"/>
    <w:uiPriority w:val="99"/>
    <w:semiHidden/>
    <w:unhideWhenUsed/>
    <w:rsid w:val="003104F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B58057-0502-4C88-AC01-695848D2C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1002</TotalTime>
  <Pages>5</Pages>
  <Words>2077</Words>
  <Characters>11845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 Campbell - cross</dc:creator>
  <cp:keywords/>
  <dc:description/>
  <cp:lastModifiedBy>Shaunna Campbell - cross</cp:lastModifiedBy>
  <cp:revision>8</cp:revision>
  <dcterms:created xsi:type="dcterms:W3CDTF">2018-12-03T16:00:00Z</dcterms:created>
  <dcterms:modified xsi:type="dcterms:W3CDTF">2018-12-09T18:23:00Z</dcterms:modified>
</cp:coreProperties>
</file>