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39A8" w:rsidRPr="00215A4D" w:rsidRDefault="004D39A8" w:rsidP="004D39A8">
      <w:pPr>
        <w:spacing w:after="0" w:line="240" w:lineRule="auto"/>
        <w:ind w:left="-180" w:right="-334"/>
        <w:rPr>
          <w:rFonts w:ascii="Trebuchet MS" w:eastAsia="SimSun" w:hAnsi="Trebuchet MS" w:cs="Tahoma"/>
          <w:color w:val="000000"/>
          <w:sz w:val="24"/>
          <w:szCs w:val="24"/>
          <w:lang w:eastAsia="zh-CN"/>
        </w:rPr>
      </w:pPr>
      <w:r w:rsidRPr="00215A4D">
        <w:rPr>
          <w:rFonts w:ascii="Georgia" w:eastAsia="SimSun" w:hAnsi="Georgia"/>
          <w:noProof/>
          <w:color w:val="000000"/>
          <w:sz w:val="21"/>
          <w:szCs w:val="21"/>
          <w:lang w:eastAsia="en-GB"/>
        </w:rPr>
        <w:drawing>
          <wp:inline distT="0" distB="0" distL="0" distR="0" wp14:anchorId="124D0E19" wp14:editId="31229226">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cstate="print"/>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4D39A8" w:rsidRPr="00215A4D" w:rsidRDefault="004D39A8" w:rsidP="004D39A8">
      <w:pPr>
        <w:keepNext/>
        <w:spacing w:before="240" w:after="60" w:line="240" w:lineRule="auto"/>
        <w:jc w:val="center"/>
        <w:outlineLvl w:val="0"/>
        <w:rPr>
          <w:rFonts w:ascii="Arial" w:eastAsia="SimSun" w:hAnsi="Arial" w:cs="Arial"/>
          <w:b/>
          <w:bCs/>
          <w:kern w:val="32"/>
          <w:sz w:val="32"/>
          <w:szCs w:val="32"/>
          <w:lang w:val="cy-GB" w:eastAsia="zh-CN"/>
        </w:rPr>
      </w:pPr>
      <w:r w:rsidRPr="00215A4D">
        <w:rPr>
          <w:rFonts w:ascii="Arial" w:eastAsia="SimSun" w:hAnsi="Arial" w:cs="Arial"/>
          <w:b/>
          <w:bCs/>
          <w:kern w:val="32"/>
          <w:sz w:val="32"/>
          <w:szCs w:val="32"/>
          <w:lang w:val="cy-GB" w:eastAsia="zh-CN"/>
        </w:rPr>
        <w:t>Undergraduate assignment feedback form</w:t>
      </w:r>
    </w:p>
    <w:p w:rsidR="004D39A8" w:rsidRPr="00215A4D" w:rsidRDefault="004D39A8" w:rsidP="004D39A8">
      <w:pPr>
        <w:spacing w:after="0" w:line="240" w:lineRule="auto"/>
        <w:jc w:val="center"/>
        <w:rPr>
          <w:rFonts w:ascii="Arial" w:eastAsia="SimSun" w:hAnsi="Arial" w:cs="Arial"/>
          <w:b/>
          <w:sz w:val="24"/>
          <w:szCs w:val="24"/>
          <w:lang w:val="cy-GB" w:eastAsia="zh-CN"/>
        </w:rPr>
      </w:pPr>
      <w:r w:rsidRPr="00215A4D">
        <w:rPr>
          <w:rFonts w:ascii="Arial" w:eastAsia="SimSun" w:hAnsi="Arial" w:cs="Arial"/>
          <w:b/>
          <w:sz w:val="24"/>
          <w:szCs w:val="24"/>
          <w:lang w:val="cy-GB" w:eastAsia="zh-CN"/>
        </w:rPr>
        <w:t>(to be completed by marker)</w:t>
      </w:r>
    </w:p>
    <w:p w:rsidR="004D39A8" w:rsidRPr="00215A4D" w:rsidRDefault="004D39A8" w:rsidP="004D39A8">
      <w:pPr>
        <w:spacing w:after="0" w:line="240" w:lineRule="auto"/>
        <w:jc w:val="center"/>
        <w:rPr>
          <w:rFonts w:ascii="Arial" w:eastAsia="SimSun" w:hAnsi="Arial" w:cs="Arial"/>
          <w:b/>
          <w:sz w:val="24"/>
          <w:szCs w:val="24"/>
          <w:lang w:val="cy-GB" w:eastAsia="zh-CN"/>
        </w:rPr>
      </w:pPr>
    </w:p>
    <w:p w:rsidR="004D39A8" w:rsidRPr="00215A4D" w:rsidRDefault="004D39A8" w:rsidP="004D39A8">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4D39A8" w:rsidRPr="00215A4D" w:rsidTr="00A4338E">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4D39A8" w:rsidRPr="00215A4D" w:rsidRDefault="004D39A8" w:rsidP="00A4338E">
            <w:pPr>
              <w:spacing w:after="0" w:line="240" w:lineRule="auto"/>
              <w:ind w:right="34"/>
              <w:rPr>
                <w:rFonts w:eastAsia="SimSun" w:cs="Tahoma"/>
                <w:i/>
                <w:color w:val="000000"/>
                <w:sz w:val="24"/>
                <w:szCs w:val="24"/>
                <w:lang w:eastAsia="zh-CN"/>
              </w:rPr>
            </w:pPr>
            <w:r w:rsidRPr="00215A4D">
              <w:rPr>
                <w:rFonts w:eastAsia="SimSun" w:cs="Tahoma"/>
                <w:i/>
                <w:color w:val="000000"/>
                <w:sz w:val="24"/>
                <w:szCs w:val="24"/>
                <w:lang w:eastAsia="zh-CN"/>
              </w:rPr>
              <w:t>Student Name:</w:t>
            </w:r>
          </w:p>
          <w:p w:rsidR="004D39A8" w:rsidRPr="00DD5B6F" w:rsidRDefault="004D39A8" w:rsidP="00A4338E">
            <w:pPr>
              <w:spacing w:after="0" w:line="240" w:lineRule="auto"/>
              <w:ind w:right="34"/>
              <w:rPr>
                <w:rFonts w:eastAsia="SimSun" w:cs="Tahoma"/>
                <w:color w:val="000000"/>
                <w:sz w:val="24"/>
                <w:szCs w:val="24"/>
                <w:lang w:eastAsia="zh-CN"/>
              </w:rPr>
            </w:pPr>
            <w:r w:rsidRPr="00DD5B6F">
              <w:rPr>
                <w:rFonts w:eastAsia="SimSun" w:cs="Tahoma"/>
                <w:color w:val="000000"/>
                <w:sz w:val="24"/>
                <w:szCs w:val="24"/>
                <w:lang w:eastAsia="zh-CN"/>
              </w:rPr>
              <w:t>Molly Elizabeth Gough</w:t>
            </w:r>
          </w:p>
        </w:tc>
      </w:tr>
      <w:tr w:rsidR="004D39A8" w:rsidRPr="00215A4D" w:rsidTr="00A4338E">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4D39A8" w:rsidRPr="001B7AF1" w:rsidRDefault="004D39A8" w:rsidP="00A4338E">
            <w:pPr>
              <w:spacing w:after="0" w:line="240" w:lineRule="auto"/>
              <w:ind w:right="34"/>
              <w:rPr>
                <w:rFonts w:eastAsia="SimSun" w:cs="Tahoma"/>
                <w:color w:val="000000"/>
                <w:sz w:val="24"/>
                <w:szCs w:val="24"/>
                <w:lang w:eastAsia="zh-CN"/>
              </w:rPr>
            </w:pPr>
            <w:r w:rsidRPr="00215A4D">
              <w:rPr>
                <w:rFonts w:eastAsia="SimSun" w:cs="Tahoma"/>
                <w:i/>
                <w:color w:val="000000"/>
                <w:sz w:val="24"/>
                <w:szCs w:val="24"/>
                <w:lang w:eastAsia="zh-CN"/>
              </w:rPr>
              <w:t xml:space="preserve">Module title: </w:t>
            </w:r>
            <w:r>
              <w:rPr>
                <w:rFonts w:eastAsia="SimSun" w:cs="Tahoma"/>
                <w:color w:val="000000"/>
                <w:sz w:val="24"/>
                <w:szCs w:val="24"/>
                <w:lang w:eastAsia="zh-CN"/>
              </w:rPr>
              <w:t>CLCS6015</w:t>
            </w:r>
          </w:p>
        </w:tc>
        <w:tc>
          <w:tcPr>
            <w:tcW w:w="3967" w:type="dxa"/>
            <w:gridSpan w:val="2"/>
            <w:tcBorders>
              <w:top w:val="single" w:sz="4" w:space="0" w:color="auto"/>
              <w:left w:val="single" w:sz="4" w:space="0" w:color="auto"/>
              <w:bottom w:val="single" w:sz="4" w:space="0" w:color="auto"/>
              <w:right w:val="single" w:sz="4" w:space="0" w:color="auto"/>
            </w:tcBorders>
            <w:vAlign w:val="center"/>
          </w:tcPr>
          <w:p w:rsidR="004D39A8" w:rsidRPr="00215A4D" w:rsidRDefault="004D39A8" w:rsidP="00A4338E">
            <w:pPr>
              <w:spacing w:after="0" w:line="240" w:lineRule="auto"/>
              <w:ind w:right="34"/>
              <w:rPr>
                <w:rFonts w:eastAsia="SimSun" w:cs="Tahoma"/>
                <w:i/>
                <w:color w:val="000000"/>
                <w:sz w:val="24"/>
                <w:szCs w:val="24"/>
                <w:lang w:eastAsia="zh-CN"/>
              </w:rPr>
            </w:pPr>
            <w:r w:rsidRPr="00215A4D">
              <w:rPr>
                <w:rFonts w:eastAsia="SimSun" w:cs="Tahoma"/>
                <w:i/>
                <w:color w:val="000000"/>
                <w:sz w:val="24"/>
                <w:szCs w:val="24"/>
                <w:lang w:eastAsia="zh-CN"/>
              </w:rPr>
              <w:t>Student number:</w:t>
            </w:r>
            <w:r w:rsidRPr="00DD5B6F">
              <w:rPr>
                <w:rFonts w:eastAsia="SimSun" w:cs="Tahoma"/>
                <w:color w:val="000000"/>
                <w:sz w:val="24"/>
                <w:szCs w:val="24"/>
                <w:lang w:eastAsia="zh-CN"/>
              </w:rPr>
              <w:t>1501009</w:t>
            </w:r>
          </w:p>
        </w:tc>
      </w:tr>
      <w:tr w:rsidR="004D39A8" w:rsidRPr="00215A4D" w:rsidTr="00A4338E">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4D39A8" w:rsidRPr="00215A4D" w:rsidRDefault="004D39A8" w:rsidP="00A4338E">
            <w:pPr>
              <w:spacing w:after="0" w:line="240" w:lineRule="auto"/>
              <w:rPr>
                <w:rFonts w:eastAsia="SimSun" w:cs="Tahoma"/>
                <w:i/>
                <w:color w:val="000000"/>
                <w:sz w:val="24"/>
                <w:szCs w:val="24"/>
                <w:lang w:eastAsia="zh-CN"/>
              </w:rPr>
            </w:pPr>
            <w:r w:rsidRPr="00215A4D">
              <w:rPr>
                <w:rFonts w:eastAsia="SimSun" w:cs="Tahoma"/>
                <w:i/>
                <w:color w:val="000000"/>
                <w:sz w:val="24"/>
                <w:szCs w:val="24"/>
                <w:lang w:eastAsia="zh-CN"/>
              </w:rPr>
              <w:t>For completion by marker:</w:t>
            </w: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r w:rsidRPr="00215A4D">
              <w:rPr>
                <w:rFonts w:eastAsia="SimSun" w:cs="Tahoma"/>
                <w:i/>
                <w:color w:val="000000"/>
                <w:sz w:val="24"/>
                <w:szCs w:val="24"/>
                <w:lang w:eastAsia="zh-CN"/>
              </w:rPr>
              <w:t>Comments:</w:t>
            </w: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tc>
      </w:tr>
      <w:tr w:rsidR="004D39A8" w:rsidRPr="00215A4D" w:rsidTr="00A4338E">
        <w:trPr>
          <w:trHeight w:val="492"/>
        </w:trPr>
        <w:tc>
          <w:tcPr>
            <w:tcW w:w="6768" w:type="dxa"/>
            <w:gridSpan w:val="2"/>
            <w:tcBorders>
              <w:top w:val="single" w:sz="4" w:space="0" w:color="auto"/>
            </w:tcBorders>
            <w:vAlign w:val="center"/>
          </w:tcPr>
          <w:p w:rsidR="004D39A8" w:rsidRPr="00215A4D" w:rsidRDefault="004D39A8" w:rsidP="00A4338E">
            <w:pPr>
              <w:spacing w:before="100" w:beforeAutospacing="1" w:after="100" w:afterAutospacing="1" w:line="240" w:lineRule="auto"/>
              <w:ind w:left="142" w:right="34"/>
              <w:rPr>
                <w:rFonts w:eastAsia="SimSun" w:cs="Tahoma"/>
                <w:i/>
                <w:color w:val="000000"/>
                <w:sz w:val="24"/>
                <w:szCs w:val="24"/>
                <w:lang w:eastAsia="zh-CN"/>
              </w:rPr>
            </w:pPr>
            <w:r w:rsidRPr="00215A4D">
              <w:rPr>
                <w:rFonts w:eastAsia="SimSun" w:cs="Tahoma"/>
                <w:i/>
                <w:color w:val="000000"/>
                <w:sz w:val="24"/>
                <w:szCs w:val="24"/>
                <w:lang w:eastAsia="zh-CN"/>
              </w:rPr>
              <w:t>Marker’s signature:</w:t>
            </w:r>
          </w:p>
        </w:tc>
        <w:tc>
          <w:tcPr>
            <w:tcW w:w="1987" w:type="dxa"/>
            <w:tcBorders>
              <w:top w:val="single" w:sz="4" w:space="0" w:color="auto"/>
            </w:tcBorders>
            <w:vAlign w:val="center"/>
          </w:tcPr>
          <w:p w:rsidR="004D39A8" w:rsidRPr="00215A4D" w:rsidRDefault="004D39A8" w:rsidP="00A4338E">
            <w:pPr>
              <w:spacing w:before="100" w:beforeAutospacing="1" w:after="0" w:afterAutospacing="1" w:line="240" w:lineRule="auto"/>
              <w:ind w:left="142" w:right="34"/>
              <w:rPr>
                <w:rFonts w:eastAsia="SimSun" w:cs="Tahoma"/>
                <w:i/>
                <w:color w:val="000000"/>
                <w:sz w:val="24"/>
                <w:szCs w:val="24"/>
                <w:lang w:eastAsia="zh-CN"/>
              </w:rPr>
            </w:pPr>
            <w:r w:rsidRPr="00215A4D">
              <w:rPr>
                <w:rFonts w:eastAsia="SimSun" w:cs="Tahoma"/>
                <w:i/>
                <w:color w:val="000000"/>
                <w:sz w:val="24"/>
                <w:szCs w:val="24"/>
                <w:lang w:eastAsia="zh-CN"/>
              </w:rPr>
              <w:t>Date:</w:t>
            </w:r>
          </w:p>
        </w:tc>
      </w:tr>
      <w:tr w:rsidR="004D39A8" w:rsidRPr="00215A4D" w:rsidTr="00A4338E">
        <w:tc>
          <w:tcPr>
            <w:tcW w:w="8755" w:type="dxa"/>
            <w:gridSpan w:val="3"/>
            <w:vAlign w:val="center"/>
          </w:tcPr>
          <w:p w:rsidR="004D39A8" w:rsidRPr="00215A4D" w:rsidRDefault="004D39A8" w:rsidP="00A4338E">
            <w:pPr>
              <w:spacing w:after="0" w:line="240" w:lineRule="auto"/>
              <w:ind w:left="142" w:right="34"/>
              <w:rPr>
                <w:rFonts w:eastAsia="SimSun" w:cs="Tahoma"/>
                <w:i/>
                <w:color w:val="000000"/>
                <w:sz w:val="24"/>
                <w:szCs w:val="24"/>
                <w:lang w:eastAsia="zh-CN"/>
              </w:rPr>
            </w:pPr>
            <w:r w:rsidRPr="00215A4D">
              <w:rPr>
                <w:rFonts w:eastAsia="SimSun" w:cs="Tahoma"/>
                <w:i/>
                <w:color w:val="000000"/>
                <w:sz w:val="24"/>
                <w:szCs w:val="24"/>
                <w:lang w:eastAsia="zh-CN"/>
              </w:rPr>
              <w:t xml:space="preserve">Provisional mark: </w:t>
            </w:r>
          </w:p>
          <w:p w:rsidR="004D39A8" w:rsidRPr="00215A4D" w:rsidRDefault="004D39A8" w:rsidP="00A4338E">
            <w:pPr>
              <w:spacing w:after="0" w:line="240" w:lineRule="auto"/>
              <w:ind w:left="142" w:right="34"/>
              <w:rPr>
                <w:rFonts w:eastAsia="SimSun" w:cs="Tahoma"/>
                <w:i/>
                <w:color w:val="000000"/>
                <w:sz w:val="24"/>
                <w:szCs w:val="24"/>
                <w:lang w:eastAsia="zh-CN"/>
              </w:rPr>
            </w:pPr>
            <w:r w:rsidRPr="00215A4D">
              <w:rPr>
                <w:rFonts w:eastAsia="SimSun" w:cs="Tahoma"/>
                <w:b/>
                <w:i/>
                <w:color w:val="000000"/>
                <w:sz w:val="24"/>
                <w:szCs w:val="24"/>
                <w:lang w:eastAsia="zh-CN"/>
              </w:rPr>
              <w:t>NB.</w:t>
            </w:r>
            <w:r w:rsidRPr="00215A4D">
              <w:rPr>
                <w:rFonts w:eastAsia="SimSun" w:cs="Tahoma"/>
                <w:i/>
                <w:color w:val="000000"/>
                <w:sz w:val="24"/>
                <w:szCs w:val="24"/>
                <w:lang w:eastAsia="zh-CN"/>
              </w:rPr>
              <w:t xml:space="preserve">  All marks are provisional until confirmed by the final examination board. </w:t>
            </w:r>
          </w:p>
        </w:tc>
      </w:tr>
    </w:tbl>
    <w:p w:rsidR="004D39A8" w:rsidRDefault="004D39A8"/>
    <w:p w:rsidR="004D39A8" w:rsidRDefault="004D39A8"/>
    <w:p w:rsidR="004D39A8" w:rsidRDefault="004D39A8" w:rsidP="004D39A8">
      <w:pPr>
        <w:jc w:val="center"/>
        <w:rPr>
          <w:rFonts w:ascii="Times New Roman" w:hAnsi="Times New Roman" w:cs="Times New Roman"/>
          <w:sz w:val="24"/>
          <w:szCs w:val="24"/>
          <w:u w:val="single"/>
        </w:rPr>
      </w:pPr>
      <w:r w:rsidRPr="004D39A8">
        <w:rPr>
          <w:rFonts w:ascii="Times New Roman" w:hAnsi="Times New Roman" w:cs="Times New Roman"/>
          <w:sz w:val="24"/>
          <w:szCs w:val="24"/>
          <w:u w:val="single"/>
        </w:rPr>
        <w:lastRenderedPageBreak/>
        <w:t>Ancient representations of India often include large numbers of monstrous and fantastical creatures. With reference to one ancient source, what impact does this have on the representation of the country?</w:t>
      </w:r>
    </w:p>
    <w:p w:rsidR="004D39A8" w:rsidRDefault="004D39A8" w:rsidP="004D39A8">
      <w:pPr>
        <w:rPr>
          <w:rFonts w:ascii="Times New Roman" w:hAnsi="Times New Roman" w:cs="Times New Roman"/>
          <w:caps/>
          <w:sz w:val="24"/>
          <w:szCs w:val="24"/>
        </w:rPr>
      </w:pPr>
    </w:p>
    <w:p w:rsidR="00162D7C" w:rsidRPr="00162D7C" w:rsidRDefault="00162D7C" w:rsidP="004D39A8">
      <w:pPr>
        <w:rPr>
          <w:rFonts w:ascii="Times New Roman" w:hAnsi="Times New Roman" w:cs="Times New Roman"/>
          <w:sz w:val="24"/>
          <w:szCs w:val="24"/>
        </w:rPr>
      </w:pPr>
      <w:r>
        <w:rPr>
          <w:rFonts w:ascii="Times New Roman" w:hAnsi="Times New Roman" w:cs="Times New Roman"/>
          <w:sz w:val="24"/>
          <w:szCs w:val="24"/>
        </w:rPr>
        <w:t>Megasthenes was writing</w:t>
      </w:r>
      <w:r w:rsidR="00C87A04">
        <w:rPr>
          <w:rFonts w:ascii="Times New Roman" w:hAnsi="Times New Roman" w:cs="Times New Roman"/>
          <w:sz w:val="24"/>
          <w:szCs w:val="24"/>
        </w:rPr>
        <w:t xml:space="preserve"> his </w:t>
      </w:r>
      <w:r w:rsidR="00C87A04">
        <w:rPr>
          <w:rFonts w:ascii="Times New Roman" w:hAnsi="Times New Roman" w:cs="Times New Roman"/>
          <w:i/>
          <w:sz w:val="24"/>
          <w:szCs w:val="24"/>
        </w:rPr>
        <w:t>Indika</w:t>
      </w:r>
      <w:r>
        <w:rPr>
          <w:rFonts w:ascii="Times New Roman" w:hAnsi="Times New Roman" w:cs="Times New Roman"/>
          <w:sz w:val="24"/>
          <w:szCs w:val="24"/>
        </w:rPr>
        <w:t xml:space="preserve"> in the fourth century BC, when he was an ambassador to the court of India. His work only survives in fragments from other authors, but his writings on India remain as important as the predecessor he followed on from. </w:t>
      </w:r>
      <w:r w:rsidR="00A4338E">
        <w:rPr>
          <w:rFonts w:ascii="Times New Roman" w:hAnsi="Times New Roman" w:cs="Times New Roman"/>
          <w:sz w:val="24"/>
          <w:szCs w:val="24"/>
        </w:rPr>
        <w:t xml:space="preserve">Megasthenes’ works on India shaped the way the ancient world thinks and views the place, in the terms of the monstrous and fantastical. </w:t>
      </w:r>
    </w:p>
    <w:p w:rsidR="00162D7C" w:rsidRDefault="00162D7C" w:rsidP="004D39A8">
      <w:pPr>
        <w:rPr>
          <w:rFonts w:ascii="Times New Roman" w:hAnsi="Times New Roman" w:cs="Times New Roman"/>
          <w:caps/>
          <w:sz w:val="24"/>
          <w:szCs w:val="24"/>
          <w:u w:val="single"/>
        </w:rPr>
      </w:pPr>
    </w:p>
    <w:p w:rsidR="00162D7C" w:rsidRDefault="00C87A04" w:rsidP="004D39A8">
      <w:pPr>
        <w:rPr>
          <w:rFonts w:ascii="Times New Roman" w:hAnsi="Times New Roman" w:cs="Times New Roman"/>
          <w:sz w:val="24"/>
          <w:szCs w:val="24"/>
        </w:rPr>
      </w:pPr>
      <w:r>
        <w:rPr>
          <w:rFonts w:ascii="Times New Roman" w:hAnsi="Times New Roman" w:cs="Times New Roman"/>
          <w:sz w:val="24"/>
          <w:szCs w:val="24"/>
        </w:rPr>
        <w:t xml:space="preserve">Because India was situated in the East, it was presented as ‘other’ and ‘strange’ in many of the texts written about it. The Greek authors believed </w:t>
      </w:r>
      <w:r w:rsidR="0062495E">
        <w:rPr>
          <w:rFonts w:ascii="Times New Roman" w:hAnsi="Times New Roman" w:cs="Times New Roman"/>
          <w:sz w:val="24"/>
          <w:szCs w:val="24"/>
        </w:rPr>
        <w:t xml:space="preserve">India to be on the periphery of their world, and so they believed there were monstrous beings existing in that space. A reason for this was because India was hard to reach, which is reflected in the spaces in which modern monsters exist, as many modern authors place them where humans cannot easily reach. India was the perfect place to place their monsters and monstrous beings because of the country’s ‘strange’ customs and culture. </w:t>
      </w:r>
      <w:r w:rsidR="007E48D3">
        <w:rPr>
          <w:rFonts w:ascii="Times New Roman" w:hAnsi="Times New Roman" w:cs="Times New Roman"/>
          <w:sz w:val="24"/>
          <w:szCs w:val="24"/>
        </w:rPr>
        <w:t xml:space="preserve">However, because the view of the ancient world was changing as they travelled further out </w:t>
      </w:r>
      <w:r w:rsidR="00D02017">
        <w:rPr>
          <w:rFonts w:ascii="Times New Roman" w:hAnsi="Times New Roman" w:cs="Times New Roman"/>
          <w:sz w:val="24"/>
          <w:szCs w:val="24"/>
        </w:rPr>
        <w:t xml:space="preserve">and thus expanded the boundaries, the spaces were the monsters were placed also had to change. In this respect, compared to the monsters of Hesiod or of Homer, Megasthenes’ monstrous beings in the </w:t>
      </w:r>
      <w:r w:rsidR="00D02017">
        <w:rPr>
          <w:rFonts w:ascii="Times New Roman" w:hAnsi="Times New Roman" w:cs="Times New Roman"/>
          <w:i/>
          <w:sz w:val="24"/>
          <w:szCs w:val="24"/>
        </w:rPr>
        <w:t>Indika</w:t>
      </w:r>
      <w:r w:rsidR="00D02017">
        <w:rPr>
          <w:rFonts w:ascii="Times New Roman" w:hAnsi="Times New Roman" w:cs="Times New Roman"/>
          <w:sz w:val="24"/>
          <w:szCs w:val="24"/>
        </w:rPr>
        <w:t xml:space="preserve"> are not all that monstrous especially to the modern reader. But to the ancient world, the idea that the monstrous creatures existed in almost harmony and were used as part of the Indians society was concept they could not accept because of the space India itself occupied. </w:t>
      </w:r>
    </w:p>
    <w:p w:rsidR="00D02017" w:rsidRPr="00D02017" w:rsidRDefault="00D02017" w:rsidP="004D39A8">
      <w:pPr>
        <w:rPr>
          <w:rFonts w:ascii="Times New Roman" w:hAnsi="Times New Roman" w:cs="Times New Roman"/>
          <w:sz w:val="24"/>
          <w:szCs w:val="24"/>
        </w:rPr>
      </w:pPr>
      <w:bookmarkStart w:id="0" w:name="_GoBack"/>
      <w:bookmarkEnd w:id="0"/>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162D7C" w:rsidRDefault="00162D7C" w:rsidP="004D39A8">
      <w:pPr>
        <w:rPr>
          <w:rFonts w:ascii="Times New Roman" w:hAnsi="Times New Roman" w:cs="Times New Roman"/>
          <w:caps/>
          <w:sz w:val="24"/>
          <w:szCs w:val="24"/>
          <w:u w:val="single"/>
        </w:rPr>
      </w:pPr>
    </w:p>
    <w:p w:rsidR="00606422" w:rsidRDefault="00606422" w:rsidP="004D39A8">
      <w:pPr>
        <w:rPr>
          <w:rFonts w:ascii="Times New Roman" w:hAnsi="Times New Roman" w:cs="Times New Roman"/>
          <w:caps/>
          <w:sz w:val="24"/>
          <w:szCs w:val="24"/>
          <w:u w:val="single"/>
        </w:rPr>
      </w:pPr>
      <w:r w:rsidRPr="00606422">
        <w:rPr>
          <w:rFonts w:ascii="Times New Roman" w:hAnsi="Times New Roman" w:cs="Times New Roman"/>
          <w:caps/>
          <w:sz w:val="24"/>
          <w:szCs w:val="24"/>
          <w:u w:val="single"/>
        </w:rPr>
        <w:t>BibLiography:</w:t>
      </w:r>
    </w:p>
    <w:p w:rsidR="00606422" w:rsidRPr="00606422" w:rsidRDefault="00606422" w:rsidP="004D39A8">
      <w:pPr>
        <w:rPr>
          <w:rFonts w:ascii="Times New Roman" w:hAnsi="Times New Roman" w:cs="Times New Roman"/>
          <w:caps/>
          <w:sz w:val="24"/>
          <w:szCs w:val="24"/>
          <w:u w:val="single"/>
        </w:rPr>
      </w:pPr>
      <w:r w:rsidRPr="00606422">
        <w:rPr>
          <w:rFonts w:ascii="Times New Roman" w:hAnsi="Times New Roman" w:cs="Times New Roman"/>
          <w:caps/>
          <w:sz w:val="24"/>
          <w:szCs w:val="24"/>
          <w:u w:val="single"/>
        </w:rPr>
        <w:t>ANCient sources:</w:t>
      </w:r>
    </w:p>
    <w:p w:rsidR="00162D7C" w:rsidRPr="00162D7C" w:rsidRDefault="00162D7C" w:rsidP="004D39A8">
      <w:pPr>
        <w:rPr>
          <w:rFonts w:ascii="Times New Roman" w:hAnsi="Times New Roman" w:cs="Times New Roman"/>
          <w:sz w:val="24"/>
          <w:szCs w:val="24"/>
        </w:rPr>
      </w:pPr>
      <w:r>
        <w:rPr>
          <w:rFonts w:ascii="Times New Roman" w:hAnsi="Times New Roman" w:cs="Times New Roman"/>
          <w:sz w:val="24"/>
          <w:szCs w:val="24"/>
        </w:rPr>
        <w:t xml:space="preserve">Ctesias. </w:t>
      </w:r>
      <w:r>
        <w:rPr>
          <w:rFonts w:ascii="Times New Roman" w:hAnsi="Times New Roman" w:cs="Times New Roman"/>
          <w:i/>
          <w:sz w:val="24"/>
          <w:szCs w:val="24"/>
        </w:rPr>
        <w:t xml:space="preserve">Indika. </w:t>
      </w:r>
      <w:r>
        <w:rPr>
          <w:rFonts w:ascii="Times New Roman" w:hAnsi="Times New Roman" w:cs="Times New Roman"/>
          <w:sz w:val="24"/>
          <w:szCs w:val="24"/>
        </w:rPr>
        <w:t xml:space="preserve">A. Nichols (trans.). 2008. Florida: University of Florida. </w:t>
      </w:r>
    </w:p>
    <w:p w:rsidR="00606422" w:rsidRPr="00162D7C" w:rsidRDefault="00606422" w:rsidP="004D39A8">
      <w:pPr>
        <w:rPr>
          <w:rFonts w:ascii="Times New Roman" w:hAnsi="Times New Roman" w:cs="Times New Roman"/>
          <w:sz w:val="24"/>
          <w:szCs w:val="24"/>
        </w:rPr>
      </w:pPr>
      <w:r>
        <w:rPr>
          <w:rFonts w:ascii="Times New Roman" w:hAnsi="Times New Roman" w:cs="Times New Roman"/>
          <w:sz w:val="24"/>
          <w:szCs w:val="24"/>
        </w:rPr>
        <w:t>Megasthenes</w:t>
      </w:r>
      <w:r w:rsidR="00162D7C">
        <w:rPr>
          <w:rFonts w:ascii="Times New Roman" w:hAnsi="Times New Roman" w:cs="Times New Roman"/>
          <w:sz w:val="24"/>
          <w:szCs w:val="24"/>
        </w:rPr>
        <w:t xml:space="preserve">. </w:t>
      </w:r>
      <w:r w:rsidR="00162D7C">
        <w:rPr>
          <w:rFonts w:ascii="Times New Roman" w:hAnsi="Times New Roman" w:cs="Times New Roman"/>
          <w:i/>
          <w:sz w:val="24"/>
          <w:szCs w:val="24"/>
        </w:rPr>
        <w:t xml:space="preserve">Indika. </w:t>
      </w:r>
      <w:r w:rsidR="00162D7C">
        <w:rPr>
          <w:rFonts w:ascii="Times New Roman" w:hAnsi="Times New Roman" w:cs="Times New Roman"/>
          <w:sz w:val="24"/>
          <w:szCs w:val="24"/>
        </w:rPr>
        <w:t>J. W. McCrindle (trans.). 1877. [x]</w:t>
      </w:r>
    </w:p>
    <w:p w:rsidR="00606422" w:rsidRDefault="00606422" w:rsidP="004D39A8">
      <w:pPr>
        <w:rPr>
          <w:rFonts w:ascii="Times New Roman" w:hAnsi="Times New Roman" w:cs="Times New Roman"/>
          <w:caps/>
          <w:sz w:val="24"/>
          <w:szCs w:val="24"/>
        </w:rPr>
      </w:pPr>
      <w:r w:rsidRPr="00606422">
        <w:rPr>
          <w:rFonts w:ascii="Times New Roman" w:hAnsi="Times New Roman" w:cs="Times New Roman"/>
          <w:caps/>
          <w:sz w:val="24"/>
          <w:szCs w:val="24"/>
          <w:u w:val="single"/>
        </w:rPr>
        <w:t>Modern scholarship:</w:t>
      </w:r>
      <w:r>
        <w:rPr>
          <w:rFonts w:ascii="Times New Roman" w:hAnsi="Times New Roman" w:cs="Times New Roman"/>
          <w:caps/>
          <w:sz w:val="24"/>
          <w:szCs w:val="24"/>
        </w:rPr>
        <w:t xml:space="preserve"> </w:t>
      </w:r>
    </w:p>
    <w:p w:rsidR="00606422" w:rsidRPr="00606422" w:rsidRDefault="00606422" w:rsidP="00606422">
      <w:pPr>
        <w:ind w:left="397" w:hanging="397"/>
        <w:rPr>
          <w:rFonts w:ascii="Times New Roman" w:hAnsi="Times New Roman" w:cs="Times New Roman"/>
          <w:sz w:val="24"/>
          <w:szCs w:val="24"/>
        </w:rPr>
      </w:pPr>
      <w:r>
        <w:rPr>
          <w:rFonts w:ascii="Times New Roman" w:hAnsi="Times New Roman" w:cs="Times New Roman"/>
          <w:sz w:val="24"/>
          <w:szCs w:val="24"/>
        </w:rPr>
        <w:t xml:space="preserve">Bosworth, A. B. 1996. ‘The Historical Setting of Megasthenes’ Indica’. </w:t>
      </w:r>
      <w:r>
        <w:rPr>
          <w:rFonts w:ascii="Times New Roman" w:hAnsi="Times New Roman" w:cs="Times New Roman"/>
          <w:i/>
          <w:sz w:val="24"/>
          <w:szCs w:val="24"/>
        </w:rPr>
        <w:t xml:space="preserve">Classical Philology. </w:t>
      </w:r>
      <w:r>
        <w:rPr>
          <w:rFonts w:ascii="Times New Roman" w:hAnsi="Times New Roman" w:cs="Times New Roman"/>
          <w:sz w:val="24"/>
          <w:szCs w:val="24"/>
        </w:rPr>
        <w:t xml:space="preserve">91, 2. 113-127. </w:t>
      </w:r>
    </w:p>
    <w:p w:rsidR="00606422" w:rsidRDefault="00606422" w:rsidP="00606422">
      <w:pPr>
        <w:ind w:left="397" w:hanging="397"/>
        <w:rPr>
          <w:rFonts w:ascii="Times New Roman" w:hAnsi="Times New Roman" w:cs="Times New Roman"/>
          <w:sz w:val="24"/>
          <w:szCs w:val="24"/>
        </w:rPr>
      </w:pPr>
      <w:r>
        <w:rPr>
          <w:rFonts w:ascii="Times New Roman" w:hAnsi="Times New Roman" w:cs="Times New Roman"/>
          <w:sz w:val="24"/>
          <w:szCs w:val="24"/>
        </w:rPr>
        <w:t xml:space="preserve">Brown, T. S. 1955. ‘The Reliability of Megasthenes’. </w:t>
      </w:r>
      <w:r>
        <w:rPr>
          <w:rFonts w:ascii="Times New Roman" w:hAnsi="Times New Roman" w:cs="Times New Roman"/>
          <w:i/>
          <w:sz w:val="24"/>
          <w:szCs w:val="24"/>
        </w:rPr>
        <w:t xml:space="preserve">The American Journal of Philology. </w:t>
      </w:r>
      <w:r>
        <w:rPr>
          <w:rFonts w:ascii="Times New Roman" w:hAnsi="Times New Roman" w:cs="Times New Roman"/>
          <w:sz w:val="24"/>
          <w:szCs w:val="24"/>
        </w:rPr>
        <w:t xml:space="preserve">76, 1. 18-33. </w:t>
      </w:r>
    </w:p>
    <w:p w:rsidR="00606422" w:rsidRDefault="00606422" w:rsidP="00606422">
      <w:pPr>
        <w:ind w:left="397" w:hanging="397"/>
        <w:rPr>
          <w:rFonts w:ascii="Times New Roman" w:hAnsi="Times New Roman" w:cs="Times New Roman"/>
          <w:sz w:val="24"/>
          <w:szCs w:val="24"/>
        </w:rPr>
      </w:pPr>
      <w:r>
        <w:rPr>
          <w:rFonts w:ascii="Times New Roman" w:hAnsi="Times New Roman" w:cs="Times New Roman"/>
          <w:sz w:val="24"/>
          <w:szCs w:val="24"/>
        </w:rPr>
        <w:t xml:space="preserve">Majumdar, R. C. 1958. ‘The Indika of Megasthenes’. </w:t>
      </w:r>
      <w:r w:rsidRPr="00606422">
        <w:rPr>
          <w:rFonts w:ascii="Times New Roman" w:hAnsi="Times New Roman" w:cs="Times New Roman"/>
          <w:i/>
          <w:sz w:val="24"/>
          <w:szCs w:val="24"/>
        </w:rPr>
        <w:t>Journal of the American Oriental Society.</w:t>
      </w:r>
      <w:r>
        <w:rPr>
          <w:rFonts w:ascii="Times New Roman" w:hAnsi="Times New Roman" w:cs="Times New Roman"/>
          <w:sz w:val="24"/>
          <w:szCs w:val="24"/>
        </w:rPr>
        <w:t xml:space="preserve"> 78, 4. 273-276. </w:t>
      </w:r>
    </w:p>
    <w:p w:rsidR="00606422" w:rsidRPr="00606422" w:rsidRDefault="00606422" w:rsidP="00606422">
      <w:pPr>
        <w:ind w:left="397" w:hanging="397"/>
        <w:rPr>
          <w:rFonts w:ascii="Times New Roman" w:hAnsi="Times New Roman" w:cs="Times New Roman"/>
          <w:sz w:val="24"/>
          <w:szCs w:val="24"/>
        </w:rPr>
      </w:pPr>
    </w:p>
    <w:sectPr w:rsidR="00606422" w:rsidRPr="006064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9A8"/>
    <w:rsid w:val="00162D7C"/>
    <w:rsid w:val="004D39A8"/>
    <w:rsid w:val="00606422"/>
    <w:rsid w:val="0062495E"/>
    <w:rsid w:val="0064441A"/>
    <w:rsid w:val="007E48D3"/>
    <w:rsid w:val="00A4338E"/>
    <w:rsid w:val="00C87A04"/>
    <w:rsid w:val="00D02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C5129"/>
  <w15:chartTrackingRefBased/>
  <w15:docId w15:val="{0265E684-E5E9-4C68-9D9E-51E76BEFD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D39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D39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3</Pages>
  <Words>389</Words>
  <Characters>2223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Gough</dc:creator>
  <cp:keywords/>
  <dc:description/>
  <cp:lastModifiedBy>Molly Gough</cp:lastModifiedBy>
  <cp:revision>4</cp:revision>
  <dcterms:created xsi:type="dcterms:W3CDTF">2018-01-19T09:43:00Z</dcterms:created>
  <dcterms:modified xsi:type="dcterms:W3CDTF">2018-01-19T11:02:00Z</dcterms:modified>
</cp:coreProperties>
</file>