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7A9DFF" w14:textId="73A691F3" w:rsidR="00B76E7D" w:rsidRDefault="00B76E7D">
      <w:r>
        <w:t>HPLA7023</w:t>
      </w:r>
    </w:p>
    <w:p w14:paraId="4786DCB9" w14:textId="067C07A9" w:rsidR="00B76E7D" w:rsidRDefault="00B76E7D">
      <w:r>
        <w:t>Charles-Elizabeth Boyles</w:t>
      </w:r>
    </w:p>
    <w:p w14:paraId="7CF65A9F" w14:textId="7CC1D12D" w:rsidR="00B76E7D" w:rsidRDefault="00B76E7D">
      <w:r>
        <w:t>Unassessed Translation and Commentary 1</w:t>
      </w:r>
    </w:p>
    <w:p w14:paraId="5B6081EF" w14:textId="624B4549" w:rsidR="00B76E7D" w:rsidRDefault="00B76E7D">
      <w:r>
        <w:t>12 February 2025</w:t>
      </w:r>
    </w:p>
    <w:p w14:paraId="397F53A6" w14:textId="77777777" w:rsidR="00B76E7D" w:rsidRDefault="00B76E7D"/>
    <w:p w14:paraId="4B7AD5E9" w14:textId="58D4C446" w:rsidR="009F3ACC" w:rsidRDefault="009F3ACC">
      <w:r>
        <w:rPr>
          <w:u w:val="single"/>
        </w:rPr>
        <w:t xml:space="preserve">Translation: </w:t>
      </w:r>
      <w:r w:rsidR="00776483">
        <w:rPr>
          <w:i/>
          <w:iCs/>
          <w:u w:val="single"/>
        </w:rPr>
        <w:t>Verr.</w:t>
      </w:r>
      <w:r w:rsidR="00776483">
        <w:rPr>
          <w:u w:val="single"/>
        </w:rPr>
        <w:t xml:space="preserve"> 2.1.66</w:t>
      </w:r>
    </w:p>
    <w:p w14:paraId="015E4CEA" w14:textId="143829AE" w:rsidR="009F3ACC" w:rsidRDefault="00776483">
      <w:proofErr w:type="spellStart"/>
      <w:r>
        <w:t>Rubrius</w:t>
      </w:r>
      <w:proofErr w:type="spellEnd"/>
      <w:r>
        <w:t xml:space="preserve"> invited that man’s companions; Verres made them all sure of what would be fruitful. They arrive in a timely manner, they recline. Conversation arises among them, and the greeting was drunk in the Greek manner; the host encourages them, they ask for bigger pours, the feast is celebrated with all their conversation and with happiness. After the affair was seen to warm up enough by </w:t>
      </w:r>
      <w:proofErr w:type="spellStart"/>
      <w:r>
        <w:t>Rubrius</w:t>
      </w:r>
      <w:proofErr w:type="spellEnd"/>
      <w:r>
        <w:t>, “I wonder,” he asks, “</w:t>
      </w:r>
      <w:proofErr w:type="spellStart"/>
      <w:r>
        <w:t>Philodamus</w:t>
      </w:r>
      <w:proofErr w:type="spellEnd"/>
      <w:r>
        <w:t xml:space="preserve">, why don’t you have your daughter come in with us?” The man, who was both the height of </w:t>
      </w:r>
      <w:r>
        <w:rPr>
          <w:i/>
          <w:iCs/>
        </w:rPr>
        <w:t>gravitas</w:t>
      </w:r>
      <w:r>
        <w:t xml:space="preserve"> and now aged and a parent, was flabbergasted by the words of the wicked man. </w:t>
      </w:r>
      <w:proofErr w:type="spellStart"/>
      <w:r>
        <w:t>Rubrius</w:t>
      </w:r>
      <w:proofErr w:type="spellEnd"/>
      <w:r>
        <w:t xml:space="preserve"> presses him. Then he, so that he might make some response, denied that it was the done thing among the Greeks for women to recline at a gathering of men. Then others from other parts of the party cried, “Even if that were true, it’s not to be born</w:t>
      </w:r>
      <w:r w:rsidR="00EA7920">
        <w:t>e</w:t>
      </w:r>
      <w:r>
        <w:t xml:space="preserve">; let the woman be called!” At the same time, </w:t>
      </w:r>
      <w:proofErr w:type="spellStart"/>
      <w:r>
        <w:t>Rubrius</w:t>
      </w:r>
      <w:proofErr w:type="spellEnd"/>
      <w:r>
        <w:t xml:space="preserve"> orders his servants to close the door and to take positions at the entrance.</w:t>
      </w:r>
    </w:p>
    <w:p w14:paraId="6C163221" w14:textId="77777777" w:rsidR="009F3ACC" w:rsidRDefault="009F3ACC"/>
    <w:p w14:paraId="245309CC" w14:textId="0039117E" w:rsidR="009F3ACC" w:rsidRDefault="009F3ACC">
      <w:r>
        <w:rPr>
          <w:u w:val="single"/>
        </w:rPr>
        <w:t xml:space="preserve">Commentary: </w:t>
      </w:r>
      <w:r>
        <w:rPr>
          <w:i/>
          <w:iCs/>
          <w:u w:val="single"/>
        </w:rPr>
        <w:t>Verr</w:t>
      </w:r>
      <w:r>
        <w:rPr>
          <w:u w:val="single"/>
        </w:rPr>
        <w:t>. 2.1.67</w:t>
      </w:r>
    </w:p>
    <w:p w14:paraId="1092EE6B" w14:textId="133E2919" w:rsidR="00251940" w:rsidRDefault="00251940" w:rsidP="00B76E7D">
      <w:pPr>
        <w:ind w:left="720" w:hanging="720"/>
      </w:pPr>
      <w:proofErr w:type="spellStart"/>
      <w:r>
        <w:rPr>
          <w:i/>
          <w:iCs/>
        </w:rPr>
        <w:t>intellexit</w:t>
      </w:r>
      <w:proofErr w:type="spellEnd"/>
      <w:r>
        <w:t xml:space="preserve">: the perfect indicative contrasts with the present and imperfect subjunctives throughout the rest of the line. </w:t>
      </w:r>
      <w:proofErr w:type="spellStart"/>
      <w:r>
        <w:t>Philodamus</w:t>
      </w:r>
      <w:proofErr w:type="spellEnd"/>
      <w:r>
        <w:t xml:space="preserve"> has already understood, it is implied correctly, what is about to happen and issues orders accordingly. </w:t>
      </w:r>
    </w:p>
    <w:p w14:paraId="784BB86B" w14:textId="11CE7FAC" w:rsidR="00251940" w:rsidRDefault="00251940" w:rsidP="00B76E7D">
      <w:pPr>
        <w:ind w:left="720" w:hanging="720"/>
      </w:pPr>
      <w:proofErr w:type="spellStart"/>
      <w:r>
        <w:rPr>
          <w:i/>
          <w:iCs/>
        </w:rPr>
        <w:t>iactatur</w:t>
      </w:r>
      <w:proofErr w:type="spellEnd"/>
      <w:r>
        <w:rPr>
          <w:i/>
          <w:iCs/>
        </w:rPr>
        <w:t xml:space="preserve">… </w:t>
      </w:r>
      <w:proofErr w:type="spellStart"/>
      <w:r>
        <w:rPr>
          <w:i/>
          <w:iCs/>
        </w:rPr>
        <w:t>honestissimus</w:t>
      </w:r>
      <w:proofErr w:type="spellEnd"/>
      <w:r>
        <w:t xml:space="preserve">: </w:t>
      </w:r>
      <w:proofErr w:type="spellStart"/>
      <w:r>
        <w:t>Philodamus</w:t>
      </w:r>
      <w:proofErr w:type="spellEnd"/>
      <w:r>
        <w:t xml:space="preserve"> is knocked around in his own home, despite his status as functionally identical to a Roman pater </w:t>
      </w:r>
      <w:proofErr w:type="spellStart"/>
      <w:r>
        <w:t>familias</w:t>
      </w:r>
      <w:proofErr w:type="spellEnd"/>
      <w:r>
        <w:t xml:space="preserve"> (or so Cicero positions him).</w:t>
      </w:r>
    </w:p>
    <w:p w14:paraId="615C14A1" w14:textId="07BB4826" w:rsidR="00251940" w:rsidRDefault="00251940" w:rsidP="00B76E7D">
      <w:pPr>
        <w:ind w:left="720" w:hanging="720"/>
      </w:pPr>
      <w:proofErr w:type="spellStart"/>
      <w:r>
        <w:rPr>
          <w:i/>
          <w:iCs/>
        </w:rPr>
        <w:t>ut</w:t>
      </w:r>
      <w:proofErr w:type="spellEnd"/>
      <w:r>
        <w:rPr>
          <w:i/>
          <w:iCs/>
        </w:rPr>
        <w:t xml:space="preserve">… </w:t>
      </w:r>
      <w:proofErr w:type="spellStart"/>
      <w:r>
        <w:rPr>
          <w:i/>
          <w:iCs/>
        </w:rPr>
        <w:t>succurreret</w:t>
      </w:r>
      <w:proofErr w:type="spellEnd"/>
      <w:r>
        <w:t xml:space="preserve">: Cicero suggests that the news related to </w:t>
      </w:r>
      <w:proofErr w:type="spellStart"/>
      <w:r>
        <w:t>Philodamus</w:t>
      </w:r>
      <w:proofErr w:type="spellEnd"/>
      <w:r>
        <w:t>’ son is immediately – and, by implication, correctly – assumed to be life-or-death</w:t>
      </w:r>
      <w:r w:rsidR="00B76E7D">
        <w:t xml:space="preserve">. Such behavior reflects well on </w:t>
      </w:r>
      <w:proofErr w:type="spellStart"/>
      <w:r w:rsidR="00B76E7D">
        <w:t>Philodamus</w:t>
      </w:r>
      <w:proofErr w:type="spellEnd"/>
      <w:r w:rsidR="00B76E7D">
        <w:t xml:space="preserve">: in addition to his personal qualities, he is also suggested to be a good father, to have instilled such filial and familial piety in his son. </w:t>
      </w:r>
    </w:p>
    <w:p w14:paraId="3C50B0CB" w14:textId="7ECAA3D3" w:rsidR="00B76E7D" w:rsidRDefault="00B76E7D" w:rsidP="00B76E7D">
      <w:pPr>
        <w:ind w:left="720" w:hanging="720"/>
      </w:pPr>
      <w:r>
        <w:rPr>
          <w:i/>
          <w:iCs/>
        </w:rPr>
        <w:t>Cornelius</w:t>
      </w:r>
      <w:r>
        <w:t>: introduced only to die – apparently the only death in the event, though several servants (</w:t>
      </w:r>
      <w:proofErr w:type="spellStart"/>
      <w:r>
        <w:rPr>
          <w:i/>
          <w:iCs/>
        </w:rPr>
        <w:t>servi</w:t>
      </w:r>
      <w:proofErr w:type="spellEnd"/>
      <w:r>
        <w:rPr>
          <w:i/>
          <w:iCs/>
        </w:rPr>
        <w:t xml:space="preserve"> non nulli</w:t>
      </w:r>
      <w:r>
        <w:t xml:space="preserve">) and </w:t>
      </w:r>
      <w:proofErr w:type="spellStart"/>
      <w:r>
        <w:t>Rubrius</w:t>
      </w:r>
      <w:proofErr w:type="spellEnd"/>
      <w:r>
        <w:t xml:space="preserve"> himself are wounded to varying degrees.</w:t>
      </w:r>
    </w:p>
    <w:p w14:paraId="5BCFA0C1" w14:textId="7E9B90C3" w:rsidR="00B76E7D" w:rsidRPr="00B76E7D" w:rsidRDefault="00B76E7D" w:rsidP="00B76E7D">
      <w:pPr>
        <w:ind w:left="720" w:hanging="720"/>
      </w:pPr>
      <w:proofErr w:type="spellStart"/>
      <w:r>
        <w:rPr>
          <w:i/>
          <w:iCs/>
        </w:rPr>
        <w:t>Iste</w:t>
      </w:r>
      <w:proofErr w:type="spellEnd"/>
      <w:r>
        <w:t xml:space="preserve">: again, referring to Verres, though neither this nor prior sections states outright that he was at </w:t>
      </w:r>
      <w:proofErr w:type="spellStart"/>
      <w:r>
        <w:t>Philodamus</w:t>
      </w:r>
      <w:proofErr w:type="spellEnd"/>
      <w:r>
        <w:t>’ house when these events took place. The subjunctive verbs (</w:t>
      </w:r>
      <w:proofErr w:type="spellStart"/>
      <w:r>
        <w:rPr>
          <w:i/>
          <w:iCs/>
        </w:rPr>
        <w:t>videret</w:t>
      </w:r>
      <w:proofErr w:type="spellEnd"/>
      <w:r>
        <w:rPr>
          <w:i/>
          <w:iCs/>
        </w:rPr>
        <w:t>, posset</w:t>
      </w:r>
      <w:r>
        <w:t xml:space="preserve">) offer Cicero plausible deniability of his own accusations – a good thing to have, given that the sequence of events related is rendered in the most uncharitable light possible. </w:t>
      </w:r>
    </w:p>
    <w:sectPr w:rsidR="00B76E7D" w:rsidRPr="00B76E7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483"/>
    <w:rsid w:val="000B1221"/>
    <w:rsid w:val="00251940"/>
    <w:rsid w:val="00525D77"/>
    <w:rsid w:val="00776483"/>
    <w:rsid w:val="00822F4C"/>
    <w:rsid w:val="00972848"/>
    <w:rsid w:val="009F3ACC"/>
    <w:rsid w:val="00B76E7D"/>
    <w:rsid w:val="00D54418"/>
    <w:rsid w:val="00D84C6C"/>
    <w:rsid w:val="00EA7920"/>
    <w:rsid w:val="00FA7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C85AF7"/>
  <w15:chartTrackingRefBased/>
  <w15:docId w15:val="{D553E7B8-155C-465F-BF3D-0AA429CB55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4418"/>
    <w:pPr>
      <w:spacing w:after="4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7648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64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648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6483"/>
    <w:pPr>
      <w:keepNext/>
      <w:keepLines/>
      <w:spacing w:before="8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6483"/>
    <w:pPr>
      <w:keepNext/>
      <w:keepLines/>
      <w:spacing w:before="8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648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648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48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48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6483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64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6483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6483"/>
    <w:rPr>
      <w:rFonts w:eastAsiaTheme="majorEastAsia" w:cstheme="majorBidi"/>
      <w:i/>
      <w:iCs/>
      <w:color w:val="2F5496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6483"/>
    <w:rPr>
      <w:rFonts w:eastAsiaTheme="majorEastAsia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6483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6483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483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6483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7764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64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6483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64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648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6483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7764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6483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6483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6483"/>
    <w:rPr>
      <w:rFonts w:ascii="Times New Roman" w:hAnsi="Times New Roman"/>
      <w:i/>
      <w:iCs/>
      <w:color w:val="2F5496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776483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1</Pages>
  <Words>362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Boyles</dc:creator>
  <cp:keywords/>
  <dc:description/>
  <cp:lastModifiedBy>Elizabeth Boyles</cp:lastModifiedBy>
  <cp:revision>3</cp:revision>
  <dcterms:created xsi:type="dcterms:W3CDTF">2025-02-12T23:13:00Z</dcterms:created>
  <dcterms:modified xsi:type="dcterms:W3CDTF">2025-02-13T00:56:00Z</dcterms:modified>
</cp:coreProperties>
</file>