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80C07C" w14:textId="77777777" w:rsidR="00AF5397" w:rsidRDefault="00301B34" w:rsidP="00AF5397">
      <w:pPr>
        <w:spacing w:line="480" w:lineRule="auto"/>
        <w:jc w:val="center"/>
        <w:rPr>
          <w:rFonts w:ascii="Times New Roman" w:hAnsi="Times New Roman" w:cs="Times New Roman"/>
          <w:sz w:val="24"/>
          <w:szCs w:val="24"/>
        </w:rPr>
      </w:pPr>
      <w:proofErr w:type="gramStart"/>
      <w:r>
        <w:rPr>
          <w:rFonts w:ascii="Times New Roman" w:hAnsi="Times New Roman" w:cs="Times New Roman"/>
          <w:sz w:val="24"/>
          <w:szCs w:val="24"/>
        </w:rPr>
        <w:t>Student :</w:t>
      </w:r>
      <w:proofErr w:type="gramEnd"/>
      <w:r>
        <w:rPr>
          <w:rFonts w:ascii="Times New Roman" w:hAnsi="Times New Roman" w:cs="Times New Roman"/>
          <w:sz w:val="24"/>
          <w:szCs w:val="24"/>
        </w:rPr>
        <w:t xml:space="preserve"> Roxana-Maria </w:t>
      </w:r>
      <w:proofErr w:type="spellStart"/>
      <w:r>
        <w:rPr>
          <w:rFonts w:ascii="Times New Roman" w:hAnsi="Times New Roman" w:cs="Times New Roman"/>
          <w:sz w:val="24"/>
          <w:szCs w:val="24"/>
        </w:rPr>
        <w:t>Burlacu</w:t>
      </w:r>
      <w:proofErr w:type="spellEnd"/>
    </w:p>
    <w:p w14:paraId="126515DD" w14:textId="77FBC8F8" w:rsidR="00301B34" w:rsidRDefault="00301B34" w:rsidP="00AF5397">
      <w:pPr>
        <w:spacing w:line="480" w:lineRule="auto"/>
        <w:jc w:val="center"/>
        <w:rPr>
          <w:rFonts w:ascii="Times New Roman" w:hAnsi="Times New Roman" w:cs="Times New Roman"/>
          <w:sz w:val="24"/>
          <w:szCs w:val="24"/>
        </w:rPr>
      </w:pPr>
      <w:r>
        <w:rPr>
          <w:rFonts w:ascii="Times New Roman" w:hAnsi="Times New Roman" w:cs="Times New Roman"/>
          <w:sz w:val="24"/>
          <w:szCs w:val="24"/>
        </w:rPr>
        <w:t xml:space="preserve">Module: Tort Law </w:t>
      </w:r>
      <w:r w:rsidR="000B54D8">
        <w:rPr>
          <w:rFonts w:ascii="Times New Roman" w:hAnsi="Times New Roman" w:cs="Times New Roman"/>
          <w:sz w:val="24"/>
          <w:szCs w:val="24"/>
        </w:rPr>
        <w:t>(BMLW5008)</w:t>
      </w:r>
    </w:p>
    <w:p w14:paraId="1159C4BD" w14:textId="1BD7B0AF" w:rsidR="000B54D8" w:rsidRDefault="000B54D8" w:rsidP="00AF5397">
      <w:pPr>
        <w:spacing w:line="480" w:lineRule="auto"/>
        <w:jc w:val="center"/>
        <w:rPr>
          <w:rFonts w:ascii="Times New Roman" w:hAnsi="Times New Roman" w:cs="Times New Roman"/>
          <w:sz w:val="24"/>
          <w:szCs w:val="24"/>
        </w:rPr>
      </w:pPr>
      <w:r>
        <w:rPr>
          <w:rFonts w:ascii="Times New Roman" w:hAnsi="Times New Roman" w:cs="Times New Roman"/>
          <w:sz w:val="24"/>
          <w:szCs w:val="24"/>
        </w:rPr>
        <w:t xml:space="preserve">Professor: Louise Holmes </w:t>
      </w:r>
    </w:p>
    <w:p w14:paraId="4B047755" w14:textId="77777777" w:rsidR="00AF5397" w:rsidRDefault="00AF5397">
      <w:pPr>
        <w:rPr>
          <w:rFonts w:ascii="Times New Roman" w:hAnsi="Times New Roman" w:cs="Times New Roman"/>
          <w:sz w:val="24"/>
          <w:szCs w:val="24"/>
        </w:rPr>
      </w:pPr>
      <w:r>
        <w:rPr>
          <w:rFonts w:ascii="Times New Roman" w:hAnsi="Times New Roman" w:cs="Times New Roman"/>
          <w:sz w:val="24"/>
          <w:szCs w:val="24"/>
        </w:rPr>
        <w:br w:type="page"/>
      </w:r>
    </w:p>
    <w:p w14:paraId="0562CCA0" w14:textId="77777777" w:rsidR="00AF5397" w:rsidRPr="00AF5397" w:rsidRDefault="00AF5397" w:rsidP="00AF5397">
      <w:pPr>
        <w:spacing w:line="480" w:lineRule="auto"/>
        <w:jc w:val="center"/>
        <w:rPr>
          <w:rFonts w:ascii="Times New Roman" w:hAnsi="Times New Roman" w:cs="Times New Roman"/>
          <w:sz w:val="24"/>
          <w:szCs w:val="24"/>
        </w:rPr>
      </w:pPr>
      <w:r w:rsidRPr="00AF5397">
        <w:rPr>
          <w:rFonts w:ascii="Times New Roman" w:hAnsi="Times New Roman" w:cs="Times New Roman"/>
          <w:sz w:val="24"/>
          <w:szCs w:val="24"/>
        </w:rPr>
        <w:t>Occupiers Liability</w:t>
      </w:r>
    </w:p>
    <w:p w14:paraId="3A50DA4F" w14:textId="77777777" w:rsidR="00240688" w:rsidRPr="00AF5397" w:rsidRDefault="006F4955" w:rsidP="00AF5397">
      <w:pPr>
        <w:spacing w:line="480" w:lineRule="auto"/>
        <w:jc w:val="center"/>
        <w:rPr>
          <w:rFonts w:ascii="Times New Roman" w:hAnsi="Times New Roman" w:cs="Times New Roman"/>
          <w:b/>
          <w:sz w:val="24"/>
          <w:szCs w:val="24"/>
        </w:rPr>
      </w:pPr>
      <w:r w:rsidRPr="00AF5397">
        <w:rPr>
          <w:rFonts w:ascii="Times New Roman" w:hAnsi="Times New Roman" w:cs="Times New Roman"/>
          <w:b/>
          <w:sz w:val="24"/>
          <w:szCs w:val="24"/>
        </w:rPr>
        <w:t>Leo and Millie</w:t>
      </w:r>
    </w:p>
    <w:p w14:paraId="4AD3EDC7" w14:textId="77777777" w:rsidR="006F4955" w:rsidRPr="00AF5397" w:rsidRDefault="003F2782" w:rsidP="00AF5397">
      <w:pPr>
        <w:spacing w:line="480" w:lineRule="auto"/>
        <w:ind w:firstLine="720"/>
        <w:rPr>
          <w:rFonts w:ascii="Times New Roman" w:hAnsi="Times New Roman" w:cs="Times New Roman"/>
          <w:sz w:val="24"/>
          <w:szCs w:val="24"/>
        </w:rPr>
      </w:pPr>
      <w:r w:rsidRPr="00AF5397">
        <w:rPr>
          <w:rFonts w:ascii="Times New Roman" w:hAnsi="Times New Roman" w:cs="Times New Roman"/>
          <w:sz w:val="24"/>
          <w:szCs w:val="24"/>
        </w:rPr>
        <w:t xml:space="preserve">Occupiers’ liability is a form of negligence whereby </w:t>
      </w:r>
      <w:r w:rsidR="00F2227C" w:rsidRPr="00AF5397">
        <w:rPr>
          <w:rFonts w:ascii="Times New Roman" w:hAnsi="Times New Roman" w:cs="Times New Roman"/>
          <w:sz w:val="24"/>
          <w:szCs w:val="24"/>
        </w:rPr>
        <w:t xml:space="preserve">the land owners and occupiers have a duty to any person that come onto their land. The occupier has to have a duty of care and breach that duty </w:t>
      </w:r>
      <w:r w:rsidR="009F1C35" w:rsidRPr="00AF5397">
        <w:rPr>
          <w:rFonts w:ascii="Times New Roman" w:hAnsi="Times New Roman" w:cs="Times New Roman"/>
          <w:sz w:val="24"/>
          <w:szCs w:val="24"/>
        </w:rPr>
        <w:t xml:space="preserve">for them to be liable for the damaged caused on the visitors. Particularly, occupiers are liable for commission or omissions committed by them </w:t>
      </w:r>
      <w:r w:rsidR="00645A3D" w:rsidRPr="00AF5397">
        <w:rPr>
          <w:rFonts w:ascii="Times New Roman" w:hAnsi="Times New Roman" w:cs="Times New Roman"/>
          <w:sz w:val="24"/>
          <w:szCs w:val="24"/>
        </w:rPr>
        <w:t>that results to breach of duty of care and causing harm</w:t>
      </w:r>
      <w:r w:rsidR="00AF5397">
        <w:rPr>
          <w:rFonts w:ascii="Times New Roman" w:hAnsi="Times New Roman" w:cs="Times New Roman"/>
          <w:sz w:val="24"/>
          <w:szCs w:val="24"/>
        </w:rPr>
        <w:t xml:space="preserve"> (Dembour et al., 2020)</w:t>
      </w:r>
      <w:r w:rsidR="00645A3D" w:rsidRPr="00AF5397">
        <w:rPr>
          <w:rFonts w:ascii="Times New Roman" w:hAnsi="Times New Roman" w:cs="Times New Roman"/>
          <w:sz w:val="24"/>
          <w:szCs w:val="24"/>
        </w:rPr>
        <w:t xml:space="preserve">. Therefore, occupiers are required to take reasonable safety measures </w:t>
      </w:r>
      <w:r w:rsidR="00B8066E" w:rsidRPr="00AF5397">
        <w:rPr>
          <w:rFonts w:ascii="Times New Roman" w:hAnsi="Times New Roman" w:cs="Times New Roman"/>
          <w:sz w:val="24"/>
          <w:szCs w:val="24"/>
        </w:rPr>
        <w:t xml:space="preserve">to protect the visitors. The occupiers’ liability is based on two legislations which include the Occupiers Liability Act 1957 </w:t>
      </w:r>
      <w:r w:rsidR="00A55317" w:rsidRPr="00AF5397">
        <w:rPr>
          <w:rFonts w:ascii="Times New Roman" w:hAnsi="Times New Roman" w:cs="Times New Roman"/>
          <w:sz w:val="24"/>
          <w:szCs w:val="24"/>
        </w:rPr>
        <w:t xml:space="preserve">that affect the duty of care for the ‘lawful visitor’ and Occupiers Liability Act 1984 that affect </w:t>
      </w:r>
      <w:r w:rsidR="00B303A3" w:rsidRPr="00AF5397">
        <w:rPr>
          <w:rFonts w:ascii="Times New Roman" w:hAnsi="Times New Roman" w:cs="Times New Roman"/>
          <w:sz w:val="24"/>
          <w:szCs w:val="24"/>
        </w:rPr>
        <w:t>individuals that are not lawful visitors to the occupiers.</w:t>
      </w:r>
      <w:r w:rsidR="008429CD" w:rsidRPr="00AF5397">
        <w:rPr>
          <w:rFonts w:ascii="Times New Roman" w:hAnsi="Times New Roman" w:cs="Times New Roman"/>
          <w:sz w:val="24"/>
          <w:szCs w:val="24"/>
        </w:rPr>
        <w:t xml:space="preserve"> </w:t>
      </w:r>
      <w:r w:rsidR="003664E7" w:rsidRPr="00AF5397">
        <w:rPr>
          <w:rFonts w:ascii="Times New Roman" w:hAnsi="Times New Roman" w:cs="Times New Roman"/>
          <w:sz w:val="24"/>
          <w:szCs w:val="24"/>
        </w:rPr>
        <w:t>In reference to Lord Denning’s speech in the case of Wheat v. E. Lacon &amp; Co. Ltd ([</w:t>
      </w:r>
      <w:r w:rsidR="00F11EA3" w:rsidRPr="00AF5397">
        <w:rPr>
          <w:rFonts w:ascii="Times New Roman" w:hAnsi="Times New Roman" w:cs="Times New Roman"/>
          <w:sz w:val="24"/>
          <w:szCs w:val="24"/>
        </w:rPr>
        <w:t>1966] AC 552 at page 578), “an occupier is ‘he who has the immediate supervision and control</w:t>
      </w:r>
      <w:r w:rsidR="00615F0C" w:rsidRPr="00AF5397">
        <w:rPr>
          <w:rFonts w:ascii="Times New Roman" w:hAnsi="Times New Roman" w:cs="Times New Roman"/>
          <w:sz w:val="24"/>
          <w:szCs w:val="24"/>
        </w:rPr>
        <w:t xml:space="preserve"> and the power of permitting or prohibiting the entry of other persons.’ This is the same interpretation by Roxburgh J. in Hartwell v. Grayson, Rollo and Clover Docks Ltd. [1947] K.B. 901 at page 917 and by Diplock L.J. in the present case [1966] 1 Q.B. 335 at page 368. Therefore, the legal occupier in this case is </w:t>
      </w:r>
      <w:r w:rsidR="00AF2955" w:rsidRPr="00AF5397">
        <w:rPr>
          <w:rFonts w:ascii="Times New Roman" w:hAnsi="Times New Roman" w:cs="Times New Roman"/>
          <w:sz w:val="24"/>
          <w:szCs w:val="24"/>
        </w:rPr>
        <w:t>CPL.</w:t>
      </w:r>
    </w:p>
    <w:p w14:paraId="3F55C668" w14:textId="77777777" w:rsidR="008E0D48" w:rsidRPr="00AF5397" w:rsidRDefault="00D27159" w:rsidP="00AF5397">
      <w:pPr>
        <w:spacing w:line="480" w:lineRule="auto"/>
        <w:ind w:firstLine="720"/>
        <w:rPr>
          <w:rFonts w:ascii="Times New Roman" w:hAnsi="Times New Roman" w:cs="Times New Roman"/>
          <w:sz w:val="24"/>
          <w:szCs w:val="24"/>
        </w:rPr>
      </w:pPr>
      <w:r w:rsidRPr="00AF5397">
        <w:rPr>
          <w:rFonts w:ascii="Times New Roman" w:hAnsi="Times New Roman" w:cs="Times New Roman"/>
          <w:sz w:val="24"/>
          <w:szCs w:val="24"/>
        </w:rPr>
        <w:t xml:space="preserve">CPL’s is liable for the injuries sustained by Leo under the Occupiers Liability Act 1957. Leo is a lawful visitor as defined under section 2 </w:t>
      </w:r>
      <w:r w:rsidR="00837A96" w:rsidRPr="00AF5397">
        <w:rPr>
          <w:rFonts w:ascii="Times New Roman" w:hAnsi="Times New Roman" w:cs="Times New Roman"/>
          <w:sz w:val="24"/>
          <w:szCs w:val="24"/>
        </w:rPr>
        <w:t xml:space="preserve">(1) of the Occupiers Liability Act 1957. The section provides that: “An occupier of premises owes the same duty, the ‘common duty of care,’ to all his visitors, except in so far as he is free to and does extend, restrict, modify or exclude his duty to any visitor or visitors by agreement or otherwise.” </w:t>
      </w:r>
      <w:r w:rsidR="00AB6D7A" w:rsidRPr="00AF5397">
        <w:rPr>
          <w:rFonts w:ascii="Times New Roman" w:hAnsi="Times New Roman" w:cs="Times New Roman"/>
          <w:sz w:val="24"/>
          <w:szCs w:val="24"/>
        </w:rPr>
        <w:t>Section 2 (2) fu</w:t>
      </w:r>
      <w:r w:rsidR="002C7D25" w:rsidRPr="00AF5397">
        <w:rPr>
          <w:rFonts w:ascii="Times New Roman" w:hAnsi="Times New Roman" w:cs="Times New Roman"/>
          <w:sz w:val="24"/>
          <w:szCs w:val="24"/>
        </w:rPr>
        <w:t>r</w:t>
      </w:r>
      <w:r w:rsidR="00AB6D7A" w:rsidRPr="00AF5397">
        <w:rPr>
          <w:rFonts w:ascii="Times New Roman" w:hAnsi="Times New Roman" w:cs="Times New Roman"/>
          <w:sz w:val="24"/>
          <w:szCs w:val="24"/>
        </w:rPr>
        <w:t>ther provides that the “common duty of care is a duty to take such care as in all circumstances of the case is reasonable to see that the visitor will be reasonably safe in using the premises for the purposes for which he is invited or permitted by the occupier to be there.”</w:t>
      </w:r>
      <w:r w:rsidR="009A215F" w:rsidRPr="00AF5397">
        <w:rPr>
          <w:rFonts w:ascii="Times New Roman" w:hAnsi="Times New Roman" w:cs="Times New Roman"/>
          <w:sz w:val="24"/>
          <w:szCs w:val="24"/>
        </w:rPr>
        <w:t xml:space="preserve"> Therefore, as a visitor, he is protected under the </w:t>
      </w:r>
      <w:r w:rsidR="0030537C" w:rsidRPr="00AF5397">
        <w:rPr>
          <w:rFonts w:ascii="Times New Roman" w:hAnsi="Times New Roman" w:cs="Times New Roman"/>
          <w:sz w:val="24"/>
          <w:szCs w:val="24"/>
        </w:rPr>
        <w:t>Act from any foreseeable risk by the occupier. Additionally, Leo is a child that is likely not take precautions like an adult to avoid such an accident. Section 2(3)(a) indicates that, the occupier should be more careful while providing services to children</w:t>
      </w:r>
      <w:r w:rsidR="002E0E1E" w:rsidRPr="00AF5397">
        <w:rPr>
          <w:rFonts w:ascii="Times New Roman" w:hAnsi="Times New Roman" w:cs="Times New Roman"/>
          <w:sz w:val="24"/>
          <w:szCs w:val="24"/>
        </w:rPr>
        <w:t>. They have a higher standard of care while dealing with children visitors</w:t>
      </w:r>
      <w:r w:rsidR="00AF5397">
        <w:rPr>
          <w:rFonts w:ascii="Times New Roman" w:hAnsi="Times New Roman" w:cs="Times New Roman"/>
          <w:sz w:val="24"/>
          <w:szCs w:val="24"/>
        </w:rPr>
        <w:t xml:space="preserve"> (Dembour et al., 2020)</w:t>
      </w:r>
      <w:r w:rsidR="002E0E1E" w:rsidRPr="00AF5397">
        <w:rPr>
          <w:rFonts w:ascii="Times New Roman" w:hAnsi="Times New Roman" w:cs="Times New Roman"/>
          <w:sz w:val="24"/>
          <w:szCs w:val="24"/>
        </w:rPr>
        <w:t>.</w:t>
      </w:r>
    </w:p>
    <w:p w14:paraId="58A958D3" w14:textId="77777777" w:rsidR="0098297E" w:rsidRPr="00AF5397" w:rsidRDefault="0098297E" w:rsidP="00AF5397">
      <w:pPr>
        <w:spacing w:line="480" w:lineRule="auto"/>
        <w:ind w:firstLine="720"/>
        <w:rPr>
          <w:rFonts w:ascii="Times New Roman" w:hAnsi="Times New Roman" w:cs="Times New Roman"/>
          <w:sz w:val="24"/>
          <w:szCs w:val="24"/>
        </w:rPr>
      </w:pPr>
      <w:r w:rsidRPr="00AF5397">
        <w:rPr>
          <w:rFonts w:ascii="Times New Roman" w:hAnsi="Times New Roman" w:cs="Times New Roman"/>
          <w:sz w:val="24"/>
          <w:szCs w:val="24"/>
        </w:rPr>
        <w:t xml:space="preserve">Nevertheless, in deciding whether CPL is responsible for the damages caused on Leo, it is important to consider certain elements as decided in the case of Edwards v. London Borough of Sutton. </w:t>
      </w:r>
      <w:r w:rsidR="0037304E" w:rsidRPr="00AF5397">
        <w:rPr>
          <w:rFonts w:ascii="Times New Roman" w:hAnsi="Times New Roman" w:cs="Times New Roman"/>
          <w:sz w:val="24"/>
          <w:szCs w:val="24"/>
        </w:rPr>
        <w:t xml:space="preserve">In this case, two main elements of occupiers’ liability were identified including the degree of risk and the duty of the occupier to take reasonable steps to protect the </w:t>
      </w:r>
      <w:r w:rsidR="00EF70FB" w:rsidRPr="00AF5397">
        <w:rPr>
          <w:rFonts w:ascii="Times New Roman" w:hAnsi="Times New Roman" w:cs="Times New Roman"/>
          <w:sz w:val="24"/>
          <w:szCs w:val="24"/>
        </w:rPr>
        <w:t xml:space="preserve">visitors. </w:t>
      </w:r>
      <w:r w:rsidR="00BE6627" w:rsidRPr="00AF5397">
        <w:rPr>
          <w:rFonts w:ascii="Times New Roman" w:hAnsi="Times New Roman" w:cs="Times New Roman"/>
          <w:sz w:val="24"/>
          <w:szCs w:val="24"/>
        </w:rPr>
        <w:t xml:space="preserve">In analyzing he issue of risk, it was held that there has to be assessment of risk to </w:t>
      </w:r>
      <w:r w:rsidR="00B7785E" w:rsidRPr="00AF5397">
        <w:rPr>
          <w:rFonts w:ascii="Times New Roman" w:hAnsi="Times New Roman" w:cs="Times New Roman"/>
          <w:sz w:val="24"/>
          <w:szCs w:val="24"/>
        </w:rPr>
        <w:t>understand the reasonable steps that have to be taken by the occupier to prevent any foreseeable risk. However, in preventing such risks, there has to be a balance of risk, gravity of injury, the cost of preventative measures and social value</w:t>
      </w:r>
      <w:r w:rsidR="00AF5397">
        <w:rPr>
          <w:rFonts w:ascii="Times New Roman" w:hAnsi="Times New Roman" w:cs="Times New Roman"/>
          <w:sz w:val="24"/>
          <w:szCs w:val="24"/>
        </w:rPr>
        <w:t xml:space="preserve"> (Dembour et al., 2020)</w:t>
      </w:r>
      <w:r w:rsidR="002646BB" w:rsidRPr="00AF5397">
        <w:rPr>
          <w:rFonts w:ascii="Times New Roman" w:hAnsi="Times New Roman" w:cs="Times New Roman"/>
          <w:sz w:val="24"/>
          <w:szCs w:val="24"/>
        </w:rPr>
        <w:t>. According to the judgment in Bolton v. Stone [1951] UKHL 2; (1951) AC 850</w:t>
      </w:r>
      <w:r w:rsidR="00782F1C" w:rsidRPr="00AF5397">
        <w:rPr>
          <w:rFonts w:ascii="Times New Roman" w:hAnsi="Times New Roman" w:cs="Times New Roman"/>
          <w:sz w:val="24"/>
          <w:szCs w:val="24"/>
        </w:rPr>
        <w:t xml:space="preserve">, “a person must be regarded as negligent if he does not take steps to eliminate a risk which he knows or ought to know is a real risk and not a mere possibility which would never influence the mind of a reasonable man.” </w:t>
      </w:r>
      <w:r w:rsidR="00A06387" w:rsidRPr="00AF5397">
        <w:rPr>
          <w:rFonts w:ascii="Times New Roman" w:hAnsi="Times New Roman" w:cs="Times New Roman"/>
          <w:sz w:val="24"/>
          <w:szCs w:val="24"/>
        </w:rPr>
        <w:t xml:space="preserve">While analyzing this decision in the Judicial </w:t>
      </w:r>
      <w:r w:rsidR="00014FA5" w:rsidRPr="00AF5397">
        <w:rPr>
          <w:rFonts w:ascii="Times New Roman" w:hAnsi="Times New Roman" w:cs="Times New Roman"/>
          <w:sz w:val="24"/>
          <w:szCs w:val="24"/>
        </w:rPr>
        <w:t>Committee</w:t>
      </w:r>
      <w:r w:rsidR="00A06387" w:rsidRPr="00AF5397">
        <w:rPr>
          <w:rFonts w:ascii="Times New Roman" w:hAnsi="Times New Roman" w:cs="Times New Roman"/>
          <w:sz w:val="24"/>
          <w:szCs w:val="24"/>
        </w:rPr>
        <w:t xml:space="preserve"> in </w:t>
      </w:r>
      <w:r w:rsidR="00DF1CF6" w:rsidRPr="00AF5397">
        <w:rPr>
          <w:rFonts w:ascii="Times New Roman" w:hAnsi="Times New Roman" w:cs="Times New Roman"/>
          <w:sz w:val="24"/>
          <w:szCs w:val="24"/>
        </w:rPr>
        <w:t>the</w:t>
      </w:r>
      <w:r w:rsidR="00A06387" w:rsidRPr="00AF5397">
        <w:rPr>
          <w:rFonts w:ascii="Times New Roman" w:hAnsi="Times New Roman" w:cs="Times New Roman"/>
          <w:sz w:val="24"/>
          <w:szCs w:val="24"/>
        </w:rPr>
        <w:t xml:space="preserve"> “Wagon Mound” (No. 2</w:t>
      </w:r>
      <w:r w:rsidR="00014FA5" w:rsidRPr="00AF5397">
        <w:rPr>
          <w:rFonts w:ascii="Times New Roman" w:hAnsi="Times New Roman" w:cs="Times New Roman"/>
          <w:sz w:val="24"/>
          <w:szCs w:val="24"/>
        </w:rPr>
        <w:t xml:space="preserve">) (1967) AC, at page 642-643, Lord Reid indicated that the occupier or defendant might not be liable for the injury caused from the risk </w:t>
      </w:r>
      <w:r w:rsidR="002861A9" w:rsidRPr="00AF5397">
        <w:rPr>
          <w:rFonts w:ascii="Times New Roman" w:hAnsi="Times New Roman" w:cs="Times New Roman"/>
          <w:sz w:val="24"/>
          <w:szCs w:val="24"/>
        </w:rPr>
        <w:t>based on certain circumstances. Particularly, if the foreseeable risk is small that a reasonable man would justifiably ignore it and take no steps to eliminate it</w:t>
      </w:r>
      <w:r w:rsidR="00AF5397">
        <w:rPr>
          <w:rFonts w:ascii="Times New Roman" w:hAnsi="Times New Roman" w:cs="Times New Roman"/>
          <w:sz w:val="24"/>
          <w:szCs w:val="24"/>
        </w:rPr>
        <w:t xml:space="preserve"> (Laws, 2021)</w:t>
      </w:r>
      <w:r w:rsidR="00E87B9F" w:rsidRPr="00AF5397">
        <w:rPr>
          <w:rFonts w:ascii="Times New Roman" w:hAnsi="Times New Roman" w:cs="Times New Roman"/>
          <w:sz w:val="24"/>
          <w:szCs w:val="24"/>
        </w:rPr>
        <w:t xml:space="preserve">. </w:t>
      </w:r>
      <w:r w:rsidR="00782F1C" w:rsidRPr="00AF5397">
        <w:rPr>
          <w:rFonts w:ascii="Times New Roman" w:hAnsi="Times New Roman" w:cs="Times New Roman"/>
          <w:sz w:val="24"/>
          <w:szCs w:val="24"/>
        </w:rPr>
        <w:t>In this case, it is important to analyze whether CPL were negligent by not taking steps to prevent the risk</w:t>
      </w:r>
      <w:r w:rsidR="00B21502" w:rsidRPr="00AF5397">
        <w:rPr>
          <w:rFonts w:ascii="Times New Roman" w:hAnsi="Times New Roman" w:cs="Times New Roman"/>
          <w:sz w:val="24"/>
          <w:szCs w:val="24"/>
        </w:rPr>
        <w:t xml:space="preserve"> from happening based on the condition of the </w:t>
      </w:r>
      <w:r w:rsidR="008C37B8" w:rsidRPr="00AF5397">
        <w:rPr>
          <w:rFonts w:ascii="Times New Roman" w:hAnsi="Times New Roman" w:cs="Times New Roman"/>
          <w:sz w:val="24"/>
          <w:szCs w:val="24"/>
        </w:rPr>
        <w:t>steps</w:t>
      </w:r>
      <w:r w:rsidR="00B21502" w:rsidRPr="00AF5397">
        <w:rPr>
          <w:rFonts w:ascii="Times New Roman" w:hAnsi="Times New Roman" w:cs="Times New Roman"/>
          <w:sz w:val="24"/>
          <w:szCs w:val="24"/>
        </w:rPr>
        <w:t xml:space="preserve">. </w:t>
      </w:r>
      <w:r w:rsidR="00E87B9F" w:rsidRPr="00AF5397">
        <w:rPr>
          <w:rFonts w:ascii="Times New Roman" w:hAnsi="Times New Roman" w:cs="Times New Roman"/>
          <w:sz w:val="24"/>
          <w:szCs w:val="24"/>
        </w:rPr>
        <w:t>Additionally, this was a park that involved both adults and children and the company had in mind that</w:t>
      </w:r>
      <w:r w:rsidR="00A55CE0" w:rsidRPr="00AF5397">
        <w:rPr>
          <w:rFonts w:ascii="Times New Roman" w:hAnsi="Times New Roman" w:cs="Times New Roman"/>
          <w:sz w:val="24"/>
          <w:szCs w:val="24"/>
        </w:rPr>
        <w:t xml:space="preserve"> individuals would be using the</w:t>
      </w:r>
      <w:r w:rsidR="00146A8A" w:rsidRPr="00AF5397">
        <w:rPr>
          <w:rFonts w:ascii="Times New Roman" w:hAnsi="Times New Roman" w:cs="Times New Roman"/>
          <w:sz w:val="24"/>
          <w:szCs w:val="24"/>
        </w:rPr>
        <w:t xml:space="preserve"> steps to enter the fun house. It is also likely that a child might play around or an individual could lean </w:t>
      </w:r>
      <w:r w:rsidR="008A51FF" w:rsidRPr="00AF5397">
        <w:rPr>
          <w:rFonts w:ascii="Times New Roman" w:hAnsi="Times New Roman" w:cs="Times New Roman"/>
          <w:sz w:val="24"/>
          <w:szCs w:val="24"/>
        </w:rPr>
        <w:t>on the wooden fence to rest while queuing to get into the house. Therefore, from a reasonable person’s view, the company needed to take steps to eliminate or prevent such risk from occurring.</w:t>
      </w:r>
    </w:p>
    <w:p w14:paraId="73C176B5" w14:textId="77777777" w:rsidR="00310D84" w:rsidRPr="00AF5397" w:rsidRDefault="00310D84" w:rsidP="00AF5397">
      <w:pPr>
        <w:spacing w:line="480" w:lineRule="auto"/>
        <w:ind w:firstLine="720"/>
        <w:rPr>
          <w:rFonts w:ascii="Times New Roman" w:hAnsi="Times New Roman" w:cs="Times New Roman"/>
          <w:sz w:val="24"/>
          <w:szCs w:val="24"/>
        </w:rPr>
      </w:pPr>
      <w:r w:rsidRPr="00AF5397">
        <w:rPr>
          <w:rFonts w:ascii="Times New Roman" w:hAnsi="Times New Roman" w:cs="Times New Roman"/>
          <w:sz w:val="24"/>
          <w:szCs w:val="24"/>
        </w:rPr>
        <w:t xml:space="preserve">Further, in the case of Edwards, the </w:t>
      </w:r>
      <w:r w:rsidR="00131DE2" w:rsidRPr="00AF5397">
        <w:rPr>
          <w:rFonts w:ascii="Times New Roman" w:hAnsi="Times New Roman" w:cs="Times New Roman"/>
          <w:sz w:val="24"/>
          <w:szCs w:val="24"/>
        </w:rPr>
        <w:t xml:space="preserve">court observed that, the occupiers are not under any duty to protect or even to warn against obvious dangers. In that, if a particular risk is obvious to the public, the occupier does not have any duty to take steps to prevent any risk from </w:t>
      </w:r>
      <w:r w:rsidR="00B50E3B" w:rsidRPr="00AF5397">
        <w:rPr>
          <w:rFonts w:ascii="Times New Roman" w:hAnsi="Times New Roman" w:cs="Times New Roman"/>
          <w:sz w:val="24"/>
          <w:szCs w:val="24"/>
        </w:rPr>
        <w:t>occurring</w:t>
      </w:r>
      <w:r w:rsidR="004E0A29" w:rsidRPr="00AF5397">
        <w:rPr>
          <w:rFonts w:ascii="Times New Roman" w:hAnsi="Times New Roman" w:cs="Times New Roman"/>
          <w:sz w:val="24"/>
          <w:szCs w:val="24"/>
        </w:rPr>
        <w:t xml:space="preserve">. In this case, it is important to analyze whether the </w:t>
      </w:r>
      <w:r w:rsidR="00224D7D" w:rsidRPr="00AF5397">
        <w:rPr>
          <w:rFonts w:ascii="Times New Roman" w:hAnsi="Times New Roman" w:cs="Times New Roman"/>
          <w:sz w:val="24"/>
          <w:szCs w:val="24"/>
        </w:rPr>
        <w:t xml:space="preserve">risk was </w:t>
      </w:r>
      <w:r w:rsidR="00B50E3B" w:rsidRPr="00AF5397">
        <w:rPr>
          <w:rFonts w:ascii="Times New Roman" w:hAnsi="Times New Roman" w:cs="Times New Roman"/>
          <w:sz w:val="24"/>
          <w:szCs w:val="24"/>
        </w:rPr>
        <w:t>obvious to the public before holding the CPL liable for the injuries</w:t>
      </w:r>
      <w:r w:rsidR="008C37B8" w:rsidRPr="00AF5397">
        <w:rPr>
          <w:rFonts w:ascii="Times New Roman" w:hAnsi="Times New Roman" w:cs="Times New Roman"/>
          <w:sz w:val="24"/>
          <w:szCs w:val="24"/>
        </w:rPr>
        <w:t>.</w:t>
      </w:r>
      <w:r w:rsidR="00FF589B" w:rsidRPr="00AF5397">
        <w:rPr>
          <w:rFonts w:ascii="Times New Roman" w:hAnsi="Times New Roman" w:cs="Times New Roman"/>
          <w:sz w:val="24"/>
          <w:szCs w:val="24"/>
        </w:rPr>
        <w:t xml:space="preserve"> In the case of Edwards, the bridge</w:t>
      </w:r>
      <w:r w:rsidR="002F0703" w:rsidRPr="00AF5397">
        <w:rPr>
          <w:rFonts w:ascii="Times New Roman" w:hAnsi="Times New Roman" w:cs="Times New Roman"/>
          <w:sz w:val="24"/>
          <w:szCs w:val="24"/>
        </w:rPr>
        <w:t xml:space="preserve"> was clear and unobstructed, its conditions were obvious and thus, no warning could make any difference to the plaintiff. In the current case scenario, the </w:t>
      </w:r>
      <w:r w:rsidR="00153764" w:rsidRPr="00AF5397">
        <w:rPr>
          <w:rFonts w:ascii="Times New Roman" w:hAnsi="Times New Roman" w:cs="Times New Roman"/>
          <w:sz w:val="24"/>
          <w:szCs w:val="24"/>
        </w:rPr>
        <w:t xml:space="preserve">condition of the steps might be obvious to other individuals but it might </w:t>
      </w:r>
      <w:r w:rsidR="00F94076" w:rsidRPr="00AF5397">
        <w:rPr>
          <w:rFonts w:ascii="Times New Roman" w:hAnsi="Times New Roman" w:cs="Times New Roman"/>
          <w:sz w:val="24"/>
          <w:szCs w:val="24"/>
        </w:rPr>
        <w:t xml:space="preserve">not </w:t>
      </w:r>
      <w:r w:rsidR="00153764" w:rsidRPr="00AF5397">
        <w:rPr>
          <w:rFonts w:ascii="Times New Roman" w:hAnsi="Times New Roman" w:cs="Times New Roman"/>
          <w:sz w:val="24"/>
          <w:szCs w:val="24"/>
        </w:rPr>
        <w:t xml:space="preserve">be for everyone. Individuals might need to be keen to understand the state of the steps. </w:t>
      </w:r>
      <w:r w:rsidR="00EE67B0" w:rsidRPr="00AF5397">
        <w:rPr>
          <w:rFonts w:ascii="Times New Roman" w:hAnsi="Times New Roman" w:cs="Times New Roman"/>
          <w:sz w:val="24"/>
          <w:szCs w:val="24"/>
        </w:rPr>
        <w:t>In the case of Taylor v Glasgow City Council [1922] 1 AC 44</w:t>
      </w:r>
      <w:r w:rsidR="00C10A2A" w:rsidRPr="00AF5397">
        <w:rPr>
          <w:rFonts w:ascii="Times New Roman" w:hAnsi="Times New Roman" w:cs="Times New Roman"/>
          <w:sz w:val="24"/>
          <w:szCs w:val="24"/>
        </w:rPr>
        <w:t>, it was held that the Defendants had a duty to everyone including children and those that are</w:t>
      </w:r>
      <w:r w:rsidR="0096030F" w:rsidRPr="00AF5397">
        <w:rPr>
          <w:rFonts w:ascii="Times New Roman" w:hAnsi="Times New Roman" w:cs="Times New Roman"/>
          <w:sz w:val="24"/>
          <w:szCs w:val="24"/>
        </w:rPr>
        <w:t xml:space="preserve"> feeble in </w:t>
      </w:r>
      <w:r w:rsidR="00B84AFE" w:rsidRPr="00AF5397">
        <w:rPr>
          <w:rFonts w:ascii="Times New Roman" w:hAnsi="Times New Roman" w:cs="Times New Roman"/>
          <w:sz w:val="24"/>
          <w:szCs w:val="24"/>
        </w:rPr>
        <w:t>mind or body regardless of others knowing or anticipating the scope of the hazard</w:t>
      </w:r>
      <w:r w:rsidR="00AF5397">
        <w:rPr>
          <w:rFonts w:ascii="Times New Roman" w:hAnsi="Times New Roman" w:cs="Times New Roman"/>
          <w:sz w:val="24"/>
          <w:szCs w:val="24"/>
        </w:rPr>
        <w:t xml:space="preserve"> (Bailey, 2018)</w:t>
      </w:r>
      <w:r w:rsidR="00B84AFE" w:rsidRPr="00AF5397">
        <w:rPr>
          <w:rFonts w:ascii="Times New Roman" w:hAnsi="Times New Roman" w:cs="Times New Roman"/>
          <w:sz w:val="24"/>
          <w:szCs w:val="24"/>
        </w:rPr>
        <w:t xml:space="preserve">. Hence, CPL needed to take measures to protect the children or inform their parents of the dangers to avoid </w:t>
      </w:r>
      <w:r w:rsidR="00C05F51" w:rsidRPr="00AF5397">
        <w:rPr>
          <w:rFonts w:ascii="Times New Roman" w:hAnsi="Times New Roman" w:cs="Times New Roman"/>
          <w:sz w:val="24"/>
          <w:szCs w:val="24"/>
        </w:rPr>
        <w:t xml:space="preserve">endangering them. </w:t>
      </w:r>
      <w:r w:rsidR="00153764" w:rsidRPr="00AF5397">
        <w:rPr>
          <w:rFonts w:ascii="Times New Roman" w:hAnsi="Times New Roman" w:cs="Times New Roman"/>
          <w:sz w:val="24"/>
          <w:szCs w:val="24"/>
        </w:rPr>
        <w:t xml:space="preserve">Furthermore, </w:t>
      </w:r>
      <w:r w:rsidR="00CE5FEF" w:rsidRPr="00AF5397">
        <w:rPr>
          <w:rFonts w:ascii="Times New Roman" w:hAnsi="Times New Roman" w:cs="Times New Roman"/>
          <w:sz w:val="24"/>
          <w:szCs w:val="24"/>
        </w:rPr>
        <w:t>th</w:t>
      </w:r>
      <w:r w:rsidR="00153764" w:rsidRPr="00AF5397">
        <w:rPr>
          <w:rFonts w:ascii="Times New Roman" w:hAnsi="Times New Roman" w:cs="Times New Roman"/>
          <w:sz w:val="24"/>
          <w:szCs w:val="24"/>
        </w:rPr>
        <w:t xml:space="preserve">ere is need to put warnings to help the visitors to the park </w:t>
      </w:r>
      <w:r w:rsidR="00FD7CCB" w:rsidRPr="00AF5397">
        <w:rPr>
          <w:rFonts w:ascii="Times New Roman" w:hAnsi="Times New Roman" w:cs="Times New Roman"/>
          <w:sz w:val="24"/>
          <w:szCs w:val="24"/>
        </w:rPr>
        <w:t>on the risks and to take precautions.</w:t>
      </w:r>
      <w:r w:rsidR="001F7283" w:rsidRPr="00AF5397">
        <w:rPr>
          <w:rFonts w:ascii="Times New Roman" w:hAnsi="Times New Roman" w:cs="Times New Roman"/>
          <w:sz w:val="24"/>
          <w:szCs w:val="24"/>
        </w:rPr>
        <w:t xml:space="preserve"> </w:t>
      </w:r>
      <w:r w:rsidR="00CE5FEF" w:rsidRPr="00AF5397">
        <w:rPr>
          <w:rFonts w:ascii="Times New Roman" w:hAnsi="Times New Roman" w:cs="Times New Roman"/>
          <w:sz w:val="24"/>
          <w:szCs w:val="24"/>
        </w:rPr>
        <w:t xml:space="preserve">In this case, it is critical to focus on whether CPL took any measures to meet their duty as occupiers in ensuring the bridge was safe based on the condition of the steps. In Wheat v. E Lacon &amp; Co. Ltd, </w:t>
      </w:r>
      <w:r w:rsidR="00611914" w:rsidRPr="00AF5397">
        <w:rPr>
          <w:rFonts w:ascii="Times New Roman" w:hAnsi="Times New Roman" w:cs="Times New Roman"/>
          <w:sz w:val="24"/>
          <w:szCs w:val="24"/>
        </w:rPr>
        <w:t xml:space="preserve">it was decided that the occupier has the duty </w:t>
      </w:r>
      <w:r w:rsidR="009867FD" w:rsidRPr="00AF5397">
        <w:rPr>
          <w:rFonts w:ascii="Times New Roman" w:hAnsi="Times New Roman" w:cs="Times New Roman"/>
          <w:sz w:val="24"/>
          <w:szCs w:val="24"/>
        </w:rPr>
        <w:t>towards</w:t>
      </w:r>
      <w:r w:rsidR="00611914" w:rsidRPr="00AF5397">
        <w:rPr>
          <w:rFonts w:ascii="Times New Roman" w:hAnsi="Times New Roman" w:cs="Times New Roman"/>
          <w:sz w:val="24"/>
          <w:szCs w:val="24"/>
        </w:rPr>
        <w:t xml:space="preserve"> their visitors to maintain the condition of their property to remove any danger. In this case, the Defendants had </w:t>
      </w:r>
      <w:r w:rsidR="00C95DA5" w:rsidRPr="00AF5397">
        <w:rPr>
          <w:rFonts w:ascii="Times New Roman" w:hAnsi="Times New Roman" w:cs="Times New Roman"/>
          <w:sz w:val="24"/>
          <w:szCs w:val="24"/>
        </w:rPr>
        <w:t xml:space="preserve">taken reasonable steps </w:t>
      </w:r>
      <w:r w:rsidR="005F77A3" w:rsidRPr="00AF5397">
        <w:rPr>
          <w:rFonts w:ascii="Times New Roman" w:hAnsi="Times New Roman" w:cs="Times New Roman"/>
          <w:sz w:val="24"/>
          <w:szCs w:val="24"/>
        </w:rPr>
        <w:t>to ensure the safety of their visitors except that there was lack of light which was caused by unknown stranger that took the light bulb out leading to the incident</w:t>
      </w:r>
      <w:r w:rsidR="008E79A1" w:rsidRPr="00AF5397">
        <w:rPr>
          <w:rFonts w:ascii="Times New Roman" w:hAnsi="Times New Roman" w:cs="Times New Roman"/>
          <w:sz w:val="24"/>
          <w:szCs w:val="24"/>
        </w:rPr>
        <w:t>. Therefore, CPL needed to take reasonable steps to maintain the steps and protect their visitors.</w:t>
      </w:r>
    </w:p>
    <w:p w14:paraId="5FF3F8B6" w14:textId="77777777" w:rsidR="000F5773" w:rsidRPr="00AF5397" w:rsidRDefault="000F5773" w:rsidP="00AF5397">
      <w:pPr>
        <w:spacing w:line="480" w:lineRule="auto"/>
        <w:ind w:firstLine="720"/>
        <w:rPr>
          <w:rFonts w:ascii="Times New Roman" w:hAnsi="Times New Roman" w:cs="Times New Roman"/>
          <w:sz w:val="24"/>
          <w:szCs w:val="24"/>
        </w:rPr>
      </w:pPr>
      <w:r w:rsidRPr="00AF5397">
        <w:rPr>
          <w:rFonts w:ascii="Times New Roman" w:hAnsi="Times New Roman" w:cs="Times New Roman"/>
          <w:sz w:val="24"/>
          <w:szCs w:val="24"/>
        </w:rPr>
        <w:t xml:space="preserve">In the case scenario, Millie </w:t>
      </w:r>
      <w:r w:rsidR="00E252E2" w:rsidRPr="00AF5397">
        <w:rPr>
          <w:rFonts w:ascii="Times New Roman" w:hAnsi="Times New Roman" w:cs="Times New Roman"/>
          <w:sz w:val="24"/>
          <w:szCs w:val="24"/>
        </w:rPr>
        <w:t xml:space="preserve">is a trespasser on the </w:t>
      </w:r>
      <w:r w:rsidR="001E54B6" w:rsidRPr="00AF5397">
        <w:rPr>
          <w:rFonts w:ascii="Times New Roman" w:hAnsi="Times New Roman" w:cs="Times New Roman"/>
          <w:sz w:val="24"/>
          <w:szCs w:val="24"/>
        </w:rPr>
        <w:t>park</w:t>
      </w:r>
      <w:r w:rsidR="0065145D" w:rsidRPr="00AF5397">
        <w:rPr>
          <w:rFonts w:ascii="Times New Roman" w:hAnsi="Times New Roman" w:cs="Times New Roman"/>
          <w:sz w:val="24"/>
          <w:szCs w:val="24"/>
        </w:rPr>
        <w:t xml:space="preserve"> and will be guided by the Occupiers</w:t>
      </w:r>
      <w:r w:rsidR="00AB0E27" w:rsidRPr="00AF5397">
        <w:rPr>
          <w:rFonts w:ascii="Times New Roman" w:hAnsi="Times New Roman" w:cs="Times New Roman"/>
          <w:sz w:val="24"/>
          <w:szCs w:val="24"/>
        </w:rPr>
        <w:t xml:space="preserve"> Liability</w:t>
      </w:r>
      <w:r w:rsidR="0065145D" w:rsidRPr="00AF5397">
        <w:rPr>
          <w:rFonts w:ascii="Times New Roman" w:hAnsi="Times New Roman" w:cs="Times New Roman"/>
          <w:sz w:val="24"/>
          <w:szCs w:val="24"/>
        </w:rPr>
        <w:t xml:space="preserve"> Act 1984. Millie is protected under section</w:t>
      </w:r>
      <w:r w:rsidR="00E252E2" w:rsidRPr="00AF5397">
        <w:rPr>
          <w:rFonts w:ascii="Times New Roman" w:hAnsi="Times New Roman" w:cs="Times New Roman"/>
          <w:sz w:val="24"/>
          <w:szCs w:val="24"/>
        </w:rPr>
        <w:t xml:space="preserve"> </w:t>
      </w:r>
      <w:r w:rsidR="00AB0E27" w:rsidRPr="00AF5397">
        <w:rPr>
          <w:rFonts w:ascii="Times New Roman" w:hAnsi="Times New Roman" w:cs="Times New Roman"/>
          <w:sz w:val="24"/>
          <w:szCs w:val="24"/>
        </w:rPr>
        <w:t xml:space="preserve">1 of the Act that provides for the duty of occupier to persons other than his visitors. Additionally, </w:t>
      </w:r>
      <w:r w:rsidR="00642BDE" w:rsidRPr="00AF5397">
        <w:rPr>
          <w:rFonts w:ascii="Times New Roman" w:hAnsi="Times New Roman" w:cs="Times New Roman"/>
          <w:sz w:val="24"/>
          <w:szCs w:val="24"/>
        </w:rPr>
        <w:t xml:space="preserve">section </w:t>
      </w:r>
      <w:r w:rsidR="00AF5397" w:rsidRPr="00AF5397">
        <w:rPr>
          <w:rFonts w:ascii="Times New Roman" w:hAnsi="Times New Roman" w:cs="Times New Roman"/>
          <w:sz w:val="24"/>
          <w:szCs w:val="24"/>
        </w:rPr>
        <w:t>1 (</w:t>
      </w:r>
      <w:r w:rsidR="00642BDE" w:rsidRPr="00AF5397">
        <w:rPr>
          <w:rFonts w:ascii="Times New Roman" w:hAnsi="Times New Roman" w:cs="Times New Roman"/>
          <w:sz w:val="24"/>
          <w:szCs w:val="24"/>
        </w:rPr>
        <w:t>3</w:t>
      </w:r>
      <w:r w:rsidR="00AF5397" w:rsidRPr="00AF5397">
        <w:rPr>
          <w:rFonts w:ascii="Times New Roman" w:hAnsi="Times New Roman" w:cs="Times New Roman"/>
          <w:sz w:val="24"/>
          <w:szCs w:val="24"/>
        </w:rPr>
        <w:t>)</w:t>
      </w:r>
      <w:r w:rsidR="00642BDE" w:rsidRPr="00AF5397">
        <w:rPr>
          <w:rFonts w:ascii="Times New Roman" w:hAnsi="Times New Roman" w:cs="Times New Roman"/>
          <w:sz w:val="24"/>
          <w:szCs w:val="24"/>
        </w:rPr>
        <w:t xml:space="preserve"> of the Ac</w:t>
      </w:r>
      <w:r w:rsidR="00594AA6" w:rsidRPr="00AF5397">
        <w:rPr>
          <w:rFonts w:ascii="Times New Roman" w:hAnsi="Times New Roman" w:cs="Times New Roman"/>
          <w:sz w:val="24"/>
          <w:szCs w:val="24"/>
        </w:rPr>
        <w:t xml:space="preserve">t provides the situations that an occupier owes a duty to </w:t>
      </w:r>
      <w:r w:rsidR="006B7AF4" w:rsidRPr="00AF5397">
        <w:rPr>
          <w:rFonts w:ascii="Times New Roman" w:hAnsi="Times New Roman" w:cs="Times New Roman"/>
          <w:sz w:val="24"/>
          <w:szCs w:val="24"/>
        </w:rPr>
        <w:t>a person other than his visitors. For example, Section</w:t>
      </w:r>
      <w:r w:rsidR="00AF5397" w:rsidRPr="00AF5397">
        <w:rPr>
          <w:rFonts w:ascii="Times New Roman" w:hAnsi="Times New Roman" w:cs="Times New Roman"/>
          <w:sz w:val="24"/>
          <w:szCs w:val="24"/>
        </w:rPr>
        <w:t xml:space="preserve"> 1</w:t>
      </w:r>
      <w:r w:rsidR="006B7AF4" w:rsidRPr="00AF5397">
        <w:rPr>
          <w:rFonts w:ascii="Times New Roman" w:hAnsi="Times New Roman" w:cs="Times New Roman"/>
          <w:sz w:val="24"/>
          <w:szCs w:val="24"/>
        </w:rPr>
        <w:t xml:space="preserve"> </w:t>
      </w:r>
      <w:r w:rsidR="00AF5397" w:rsidRPr="00AF5397">
        <w:rPr>
          <w:rFonts w:ascii="Times New Roman" w:hAnsi="Times New Roman" w:cs="Times New Roman"/>
          <w:sz w:val="24"/>
          <w:szCs w:val="24"/>
        </w:rPr>
        <w:t>(</w:t>
      </w:r>
      <w:r w:rsidR="006B7AF4" w:rsidRPr="00AF5397">
        <w:rPr>
          <w:rFonts w:ascii="Times New Roman" w:hAnsi="Times New Roman" w:cs="Times New Roman"/>
          <w:sz w:val="24"/>
          <w:szCs w:val="24"/>
        </w:rPr>
        <w:t>3</w:t>
      </w:r>
      <w:r w:rsidR="00AF5397" w:rsidRPr="00AF5397">
        <w:rPr>
          <w:rFonts w:ascii="Times New Roman" w:hAnsi="Times New Roman" w:cs="Times New Roman"/>
          <w:sz w:val="24"/>
          <w:szCs w:val="24"/>
        </w:rPr>
        <w:t>)</w:t>
      </w:r>
      <w:r w:rsidR="006B7AF4" w:rsidRPr="00AF5397">
        <w:rPr>
          <w:rFonts w:ascii="Times New Roman" w:hAnsi="Times New Roman" w:cs="Times New Roman"/>
          <w:sz w:val="24"/>
          <w:szCs w:val="24"/>
        </w:rPr>
        <w:t xml:space="preserve"> (a) provides that the occupier must be aware of the danger or has reasonable grounds to believe that it exists</w:t>
      </w:r>
      <w:r w:rsidR="00AF5397">
        <w:rPr>
          <w:rFonts w:ascii="Times New Roman" w:hAnsi="Times New Roman" w:cs="Times New Roman"/>
          <w:sz w:val="24"/>
          <w:szCs w:val="24"/>
        </w:rPr>
        <w:t xml:space="preserve"> (Pawlowski, 2019)</w:t>
      </w:r>
      <w:r w:rsidR="006B7AF4" w:rsidRPr="00AF5397">
        <w:rPr>
          <w:rFonts w:ascii="Times New Roman" w:hAnsi="Times New Roman" w:cs="Times New Roman"/>
          <w:sz w:val="24"/>
          <w:szCs w:val="24"/>
        </w:rPr>
        <w:t xml:space="preserve">. He must also be aware or has reasonable grounds that such an individual </w:t>
      </w:r>
      <w:r w:rsidR="00556FF5" w:rsidRPr="00AF5397">
        <w:rPr>
          <w:rFonts w:ascii="Times New Roman" w:hAnsi="Times New Roman" w:cs="Times New Roman"/>
          <w:sz w:val="24"/>
          <w:szCs w:val="24"/>
        </w:rPr>
        <w:t xml:space="preserve">is in the vicinity of the danger or may come into the vicinity of the risk. </w:t>
      </w:r>
      <w:r w:rsidR="00853DA8" w:rsidRPr="00AF5397">
        <w:rPr>
          <w:rFonts w:ascii="Times New Roman" w:hAnsi="Times New Roman" w:cs="Times New Roman"/>
          <w:sz w:val="24"/>
          <w:szCs w:val="24"/>
        </w:rPr>
        <w:t xml:space="preserve">Therefore, as Millie is a trespasser, </w:t>
      </w:r>
      <w:r w:rsidR="00510E48" w:rsidRPr="00AF5397">
        <w:rPr>
          <w:rFonts w:ascii="Times New Roman" w:hAnsi="Times New Roman" w:cs="Times New Roman"/>
          <w:sz w:val="24"/>
          <w:szCs w:val="24"/>
        </w:rPr>
        <w:t xml:space="preserve">CPL </w:t>
      </w:r>
      <w:r w:rsidR="00904371" w:rsidRPr="00AF5397">
        <w:rPr>
          <w:rFonts w:ascii="Times New Roman" w:hAnsi="Times New Roman" w:cs="Times New Roman"/>
          <w:sz w:val="24"/>
          <w:szCs w:val="24"/>
        </w:rPr>
        <w:t xml:space="preserve">have duty to protect her from any known or reasonable risk. </w:t>
      </w:r>
      <w:r w:rsidR="001B16DA" w:rsidRPr="00AF5397">
        <w:rPr>
          <w:rFonts w:ascii="Times New Roman" w:hAnsi="Times New Roman" w:cs="Times New Roman"/>
          <w:sz w:val="24"/>
          <w:szCs w:val="24"/>
        </w:rPr>
        <w:t>CPL need to take measures as provided under Section</w:t>
      </w:r>
      <w:r w:rsidR="00835E08" w:rsidRPr="00AF5397">
        <w:rPr>
          <w:rFonts w:ascii="Times New Roman" w:hAnsi="Times New Roman" w:cs="Times New Roman"/>
          <w:sz w:val="24"/>
          <w:szCs w:val="24"/>
        </w:rPr>
        <w:t xml:space="preserve"> </w:t>
      </w:r>
      <w:r w:rsidR="00AF5397" w:rsidRPr="00AF5397">
        <w:rPr>
          <w:rFonts w:ascii="Times New Roman" w:hAnsi="Times New Roman" w:cs="Times New Roman"/>
          <w:sz w:val="24"/>
          <w:szCs w:val="24"/>
        </w:rPr>
        <w:t>1 (</w:t>
      </w:r>
      <w:r w:rsidR="00835E08" w:rsidRPr="00AF5397">
        <w:rPr>
          <w:rFonts w:ascii="Times New Roman" w:hAnsi="Times New Roman" w:cs="Times New Roman"/>
          <w:sz w:val="24"/>
          <w:szCs w:val="24"/>
        </w:rPr>
        <w:t>3</w:t>
      </w:r>
      <w:r w:rsidR="00AF5397" w:rsidRPr="00AF5397">
        <w:rPr>
          <w:rFonts w:ascii="Times New Roman" w:hAnsi="Times New Roman" w:cs="Times New Roman"/>
          <w:sz w:val="24"/>
          <w:szCs w:val="24"/>
        </w:rPr>
        <w:t>)</w:t>
      </w:r>
      <w:r w:rsidR="00835E08" w:rsidRPr="00AF5397">
        <w:rPr>
          <w:rFonts w:ascii="Times New Roman" w:hAnsi="Times New Roman" w:cs="Times New Roman"/>
          <w:sz w:val="24"/>
          <w:szCs w:val="24"/>
        </w:rPr>
        <w:t xml:space="preserve"> (c) and Section</w:t>
      </w:r>
      <w:r w:rsidR="00AF5397" w:rsidRPr="00AF5397">
        <w:rPr>
          <w:rFonts w:ascii="Times New Roman" w:hAnsi="Times New Roman" w:cs="Times New Roman"/>
          <w:sz w:val="24"/>
          <w:szCs w:val="24"/>
        </w:rPr>
        <w:t xml:space="preserve"> 1</w:t>
      </w:r>
      <w:r w:rsidR="001B16DA" w:rsidRPr="00AF5397">
        <w:rPr>
          <w:rFonts w:ascii="Times New Roman" w:hAnsi="Times New Roman" w:cs="Times New Roman"/>
          <w:sz w:val="24"/>
          <w:szCs w:val="24"/>
        </w:rPr>
        <w:t xml:space="preserve"> </w:t>
      </w:r>
      <w:r w:rsidR="00AF5397" w:rsidRPr="00AF5397">
        <w:rPr>
          <w:rFonts w:ascii="Times New Roman" w:hAnsi="Times New Roman" w:cs="Times New Roman"/>
          <w:sz w:val="24"/>
          <w:szCs w:val="24"/>
        </w:rPr>
        <w:t>(</w:t>
      </w:r>
      <w:r w:rsidR="001B16DA" w:rsidRPr="00AF5397">
        <w:rPr>
          <w:rFonts w:ascii="Times New Roman" w:hAnsi="Times New Roman" w:cs="Times New Roman"/>
          <w:sz w:val="24"/>
          <w:szCs w:val="24"/>
        </w:rPr>
        <w:t>4</w:t>
      </w:r>
      <w:r w:rsidR="00AF5397" w:rsidRPr="00AF5397">
        <w:rPr>
          <w:rFonts w:ascii="Times New Roman" w:hAnsi="Times New Roman" w:cs="Times New Roman"/>
          <w:sz w:val="24"/>
          <w:szCs w:val="24"/>
        </w:rPr>
        <w:t>)</w:t>
      </w:r>
      <w:r w:rsidR="001B16DA" w:rsidRPr="00AF5397">
        <w:rPr>
          <w:rFonts w:ascii="Times New Roman" w:hAnsi="Times New Roman" w:cs="Times New Roman"/>
          <w:sz w:val="24"/>
          <w:szCs w:val="24"/>
        </w:rPr>
        <w:t xml:space="preserve"> </w:t>
      </w:r>
      <w:r w:rsidR="003518E7" w:rsidRPr="00AF5397">
        <w:rPr>
          <w:rFonts w:ascii="Times New Roman" w:hAnsi="Times New Roman" w:cs="Times New Roman"/>
          <w:sz w:val="24"/>
          <w:szCs w:val="24"/>
        </w:rPr>
        <w:t xml:space="preserve">to protect trespassers from injury or harm </w:t>
      </w:r>
      <w:r w:rsidR="00835E08" w:rsidRPr="00AF5397">
        <w:rPr>
          <w:rFonts w:ascii="Times New Roman" w:hAnsi="Times New Roman" w:cs="Times New Roman"/>
          <w:sz w:val="24"/>
          <w:szCs w:val="24"/>
        </w:rPr>
        <w:t xml:space="preserve">to dispense any liability they might have on them. </w:t>
      </w:r>
      <w:r w:rsidR="0018695B" w:rsidRPr="00AF5397">
        <w:rPr>
          <w:rFonts w:ascii="Times New Roman" w:hAnsi="Times New Roman" w:cs="Times New Roman"/>
          <w:sz w:val="24"/>
          <w:szCs w:val="24"/>
        </w:rPr>
        <w:t xml:space="preserve">Therefore, CPL owes Millie a duty of </w:t>
      </w:r>
      <w:r w:rsidR="0044367E" w:rsidRPr="00AF5397">
        <w:rPr>
          <w:rFonts w:ascii="Times New Roman" w:hAnsi="Times New Roman" w:cs="Times New Roman"/>
          <w:sz w:val="24"/>
          <w:szCs w:val="24"/>
        </w:rPr>
        <w:t>protection</w:t>
      </w:r>
      <w:r w:rsidR="0018695B" w:rsidRPr="00AF5397">
        <w:rPr>
          <w:rFonts w:ascii="Times New Roman" w:hAnsi="Times New Roman" w:cs="Times New Roman"/>
          <w:sz w:val="24"/>
          <w:szCs w:val="24"/>
        </w:rPr>
        <w:t xml:space="preserve"> from any risk </w:t>
      </w:r>
      <w:r w:rsidR="0044367E" w:rsidRPr="00AF5397">
        <w:rPr>
          <w:rFonts w:ascii="Times New Roman" w:hAnsi="Times New Roman" w:cs="Times New Roman"/>
          <w:sz w:val="24"/>
          <w:szCs w:val="24"/>
        </w:rPr>
        <w:t xml:space="preserve">based on their knowledge or have reasonable awareness on any danger that might affect her. </w:t>
      </w:r>
      <w:r w:rsidR="00965302" w:rsidRPr="00AF5397">
        <w:rPr>
          <w:rFonts w:ascii="Times New Roman" w:hAnsi="Times New Roman" w:cs="Times New Roman"/>
          <w:sz w:val="24"/>
          <w:szCs w:val="24"/>
        </w:rPr>
        <w:t>In the case of Harris v Birkenhead Corp [1976] 1 WLR 279, the defendant</w:t>
      </w:r>
      <w:r w:rsidR="009F2840" w:rsidRPr="00AF5397">
        <w:rPr>
          <w:rFonts w:ascii="Times New Roman" w:hAnsi="Times New Roman" w:cs="Times New Roman"/>
          <w:sz w:val="24"/>
          <w:szCs w:val="24"/>
        </w:rPr>
        <w:t xml:space="preserve"> was held liable for the injuries sustained by the Plaintiff for not taking measures to protect any trespasser to the property. Although in this case the plaintiff was a child that was injured while on the property, </w:t>
      </w:r>
      <w:r w:rsidR="005B1C6C" w:rsidRPr="00AF5397">
        <w:rPr>
          <w:rFonts w:ascii="Times New Roman" w:hAnsi="Times New Roman" w:cs="Times New Roman"/>
          <w:sz w:val="24"/>
          <w:szCs w:val="24"/>
        </w:rPr>
        <w:t>it is clear that occupiers need to take measures including putting warning signs to protect visitors and other individuals on their property</w:t>
      </w:r>
      <w:r w:rsidR="00AF5397">
        <w:rPr>
          <w:rFonts w:ascii="Times New Roman" w:hAnsi="Times New Roman" w:cs="Times New Roman"/>
          <w:sz w:val="24"/>
          <w:szCs w:val="24"/>
        </w:rPr>
        <w:t xml:space="preserve"> (Bailey, 2018)</w:t>
      </w:r>
      <w:r w:rsidR="005B1C6C" w:rsidRPr="00AF5397">
        <w:rPr>
          <w:rFonts w:ascii="Times New Roman" w:hAnsi="Times New Roman" w:cs="Times New Roman"/>
          <w:sz w:val="24"/>
          <w:szCs w:val="24"/>
        </w:rPr>
        <w:t xml:space="preserve">. </w:t>
      </w:r>
      <w:r w:rsidR="0044367E" w:rsidRPr="00AF5397">
        <w:rPr>
          <w:rFonts w:ascii="Times New Roman" w:hAnsi="Times New Roman" w:cs="Times New Roman"/>
          <w:sz w:val="24"/>
          <w:szCs w:val="24"/>
        </w:rPr>
        <w:t xml:space="preserve">However, </w:t>
      </w:r>
      <w:r w:rsidR="007B1D99" w:rsidRPr="00AF5397">
        <w:rPr>
          <w:rFonts w:ascii="Times New Roman" w:hAnsi="Times New Roman" w:cs="Times New Roman"/>
          <w:sz w:val="24"/>
          <w:szCs w:val="24"/>
        </w:rPr>
        <w:t xml:space="preserve">if CPL has taken measures as provided under section </w:t>
      </w:r>
      <w:r w:rsidR="00AF5397" w:rsidRPr="00AF5397">
        <w:rPr>
          <w:rFonts w:ascii="Times New Roman" w:hAnsi="Times New Roman" w:cs="Times New Roman"/>
          <w:sz w:val="24"/>
          <w:szCs w:val="24"/>
        </w:rPr>
        <w:t>1 (</w:t>
      </w:r>
      <w:r w:rsidR="007B1D99" w:rsidRPr="00AF5397">
        <w:rPr>
          <w:rFonts w:ascii="Times New Roman" w:hAnsi="Times New Roman" w:cs="Times New Roman"/>
          <w:sz w:val="24"/>
          <w:szCs w:val="24"/>
        </w:rPr>
        <w:t>4</w:t>
      </w:r>
      <w:r w:rsidR="00AF5397" w:rsidRPr="00AF5397">
        <w:rPr>
          <w:rFonts w:ascii="Times New Roman" w:hAnsi="Times New Roman" w:cs="Times New Roman"/>
          <w:sz w:val="24"/>
          <w:szCs w:val="24"/>
        </w:rPr>
        <w:t>)</w:t>
      </w:r>
      <w:r w:rsidR="007B1D99" w:rsidRPr="00AF5397">
        <w:rPr>
          <w:rFonts w:ascii="Times New Roman" w:hAnsi="Times New Roman" w:cs="Times New Roman"/>
          <w:sz w:val="24"/>
          <w:szCs w:val="24"/>
        </w:rPr>
        <w:t xml:space="preserve"> and also Millie has willingly accepted the risks, CPL does not owe Millie any duty</w:t>
      </w:r>
      <w:r w:rsidR="005C1C9E" w:rsidRPr="00AF5397">
        <w:rPr>
          <w:rFonts w:ascii="Times New Roman" w:hAnsi="Times New Roman" w:cs="Times New Roman"/>
          <w:sz w:val="24"/>
          <w:szCs w:val="24"/>
        </w:rPr>
        <w:t xml:space="preserve">. Particularly, it can be said that CPL took measures to prevent entry of trespassers by building the </w:t>
      </w:r>
      <w:r w:rsidR="001B7350" w:rsidRPr="00AF5397">
        <w:rPr>
          <w:rFonts w:ascii="Times New Roman" w:hAnsi="Times New Roman" w:cs="Times New Roman"/>
          <w:sz w:val="24"/>
          <w:szCs w:val="24"/>
        </w:rPr>
        <w:t xml:space="preserve">high perimeter fence. Further, Millie knew that for one to have </w:t>
      </w:r>
      <w:r w:rsidR="00413A53" w:rsidRPr="00AF5397">
        <w:rPr>
          <w:rFonts w:ascii="Times New Roman" w:hAnsi="Times New Roman" w:cs="Times New Roman"/>
          <w:sz w:val="24"/>
          <w:szCs w:val="24"/>
        </w:rPr>
        <w:t>accessibility</w:t>
      </w:r>
      <w:r w:rsidR="001B7350" w:rsidRPr="00AF5397">
        <w:rPr>
          <w:rFonts w:ascii="Times New Roman" w:hAnsi="Times New Roman" w:cs="Times New Roman"/>
          <w:sz w:val="24"/>
          <w:szCs w:val="24"/>
        </w:rPr>
        <w:t xml:space="preserve"> to the theme park</w:t>
      </w:r>
      <w:r w:rsidR="00413A53" w:rsidRPr="00AF5397">
        <w:rPr>
          <w:rFonts w:ascii="Times New Roman" w:hAnsi="Times New Roman" w:cs="Times New Roman"/>
          <w:sz w:val="24"/>
          <w:szCs w:val="24"/>
        </w:rPr>
        <w:t xml:space="preserve">, he or she must buy a ticket and pass through the entrance gate. Nevertheless, she was unwilling to pay the entrance fee and decided to </w:t>
      </w:r>
      <w:r w:rsidR="00C60E4C" w:rsidRPr="00AF5397">
        <w:rPr>
          <w:rFonts w:ascii="Times New Roman" w:hAnsi="Times New Roman" w:cs="Times New Roman"/>
          <w:sz w:val="24"/>
          <w:szCs w:val="24"/>
        </w:rPr>
        <w:t>j</w:t>
      </w:r>
      <w:r w:rsidR="00413A53" w:rsidRPr="00AF5397">
        <w:rPr>
          <w:rFonts w:ascii="Times New Roman" w:hAnsi="Times New Roman" w:cs="Times New Roman"/>
          <w:sz w:val="24"/>
          <w:szCs w:val="24"/>
        </w:rPr>
        <w:t xml:space="preserve">ump over the </w:t>
      </w:r>
      <w:r w:rsidR="00C60E4C" w:rsidRPr="00AF5397">
        <w:rPr>
          <w:rFonts w:ascii="Times New Roman" w:hAnsi="Times New Roman" w:cs="Times New Roman"/>
          <w:sz w:val="24"/>
          <w:szCs w:val="24"/>
        </w:rPr>
        <w:t xml:space="preserve">high perimeter fence. Therefore, CPL is not liable for any injuries obtained by </w:t>
      </w:r>
      <w:r w:rsidR="005C1797" w:rsidRPr="00AF5397">
        <w:rPr>
          <w:rFonts w:ascii="Times New Roman" w:hAnsi="Times New Roman" w:cs="Times New Roman"/>
          <w:sz w:val="24"/>
          <w:szCs w:val="24"/>
        </w:rPr>
        <w:t>Millie due to her negligence.</w:t>
      </w:r>
      <w:r w:rsidR="00783C88" w:rsidRPr="00AF5397">
        <w:rPr>
          <w:rFonts w:ascii="Times New Roman" w:hAnsi="Times New Roman" w:cs="Times New Roman"/>
          <w:sz w:val="24"/>
          <w:szCs w:val="24"/>
        </w:rPr>
        <w:t xml:space="preserve"> This position is supported by the Ra</w:t>
      </w:r>
      <w:r w:rsidR="000D672F" w:rsidRPr="00AF5397">
        <w:rPr>
          <w:rFonts w:ascii="Times New Roman" w:hAnsi="Times New Roman" w:cs="Times New Roman"/>
          <w:sz w:val="24"/>
          <w:szCs w:val="24"/>
        </w:rPr>
        <w:t>t</w:t>
      </w:r>
      <w:r w:rsidR="00783C88" w:rsidRPr="00AF5397">
        <w:rPr>
          <w:rFonts w:ascii="Times New Roman" w:hAnsi="Times New Roman" w:cs="Times New Roman"/>
          <w:sz w:val="24"/>
          <w:szCs w:val="24"/>
        </w:rPr>
        <w:t xml:space="preserve">cliff v McConnel and Another </w:t>
      </w:r>
      <w:r w:rsidR="004540E6" w:rsidRPr="00AF5397">
        <w:rPr>
          <w:rFonts w:ascii="Times New Roman" w:hAnsi="Times New Roman" w:cs="Times New Roman"/>
          <w:sz w:val="24"/>
          <w:szCs w:val="24"/>
        </w:rPr>
        <w:t>[1999] 1 WLR 670, Tomlinson v C</w:t>
      </w:r>
      <w:r w:rsidR="0055221C" w:rsidRPr="00AF5397">
        <w:rPr>
          <w:rFonts w:ascii="Times New Roman" w:hAnsi="Times New Roman" w:cs="Times New Roman"/>
          <w:sz w:val="24"/>
          <w:szCs w:val="24"/>
        </w:rPr>
        <w:t>o</w:t>
      </w:r>
      <w:r w:rsidR="004540E6" w:rsidRPr="00AF5397">
        <w:rPr>
          <w:rFonts w:ascii="Times New Roman" w:hAnsi="Times New Roman" w:cs="Times New Roman"/>
          <w:sz w:val="24"/>
          <w:szCs w:val="24"/>
        </w:rPr>
        <w:t>ngleton Borough Council [2003</w:t>
      </w:r>
      <w:r w:rsidR="00965302" w:rsidRPr="00AF5397">
        <w:rPr>
          <w:rFonts w:ascii="Times New Roman" w:hAnsi="Times New Roman" w:cs="Times New Roman"/>
          <w:sz w:val="24"/>
          <w:szCs w:val="24"/>
        </w:rPr>
        <w:t>] 3 All ER 1122 and Donoghue v Folkstone Properties ltd 2003.</w:t>
      </w:r>
      <w:r w:rsidR="008B4ED5" w:rsidRPr="00AF5397">
        <w:rPr>
          <w:rFonts w:ascii="Times New Roman" w:hAnsi="Times New Roman" w:cs="Times New Roman"/>
          <w:sz w:val="24"/>
          <w:szCs w:val="24"/>
        </w:rPr>
        <w:t xml:space="preserve"> </w:t>
      </w:r>
      <w:r w:rsidR="00026B50" w:rsidRPr="00AF5397">
        <w:rPr>
          <w:rFonts w:ascii="Times New Roman" w:hAnsi="Times New Roman" w:cs="Times New Roman"/>
          <w:sz w:val="24"/>
          <w:szCs w:val="24"/>
        </w:rPr>
        <w:t xml:space="preserve">In the case of Ratcliff, </w:t>
      </w:r>
      <w:r w:rsidR="009A13B0" w:rsidRPr="00AF5397">
        <w:rPr>
          <w:rFonts w:ascii="Times New Roman" w:hAnsi="Times New Roman" w:cs="Times New Roman"/>
          <w:sz w:val="24"/>
          <w:szCs w:val="24"/>
        </w:rPr>
        <w:t xml:space="preserve">the court allowed the appeal by the Defendants </w:t>
      </w:r>
      <w:r w:rsidR="006771BA" w:rsidRPr="00AF5397">
        <w:rPr>
          <w:rFonts w:ascii="Times New Roman" w:hAnsi="Times New Roman" w:cs="Times New Roman"/>
          <w:sz w:val="24"/>
          <w:szCs w:val="24"/>
        </w:rPr>
        <w:t xml:space="preserve">indicating that there was no obvious risk that would guarantee a duty of care under section 1 </w:t>
      </w:r>
      <w:r w:rsidR="00353F85" w:rsidRPr="00AF5397">
        <w:rPr>
          <w:rFonts w:ascii="Times New Roman" w:hAnsi="Times New Roman" w:cs="Times New Roman"/>
          <w:sz w:val="24"/>
          <w:szCs w:val="24"/>
        </w:rPr>
        <w:t xml:space="preserve">(3) (b) of Occupiers Liability Act 1984. </w:t>
      </w:r>
      <w:r w:rsidR="00C84537" w:rsidRPr="00AF5397">
        <w:rPr>
          <w:rFonts w:ascii="Times New Roman" w:hAnsi="Times New Roman" w:cs="Times New Roman"/>
          <w:sz w:val="24"/>
          <w:szCs w:val="24"/>
        </w:rPr>
        <w:t>In the case of Tomli</w:t>
      </w:r>
      <w:r w:rsidR="008518F9" w:rsidRPr="00AF5397">
        <w:rPr>
          <w:rFonts w:ascii="Times New Roman" w:hAnsi="Times New Roman" w:cs="Times New Roman"/>
          <w:sz w:val="24"/>
          <w:szCs w:val="24"/>
        </w:rPr>
        <w:t>n</w:t>
      </w:r>
      <w:r w:rsidR="00C84537" w:rsidRPr="00AF5397">
        <w:rPr>
          <w:rFonts w:ascii="Times New Roman" w:hAnsi="Times New Roman" w:cs="Times New Roman"/>
          <w:sz w:val="24"/>
          <w:szCs w:val="24"/>
        </w:rPr>
        <w:t>son</w:t>
      </w:r>
      <w:r w:rsidR="008518F9" w:rsidRPr="00AF5397">
        <w:rPr>
          <w:rFonts w:ascii="Times New Roman" w:hAnsi="Times New Roman" w:cs="Times New Roman"/>
          <w:sz w:val="24"/>
          <w:szCs w:val="24"/>
        </w:rPr>
        <w:t xml:space="preserve">, the Claimant </w:t>
      </w:r>
      <w:r w:rsidR="00836B92" w:rsidRPr="00AF5397">
        <w:rPr>
          <w:rFonts w:ascii="Times New Roman" w:hAnsi="Times New Roman" w:cs="Times New Roman"/>
          <w:sz w:val="24"/>
          <w:szCs w:val="24"/>
        </w:rPr>
        <w:t xml:space="preserve">had dived into the lake regardless of the warning signs and put park ranger patrols. </w:t>
      </w:r>
      <w:r w:rsidR="00157A9D" w:rsidRPr="00AF5397">
        <w:rPr>
          <w:rFonts w:ascii="Times New Roman" w:hAnsi="Times New Roman" w:cs="Times New Roman"/>
          <w:sz w:val="24"/>
          <w:szCs w:val="24"/>
        </w:rPr>
        <w:t xml:space="preserve">Being a trespasser and willingly taking part in activity that had inherent dangers, the Defendant was not liable for the injuries as the premises had no danger. </w:t>
      </w:r>
      <w:r w:rsidR="00CF4797" w:rsidRPr="00AF5397">
        <w:rPr>
          <w:rFonts w:ascii="Times New Roman" w:hAnsi="Times New Roman" w:cs="Times New Roman"/>
          <w:sz w:val="24"/>
          <w:szCs w:val="24"/>
        </w:rPr>
        <w:t xml:space="preserve">Also, the case of Donoghue involved </w:t>
      </w:r>
      <w:r w:rsidR="005309CC" w:rsidRPr="00AF5397">
        <w:rPr>
          <w:rFonts w:ascii="Times New Roman" w:hAnsi="Times New Roman" w:cs="Times New Roman"/>
          <w:sz w:val="24"/>
          <w:szCs w:val="24"/>
        </w:rPr>
        <w:t xml:space="preserve">a trespasser that indulged in dangerous activity that resulted to his injuries. The court on appeal indicated that the Defendant did not have any duty under </w:t>
      </w:r>
      <w:r w:rsidR="00715F3D" w:rsidRPr="00AF5397">
        <w:rPr>
          <w:rFonts w:ascii="Times New Roman" w:hAnsi="Times New Roman" w:cs="Times New Roman"/>
          <w:sz w:val="24"/>
          <w:szCs w:val="24"/>
        </w:rPr>
        <w:t>the 1984 Act due to the activity and th</w:t>
      </w:r>
      <w:r w:rsidR="00785625" w:rsidRPr="00AF5397">
        <w:rPr>
          <w:rFonts w:ascii="Times New Roman" w:hAnsi="Times New Roman" w:cs="Times New Roman"/>
          <w:sz w:val="24"/>
          <w:szCs w:val="24"/>
        </w:rPr>
        <w:t xml:space="preserve">at they had no knowledge of the Claimant on their premises regardless of their dangerous state. Therefore, the defendant had no duty to protect the Claimant due to lack of knowledge or reasonable awareness </w:t>
      </w:r>
      <w:r w:rsidR="007628B8" w:rsidRPr="00AF5397">
        <w:rPr>
          <w:rFonts w:ascii="Times New Roman" w:hAnsi="Times New Roman" w:cs="Times New Roman"/>
          <w:sz w:val="24"/>
          <w:szCs w:val="24"/>
        </w:rPr>
        <w:t>of him being on the premises. This is the case with Millie’s scenario whereby CPL did not have knowledge or reasonable awareness of her jumping over the high perimeter fence</w:t>
      </w:r>
      <w:r w:rsidR="001977B1" w:rsidRPr="00AF5397">
        <w:rPr>
          <w:rFonts w:ascii="Times New Roman" w:hAnsi="Times New Roman" w:cs="Times New Roman"/>
          <w:sz w:val="24"/>
          <w:szCs w:val="24"/>
        </w:rPr>
        <w:t xml:space="preserve"> and had taken measures to prevent trespasser from entering the theme park.</w:t>
      </w:r>
    </w:p>
    <w:p w14:paraId="2D993ACE" w14:textId="77777777" w:rsidR="00AF5397" w:rsidRPr="00AF5397" w:rsidRDefault="00AF5397" w:rsidP="00AF5397">
      <w:pPr>
        <w:spacing w:line="480" w:lineRule="auto"/>
        <w:jc w:val="center"/>
        <w:rPr>
          <w:rFonts w:ascii="Times New Roman" w:hAnsi="Times New Roman" w:cs="Times New Roman"/>
          <w:b/>
          <w:sz w:val="24"/>
          <w:szCs w:val="24"/>
        </w:rPr>
      </w:pPr>
      <w:r w:rsidRPr="00AF5397">
        <w:rPr>
          <w:rFonts w:ascii="Times New Roman" w:hAnsi="Times New Roman" w:cs="Times New Roman"/>
          <w:b/>
          <w:sz w:val="24"/>
          <w:szCs w:val="24"/>
        </w:rPr>
        <w:t>Nia and Owen</w:t>
      </w:r>
    </w:p>
    <w:p w14:paraId="6A71BEC2" w14:textId="77777777" w:rsidR="00AF5397" w:rsidRPr="00AF5397" w:rsidRDefault="00AF5397" w:rsidP="00AF5397">
      <w:pPr>
        <w:spacing w:line="480" w:lineRule="auto"/>
        <w:ind w:firstLine="720"/>
        <w:rPr>
          <w:rFonts w:ascii="Times New Roman" w:hAnsi="Times New Roman" w:cs="Times New Roman"/>
          <w:sz w:val="24"/>
          <w:szCs w:val="24"/>
        </w:rPr>
      </w:pPr>
      <w:r w:rsidRPr="00AF5397">
        <w:rPr>
          <w:rFonts w:ascii="Times New Roman" w:hAnsi="Times New Roman" w:cs="Times New Roman"/>
          <w:sz w:val="24"/>
          <w:szCs w:val="24"/>
        </w:rPr>
        <w:t>In the case of Nia and Owen, the Occupiers Liability Act 1957 applies to the liability of CPL to them. Nia and Owen are visitors on the theme park as they paid for the entrance fees. Therefore, CPL has a legal duty to protect them from any known danger or reasonable awareness on a particular risk. Based on the legal duty to protect visitors, it is also essential to analyze whether the occupier is responsible for injuries such as psychiatric harm</w:t>
      </w:r>
      <w:r>
        <w:rPr>
          <w:rFonts w:ascii="Times New Roman" w:hAnsi="Times New Roman" w:cs="Times New Roman"/>
          <w:sz w:val="24"/>
          <w:szCs w:val="24"/>
        </w:rPr>
        <w:t xml:space="preserve"> (Laws, 2021)</w:t>
      </w:r>
      <w:r w:rsidRPr="00AF5397">
        <w:rPr>
          <w:rFonts w:ascii="Times New Roman" w:hAnsi="Times New Roman" w:cs="Times New Roman"/>
          <w:sz w:val="24"/>
          <w:szCs w:val="24"/>
        </w:rPr>
        <w:t>. As a general rule, the defendant has a duty of care for any personal damage if a reasonable person would have foreseen injury to anyone through his commission or omission resulting to his negligence. From the analysis of the case, it is impossible that a reasonable person would have foreseen the injury sustained by Nia and Owen based on the incident. Therefore, through the analysis of the general rule CPL are not responsible for psychiatric harm sustained by Nia and Owen.</w:t>
      </w:r>
    </w:p>
    <w:p w14:paraId="28B01516" w14:textId="77777777" w:rsidR="00AF5397" w:rsidRPr="00AF5397" w:rsidRDefault="00AF5397" w:rsidP="00AF5397">
      <w:pPr>
        <w:spacing w:line="480" w:lineRule="auto"/>
        <w:ind w:firstLine="720"/>
        <w:rPr>
          <w:rFonts w:ascii="Times New Roman" w:hAnsi="Times New Roman" w:cs="Times New Roman"/>
          <w:sz w:val="24"/>
          <w:szCs w:val="24"/>
        </w:rPr>
      </w:pPr>
      <w:r w:rsidRPr="00AF5397">
        <w:rPr>
          <w:rFonts w:ascii="Times New Roman" w:hAnsi="Times New Roman" w:cs="Times New Roman"/>
          <w:sz w:val="24"/>
          <w:szCs w:val="24"/>
        </w:rPr>
        <w:t>Nevertheless, the doctrine of Zone of Danger, imposes duty of care to defendants for the harm sustained by the claimants based on their location during the defendant’s negligence. In this case, one must analyze the proximity of the claimant to the incident to effectively evaluate the duty of care of the defendant to the claimant. As result, there is the primary and secondary victim. A primary victim is the individual that is directly affected by the negligent actions of the defendant. On the other hand, the secondary victim is one that is indirectly affected by the events. For example, Nia is a primary victim while Owen is a secondary victim in the case scenario.</w:t>
      </w:r>
    </w:p>
    <w:p w14:paraId="0625A318" w14:textId="77777777" w:rsidR="00AF5397" w:rsidRPr="00AF5397" w:rsidRDefault="00AF5397" w:rsidP="00AF5397">
      <w:pPr>
        <w:spacing w:line="480" w:lineRule="auto"/>
        <w:ind w:firstLine="720"/>
        <w:rPr>
          <w:rFonts w:ascii="Times New Roman" w:hAnsi="Times New Roman" w:cs="Times New Roman"/>
          <w:sz w:val="24"/>
          <w:szCs w:val="24"/>
        </w:rPr>
      </w:pPr>
      <w:r w:rsidRPr="00AF5397">
        <w:rPr>
          <w:rFonts w:ascii="Times New Roman" w:hAnsi="Times New Roman" w:cs="Times New Roman"/>
          <w:sz w:val="24"/>
          <w:szCs w:val="24"/>
        </w:rPr>
        <w:t>In the case of White v Chief Constable of South Yorkshire [1998] 3 WLR 1509, the House of Lords indicated that a primary victim must demonstrate that they were in the zone of physical danger. Thus, Nia was at risk of physical injury as she was in the zone of physical danger. In the cases of Alcock v Chief Constable of South Yorkshire Police, Page v Smith [1991] UKHL 5, [1992] 1 AC 310 (1996) and Rothwell v Chemical &amp; Insulating Co. Ltd [2008] 1 AC 281 provides guidelines that need to be used in establishing the duty of care an occupier has on psychiatric harm. In the case of Page, the Plaintiff was involved in a road accident but did not sustain any physical injuries. However, he latter suffered from myalgic encephalomyelitis. In the House of Lords, it was held that an occupier owes another a duty of care using the test of “Could the defendant reasonably foresee that his conduct would expose the plaintiff to the risk of person injury, psychological or physical. If the answer is yes, the foreseeability of the damage becomes irrelevant based on the eggshell skull rule, “one takes the plaintiff as one finds him.” In this case, CPL have a duty of care for Nia’s psychological injuries which she suffered as a result of the incident. However, the case of Rothwell v Chemical &amp; Insulating CO. Ltd restricted the rule in Page v Smith by indicating that the rule should only be applied to claimants that suffer psychiatric harm as an immediate result of the danger</w:t>
      </w:r>
      <w:r>
        <w:rPr>
          <w:rFonts w:ascii="Times New Roman" w:hAnsi="Times New Roman" w:cs="Times New Roman"/>
          <w:sz w:val="24"/>
          <w:szCs w:val="24"/>
        </w:rPr>
        <w:t xml:space="preserve"> (Rix &amp; Cory-Wright, 2018)</w:t>
      </w:r>
      <w:r w:rsidRPr="00AF5397">
        <w:rPr>
          <w:rFonts w:ascii="Times New Roman" w:hAnsi="Times New Roman" w:cs="Times New Roman"/>
          <w:sz w:val="24"/>
          <w:szCs w:val="24"/>
        </w:rPr>
        <w:t>. Therefore, the court in Rothwell provided that a mere endangerment that results to worrying resulting to psychiatric illness does not suffice. Looking at the two cases, CPL has a duty of care for the injuries sustained by Nia as the psychiatric illness was as a direct result of her experience.</w:t>
      </w:r>
    </w:p>
    <w:p w14:paraId="6CEE88BD" w14:textId="77777777" w:rsidR="001977B1" w:rsidRPr="00AF5397" w:rsidRDefault="00AF5397" w:rsidP="00AF5397">
      <w:pPr>
        <w:spacing w:line="480" w:lineRule="auto"/>
        <w:ind w:firstLine="720"/>
        <w:rPr>
          <w:rFonts w:ascii="Times New Roman" w:hAnsi="Times New Roman" w:cs="Times New Roman"/>
          <w:sz w:val="24"/>
          <w:szCs w:val="24"/>
        </w:rPr>
      </w:pPr>
      <w:r w:rsidRPr="00AF5397">
        <w:rPr>
          <w:rFonts w:ascii="Times New Roman" w:hAnsi="Times New Roman" w:cs="Times New Roman"/>
          <w:sz w:val="24"/>
          <w:szCs w:val="24"/>
        </w:rPr>
        <w:t>In the case of Owen, the case of Alcock v Chief Constable of South Yorkshire Police outlined the test that should be used while deciding on the duty of care owed to secondary victims. In the case, the Judicial Committee of the House of Lords provided as follows;</w:t>
      </w:r>
    </w:p>
    <w:p w14:paraId="16009D45" w14:textId="77777777" w:rsidR="00AF5397" w:rsidRPr="00AF5397" w:rsidRDefault="00AF5397" w:rsidP="00AF5397">
      <w:pPr>
        <w:pStyle w:val="ListParagraph"/>
        <w:numPr>
          <w:ilvl w:val="0"/>
          <w:numId w:val="1"/>
        </w:numPr>
        <w:spacing w:line="480" w:lineRule="auto"/>
        <w:rPr>
          <w:rFonts w:ascii="Times New Roman" w:hAnsi="Times New Roman" w:cs="Times New Roman"/>
          <w:i/>
          <w:sz w:val="24"/>
          <w:szCs w:val="24"/>
        </w:rPr>
      </w:pPr>
      <w:r w:rsidRPr="00AF5397">
        <w:rPr>
          <w:rFonts w:ascii="Times New Roman" w:hAnsi="Times New Roman" w:cs="Times New Roman"/>
          <w:i/>
          <w:sz w:val="24"/>
          <w:szCs w:val="24"/>
        </w:rPr>
        <w:t>The claimant who is a "secondary victim" must perceive a "shocking event" with his own unaided senses, as an eye-witness to the event, or hearing the event in person, or viewing its "immediate aftermath". This requires close physical proximity to the event, and would usually exclude events witnessed by television or informed of by a third party, as was the case with some of the plaintiffs in Alcock.</w:t>
      </w:r>
    </w:p>
    <w:p w14:paraId="309E150B" w14:textId="77777777" w:rsidR="00AF5397" w:rsidRPr="00AF5397" w:rsidRDefault="00AF5397" w:rsidP="00AF5397">
      <w:pPr>
        <w:pStyle w:val="ListParagraph"/>
        <w:numPr>
          <w:ilvl w:val="0"/>
          <w:numId w:val="1"/>
        </w:numPr>
        <w:spacing w:line="480" w:lineRule="auto"/>
        <w:rPr>
          <w:rFonts w:ascii="Times New Roman" w:hAnsi="Times New Roman" w:cs="Times New Roman"/>
          <w:i/>
          <w:sz w:val="24"/>
          <w:szCs w:val="24"/>
        </w:rPr>
      </w:pPr>
      <w:r w:rsidRPr="00AF5397">
        <w:rPr>
          <w:rFonts w:ascii="Times New Roman" w:hAnsi="Times New Roman" w:cs="Times New Roman"/>
          <w:i/>
          <w:sz w:val="24"/>
          <w:szCs w:val="24"/>
        </w:rPr>
        <w:t xml:space="preserve">The shock must be a "sudden" and not a "gradual" assault on the claimant's nervous system. </w:t>
      </w:r>
      <w:r w:rsidR="009867FD" w:rsidRPr="00AF5397">
        <w:rPr>
          <w:rFonts w:ascii="Times New Roman" w:hAnsi="Times New Roman" w:cs="Times New Roman"/>
          <w:i/>
          <w:sz w:val="24"/>
          <w:szCs w:val="24"/>
        </w:rPr>
        <w:t>So,</w:t>
      </w:r>
      <w:r w:rsidRPr="00AF5397">
        <w:rPr>
          <w:rFonts w:ascii="Times New Roman" w:hAnsi="Times New Roman" w:cs="Times New Roman"/>
          <w:i/>
          <w:sz w:val="24"/>
          <w:szCs w:val="24"/>
        </w:rPr>
        <w:t xml:space="preserve"> a claimant who develops a depression from living with a relative debilitated by the accident will not be able to recover damages.</w:t>
      </w:r>
    </w:p>
    <w:p w14:paraId="3B9A0A95" w14:textId="77777777" w:rsidR="00AF5397" w:rsidRPr="00AF5397" w:rsidRDefault="00AF5397" w:rsidP="00AF5397">
      <w:pPr>
        <w:pStyle w:val="ListParagraph"/>
        <w:numPr>
          <w:ilvl w:val="0"/>
          <w:numId w:val="1"/>
        </w:numPr>
        <w:spacing w:line="480" w:lineRule="auto"/>
        <w:rPr>
          <w:rFonts w:ascii="Times New Roman" w:hAnsi="Times New Roman" w:cs="Times New Roman"/>
          <w:i/>
          <w:sz w:val="24"/>
          <w:szCs w:val="24"/>
        </w:rPr>
      </w:pPr>
      <w:r w:rsidRPr="00AF5397">
        <w:rPr>
          <w:rFonts w:ascii="Times New Roman" w:hAnsi="Times New Roman" w:cs="Times New Roman"/>
          <w:i/>
          <w:sz w:val="24"/>
          <w:szCs w:val="24"/>
        </w:rPr>
        <w:t>If the nervous shock is caused by witnessing the death or injury of another person the claimant must show a "sufficiently proximate" relationship to that person, usually described as a "close tie of love and affection". Such ties are presumed to exist only between parents and children, as well as spouses and fiancés. In other relations, including siblings, ties of love and affection must be proved.</w:t>
      </w:r>
    </w:p>
    <w:p w14:paraId="1F94C9D3" w14:textId="77777777" w:rsidR="00AF5397" w:rsidRPr="00AF5397" w:rsidRDefault="00AF5397" w:rsidP="00AF5397">
      <w:pPr>
        <w:pStyle w:val="ListParagraph"/>
        <w:numPr>
          <w:ilvl w:val="0"/>
          <w:numId w:val="1"/>
        </w:numPr>
        <w:spacing w:line="480" w:lineRule="auto"/>
        <w:rPr>
          <w:rFonts w:ascii="Times New Roman" w:hAnsi="Times New Roman" w:cs="Times New Roman"/>
          <w:i/>
          <w:sz w:val="24"/>
          <w:szCs w:val="24"/>
        </w:rPr>
      </w:pPr>
      <w:r w:rsidRPr="00AF5397">
        <w:rPr>
          <w:rFonts w:ascii="Times New Roman" w:hAnsi="Times New Roman" w:cs="Times New Roman"/>
          <w:i/>
          <w:sz w:val="24"/>
          <w:szCs w:val="24"/>
        </w:rPr>
        <w:t>It must be reasonably foreseeable that a person of "normal fortitude" in the claimant’s position would suffer psychiatric damage. The closer the tie between the claimant and the victim, the more likely it is that he would succeed in this element. However, once it is shown that some psychiatric damage was foreseeable, it does not matter that the claimant was particularly susceptible to psychiatric illness - the defendant must "take his victim as he finds him" and pay for all the consequences of nervous shock</w:t>
      </w:r>
    </w:p>
    <w:p w14:paraId="2A0F795F" w14:textId="77777777" w:rsidR="00AF5397" w:rsidRPr="00AF5397" w:rsidRDefault="00AF5397" w:rsidP="00AF5397">
      <w:pPr>
        <w:spacing w:line="480" w:lineRule="auto"/>
        <w:ind w:firstLine="720"/>
        <w:rPr>
          <w:rFonts w:ascii="Times New Roman" w:hAnsi="Times New Roman" w:cs="Times New Roman"/>
          <w:sz w:val="24"/>
          <w:szCs w:val="24"/>
        </w:rPr>
      </w:pPr>
      <w:r w:rsidRPr="00AF5397">
        <w:rPr>
          <w:rFonts w:ascii="Times New Roman" w:hAnsi="Times New Roman" w:cs="Times New Roman"/>
          <w:sz w:val="24"/>
          <w:szCs w:val="24"/>
        </w:rPr>
        <w:t>In this instance, Owen fulfills the conditions outlined in the Alcock’s case as he saw the events unfold, he had a close connection with Nia looking at the message sent to him and concern for her safety</w:t>
      </w:r>
      <w:r>
        <w:rPr>
          <w:rFonts w:ascii="Times New Roman" w:hAnsi="Times New Roman" w:cs="Times New Roman"/>
          <w:sz w:val="24"/>
          <w:szCs w:val="24"/>
        </w:rPr>
        <w:t xml:space="preserve"> (McGovern, 2021)</w:t>
      </w:r>
      <w:r w:rsidRPr="00AF5397">
        <w:rPr>
          <w:rFonts w:ascii="Times New Roman" w:hAnsi="Times New Roman" w:cs="Times New Roman"/>
          <w:sz w:val="24"/>
          <w:szCs w:val="24"/>
        </w:rPr>
        <w:t>. Additionally, the case of McCloughlin v O’Brian [1983] 1 AC provided that the “aftermath” doctrine should be used to enforce a duty of care of the defendant for psychiatric injury for individuals who from close proximity comes very soon upon the scene. According to Lord Wilberforce:</w:t>
      </w:r>
    </w:p>
    <w:p w14:paraId="2EB0038F" w14:textId="77777777" w:rsidR="00AF5397" w:rsidRPr="00AF5397" w:rsidRDefault="00AF5397" w:rsidP="00AF5397">
      <w:pPr>
        <w:spacing w:line="480" w:lineRule="auto"/>
        <w:ind w:left="720"/>
        <w:rPr>
          <w:rFonts w:ascii="Times New Roman" w:hAnsi="Times New Roman" w:cs="Times New Roman"/>
          <w:i/>
          <w:sz w:val="24"/>
          <w:szCs w:val="24"/>
        </w:rPr>
      </w:pPr>
      <w:r w:rsidRPr="00AF5397">
        <w:rPr>
          <w:rFonts w:ascii="Times New Roman" w:hAnsi="Times New Roman" w:cs="Times New Roman"/>
          <w:i/>
          <w:sz w:val="24"/>
          <w:szCs w:val="24"/>
        </w:rPr>
        <w:t>“Experience has shown that to insist on direct and immediate sight or hearing would be impractical and unjust and that under what may be called the " aftermath " doctrine, one who, from close proximity comes very soon upon the scene, should not be excluded…. and by way of reinforcement of " aftermath " cases, I would accept, by analogy with " rescue " situations, that a person of whom it could be said that one could expect nothing else than that he or she would come immediately to the scene—normally a parent or a spouse, could be regarded as being within the scope of foresight and duty. Where there is no immediate presence, account must be taken of the possibility of alterations in the circumstances, for which the defendant should not be responsible. Subject only to these qualifications, I think that a strict test of proximity by sight or hearing should be applied by the courts."</w:t>
      </w:r>
    </w:p>
    <w:p w14:paraId="31855AD1" w14:textId="77777777" w:rsidR="00AF5397" w:rsidRDefault="00AF5397" w:rsidP="00AF5397">
      <w:pPr>
        <w:spacing w:line="480" w:lineRule="auto"/>
        <w:ind w:firstLine="720"/>
        <w:rPr>
          <w:rFonts w:ascii="Times New Roman" w:hAnsi="Times New Roman" w:cs="Times New Roman"/>
          <w:sz w:val="24"/>
          <w:szCs w:val="24"/>
        </w:rPr>
      </w:pPr>
      <w:r w:rsidRPr="00AF5397">
        <w:rPr>
          <w:rFonts w:ascii="Times New Roman" w:hAnsi="Times New Roman" w:cs="Times New Roman"/>
          <w:sz w:val="24"/>
          <w:szCs w:val="24"/>
        </w:rPr>
        <w:t>Therefore, the facts that will assist Owen include the facts that he was a bystander while the incident happened and that he knew his sister was there and could be injured. He also saw many people perish which might have affected his psychological wellbeing as he knew the sister was exactly at the place of danger. Therefore, his fears and concerns resulted to the psychiatric illness.</w:t>
      </w:r>
    </w:p>
    <w:p w14:paraId="63F9E3E8" w14:textId="77777777" w:rsidR="00AF5397" w:rsidRDefault="00AF5397">
      <w:pPr>
        <w:rPr>
          <w:rFonts w:ascii="Times New Roman" w:hAnsi="Times New Roman" w:cs="Times New Roman"/>
          <w:sz w:val="24"/>
          <w:szCs w:val="24"/>
        </w:rPr>
      </w:pPr>
      <w:r>
        <w:rPr>
          <w:rFonts w:ascii="Times New Roman" w:hAnsi="Times New Roman" w:cs="Times New Roman"/>
          <w:sz w:val="24"/>
          <w:szCs w:val="24"/>
        </w:rPr>
        <w:br w:type="page"/>
      </w:r>
    </w:p>
    <w:p w14:paraId="04A92F46" w14:textId="77777777" w:rsidR="00AF5397" w:rsidRDefault="00AF5397" w:rsidP="00AF5397">
      <w:pPr>
        <w:spacing w:line="480" w:lineRule="auto"/>
        <w:jc w:val="center"/>
        <w:rPr>
          <w:rFonts w:ascii="Times New Roman" w:hAnsi="Times New Roman" w:cs="Times New Roman"/>
          <w:sz w:val="24"/>
          <w:szCs w:val="24"/>
        </w:rPr>
      </w:pPr>
      <w:r>
        <w:rPr>
          <w:rFonts w:ascii="Times New Roman" w:hAnsi="Times New Roman" w:cs="Times New Roman"/>
          <w:sz w:val="24"/>
          <w:szCs w:val="24"/>
        </w:rPr>
        <w:t>References</w:t>
      </w:r>
    </w:p>
    <w:p w14:paraId="69874ACC" w14:textId="77777777" w:rsidR="00AF5397" w:rsidRDefault="00AF5397" w:rsidP="00AF5397">
      <w:pPr>
        <w:spacing w:line="480" w:lineRule="auto"/>
        <w:ind w:left="720" w:hanging="720"/>
        <w:rPr>
          <w:rFonts w:ascii="Arial" w:hAnsi="Arial" w:cs="Arial"/>
          <w:color w:val="222222"/>
          <w:sz w:val="20"/>
          <w:szCs w:val="20"/>
          <w:shd w:val="clear" w:color="auto" w:fill="FFFFFF"/>
        </w:rPr>
      </w:pPr>
      <w:r>
        <w:rPr>
          <w:rFonts w:ascii="Arial" w:hAnsi="Arial" w:cs="Arial"/>
          <w:color w:val="222222"/>
          <w:sz w:val="20"/>
          <w:szCs w:val="20"/>
          <w:shd w:val="clear" w:color="auto" w:fill="FFFFFF"/>
        </w:rPr>
        <w:t>Bailey, S. (2018). Occupiers’ liability: the enactment of ‘common law’ principles.</w:t>
      </w:r>
    </w:p>
    <w:p w14:paraId="064D610F" w14:textId="77777777" w:rsidR="00AF5397" w:rsidRDefault="00AF5397" w:rsidP="00AF5397">
      <w:pPr>
        <w:spacing w:line="480" w:lineRule="auto"/>
        <w:ind w:left="720" w:hanging="720"/>
        <w:rPr>
          <w:rFonts w:ascii="Arial" w:hAnsi="Arial" w:cs="Arial"/>
          <w:color w:val="222222"/>
          <w:sz w:val="20"/>
          <w:szCs w:val="20"/>
          <w:shd w:val="clear" w:color="auto" w:fill="FFFFFF"/>
        </w:rPr>
      </w:pPr>
      <w:r>
        <w:rPr>
          <w:rFonts w:ascii="Arial" w:hAnsi="Arial" w:cs="Arial"/>
          <w:color w:val="222222"/>
          <w:sz w:val="20"/>
          <w:szCs w:val="20"/>
          <w:shd w:val="clear" w:color="auto" w:fill="FFFFFF"/>
        </w:rPr>
        <w:t>Dembour, M. B., Turner, J., &amp; Barrow, C. (2020). When are occupiers in breach of their duty of care? The advantages of a systematic test. </w:t>
      </w:r>
      <w:r>
        <w:rPr>
          <w:rFonts w:ascii="Arial" w:hAnsi="Arial" w:cs="Arial"/>
          <w:i/>
          <w:iCs/>
          <w:color w:val="222222"/>
          <w:sz w:val="20"/>
          <w:szCs w:val="20"/>
          <w:shd w:val="clear" w:color="auto" w:fill="FFFFFF"/>
        </w:rPr>
        <w:t>Legal Studies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40</w:t>
      </w:r>
      <w:r>
        <w:rPr>
          <w:rFonts w:ascii="Arial" w:hAnsi="Arial" w:cs="Arial"/>
          <w:color w:val="222222"/>
          <w:sz w:val="20"/>
          <w:szCs w:val="20"/>
          <w:shd w:val="clear" w:color="auto" w:fill="FFFFFF"/>
        </w:rPr>
        <w:t>(1), 95-112.</w:t>
      </w:r>
    </w:p>
    <w:p w14:paraId="619133F8" w14:textId="77777777" w:rsidR="00AF5397" w:rsidRDefault="00AF5397" w:rsidP="00AF5397">
      <w:pPr>
        <w:spacing w:line="480" w:lineRule="auto"/>
        <w:ind w:left="720" w:hanging="720"/>
        <w:rPr>
          <w:rFonts w:ascii="Arial" w:hAnsi="Arial" w:cs="Arial"/>
          <w:color w:val="222222"/>
          <w:sz w:val="20"/>
          <w:szCs w:val="20"/>
          <w:shd w:val="clear" w:color="auto" w:fill="FFFFFF"/>
        </w:rPr>
      </w:pPr>
      <w:r>
        <w:rPr>
          <w:rFonts w:ascii="Arial" w:hAnsi="Arial" w:cs="Arial"/>
          <w:color w:val="222222"/>
          <w:sz w:val="20"/>
          <w:szCs w:val="20"/>
          <w:shd w:val="clear" w:color="auto" w:fill="FFFFFF"/>
        </w:rPr>
        <w:t>Laws, W. (2021). Essential Tort Law for SQE1.</w:t>
      </w:r>
    </w:p>
    <w:p w14:paraId="1A83A1CA" w14:textId="77777777" w:rsidR="00AF5397" w:rsidRDefault="00AF5397" w:rsidP="00AF5397">
      <w:pPr>
        <w:spacing w:line="480" w:lineRule="auto"/>
        <w:ind w:left="720" w:hanging="720"/>
        <w:rPr>
          <w:rFonts w:ascii="Arial" w:hAnsi="Arial" w:cs="Arial"/>
          <w:color w:val="222222"/>
          <w:sz w:val="20"/>
          <w:szCs w:val="20"/>
          <w:shd w:val="clear" w:color="auto" w:fill="FFFFFF"/>
        </w:rPr>
      </w:pPr>
      <w:r>
        <w:rPr>
          <w:rFonts w:ascii="Arial" w:hAnsi="Arial" w:cs="Arial"/>
          <w:color w:val="222222"/>
          <w:sz w:val="20"/>
          <w:szCs w:val="20"/>
          <w:shd w:val="clear" w:color="auto" w:fill="FFFFFF"/>
        </w:rPr>
        <w:t>McGovern, D. (2021). ‘DEARNESS, NEARNESS, AND HEAR-NESS’: HOW DOES THE REQUIREMENT OF PROXIMITY IN PSYCHIATRIC HARM LIMIT SECONDARY VICTIMS?.</w:t>
      </w:r>
    </w:p>
    <w:p w14:paraId="46E27D0D" w14:textId="77777777" w:rsidR="00AF5397" w:rsidRDefault="00AF5397" w:rsidP="00AF5397">
      <w:pPr>
        <w:spacing w:line="480" w:lineRule="auto"/>
        <w:ind w:left="720" w:hanging="720"/>
        <w:rPr>
          <w:rFonts w:ascii="Arial" w:hAnsi="Arial" w:cs="Arial"/>
          <w:color w:val="222222"/>
          <w:sz w:val="20"/>
          <w:szCs w:val="20"/>
          <w:shd w:val="clear" w:color="auto" w:fill="FFFFFF"/>
        </w:rPr>
      </w:pPr>
      <w:r>
        <w:rPr>
          <w:rFonts w:ascii="Arial" w:hAnsi="Arial" w:cs="Arial"/>
          <w:color w:val="222222"/>
          <w:sz w:val="20"/>
          <w:szCs w:val="20"/>
          <w:shd w:val="clear" w:color="auto" w:fill="FFFFFF"/>
        </w:rPr>
        <w:t>Pawlowski, M. (2019). Landlord's liability as occupier to trespassers. </w:t>
      </w:r>
      <w:r>
        <w:rPr>
          <w:rFonts w:ascii="Arial" w:hAnsi="Arial" w:cs="Arial"/>
          <w:i/>
          <w:iCs/>
          <w:color w:val="222222"/>
          <w:sz w:val="20"/>
          <w:szCs w:val="20"/>
          <w:shd w:val="clear" w:color="auto" w:fill="FFFFFF"/>
        </w:rPr>
        <w:t>Landlord and Tenant Review</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23</w:t>
      </w:r>
      <w:r>
        <w:rPr>
          <w:rFonts w:ascii="Arial" w:hAnsi="Arial" w:cs="Arial"/>
          <w:color w:val="222222"/>
          <w:sz w:val="20"/>
          <w:szCs w:val="20"/>
          <w:shd w:val="clear" w:color="auto" w:fill="FFFFFF"/>
        </w:rPr>
        <w:t>(5), 174-178.</w:t>
      </w:r>
    </w:p>
    <w:p w14:paraId="79E43E2D" w14:textId="77777777" w:rsidR="00AF5397" w:rsidRPr="00AF5397" w:rsidRDefault="00AF5397" w:rsidP="00AF5397">
      <w:pPr>
        <w:spacing w:line="480" w:lineRule="auto"/>
        <w:ind w:left="720" w:hanging="720"/>
        <w:rPr>
          <w:rFonts w:ascii="Times New Roman" w:hAnsi="Times New Roman" w:cs="Times New Roman"/>
          <w:sz w:val="24"/>
          <w:szCs w:val="24"/>
        </w:rPr>
      </w:pPr>
      <w:r>
        <w:rPr>
          <w:rFonts w:ascii="Arial" w:hAnsi="Arial" w:cs="Arial"/>
          <w:color w:val="222222"/>
          <w:sz w:val="20"/>
          <w:szCs w:val="20"/>
          <w:shd w:val="clear" w:color="auto" w:fill="FFFFFF"/>
        </w:rPr>
        <w:t>Rix, K., &amp; Cory-Wright, C. (2018). How shocking: compensating secondary victims for psychiatric injury. </w:t>
      </w:r>
      <w:r>
        <w:rPr>
          <w:rFonts w:ascii="Arial" w:hAnsi="Arial" w:cs="Arial"/>
          <w:i/>
          <w:iCs/>
          <w:color w:val="222222"/>
          <w:sz w:val="20"/>
          <w:szCs w:val="20"/>
          <w:shd w:val="clear" w:color="auto" w:fill="FFFFFF"/>
        </w:rPr>
        <w:t>BJPsych Advances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24</w:t>
      </w:r>
      <w:r>
        <w:rPr>
          <w:rFonts w:ascii="Arial" w:hAnsi="Arial" w:cs="Arial"/>
          <w:color w:val="222222"/>
          <w:sz w:val="20"/>
          <w:szCs w:val="20"/>
          <w:shd w:val="clear" w:color="auto" w:fill="FFFFFF"/>
        </w:rPr>
        <w:t>(2), 110-122.</w:t>
      </w:r>
    </w:p>
    <w:sectPr w:rsidR="00AF5397" w:rsidRPr="00AF539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7CB3EDD"/>
    <w:multiLevelType w:val="hybridMultilevel"/>
    <w:tmpl w:val="CFD4B6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proofState w:spelling="clean" w:grammar="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4955"/>
    <w:rsid w:val="00014FA5"/>
    <w:rsid w:val="00026B50"/>
    <w:rsid w:val="000B54D8"/>
    <w:rsid w:val="000D672F"/>
    <w:rsid w:val="000F5773"/>
    <w:rsid w:val="00131DE2"/>
    <w:rsid w:val="00146A8A"/>
    <w:rsid w:val="00153764"/>
    <w:rsid w:val="00157A9D"/>
    <w:rsid w:val="0018695B"/>
    <w:rsid w:val="001977B1"/>
    <w:rsid w:val="001B16DA"/>
    <w:rsid w:val="001B4DDF"/>
    <w:rsid w:val="001B7350"/>
    <w:rsid w:val="001E54B6"/>
    <w:rsid w:val="001F7283"/>
    <w:rsid w:val="00224D7D"/>
    <w:rsid w:val="00240688"/>
    <w:rsid w:val="002646BB"/>
    <w:rsid w:val="002861A9"/>
    <w:rsid w:val="002C7D25"/>
    <w:rsid w:val="002E0E1E"/>
    <w:rsid w:val="002F0703"/>
    <w:rsid w:val="00301B34"/>
    <w:rsid w:val="0030537C"/>
    <w:rsid w:val="00310D84"/>
    <w:rsid w:val="003518E7"/>
    <w:rsid w:val="00353F85"/>
    <w:rsid w:val="003664E7"/>
    <w:rsid w:val="0037304E"/>
    <w:rsid w:val="003F2782"/>
    <w:rsid w:val="00413A53"/>
    <w:rsid w:val="0044367E"/>
    <w:rsid w:val="004540E6"/>
    <w:rsid w:val="004B2F68"/>
    <w:rsid w:val="004E0A29"/>
    <w:rsid w:val="00510E48"/>
    <w:rsid w:val="005309CC"/>
    <w:rsid w:val="0055221C"/>
    <w:rsid w:val="00556FF5"/>
    <w:rsid w:val="00594AA6"/>
    <w:rsid w:val="005B1C6C"/>
    <w:rsid w:val="005C1797"/>
    <w:rsid w:val="005C1C9E"/>
    <w:rsid w:val="005F77A3"/>
    <w:rsid w:val="00611914"/>
    <w:rsid w:val="00615F0C"/>
    <w:rsid w:val="00642BDE"/>
    <w:rsid w:val="00645A3D"/>
    <w:rsid w:val="0065145D"/>
    <w:rsid w:val="006771BA"/>
    <w:rsid w:val="006B7AF4"/>
    <w:rsid w:val="006F4955"/>
    <w:rsid w:val="00715F3D"/>
    <w:rsid w:val="007628B8"/>
    <w:rsid w:val="00782F1C"/>
    <w:rsid w:val="00783C88"/>
    <w:rsid w:val="00785625"/>
    <w:rsid w:val="007B1D99"/>
    <w:rsid w:val="007F7EFD"/>
    <w:rsid w:val="00835E08"/>
    <w:rsid w:val="00836B92"/>
    <w:rsid w:val="00837A96"/>
    <w:rsid w:val="008429CD"/>
    <w:rsid w:val="008518F9"/>
    <w:rsid w:val="00853DA8"/>
    <w:rsid w:val="008A51FF"/>
    <w:rsid w:val="008B4ED5"/>
    <w:rsid w:val="008C37B8"/>
    <w:rsid w:val="008E0D48"/>
    <w:rsid w:val="008E79A1"/>
    <w:rsid w:val="00904371"/>
    <w:rsid w:val="0096030F"/>
    <w:rsid w:val="00965302"/>
    <w:rsid w:val="00976A70"/>
    <w:rsid w:val="0098297E"/>
    <w:rsid w:val="009867FD"/>
    <w:rsid w:val="009A13B0"/>
    <w:rsid w:val="009A215F"/>
    <w:rsid w:val="009C4511"/>
    <w:rsid w:val="009F1C35"/>
    <w:rsid w:val="009F2840"/>
    <w:rsid w:val="00A06387"/>
    <w:rsid w:val="00A55317"/>
    <w:rsid w:val="00A55CE0"/>
    <w:rsid w:val="00AB0E27"/>
    <w:rsid w:val="00AB6D7A"/>
    <w:rsid w:val="00AF2955"/>
    <w:rsid w:val="00AF5397"/>
    <w:rsid w:val="00B21502"/>
    <w:rsid w:val="00B303A3"/>
    <w:rsid w:val="00B50E3B"/>
    <w:rsid w:val="00B7785E"/>
    <w:rsid w:val="00B8066E"/>
    <w:rsid w:val="00B84AFE"/>
    <w:rsid w:val="00BE6627"/>
    <w:rsid w:val="00C05F51"/>
    <w:rsid w:val="00C10A2A"/>
    <w:rsid w:val="00C60E4C"/>
    <w:rsid w:val="00C84537"/>
    <w:rsid w:val="00C95DA5"/>
    <w:rsid w:val="00CE5FEF"/>
    <w:rsid w:val="00CF4797"/>
    <w:rsid w:val="00D27159"/>
    <w:rsid w:val="00DF1CF6"/>
    <w:rsid w:val="00E252E2"/>
    <w:rsid w:val="00E87B9F"/>
    <w:rsid w:val="00EE67B0"/>
    <w:rsid w:val="00EF70FB"/>
    <w:rsid w:val="00F11EA3"/>
    <w:rsid w:val="00F2227C"/>
    <w:rsid w:val="00F94076"/>
    <w:rsid w:val="00FD7CCB"/>
    <w:rsid w:val="00FF589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B82296"/>
  <w15:chartTrackingRefBased/>
  <w15:docId w15:val="{CE5BD964-0BC6-4268-A96A-BAB10283D3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F539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 /><Relationship Id="rId7" Type="http://schemas.openxmlformats.org/officeDocument/2006/relationships/theme" Target="theme/theme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ntTable" Target="fontTable.xml" /><Relationship Id="rId5" Type="http://schemas.openxmlformats.org/officeDocument/2006/relationships/webSettings" Target="webSettings.xml" /><Relationship Id="rId4" Type="http://schemas.openxmlformats.org/officeDocument/2006/relationships/settings" Target="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33B4775-A1C9-4FB5-9C59-7E46C967FD8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2644</Words>
  <Characters>15073</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roxana burlacu</cp:lastModifiedBy>
  <cp:revision>2</cp:revision>
  <dcterms:created xsi:type="dcterms:W3CDTF">2022-01-04T10:17:00Z</dcterms:created>
  <dcterms:modified xsi:type="dcterms:W3CDTF">2022-01-04T10:17:00Z</dcterms:modified>
</cp:coreProperties>
</file>