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446538F" w:rsidR="0055220F" w:rsidRDefault="005A6764">
      <w:pPr>
        <w:rPr>
          <w:i/>
        </w:rPr>
      </w:pPr>
      <w:r>
        <w:t>Simone De Beauvoir was one of the most influential writers of the nineteen forties and fifties, often attributed as the starting point of the second wave of feminism</w:t>
      </w:r>
      <w:r>
        <w:rPr>
          <w:vertAlign w:val="superscript"/>
        </w:rPr>
        <w:footnoteReference w:id="1"/>
      </w:r>
      <w:r>
        <w:t xml:space="preserve">, and the existential feminism movement. Her works spanned philosophy and social theory, </w:t>
      </w:r>
      <w:r>
        <w:t xml:space="preserve">often writing about her sexual experiences, as seen in </w:t>
      </w:r>
      <w:r>
        <w:rPr>
          <w:i/>
        </w:rPr>
        <w:t>She came to stay.</w:t>
      </w:r>
      <w:r>
        <w:t xml:space="preserve"> Her most famous work is usually seen as </w:t>
      </w:r>
      <w:r>
        <w:rPr>
          <w:i/>
        </w:rPr>
        <w:t xml:space="preserve">The Second Sex </w:t>
      </w:r>
      <w:r>
        <w:t xml:space="preserve">or it’s </w:t>
      </w:r>
      <w:r w:rsidR="00276915">
        <w:t>original</w:t>
      </w:r>
      <w:r>
        <w:t xml:space="preserve"> </w:t>
      </w:r>
      <w:r w:rsidR="00276915">
        <w:t>French</w:t>
      </w:r>
      <w:r>
        <w:t xml:space="preserve"> </w:t>
      </w:r>
      <w:r>
        <w:rPr>
          <w:i/>
        </w:rPr>
        <w:t>Le Deuxième Sexe</w:t>
      </w:r>
      <w:r>
        <w:t xml:space="preserve">, published in 1949, it is viewed as the first major work in the school of feminist </w:t>
      </w:r>
      <w:r w:rsidR="00276915">
        <w:t>existentialism</w:t>
      </w:r>
      <w:r>
        <w:rPr>
          <w:vertAlign w:val="superscript"/>
        </w:rPr>
        <w:footnoteReference w:id="2"/>
      </w:r>
      <w:r>
        <w:t xml:space="preserve">. The book was included in Le Monde’s 100 books of the century at number eleven, showing it to have an incredible </w:t>
      </w:r>
      <w:r w:rsidR="00276915">
        <w:t>long-term</w:t>
      </w:r>
      <w:r>
        <w:t xml:space="preserve"> impact, especially in </w:t>
      </w:r>
      <w:r w:rsidR="00276915">
        <w:t>France</w:t>
      </w:r>
      <w:r>
        <w:t xml:space="preserve">.  It is known to have Inspired novels like </w:t>
      </w:r>
      <w:r>
        <w:rPr>
          <w:i/>
        </w:rPr>
        <w:t>The Feminine Mystique</w:t>
      </w:r>
      <w:r>
        <w:t xml:space="preserve"> which was seen as the </w:t>
      </w:r>
      <w:r w:rsidR="00276915">
        <w:t>beginning of</w:t>
      </w:r>
      <w:r>
        <w:t xml:space="preserve"> the new </w:t>
      </w:r>
      <w:r w:rsidR="00276915">
        <w:t>feminist</w:t>
      </w:r>
      <w:r>
        <w:t xml:space="preserve"> wave in the United States. She herself did not like being boxed into being </w:t>
      </w:r>
      <w:r w:rsidR="00276915">
        <w:t>feminist</w:t>
      </w:r>
      <w:r>
        <w:t xml:space="preserve"> although by the end of her life she did admit her works were significant in the realm of feminist theory. </w:t>
      </w:r>
      <w:r>
        <w:rPr>
          <w:vertAlign w:val="superscript"/>
        </w:rPr>
        <w:footnoteReference w:id="3"/>
      </w:r>
    </w:p>
    <w:p w14:paraId="00000002" w14:textId="77777777" w:rsidR="0055220F" w:rsidRDefault="0055220F">
      <w:pPr>
        <w:rPr>
          <w:i/>
        </w:rPr>
      </w:pPr>
    </w:p>
    <w:p w14:paraId="00000003" w14:textId="155BAC41" w:rsidR="0055220F" w:rsidRDefault="005A6764">
      <w:r>
        <w:rPr>
          <w:i/>
        </w:rPr>
        <w:t>‘On ne nait pas femme: on le dev</w:t>
      </w:r>
      <w:r>
        <w:rPr>
          <w:i/>
        </w:rPr>
        <w:t xml:space="preserve">ient,’ </w:t>
      </w:r>
      <w:r>
        <w:t xml:space="preserve">is seen as the core of </w:t>
      </w:r>
      <w:r w:rsidR="00276915">
        <w:t>Beauvoir’s</w:t>
      </w:r>
      <w:r>
        <w:t xml:space="preserve"> works, </w:t>
      </w:r>
      <w:r>
        <w:rPr>
          <w:i/>
        </w:rPr>
        <w:t xml:space="preserve">‘One is not born but rather becomes, woman.’ </w:t>
      </w:r>
      <w:r>
        <w:t xml:space="preserve">The statement is a rather simple fact, a woman’s identity is not shaped by her </w:t>
      </w:r>
      <w:r w:rsidR="00276915">
        <w:t>sex,</w:t>
      </w:r>
      <w:r>
        <w:t xml:space="preserve"> but the way society asks her to perform and act in accordance with </w:t>
      </w:r>
      <w:r w:rsidR="00276915">
        <w:t>its</w:t>
      </w:r>
      <w:r>
        <w:t xml:space="preserve"> social r</w:t>
      </w:r>
      <w:r>
        <w:t>oles for her. It is not something women are born with but something they acquire gradually throughout their lives. It is not the result of biology but the way a woman is raised, and the history around her that forms her identity as a woman</w:t>
      </w:r>
      <w:r>
        <w:rPr>
          <w:vertAlign w:val="superscript"/>
        </w:rPr>
        <w:footnoteReference w:id="4"/>
      </w:r>
      <w:r>
        <w:t xml:space="preserve">.  </w:t>
      </w:r>
    </w:p>
    <w:p w14:paraId="00000004" w14:textId="77777777" w:rsidR="0055220F" w:rsidRDefault="0055220F"/>
    <w:p w14:paraId="00000005" w14:textId="62CFF793" w:rsidR="0055220F" w:rsidRDefault="005A6764">
      <w:r>
        <w:t xml:space="preserve">There are </w:t>
      </w:r>
      <w:r>
        <w:t>two major translations of Simone’s work in circulation the translations by H.M.Parshley which were done in 1953, and have often been thought of as poor, it is often mistranslated or whole parts were removed leading the Beauvoir to ask for another translati</w:t>
      </w:r>
      <w:r>
        <w:t>on, one that would be much more faithful to her original version.</w:t>
      </w:r>
      <w:r>
        <w:rPr>
          <w:vertAlign w:val="superscript"/>
        </w:rPr>
        <w:footnoteReference w:id="5"/>
      </w:r>
      <w:r>
        <w:t xml:space="preserve"> This was attempted by  Constance Borde and Sheila Malovany-chevallier, and their translation was published in 2009 and corrected many of the mistakes made with the original translation and</w:t>
      </w:r>
      <w:r>
        <w:t xml:space="preserve"> recovered some of the missing sections entirely. Their translation allows for more analysis of the quote and their translator's notes give us some more explanation and understanding of this quote, Beauvoir’s use of woman or </w:t>
      </w:r>
      <w:r>
        <w:rPr>
          <w:i/>
        </w:rPr>
        <w:t>‘La femme</w:t>
      </w:r>
      <w:r w:rsidR="00276915">
        <w:t>’, and</w:t>
      </w:r>
      <w:r>
        <w:t xml:space="preserve"> the way she us</w:t>
      </w:r>
      <w:r>
        <w:t xml:space="preserve">es it in different sections through the book is imperative to our understanding of this quote. In the original </w:t>
      </w:r>
      <w:r w:rsidR="00276915">
        <w:t>English</w:t>
      </w:r>
      <w:r>
        <w:t xml:space="preserve"> </w:t>
      </w:r>
      <w:r w:rsidR="00276915">
        <w:t>translation,</w:t>
      </w:r>
      <w:r>
        <w:t xml:space="preserve"> the translator, H.M. Parshley added an article to the sentence changing its meaning, the added article makes it into a singul</w:t>
      </w:r>
      <w:r>
        <w:t xml:space="preserve">ar, ‘a woman’, which is not </w:t>
      </w:r>
      <w:r w:rsidR="00276915">
        <w:t>Beauvoir’s</w:t>
      </w:r>
      <w:r>
        <w:t xml:space="preserve"> intention. When she uses the term </w:t>
      </w:r>
      <w:r>
        <w:rPr>
          <w:i/>
        </w:rPr>
        <w:t xml:space="preserve">Femme </w:t>
      </w:r>
      <w:r>
        <w:t>without an article it is meant to represent women as formed by society, not the singular but the many, all women affected by society</w:t>
      </w:r>
      <w:r>
        <w:rPr>
          <w:vertAlign w:val="superscript"/>
        </w:rPr>
        <w:footnoteReference w:id="6"/>
      </w:r>
      <w:r>
        <w:t xml:space="preserve">. </w:t>
      </w:r>
    </w:p>
    <w:p w14:paraId="00000006" w14:textId="77777777" w:rsidR="0055220F" w:rsidRDefault="0055220F"/>
    <w:p w14:paraId="00000007" w14:textId="180DF832" w:rsidR="0055220F" w:rsidRDefault="005A6764">
      <w:r>
        <w:lastRenderedPageBreak/>
        <w:t>Judith Butler suggests that ‘Become’ h</w:t>
      </w:r>
      <w:r>
        <w:t>as ‘consequential ambiguity’</w:t>
      </w:r>
      <w:r>
        <w:rPr>
          <w:vertAlign w:val="superscript"/>
        </w:rPr>
        <w:footnoteReference w:id="7"/>
      </w:r>
      <w:r>
        <w:t xml:space="preserve">, that gender is in some ways constructed by </w:t>
      </w:r>
      <w:r w:rsidR="00276915">
        <w:t>us</w:t>
      </w:r>
      <w:r>
        <w:t xml:space="preserve">, women can take control of their gender in some capacity and change it to what best suits them, they can become what they wish to be, that gender is a choice, although it </w:t>
      </w:r>
      <w:r>
        <w:t xml:space="preserve">is also regulated by the patriarchal </w:t>
      </w:r>
      <w:r w:rsidR="00276915">
        <w:t>society,</w:t>
      </w:r>
      <w:r>
        <w:t xml:space="preserve"> we live in. </w:t>
      </w:r>
    </w:p>
    <w:p w14:paraId="00000008" w14:textId="77777777" w:rsidR="0055220F" w:rsidRDefault="0055220F"/>
    <w:p w14:paraId="00000009" w14:textId="3A96E16C" w:rsidR="0055220F" w:rsidRDefault="005A6764">
      <w:r>
        <w:t xml:space="preserve">It is largely accepted to be a feminist spin on a </w:t>
      </w:r>
      <w:r w:rsidR="00276915">
        <w:t>traditionally</w:t>
      </w:r>
      <w:r>
        <w:t xml:space="preserve"> </w:t>
      </w:r>
      <w:r w:rsidR="00276915">
        <w:t>existentialist</w:t>
      </w:r>
      <w:r>
        <w:t xml:space="preserve"> theory that is used by her life partner Jean-Paul Sarte, that ‘</w:t>
      </w:r>
      <w:r>
        <w:rPr>
          <w:i/>
        </w:rPr>
        <w:t>existence precedes essence’</w:t>
      </w:r>
      <w:r>
        <w:t>, which Sarte coined in his le</w:t>
      </w:r>
      <w:r>
        <w:t xml:space="preserve">cture </w:t>
      </w:r>
      <w:r>
        <w:rPr>
          <w:i/>
        </w:rPr>
        <w:t>‘</w:t>
      </w:r>
      <w:r w:rsidR="00276915">
        <w:rPr>
          <w:i/>
        </w:rPr>
        <w:t>Externalism</w:t>
      </w:r>
      <w:r>
        <w:rPr>
          <w:i/>
        </w:rPr>
        <w:t xml:space="preserve"> is Humanism’, </w:t>
      </w:r>
      <w:r>
        <w:t xml:space="preserve">it is one of the core ideologies of the existentialism </w:t>
      </w:r>
      <w:r w:rsidR="00276915">
        <w:t>movement.</w:t>
      </w:r>
      <w:r>
        <w:t xml:space="preserve"> It means, in layman's terms, that personality is developed by a person of their own free will and largely unaffected by society, a person’s identity and the</w:t>
      </w:r>
      <w:r>
        <w:t>ir norms and values are developed through their own ability and not because of a hidden biological code. To Sartre a person can only be affected by an oppressive situation if they themself register the oppressive situation and it is only when they become a</w:t>
      </w:r>
      <w:r>
        <w:t>ware of societies controls on them that they react to their oppression</w:t>
      </w:r>
      <w:r>
        <w:rPr>
          <w:vertAlign w:val="superscript"/>
        </w:rPr>
        <w:footnoteReference w:id="8"/>
      </w:r>
      <w:r>
        <w:t xml:space="preserve">. Sartre is also credited as an influential figure in the movement of existential feminism, although he never wrote any books on </w:t>
      </w:r>
      <w:r w:rsidR="00276915">
        <w:t>feminist,</w:t>
      </w:r>
      <w:r>
        <w:t xml:space="preserve"> he wrote many on his beliefs and understanding</w:t>
      </w:r>
      <w:r>
        <w:t xml:space="preserve"> of the world as </w:t>
      </w:r>
      <w:r w:rsidR="00276915">
        <w:t>an</w:t>
      </w:r>
      <w:r>
        <w:t xml:space="preserve"> </w:t>
      </w:r>
      <w:r w:rsidR="00276915">
        <w:t>Existentialist</w:t>
      </w:r>
      <w:r>
        <w:t xml:space="preserve">. </w:t>
      </w:r>
    </w:p>
    <w:p w14:paraId="0000000A" w14:textId="77777777" w:rsidR="0055220F" w:rsidRDefault="0055220F"/>
    <w:p w14:paraId="0000000B" w14:textId="21101D15" w:rsidR="0055220F" w:rsidRDefault="005A6764">
      <w:r>
        <w:t xml:space="preserve"> </w:t>
      </w:r>
      <w:r w:rsidR="00276915">
        <w:t>Beauvoir</w:t>
      </w:r>
      <w:r>
        <w:t xml:space="preserve"> takes this, that a personality can be developed of someone's own free thought, and twists it in her writings, turning the phrasing from </w:t>
      </w:r>
      <w:r w:rsidR="00276915">
        <w:t>Sartain</w:t>
      </w:r>
      <w:r>
        <w:t xml:space="preserve"> existentialism and into </w:t>
      </w:r>
      <w:r w:rsidR="00276915">
        <w:t>feminist</w:t>
      </w:r>
      <w:r>
        <w:t xml:space="preserve"> ideology and mashing the two tog</w:t>
      </w:r>
      <w:r>
        <w:t>ether</w:t>
      </w:r>
      <w:r>
        <w:rPr>
          <w:vertAlign w:val="superscript"/>
        </w:rPr>
        <w:footnoteReference w:id="9"/>
      </w:r>
      <w:r>
        <w:t xml:space="preserve">. She takes the fact that women can shape their own identity and adds the layers of social control and the importance society places on biological sex to show how society affects women negatively and how they </w:t>
      </w:r>
      <w:r w:rsidR="00276915">
        <w:t>are forced</w:t>
      </w:r>
      <w:r>
        <w:t xml:space="preserve"> into the boxes they are</w:t>
      </w:r>
      <w:r>
        <w:rPr>
          <w:vertAlign w:val="superscript"/>
        </w:rPr>
        <w:footnoteReference w:id="10"/>
      </w:r>
      <w:r>
        <w:t>.</w:t>
      </w:r>
    </w:p>
    <w:p w14:paraId="0000000C" w14:textId="77777777" w:rsidR="0055220F" w:rsidRDefault="0055220F"/>
    <w:p w14:paraId="0000000D" w14:textId="0C0B5B05" w:rsidR="0055220F" w:rsidRDefault="005A6764">
      <w:r>
        <w:t xml:space="preserve">Beauvoir’s works are also seen as the introduction of a very significant debate within feminism that </w:t>
      </w:r>
      <w:r w:rsidR="00276915">
        <w:t>continues</w:t>
      </w:r>
      <w:r>
        <w:t xml:space="preserve"> onto the current day. the now ideology of Sex and Gender distinction, that sex and gender are inherently different things, and women learn </w:t>
      </w:r>
      <w:r w:rsidR="00276915">
        <w:t>their</w:t>
      </w:r>
      <w:r>
        <w:t xml:space="preserve"> gender through there socialisation</w:t>
      </w:r>
      <w:r>
        <w:rPr>
          <w:vertAlign w:val="superscript"/>
        </w:rPr>
        <w:footnoteReference w:id="11"/>
      </w:r>
      <w:r>
        <w:t xml:space="preserve"> Sex and gender distinction, is a strange thing within feminist theory. It is both accepted and questioned by feminists from all sides. It is however something that is fundamentally debated in </w:t>
      </w:r>
      <w:r w:rsidR="00276915">
        <w:t>feminist</w:t>
      </w:r>
      <w:r>
        <w:t xml:space="preserve"> circles, some f</w:t>
      </w:r>
      <w:r>
        <w:t xml:space="preserve">eminists </w:t>
      </w:r>
      <w:r w:rsidR="00276915">
        <w:t>believe</w:t>
      </w:r>
      <w:r>
        <w:t xml:space="preserve"> the goal of feminism should be to</w:t>
      </w:r>
      <w:r>
        <w:t xml:space="preserve"> remove sex gender distinction as this will allow women to be equal</w:t>
      </w:r>
      <w:r>
        <w:rPr>
          <w:vertAlign w:val="superscript"/>
        </w:rPr>
        <w:footnoteReference w:id="12"/>
      </w:r>
      <w:r>
        <w:t>, others, think that one’s biology is stagnant and cannot change</w:t>
      </w:r>
      <w:r>
        <w:rPr>
          <w:vertAlign w:val="superscript"/>
        </w:rPr>
        <w:footnoteReference w:id="13"/>
      </w:r>
      <w:r>
        <w:t>, and therefore it may have an impact but should not be the thing th</w:t>
      </w:r>
      <w:r>
        <w:t xml:space="preserve">at feminists focus on when attempting to </w:t>
      </w:r>
      <w:r>
        <w:lastRenderedPageBreak/>
        <w:t xml:space="preserve">reach </w:t>
      </w:r>
      <w:r w:rsidR="00276915">
        <w:t>their</w:t>
      </w:r>
      <w:r>
        <w:t xml:space="preserve"> goals. Some writers suggest that gender distinction should be replaced entirely, with new systems which are more progressive and show a </w:t>
      </w:r>
      <w:r w:rsidR="00276915">
        <w:t>truer</w:t>
      </w:r>
      <w:r>
        <w:t xml:space="preserve"> view of gender and sex</w:t>
      </w:r>
      <w:r>
        <w:rPr>
          <w:vertAlign w:val="superscript"/>
        </w:rPr>
        <w:footnoteReference w:id="14"/>
      </w:r>
      <w:r>
        <w:t xml:space="preserve">. </w:t>
      </w:r>
    </w:p>
    <w:p w14:paraId="0000000E" w14:textId="77777777" w:rsidR="0055220F" w:rsidRDefault="0055220F"/>
    <w:p w14:paraId="0000000F" w14:textId="0421BD6C" w:rsidR="0055220F" w:rsidRDefault="005A6764">
      <w:r>
        <w:t>Trans-exclusionary radical fe</w:t>
      </w:r>
      <w:r>
        <w:t xml:space="preserve">minist groups are likely against Beauvoir’s statement that women’s sex and gender are </w:t>
      </w:r>
      <w:r w:rsidR="00276915">
        <w:t>inherently</w:t>
      </w:r>
      <w:r>
        <w:t xml:space="preserve"> unconnected. These groups are against the inclusion of Trans Women in feminist and feminine circles due to </w:t>
      </w:r>
      <w:r w:rsidR="00276915">
        <w:t>their</w:t>
      </w:r>
      <w:r>
        <w:t xml:space="preserve"> belief that they cannot ‘become’ women truly d</w:t>
      </w:r>
      <w:r>
        <w:t xml:space="preserve">ue to </w:t>
      </w:r>
      <w:r w:rsidR="00276915">
        <w:t>their</w:t>
      </w:r>
      <w:r>
        <w:t xml:space="preserve"> </w:t>
      </w:r>
      <w:r w:rsidR="00276915">
        <w:t>sex and</w:t>
      </w:r>
      <w:r>
        <w:t xml:space="preserve"> are instead either victims of the </w:t>
      </w:r>
      <w:r w:rsidR="00276915">
        <w:t>patriarchy</w:t>
      </w:r>
      <w:r>
        <w:t xml:space="preserve"> or predators hoping to get into situations where they can abuse women easily</w:t>
      </w:r>
      <w:r>
        <w:rPr>
          <w:vertAlign w:val="superscript"/>
        </w:rPr>
        <w:footnoteReference w:id="15"/>
      </w:r>
      <w:r>
        <w:t>. While we have no way to tell exactly what Beauvoir’s opinion on trans people was her phrasing, but with the message it sends that gender is something you almost grow into, many trans people have begun using the phrase as a way of  validating their gender</w:t>
      </w:r>
      <w:r>
        <w:t xml:space="preserve"> identity.</w:t>
      </w:r>
      <w:r>
        <w:rPr>
          <w:vertAlign w:val="superscript"/>
        </w:rPr>
        <w:footnoteReference w:id="16"/>
      </w:r>
      <w:r>
        <w:rPr>
          <w:vertAlign w:val="superscript"/>
        </w:rPr>
        <w:footnoteReference w:id="17"/>
      </w:r>
      <w:r>
        <w:t xml:space="preserve"> Trans issues and intersectional feminisms are very closely linked, and since the emergence of third wave feminism and the </w:t>
      </w:r>
      <w:r w:rsidR="00276915">
        <w:t>importance</w:t>
      </w:r>
      <w:r>
        <w:t xml:space="preserve"> of linking critical race theory and Queer theory into ideas on gender, and </w:t>
      </w:r>
      <w:r w:rsidR="00276915">
        <w:t>Beauvoir’s</w:t>
      </w:r>
      <w:r>
        <w:t xml:space="preserve"> quotation about becomin</w:t>
      </w:r>
      <w:r>
        <w:t xml:space="preserve">g a woman has continued </w:t>
      </w:r>
      <w:r w:rsidR="00276915">
        <w:t>to be</w:t>
      </w:r>
      <w:r>
        <w:t xml:space="preserve"> significant to the ideology that trans women are women, just as trans men are men.</w:t>
      </w:r>
      <w:r>
        <w:rPr>
          <w:vertAlign w:val="superscript"/>
        </w:rPr>
        <w:footnoteReference w:id="18"/>
      </w:r>
    </w:p>
    <w:p w14:paraId="00000010" w14:textId="77777777" w:rsidR="0055220F" w:rsidRDefault="0055220F"/>
    <w:p w14:paraId="00000011" w14:textId="5A4C8611" w:rsidR="0055220F" w:rsidRDefault="005A6764">
      <w:r>
        <w:t>Others have projected thoughts that Beauvoir rejected her femininity and formed her own gender identity, Candance Collins suggests that she ‘</w:t>
      </w:r>
      <w:r>
        <w:t xml:space="preserve">chose to reject compulsory </w:t>
      </w:r>
      <w:r w:rsidR="00276915">
        <w:t>heterosexuality</w:t>
      </w:r>
      <w:r>
        <w:t>,’ and instead turned to a more ambiguous identity, focused less on defining herself.</w:t>
      </w:r>
      <w:r>
        <w:rPr>
          <w:vertAlign w:val="superscript"/>
        </w:rPr>
        <w:footnoteReference w:id="19"/>
      </w:r>
      <w:r>
        <w:t xml:space="preserve"> Beauvoir was criticised for not separating lesbian identity and practices</w:t>
      </w:r>
      <w:r>
        <w:rPr>
          <w:vertAlign w:val="superscript"/>
        </w:rPr>
        <w:footnoteReference w:id="20"/>
      </w:r>
      <w:r>
        <w:t>, however Toril Moi argues against this being a core fundamental ideology of Beauvoir, as she is an existentialist ‘Identity, for Beauvoir, does not proceed but follows on from our acts in the world,’ meaning it would have come into clash with her identity</w:t>
      </w:r>
      <w:r>
        <w:t xml:space="preserve"> as a existentialist to box and compartmentalise lesbian ideology</w:t>
      </w:r>
      <w:r>
        <w:rPr>
          <w:vertAlign w:val="superscript"/>
        </w:rPr>
        <w:footnoteReference w:id="21"/>
      </w:r>
      <w:r>
        <w:t xml:space="preserve">. Also, there is very little evidence of Beauvoir being a lesbian, while her sexual activities with woman are </w:t>
      </w:r>
      <w:r w:rsidR="00276915">
        <w:t>widely</w:t>
      </w:r>
      <w:r>
        <w:t xml:space="preserve"> documented, in her own writings and in others, she also had plenty of mal</w:t>
      </w:r>
      <w:r>
        <w:t xml:space="preserve">e lovers as well, leaving her identity somewhere nearer to Bisexual or Pansexual then that of a Lesbian and she should not be expected to write about lesbian ideology and culture with which she was close but not </w:t>
      </w:r>
      <w:r w:rsidR="00276915">
        <w:t>intrinsically</w:t>
      </w:r>
      <w:r>
        <w:t xml:space="preserve"> linked</w:t>
      </w:r>
      <w:r>
        <w:rPr>
          <w:vertAlign w:val="superscript"/>
        </w:rPr>
        <w:footnoteReference w:id="22"/>
      </w:r>
      <w:r>
        <w:t xml:space="preserve">.  </w:t>
      </w:r>
      <w:r w:rsidR="00276915">
        <w:t>Similarly,</w:t>
      </w:r>
      <w:r>
        <w:t xml:space="preserve"> is also a</w:t>
      </w:r>
      <w:r>
        <w:t xml:space="preserve"> major understanding shift in knowledge and thoughts on the </w:t>
      </w:r>
      <w:r>
        <w:lastRenderedPageBreak/>
        <w:t xml:space="preserve">Queer community and the understanding that queerness is not a choice, in much the same manner </w:t>
      </w:r>
      <w:r w:rsidR="00276915">
        <w:t>heterosexuality</w:t>
      </w:r>
      <w:r>
        <w:t xml:space="preserve"> is not a choice but </w:t>
      </w:r>
      <w:r w:rsidR="00276915">
        <w:t>a</w:t>
      </w:r>
      <w:r>
        <w:t xml:space="preserve"> fundamental part of someone.</w:t>
      </w:r>
      <w:r>
        <w:rPr>
          <w:vertAlign w:val="superscript"/>
        </w:rPr>
        <w:footnoteReference w:id="23"/>
      </w:r>
    </w:p>
    <w:p w14:paraId="00000012" w14:textId="77777777" w:rsidR="0055220F" w:rsidRDefault="0055220F"/>
    <w:p w14:paraId="00000013" w14:textId="293845F9" w:rsidR="0055220F" w:rsidRDefault="005A6764">
      <w:r>
        <w:t>Judith Butler offers a criticism</w:t>
      </w:r>
      <w:r>
        <w:t xml:space="preserve"> of Simone De </w:t>
      </w:r>
      <w:r w:rsidR="00276915">
        <w:t>Beauvoir</w:t>
      </w:r>
      <w:r>
        <w:t xml:space="preserve"> in her writings, they </w:t>
      </w:r>
      <w:r w:rsidR="00276915">
        <w:t>discuss</w:t>
      </w:r>
      <w:r>
        <w:t xml:space="preserve"> that Simone presents gender as a performance of sorts, a show that women must put on in order to fit into society. They defend </w:t>
      </w:r>
      <w:r w:rsidR="00171115">
        <w:t xml:space="preserve">Beauvoir’s works against </w:t>
      </w:r>
      <w:proofErr w:type="spellStart"/>
      <w:r w:rsidR="00171115">
        <w:t>Doeuff</w:t>
      </w:r>
      <w:proofErr w:type="spellEnd"/>
      <w:r w:rsidR="00171115">
        <w:t xml:space="preserve"> who suggests that the </w:t>
      </w:r>
      <w:r w:rsidR="008A2BA9">
        <w:t>works are a form of victim blaming</w:t>
      </w:r>
      <w:r w:rsidR="008A2BA9">
        <w:rPr>
          <w:rStyle w:val="FootnoteReference"/>
        </w:rPr>
        <w:footnoteReference w:id="24"/>
      </w:r>
      <w:r w:rsidR="008A2BA9">
        <w:t>. Butler instead reads it as more of that oppression of women is not inevitable but is incredibly likely to occur and that the oppression women face is not due to there own actions but due to the society they exist as a part of.</w:t>
      </w:r>
      <w:r w:rsidR="008A2BA9">
        <w:rPr>
          <w:rStyle w:val="FootnoteReference"/>
        </w:rPr>
        <w:footnoteReference w:id="25"/>
      </w:r>
      <w:r w:rsidR="008A2BA9">
        <w:t xml:space="preserve"> Butler also suggests that Beauvoir is pointing out a path to ‘self-recovery’ from the ‘other’ and explains the </w:t>
      </w:r>
      <w:r w:rsidR="00084232">
        <w:t>Beauvoir’s</w:t>
      </w:r>
      <w:r w:rsidR="008A2BA9">
        <w:t xml:space="preserve"> ideology on gender seems to be that it is something we need to rise above the need of, and to ‘accept a gender-free model of freedom</w:t>
      </w:r>
      <w:r w:rsidR="00084232">
        <w:t>.’</w:t>
      </w:r>
      <w:r w:rsidR="00084232">
        <w:rPr>
          <w:rStyle w:val="FootnoteReference"/>
        </w:rPr>
        <w:footnoteReference w:id="26"/>
      </w:r>
    </w:p>
    <w:p w14:paraId="00000014" w14:textId="77777777" w:rsidR="0055220F" w:rsidRDefault="0055220F"/>
    <w:p w14:paraId="00000015" w14:textId="52328659" w:rsidR="0055220F" w:rsidRDefault="005A6764">
      <w:r>
        <w:t>There are some critiques of Beauvoir from a more contemporary persp</w:t>
      </w:r>
      <w:r>
        <w:t xml:space="preserve">ective, for example the works of Dorothy Kaufmann </w:t>
      </w:r>
      <w:r w:rsidR="00276915">
        <w:t>McCall,</w:t>
      </w:r>
      <w:r>
        <w:t xml:space="preserve"> looking at </w:t>
      </w:r>
      <w:r>
        <w:rPr>
          <w:i/>
        </w:rPr>
        <w:t xml:space="preserve">Le Deuxième Sexe </w:t>
      </w:r>
      <w:r>
        <w:t>in 1979 and the changing landscape of feminism with the move from the second wave towards the third and the cultural shift towards Post-modern feminism, Beauvoir’s final</w:t>
      </w:r>
      <w:r>
        <w:t xml:space="preserve"> solution a ‘’fraternal’ collaboration between men and women in establishing ‘the reign of liberty </w:t>
      </w:r>
      <w:r w:rsidR="00276915">
        <w:t>amid</w:t>
      </w:r>
      <w:r>
        <w:t xml:space="preserve"> the world’</w:t>
      </w:r>
      <w:r>
        <w:rPr>
          <w:vertAlign w:val="superscript"/>
        </w:rPr>
        <w:footnoteReference w:id="27"/>
      </w:r>
      <w:r>
        <w:t>. Beauvoir speaks down on some the traits women had begun to reclaim and ‘valorise’</w:t>
      </w:r>
      <w:r>
        <w:rPr>
          <w:vertAlign w:val="superscript"/>
        </w:rPr>
        <w:footnoteReference w:id="28"/>
      </w:r>
      <w:r>
        <w:t xml:space="preserve">. McCall states that Beauvoir uses language </w:t>
      </w:r>
      <w:r>
        <w:t>described as Sartrean and discusses women through a thinly veiled misogyny. McCall discusses that Beauvoir was heavily influenced by her life partner and his ideology on women as a whole</w:t>
      </w:r>
      <w:r>
        <w:rPr>
          <w:vertAlign w:val="superscript"/>
        </w:rPr>
        <w:footnoteReference w:id="29"/>
      </w:r>
      <w:r>
        <w:t xml:space="preserve"> leaving this work to be a woman's attempt at liberation from ‘the s</w:t>
      </w:r>
      <w:r>
        <w:t xml:space="preserve">tatus of second sex’. </w:t>
      </w:r>
    </w:p>
    <w:p w14:paraId="00000016" w14:textId="77777777" w:rsidR="0055220F" w:rsidRDefault="0055220F"/>
    <w:p w14:paraId="00000017" w14:textId="78DC50FA" w:rsidR="0055220F" w:rsidRDefault="005A6764">
      <w:r>
        <w:t xml:space="preserve">On the other </w:t>
      </w:r>
      <w:r w:rsidR="00276915">
        <w:t>hand,</w:t>
      </w:r>
      <w:r>
        <w:t xml:space="preserve"> a later writer, Sonia Kruks criticised this evaluation of Beauvoir's works, looking more closely at the evident differences between Sartre’s view and Beauvoir’s. Beauvoir will often start a point in a way that fits</w:t>
      </w:r>
      <w:r>
        <w:t xml:space="preserve"> a Sartrean ideology and then move away from the concept, she rejects the notion of biological determinism, very similarly to Sartre’s school of existentialism, but she instead focuses on the systematic and ‘man-made’ oppressors forced onto women,</w:t>
      </w:r>
      <w:r>
        <w:rPr>
          <w:vertAlign w:val="superscript"/>
        </w:rPr>
        <w:footnoteReference w:id="30"/>
      </w:r>
      <w:r>
        <w:t xml:space="preserve"> the fa</w:t>
      </w:r>
      <w:r>
        <w:t xml:space="preserve">ct women </w:t>
      </w:r>
      <w:r w:rsidR="00276915">
        <w:t>must</w:t>
      </w:r>
      <w:r>
        <w:t xml:space="preserve"> dress differently and make themselves pretty to perform in a socially accepted way.</w:t>
      </w:r>
    </w:p>
    <w:p w14:paraId="00000018" w14:textId="77777777" w:rsidR="0055220F" w:rsidRDefault="0055220F"/>
    <w:p w14:paraId="00000019" w14:textId="04EDEAFE" w:rsidR="0055220F" w:rsidRDefault="005A6764">
      <w:r>
        <w:lastRenderedPageBreak/>
        <w:t xml:space="preserve">‘One is not born but becomes, woman’ has begun to be included in </w:t>
      </w:r>
      <w:r w:rsidR="00276915">
        <w:t>cyberfeminism</w:t>
      </w:r>
      <w:r>
        <w:t xml:space="preserve"> circles and in some of the spaces usually visited by fourth wave feminists.</w:t>
      </w:r>
      <w:r>
        <w:t xml:space="preserve"> The fourth wave is the wave most affected by globalisation and is focused more on empowering women than any of the other waves it has a significant focus on internet activism with things such as the </w:t>
      </w:r>
      <w:r>
        <w:rPr>
          <w:i/>
        </w:rPr>
        <w:t>#metoo</w:t>
      </w:r>
      <w:r>
        <w:t xml:space="preserve"> movement coming from this wave. The quote is post</w:t>
      </w:r>
      <w:r>
        <w:t>ed across social media platforms often without any context</w:t>
      </w:r>
      <w:r>
        <w:rPr>
          <w:vertAlign w:val="superscript"/>
        </w:rPr>
        <w:footnoteReference w:id="31"/>
      </w:r>
      <w:r>
        <w:rPr>
          <w:vertAlign w:val="superscript"/>
        </w:rPr>
        <w:footnoteReference w:id="32"/>
      </w:r>
      <w:r>
        <w:rPr>
          <w:vertAlign w:val="superscript"/>
        </w:rPr>
        <w:footnoteReference w:id="33"/>
      </w:r>
      <w:r>
        <w:t xml:space="preserve">. Whether this is a show of it being used as a cornerstone or even influential part of forth wave feminism or if it is used for nothing more </w:t>
      </w:r>
      <w:r w:rsidR="00276915">
        <w:t>than</w:t>
      </w:r>
      <w:r>
        <w:t xml:space="preserve"> </w:t>
      </w:r>
      <w:r w:rsidR="00276915">
        <w:t>aesthetic</w:t>
      </w:r>
      <w:r>
        <w:t xml:space="preserve"> reasons without its meaning is still </w:t>
      </w:r>
      <w:r>
        <w:t xml:space="preserve">up for debate. It has for certain begun to become a </w:t>
      </w:r>
      <w:r w:rsidR="00276915">
        <w:t>piece</w:t>
      </w:r>
      <w:r>
        <w:t xml:space="preserve"> used to make money online which is something the western </w:t>
      </w:r>
      <w:r w:rsidR="00276915">
        <w:t>Marxist</w:t>
      </w:r>
      <w:r>
        <w:t xml:space="preserve"> </w:t>
      </w:r>
      <w:r w:rsidR="00276915">
        <w:t>Beauvoir</w:t>
      </w:r>
      <w:r>
        <w:t xml:space="preserve"> would have probably not enjoyed.</w:t>
      </w:r>
      <w:r>
        <w:rPr>
          <w:vertAlign w:val="superscript"/>
        </w:rPr>
        <w:footnoteReference w:id="34"/>
      </w:r>
    </w:p>
    <w:p w14:paraId="0000001A" w14:textId="77777777" w:rsidR="0055220F" w:rsidRDefault="0055220F"/>
    <w:p w14:paraId="0000001B" w14:textId="6558349D" w:rsidR="0055220F" w:rsidRDefault="005A6764">
      <w:r>
        <w:t xml:space="preserve">It’s a testament to society and </w:t>
      </w:r>
      <w:r w:rsidR="00276915">
        <w:t>its</w:t>
      </w:r>
      <w:r>
        <w:t xml:space="preserve"> short memory that most of Beauvoir’s works are not</w:t>
      </w:r>
      <w:r>
        <w:t xml:space="preserve"> frontrunners of feminist theory and are often forgotten or left behind when discussion on feminism </w:t>
      </w:r>
      <w:r w:rsidR="00276915">
        <w:t>is</w:t>
      </w:r>
      <w:r>
        <w:t xml:space="preserve"> raised people often focus on more out there books often </w:t>
      </w:r>
      <w:r w:rsidR="00276915">
        <w:t>like the</w:t>
      </w:r>
      <w:r>
        <w:t xml:space="preserve"> </w:t>
      </w:r>
      <w:r>
        <w:rPr>
          <w:i/>
        </w:rPr>
        <w:t xml:space="preserve">SCUM </w:t>
      </w:r>
      <w:r w:rsidR="00276915">
        <w:rPr>
          <w:i/>
        </w:rPr>
        <w:t>manifesto</w:t>
      </w:r>
      <w:r>
        <w:rPr>
          <w:i/>
        </w:rPr>
        <w:t xml:space="preserve"> </w:t>
      </w:r>
      <w:r>
        <w:t xml:space="preserve">and its radical ideas and the shock value usually associated with its </w:t>
      </w:r>
      <w:r w:rsidR="00276915">
        <w:t>author</w:t>
      </w:r>
      <w:r>
        <w:t xml:space="preserve">, Valerie Solanas, who brought public attention to the book whether intentionally or not after she attempted to kill Andy Warhol. The book is most </w:t>
      </w:r>
      <w:r w:rsidR="00276915">
        <w:t>well-known</w:t>
      </w:r>
      <w:r>
        <w:t xml:space="preserve"> for what the abbreviation is rumoured to mean, the ‘</w:t>
      </w:r>
      <w:r>
        <w:rPr>
          <w:i/>
        </w:rPr>
        <w:t>Society for Cutting up men</w:t>
      </w:r>
      <w:r w:rsidR="00276915">
        <w:rPr>
          <w:i/>
        </w:rPr>
        <w:t>’</w:t>
      </w:r>
      <w:r w:rsidR="00276915">
        <w:t>.</w:t>
      </w:r>
      <w:r>
        <w:t xml:space="preserve"> The works </w:t>
      </w:r>
      <w:r>
        <w:t>of Germaine Greer are also referenced well before Beauvoir’s, t</w:t>
      </w:r>
      <w:r>
        <w:rPr>
          <w:i/>
        </w:rPr>
        <w:t>he Female Eunuch</w:t>
      </w:r>
      <w:r>
        <w:t xml:space="preserve"> is a household name, and is usually attributed as one of the most </w:t>
      </w:r>
      <w:r w:rsidR="00276915">
        <w:t>forward-thinking</w:t>
      </w:r>
      <w:r>
        <w:t xml:space="preserve"> books of its time. </w:t>
      </w:r>
      <w:r>
        <w:rPr>
          <w:i/>
        </w:rPr>
        <w:t xml:space="preserve">The </w:t>
      </w:r>
      <w:r w:rsidR="00276915">
        <w:rPr>
          <w:i/>
        </w:rPr>
        <w:t>Feminine</w:t>
      </w:r>
      <w:r>
        <w:rPr>
          <w:i/>
        </w:rPr>
        <w:t xml:space="preserve"> Mystique</w:t>
      </w:r>
      <w:r>
        <w:t>, which was heavily influenced by Beauvoir's ideas, i</w:t>
      </w:r>
      <w:r>
        <w:t xml:space="preserve">s much more well known. </w:t>
      </w:r>
    </w:p>
    <w:p w14:paraId="0000001C" w14:textId="77777777" w:rsidR="0055220F" w:rsidRDefault="0055220F"/>
    <w:p w14:paraId="0000001D" w14:textId="77777777" w:rsidR="0055220F" w:rsidRDefault="0055220F"/>
    <w:p w14:paraId="42CBAC57" w14:textId="6F2DB755" w:rsidR="00276915" w:rsidRDefault="005A6764">
      <w:r>
        <w:t xml:space="preserve">Her works are not seen often on lists of </w:t>
      </w:r>
      <w:r w:rsidR="00276915">
        <w:t>feminist</w:t>
      </w:r>
      <w:r>
        <w:t xml:space="preserve"> readings,</w:t>
      </w:r>
      <w:r>
        <w:rPr>
          <w:vertAlign w:val="superscript"/>
        </w:rPr>
        <w:footnoteReference w:id="35"/>
      </w:r>
      <w:r>
        <w:rPr>
          <w:vertAlign w:val="superscript"/>
        </w:rPr>
        <w:footnoteReference w:id="36"/>
      </w:r>
      <w:r>
        <w:rPr>
          <w:vertAlign w:val="superscript"/>
        </w:rPr>
        <w:footnoteReference w:id="37"/>
      </w:r>
      <w:r>
        <w:t xml:space="preserve"> or she is referenced as another </w:t>
      </w:r>
      <w:r w:rsidR="00276915">
        <w:t>feminist</w:t>
      </w:r>
      <w:r>
        <w:t xml:space="preserve"> within the sea of other feminists, not as one of the founding figures of the second wave of feminism</w:t>
      </w:r>
      <w:r>
        <w:rPr>
          <w:vertAlign w:val="superscript"/>
        </w:rPr>
        <w:footnoteReference w:id="38"/>
      </w:r>
      <w:r>
        <w:t xml:space="preserve"> She is not often referenced in pieces discussing feminism and is often only </w:t>
      </w:r>
      <w:r w:rsidR="00276915">
        <w:t>remembered</w:t>
      </w:r>
      <w:r>
        <w:t xml:space="preserve"> by her open relationsh</w:t>
      </w:r>
      <w:r>
        <w:t xml:space="preserve">ip with Jean Paul Sarte. She makes an appearance (of sorts) in the JRPG </w:t>
      </w:r>
      <w:r>
        <w:rPr>
          <w:i/>
        </w:rPr>
        <w:t>Nier:</w:t>
      </w:r>
      <w:r w:rsidR="00276915">
        <w:rPr>
          <w:i/>
        </w:rPr>
        <w:t xml:space="preserve"> </w:t>
      </w:r>
      <w:r>
        <w:rPr>
          <w:i/>
        </w:rPr>
        <w:t>Automata</w:t>
      </w:r>
      <w:r>
        <w:t xml:space="preserve"> alongside many other </w:t>
      </w:r>
      <w:r w:rsidR="00276915">
        <w:t>philosophers but</w:t>
      </w:r>
      <w:r>
        <w:t xml:space="preserve"> is reduced to caricature of herself as a </w:t>
      </w:r>
      <w:r w:rsidR="00276915">
        <w:t>vein</w:t>
      </w:r>
      <w:r>
        <w:t xml:space="preserve"> character obsessed with gaining the love and affection of Jean Paul, another characte</w:t>
      </w:r>
      <w:r>
        <w:t>r in the game</w:t>
      </w:r>
      <w:r>
        <w:rPr>
          <w:vertAlign w:val="superscript"/>
        </w:rPr>
        <w:footnoteReference w:id="39"/>
      </w:r>
      <w:r>
        <w:t xml:space="preserve">.  This is the way that </w:t>
      </w:r>
      <w:r w:rsidR="00276915">
        <w:t>Beauvoir</w:t>
      </w:r>
      <w:r>
        <w:t xml:space="preserve"> is seen to a new audience and to the modern age, not for her own merits but as an accessory for her husband, she has, as her most influential line suggests, become a woman. </w:t>
      </w:r>
    </w:p>
    <w:p w14:paraId="6E65725C" w14:textId="77777777" w:rsidR="00276915" w:rsidRDefault="00276915"/>
    <w:p w14:paraId="00000026" w14:textId="04142DF5" w:rsidR="0055220F" w:rsidRPr="00276915" w:rsidRDefault="00276915">
      <w:pPr>
        <w:rPr>
          <w:sz w:val="28"/>
          <w:szCs w:val="28"/>
          <w:u w:val="single"/>
        </w:rPr>
      </w:pPr>
      <w:r w:rsidRPr="00276915">
        <w:rPr>
          <w:sz w:val="28"/>
          <w:szCs w:val="28"/>
          <w:u w:val="single"/>
        </w:rPr>
        <w:t xml:space="preserve">Bibliography – </w:t>
      </w:r>
      <w:r w:rsidR="00171115">
        <w:rPr>
          <w:sz w:val="28"/>
          <w:szCs w:val="28"/>
          <w:u w:val="single"/>
        </w:rPr>
        <w:t xml:space="preserve"> </w:t>
      </w:r>
    </w:p>
    <w:p w14:paraId="7F4A18B8" w14:textId="77777777" w:rsidR="00276915" w:rsidRDefault="00276915" w:rsidP="00276915">
      <w:proofErr w:type="gramStart"/>
      <w:r>
        <w:t>Anonymous,  https://www.reddit.com/r/MtF/comments/bbvjpp/one_is_not_born_a_woman_but_becomes_one_simone_de/</w:t>
      </w:r>
      <w:proofErr w:type="gramEnd"/>
      <w:r>
        <w:t xml:space="preserve"> Accessed 7/6/22</w:t>
      </w:r>
    </w:p>
    <w:p w14:paraId="58A33FCE" w14:textId="77777777" w:rsidR="00276915" w:rsidRDefault="00276915" w:rsidP="00276915">
      <w:r>
        <w:t>Anonymous, https://www.reddit.com/r/asktransgender/comments/42nrr6/any_reflections_on_de_beauvoir_one_is_not_born/ accessed 7/6/22</w:t>
      </w:r>
    </w:p>
    <w:p w14:paraId="09D3B082" w14:textId="77777777" w:rsidR="00276915" w:rsidRDefault="00276915" w:rsidP="00276915">
      <w:r>
        <w:t>Brut Simone de Beauvoir Explains "One is Not Born, but Rather Becomes, a Woman.” Simone de Beauvoir Explains "One is Not Born, but Rather Becomes, a Woman.” 0:15-).47</w:t>
      </w:r>
    </w:p>
    <w:p w14:paraId="19272992" w14:textId="77777777" w:rsidR="00276915" w:rsidRDefault="00276915" w:rsidP="00276915">
      <w:r>
        <w:t xml:space="preserve">COLLINS, CANDACE. “SIMONE DE BEAUVOIR’S GENDER OF AMBIGUITY.” Simone de Beauvoir Studies, vol. 14, 1997, pp. 72–82. JSTOR, </w:t>
      </w:r>
      <w:proofErr w:type="gramStart"/>
      <w:r>
        <w:t>http://www.jstor.org/stable/45170499 .</w:t>
      </w:r>
      <w:proofErr w:type="gramEnd"/>
      <w:r>
        <w:t xml:space="preserve"> Accessed 7 Jun. 2022. p74</w:t>
      </w:r>
    </w:p>
    <w:p w14:paraId="0E727E50" w14:textId="77777777" w:rsidR="00276915" w:rsidRDefault="00276915" w:rsidP="00276915">
      <w:r>
        <w:t>Constance Borde &amp; Shelia Malovany-Chevallier (Simone de Beauvoir), Translators Notes, in The Second Sex, pp xxii</w:t>
      </w:r>
    </w:p>
    <w:p w14:paraId="59648659" w14:textId="77777777" w:rsidR="00276915" w:rsidRDefault="00276915" w:rsidP="00276915">
      <w:r>
        <w:t>Francine du Plessix Grey, Dispatches from the Other, 2010, https://archive.nytimes.com/www.nytimes.com/2010/05/30/books/review/Gray-t.html accessed 6/6/22</w:t>
      </w:r>
    </w:p>
    <w:p w14:paraId="0082E285" w14:textId="77777777" w:rsidR="00276915" w:rsidRDefault="00276915" w:rsidP="00276915">
      <w:r>
        <w:t>https://ghostdancers.tumblr.com/post/137007771571/one-is-not-born-but-rather-becomes-a-woman</w:t>
      </w:r>
    </w:p>
    <w:p w14:paraId="3838C828" w14:textId="77777777" w:rsidR="00276915" w:rsidRDefault="00276915" w:rsidP="00276915">
      <w:r>
        <w:t>https://theculturetrip.com/europe/united-kingdom/england/articles/10-essential-feminist-texts-you-should-read/</w:t>
      </w:r>
    </w:p>
    <w:p w14:paraId="75637714" w14:textId="77777777" w:rsidR="00276915" w:rsidRDefault="00276915" w:rsidP="00276915">
      <w:r>
        <w:t>https://thesecondangle.com/essential-reading-list-to-understand-feminism/</w:t>
      </w:r>
    </w:p>
    <w:p w14:paraId="03DC29B0" w14:textId="77777777" w:rsidR="00276915" w:rsidRDefault="00276915" w:rsidP="00276915">
      <w:r>
        <w:t>https://www.washingtontimes.com/news/2014/dec/31/modern-science-says-homosexuality-not-choice/</w:t>
      </w:r>
    </w:p>
    <w:p w14:paraId="3037FC50" w14:textId="77777777" w:rsidR="00276915" w:rsidRDefault="00276915" w:rsidP="00276915">
      <w:r>
        <w:t xml:space="preserve">JEAN-PAUL, SARTRE, et al. “Existentialism Is a Humanism.” Existentialism Is a Humanism, edited by JOHN KULKA, Yale University Press, 2007, pp. 17–72. JSTOR, </w:t>
      </w:r>
      <w:proofErr w:type="gramStart"/>
      <w:r>
        <w:t>https://doi.org/10.2307/j.ctv15vwkgx.5 .</w:t>
      </w:r>
      <w:proofErr w:type="gramEnd"/>
      <w:r>
        <w:t xml:space="preserve"> Accessed 7 Jun. 2022.</w:t>
      </w:r>
    </w:p>
    <w:p w14:paraId="6ED74574" w14:textId="77777777" w:rsidR="00276915" w:rsidRDefault="00276915" w:rsidP="00276915">
      <w:r>
        <w:t xml:space="preserve">Judith Butler. “Sex and Gender in Simone de Beauvoir’s Second Sex.” in Yale French Studies, no. 72, 1986, pp. 35–49. JSTOR, </w:t>
      </w:r>
      <w:proofErr w:type="gramStart"/>
      <w:r>
        <w:t>https://doi.org/10.2307/2930225 .</w:t>
      </w:r>
      <w:proofErr w:type="gramEnd"/>
      <w:r>
        <w:t xml:space="preserve"> Accessed 7/7/22.</w:t>
      </w:r>
    </w:p>
    <w:p w14:paraId="53905C6A" w14:textId="77777777" w:rsidR="00276915" w:rsidRDefault="00276915" w:rsidP="00276915">
      <w:r>
        <w:t xml:space="preserve">Katelyn Burns, the rise of anti-trans “radical” feminists, </w:t>
      </w:r>
      <w:proofErr w:type="gramStart"/>
      <w:r>
        <w:t>explained,  https://www.vox.com/identities/2019/9/5/20840101/terfs-radical-feminists-gender-critical</w:t>
      </w:r>
      <w:proofErr w:type="gramEnd"/>
      <w:r>
        <w:t xml:space="preserve"> accessed 7/6/22</w:t>
      </w:r>
    </w:p>
    <w:p w14:paraId="6436304A" w14:textId="77777777" w:rsidR="00276915" w:rsidRDefault="00276915" w:rsidP="00276915">
      <w:r>
        <w:t>Kruks, Sonia. “Gender and Subjectivity: Simone de Beauvoir and Contemporary Feminism.”</w:t>
      </w:r>
    </w:p>
    <w:p w14:paraId="0DE7624C" w14:textId="77777777" w:rsidR="00276915" w:rsidRDefault="00276915" w:rsidP="00276915">
      <w:r>
        <w:t>Lynda Birke "In Pursuit of Difference: Scientific Studies of Women and Men," Muriel Lederman and Ingrid Bartsch eds., The Gender and Science Reader, New York: Routledge. (p. 320, 2001)</w:t>
      </w:r>
    </w:p>
    <w:p w14:paraId="00B2C82B" w14:textId="77777777" w:rsidR="00276915" w:rsidRDefault="00276915" w:rsidP="00276915">
      <w:r>
        <w:t xml:space="preserve">Margaret A Simons., et al. “Simone de Beauvoir: An Interview.” Feminist Studies, vol. 5, no. 2, 1979, pp. 330–45. JSTOR, </w:t>
      </w:r>
      <w:proofErr w:type="gramStart"/>
      <w:r>
        <w:t>https://doi.org/10.2307/3177599 .</w:t>
      </w:r>
      <w:proofErr w:type="gramEnd"/>
      <w:r>
        <w:t xml:space="preserve"> Accessed 7 Jun. 2022.</w:t>
      </w:r>
    </w:p>
    <w:p w14:paraId="65B5C2D4" w14:textId="77777777" w:rsidR="00276915" w:rsidRDefault="00276915" w:rsidP="00276915">
      <w:r>
        <w:t xml:space="preserve">Margaret A Simons., et al. “Simone de Beauvoir: An Interview.” Feminist Studies, vol. 5, no. 2, 1979, pp. 330–45. JSTOR, </w:t>
      </w:r>
      <w:proofErr w:type="gramStart"/>
      <w:r>
        <w:t>https://doi.org/10.2307/3177599 .</w:t>
      </w:r>
      <w:proofErr w:type="gramEnd"/>
      <w:r>
        <w:t xml:space="preserve"> Accessed 7/6/22.</w:t>
      </w:r>
    </w:p>
    <w:p w14:paraId="09003B7A" w14:textId="77777777" w:rsidR="00276915" w:rsidRDefault="00276915" w:rsidP="00276915">
      <w:r>
        <w:t>Mari Mikkola. Zalta, Edward N. (ed.). The Stanford Encyclopaedia of Philosophy. Metaphysics Research Lab, Stanford University – via Stanford Encyclopaedia of Philosophy. (3 January 2018)</w:t>
      </w:r>
    </w:p>
    <w:p w14:paraId="68F66AF2" w14:textId="77777777" w:rsidR="00276915" w:rsidRDefault="00276915" w:rsidP="00276915">
      <w:r>
        <w:t>Mary Jeanne Larrabee, "Existentialist Feminism" in Encyclopaedia of Feminist Theories: pg. 187–188 (2000)</w:t>
      </w:r>
    </w:p>
    <w:p w14:paraId="5071A586" w14:textId="77777777" w:rsidR="00276915" w:rsidRDefault="00276915" w:rsidP="00276915">
      <w:r>
        <w:lastRenderedPageBreak/>
        <w:t>Matt Doe, Nier Automata Route B Simone + Cutsceneshttps://youtu.be/82cWiC2LTe8?t=350 accessed 7/6/22</w:t>
      </w:r>
    </w:p>
    <w:p w14:paraId="32E7D6D4" w14:textId="77777777" w:rsidR="00276915" w:rsidRDefault="00276915" w:rsidP="00276915">
      <w:r>
        <w:t>McCall, Dorothy Kaufmann. “Simone de Beauvoir, ‘The Second Sex’, and Jean-Paul Sartre.”</w:t>
      </w:r>
    </w:p>
    <w:p w14:paraId="032951FE" w14:textId="77777777" w:rsidR="00276915" w:rsidRDefault="00276915" w:rsidP="00276915">
      <w:r>
        <w:t>McCall, Dorothy Kaufmann. “Simone de Beauvoir, ‘The Second Sex’, and Jean-Paul Sartre.” Signs, vol. 5, no. 2, 1979, pp. 209–23. JSTOR, http://www.jstor.org/stable/3173557. Accessed 7 Jun. 2022.</w:t>
      </w:r>
    </w:p>
    <w:p w14:paraId="633B41FB" w14:textId="77777777" w:rsidR="00276915" w:rsidRDefault="00276915" w:rsidP="00276915">
      <w:r>
        <w:t>Paul Mountjoy, Modern science says homosexuality is not a choice accessed 7/6/22</w:t>
      </w:r>
    </w:p>
    <w:p w14:paraId="735F29AD" w14:textId="77777777" w:rsidR="00276915" w:rsidRDefault="00276915" w:rsidP="00276915">
      <w:proofErr w:type="spellStart"/>
      <w:r>
        <w:t>Pers</w:t>
      </w:r>
      <w:proofErr w:type="spellEnd"/>
      <w:r>
        <w:t xml:space="preserve"> com. Edward Ellis</w:t>
      </w:r>
    </w:p>
    <w:p w14:paraId="24CECD7B" w14:textId="77777777" w:rsidR="00276915" w:rsidRDefault="00276915" w:rsidP="00276915">
      <w:r>
        <w:t>Rachel Holmes, the top 10 feminist books, https://www.theguardian.com/books/2014/jun/11/top-10-feminist-books-rachel-holmes-eleanor-marx accessed 7/6/22</w:t>
      </w:r>
    </w:p>
    <w:p w14:paraId="2CADB66F" w14:textId="77777777" w:rsidR="00276915" w:rsidRDefault="00276915" w:rsidP="00276915">
      <w:r>
        <w:t>Shulamite Firestone, The Dialectic of Sex, p11 1970</w:t>
      </w:r>
    </w:p>
    <w:p w14:paraId="1F3C967E" w14:textId="77777777" w:rsidR="00276915" w:rsidRDefault="00276915" w:rsidP="00276915">
      <w:r>
        <w:t>Simone De Beauvoir - Girlhood The second sex 1949, translated 2009</w:t>
      </w:r>
    </w:p>
    <w:p w14:paraId="72663544" w14:textId="77777777" w:rsidR="00276915" w:rsidRDefault="00276915" w:rsidP="00276915">
      <w:r>
        <w:t xml:space="preserve">Sonia Kruks. “Gender and Subjectivity: Simone de Beauvoir and Contemporary Feminism.” Signs, vol. 18, no. 1, 1992, pp. 89–110. JSTOR, </w:t>
      </w:r>
      <w:proofErr w:type="gramStart"/>
      <w:r>
        <w:t>http://www.jstor.org/stable/3174728 .</w:t>
      </w:r>
      <w:proofErr w:type="gramEnd"/>
      <w:r>
        <w:t xml:space="preserve"> Accessed 7 Jun. 2022.</w:t>
      </w:r>
    </w:p>
    <w:p w14:paraId="56165535" w14:textId="77777777" w:rsidR="00276915" w:rsidRDefault="00276915" w:rsidP="00276915">
      <w:r>
        <w:t>Tomas Bogardus. "Evaluating Arguments for the Sex/Gender Distinction". Philosophia. 48 (3): 873–892.2020</w:t>
      </w:r>
    </w:p>
    <w:p w14:paraId="31CFB47C" w14:textId="77777777" w:rsidR="00276915" w:rsidRDefault="00276915" w:rsidP="00276915">
      <w:r>
        <w:t>TSA Desk, Essential Reading-list To Understand Feminism accessed 7/6/22</w:t>
      </w:r>
    </w:p>
    <w:p w14:paraId="084BD7E9" w14:textId="77777777" w:rsidR="00276915" w:rsidRDefault="00276915" w:rsidP="00276915">
      <w:r>
        <w:t>ttps://dreaminginthedeepsouth.tumblr.com/post/2656316360/one-is-not-born-a-woman-one-becomes-one</w:t>
      </w:r>
    </w:p>
    <w:p w14:paraId="60A6B778" w14:textId="77777777" w:rsidR="00276915" w:rsidRDefault="00276915" w:rsidP="00276915">
      <w:r>
        <w:t>ttps://humansofploiesti.tumblr.com/post/108187138069/one-is-not-born-a-woman-but-becomes-one-simone</w:t>
      </w:r>
    </w:p>
    <w:p w14:paraId="76D96EC7" w14:textId="77777777" w:rsidR="00276915" w:rsidRDefault="00276915" w:rsidP="00276915">
      <w:r>
        <w:t>Varia Fedko-Blake 10 Essential Feminist Texts You Should Read</w:t>
      </w:r>
    </w:p>
    <w:p w14:paraId="157C7A22" w14:textId="0E7BAF9F" w:rsidR="00276915" w:rsidRDefault="00276915" w:rsidP="00276915">
      <w:r>
        <w:t>Williams, Cristan. "Sex, Gender, and Sexuality: The Trans Advocate interviews Catharine A. MacKinnon". The Trans Advocate. Archived from the original on 24 December 2018. Retrieved 22 December 2018. 7 April 2015</w:t>
      </w:r>
    </w:p>
    <w:p w14:paraId="00000027" w14:textId="77777777" w:rsidR="0055220F" w:rsidRDefault="0055220F"/>
    <w:p w14:paraId="00000028" w14:textId="77777777" w:rsidR="0055220F" w:rsidRDefault="0055220F"/>
    <w:sectPr w:rsidR="0055220F">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1DCD53" w14:textId="77777777" w:rsidR="005A6764" w:rsidRDefault="005A6764">
      <w:pPr>
        <w:spacing w:line="240" w:lineRule="auto"/>
      </w:pPr>
      <w:r>
        <w:separator/>
      </w:r>
    </w:p>
  </w:endnote>
  <w:endnote w:type="continuationSeparator" w:id="0">
    <w:p w14:paraId="44DB1FC5" w14:textId="77777777" w:rsidR="005A6764" w:rsidRDefault="005A67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34409" w14:textId="77777777" w:rsidR="005A6764" w:rsidRDefault="005A6764">
      <w:pPr>
        <w:spacing w:line="240" w:lineRule="auto"/>
      </w:pPr>
      <w:r>
        <w:separator/>
      </w:r>
    </w:p>
  </w:footnote>
  <w:footnote w:type="continuationSeparator" w:id="0">
    <w:p w14:paraId="0E461003" w14:textId="77777777" w:rsidR="005A6764" w:rsidRDefault="005A6764">
      <w:pPr>
        <w:spacing w:line="240" w:lineRule="auto"/>
      </w:pPr>
      <w:r>
        <w:continuationSeparator/>
      </w:r>
    </w:p>
  </w:footnote>
  <w:footnote w:id="1">
    <w:p w14:paraId="00000029" w14:textId="77777777" w:rsidR="0055220F" w:rsidRDefault="005A6764">
      <w:pPr>
        <w:spacing w:line="240" w:lineRule="auto"/>
        <w:rPr>
          <w:sz w:val="20"/>
          <w:szCs w:val="20"/>
        </w:rPr>
      </w:pPr>
      <w:r>
        <w:rPr>
          <w:vertAlign w:val="superscript"/>
        </w:rPr>
        <w:footnoteRef/>
      </w:r>
      <w:r>
        <w:rPr>
          <w:sz w:val="20"/>
          <w:szCs w:val="20"/>
        </w:rPr>
        <w:t xml:space="preserve"> Francine du Plessix Gr</w:t>
      </w:r>
      <w:r>
        <w:rPr>
          <w:sz w:val="20"/>
          <w:szCs w:val="20"/>
        </w:rPr>
        <w:t xml:space="preserve">ey, Dispatches from the Other, 2010, </w:t>
      </w:r>
      <w:hyperlink r:id="rId1">
        <w:r>
          <w:rPr>
            <w:color w:val="1155CC"/>
            <w:sz w:val="20"/>
            <w:szCs w:val="20"/>
            <w:u w:val="single"/>
          </w:rPr>
          <w:t>https://archive.nytimes.com/www.nytimes.com/2010/05/30/books/review/Gray-t.html</w:t>
        </w:r>
      </w:hyperlink>
      <w:r>
        <w:rPr>
          <w:sz w:val="20"/>
          <w:szCs w:val="20"/>
        </w:rPr>
        <w:t xml:space="preserve"> accessed 6/6/22</w:t>
      </w:r>
    </w:p>
  </w:footnote>
  <w:footnote w:id="2">
    <w:p w14:paraId="0000002A" w14:textId="2D1B1700" w:rsidR="0055220F" w:rsidRDefault="005A6764">
      <w:pPr>
        <w:spacing w:line="240" w:lineRule="auto"/>
        <w:rPr>
          <w:sz w:val="20"/>
          <w:szCs w:val="20"/>
        </w:rPr>
      </w:pPr>
      <w:r>
        <w:rPr>
          <w:vertAlign w:val="superscript"/>
        </w:rPr>
        <w:footnoteRef/>
      </w:r>
      <w:r>
        <w:rPr>
          <w:sz w:val="20"/>
          <w:szCs w:val="20"/>
        </w:rPr>
        <w:t>, Mary Jeanne Larrabee,</w:t>
      </w:r>
      <w:r>
        <w:rPr>
          <w:sz w:val="20"/>
          <w:szCs w:val="20"/>
        </w:rPr>
        <w:t xml:space="preserve"> </w:t>
      </w:r>
      <w:hyperlink r:id="rId2">
        <w:r>
          <w:rPr>
            <w:color w:val="1155CC"/>
            <w:sz w:val="20"/>
            <w:szCs w:val="20"/>
            <w:u w:val="single"/>
          </w:rPr>
          <w:t>"Existentialist Feminism"</w:t>
        </w:r>
      </w:hyperlink>
      <w:r>
        <w:rPr>
          <w:i/>
          <w:sz w:val="20"/>
          <w:szCs w:val="20"/>
        </w:rPr>
        <w:t xml:space="preserve"> in </w:t>
      </w:r>
      <w:r w:rsidR="00276915">
        <w:rPr>
          <w:i/>
          <w:sz w:val="20"/>
          <w:szCs w:val="20"/>
        </w:rPr>
        <w:t>Encyclopaedia</w:t>
      </w:r>
      <w:r>
        <w:rPr>
          <w:i/>
          <w:sz w:val="20"/>
          <w:szCs w:val="20"/>
        </w:rPr>
        <w:t xml:space="preserve"> of Feminist Theories</w:t>
      </w:r>
      <w:r>
        <w:rPr>
          <w:sz w:val="20"/>
          <w:szCs w:val="20"/>
        </w:rPr>
        <w:t>: pg. 187–188 (2000)</w:t>
      </w:r>
    </w:p>
  </w:footnote>
  <w:footnote w:id="3">
    <w:p w14:paraId="0000002B" w14:textId="77777777" w:rsidR="0055220F" w:rsidRDefault="005A6764">
      <w:pPr>
        <w:spacing w:line="240" w:lineRule="auto"/>
        <w:rPr>
          <w:sz w:val="20"/>
          <w:szCs w:val="20"/>
        </w:rPr>
      </w:pPr>
      <w:r>
        <w:rPr>
          <w:vertAlign w:val="superscript"/>
        </w:rPr>
        <w:footnoteRef/>
      </w:r>
      <w:r>
        <w:rPr>
          <w:sz w:val="20"/>
          <w:szCs w:val="20"/>
        </w:rPr>
        <w:t xml:space="preserve">, Margaret A Simons., et al. “Simone de Beauvoir: An Interview.” </w:t>
      </w:r>
      <w:r>
        <w:rPr>
          <w:i/>
          <w:sz w:val="20"/>
          <w:szCs w:val="20"/>
        </w:rPr>
        <w:t>Feminist Studies</w:t>
      </w:r>
      <w:r>
        <w:rPr>
          <w:sz w:val="20"/>
          <w:szCs w:val="20"/>
        </w:rPr>
        <w:t xml:space="preserve">, vol. 5, no. 2, 1979, pp. 330–45. </w:t>
      </w:r>
      <w:r>
        <w:rPr>
          <w:i/>
          <w:sz w:val="20"/>
          <w:szCs w:val="20"/>
        </w:rPr>
        <w:t>JSTOR</w:t>
      </w:r>
      <w:r>
        <w:rPr>
          <w:sz w:val="20"/>
          <w:szCs w:val="20"/>
        </w:rPr>
        <w:t xml:space="preserve">, </w:t>
      </w:r>
      <w:hyperlink r:id="rId3">
        <w:r>
          <w:rPr>
            <w:color w:val="1155CC"/>
            <w:sz w:val="20"/>
            <w:szCs w:val="20"/>
            <w:u w:val="single"/>
          </w:rPr>
          <w:t>https://doi.org/10.2307/3177599</w:t>
        </w:r>
      </w:hyperlink>
      <w:r>
        <w:rPr>
          <w:sz w:val="20"/>
          <w:szCs w:val="20"/>
        </w:rPr>
        <w:t xml:space="preserve"> . Accessed 7/6/22.</w:t>
      </w:r>
    </w:p>
  </w:footnote>
  <w:footnote w:id="4">
    <w:p w14:paraId="0000003B" w14:textId="77777777" w:rsidR="0055220F" w:rsidRDefault="005A6764">
      <w:pPr>
        <w:spacing w:line="240" w:lineRule="auto"/>
        <w:rPr>
          <w:sz w:val="20"/>
          <w:szCs w:val="20"/>
        </w:rPr>
      </w:pPr>
      <w:r>
        <w:rPr>
          <w:vertAlign w:val="superscript"/>
        </w:rPr>
        <w:footnoteRef/>
      </w:r>
      <w:r>
        <w:rPr>
          <w:sz w:val="20"/>
          <w:szCs w:val="20"/>
        </w:rPr>
        <w:t xml:space="preserve"> Brut </w:t>
      </w:r>
      <w:r>
        <w:rPr>
          <w:i/>
          <w:sz w:val="20"/>
          <w:szCs w:val="20"/>
        </w:rPr>
        <w:t xml:space="preserve">Simone de Beauvoir Explains "One is Not Born, but Rather Becomes, a Woman.” </w:t>
      </w:r>
      <w:hyperlink r:id="rId4">
        <w:r>
          <w:rPr>
            <w:color w:val="0000EE"/>
            <w:u w:val="single"/>
          </w:rPr>
          <w:t>Simone de Beauvoir Explains "One is Not Born, but Rather Becomes, a Woman.”</w:t>
        </w:r>
      </w:hyperlink>
      <w:r>
        <w:rPr>
          <w:i/>
          <w:sz w:val="20"/>
          <w:szCs w:val="20"/>
        </w:rPr>
        <w:t xml:space="preserve"> </w:t>
      </w:r>
      <w:r>
        <w:rPr>
          <w:sz w:val="20"/>
          <w:szCs w:val="20"/>
        </w:rPr>
        <w:t>0:15-).47</w:t>
      </w:r>
    </w:p>
  </w:footnote>
  <w:footnote w:id="5">
    <w:p w14:paraId="00000044" w14:textId="77777777" w:rsidR="0055220F" w:rsidRDefault="005A6764">
      <w:pPr>
        <w:spacing w:line="240" w:lineRule="auto"/>
        <w:rPr>
          <w:sz w:val="20"/>
          <w:szCs w:val="20"/>
        </w:rPr>
      </w:pPr>
      <w:r>
        <w:rPr>
          <w:vertAlign w:val="superscript"/>
        </w:rPr>
        <w:footnoteRef/>
      </w:r>
      <w:r>
        <w:rPr>
          <w:sz w:val="20"/>
          <w:szCs w:val="20"/>
        </w:rPr>
        <w:t xml:space="preserve"> , Margaret A</w:t>
      </w:r>
      <w:r>
        <w:t xml:space="preserve"> </w:t>
      </w:r>
      <w:r>
        <w:rPr>
          <w:sz w:val="20"/>
          <w:szCs w:val="20"/>
        </w:rPr>
        <w:t xml:space="preserve">Simons., et al. “Simone de Beauvoir: An Interview.” </w:t>
      </w:r>
      <w:r>
        <w:rPr>
          <w:i/>
          <w:sz w:val="20"/>
          <w:szCs w:val="20"/>
        </w:rPr>
        <w:t>Feminist Studies</w:t>
      </w:r>
      <w:r>
        <w:rPr>
          <w:sz w:val="20"/>
          <w:szCs w:val="20"/>
        </w:rPr>
        <w:t>, vol</w:t>
      </w:r>
      <w:r>
        <w:rPr>
          <w:sz w:val="20"/>
          <w:szCs w:val="20"/>
        </w:rPr>
        <w:t xml:space="preserve">. 5, no. 2, 1979, pp. 330–45. </w:t>
      </w:r>
      <w:r>
        <w:rPr>
          <w:i/>
          <w:sz w:val="20"/>
          <w:szCs w:val="20"/>
        </w:rPr>
        <w:t>JSTOR</w:t>
      </w:r>
      <w:r>
        <w:rPr>
          <w:sz w:val="20"/>
          <w:szCs w:val="20"/>
        </w:rPr>
        <w:t xml:space="preserve">, </w:t>
      </w:r>
      <w:hyperlink r:id="rId5">
        <w:r>
          <w:rPr>
            <w:color w:val="1155CC"/>
            <w:sz w:val="20"/>
            <w:szCs w:val="20"/>
            <w:u w:val="single"/>
          </w:rPr>
          <w:t>https://doi.org/10.2307/3177599</w:t>
        </w:r>
      </w:hyperlink>
      <w:r>
        <w:rPr>
          <w:sz w:val="20"/>
          <w:szCs w:val="20"/>
        </w:rPr>
        <w:t xml:space="preserve"> . Accessed 7 Jun. 2022.</w:t>
      </w:r>
    </w:p>
  </w:footnote>
  <w:footnote w:id="6">
    <w:p w14:paraId="00000030" w14:textId="77777777" w:rsidR="0055220F" w:rsidRDefault="005A6764">
      <w:pPr>
        <w:spacing w:line="240" w:lineRule="auto"/>
        <w:rPr>
          <w:sz w:val="20"/>
          <w:szCs w:val="20"/>
        </w:rPr>
      </w:pPr>
      <w:r>
        <w:rPr>
          <w:vertAlign w:val="superscript"/>
        </w:rPr>
        <w:footnoteRef/>
      </w:r>
      <w:r>
        <w:rPr>
          <w:sz w:val="20"/>
          <w:szCs w:val="20"/>
        </w:rPr>
        <w:t xml:space="preserve"> Constance Borde &amp; Shelia Malovany-Chevallier (Simone de Beauvoir), Translators Notes, in The Second Sex, pp xxii</w:t>
      </w:r>
    </w:p>
  </w:footnote>
  <w:footnote w:id="7">
    <w:p w14:paraId="00000034" w14:textId="6FE1398C" w:rsidR="0055220F" w:rsidRDefault="005A6764">
      <w:pPr>
        <w:spacing w:line="240" w:lineRule="auto"/>
        <w:rPr>
          <w:sz w:val="20"/>
          <w:szCs w:val="20"/>
        </w:rPr>
      </w:pPr>
      <w:r>
        <w:rPr>
          <w:vertAlign w:val="superscript"/>
        </w:rPr>
        <w:footnoteRef/>
      </w:r>
      <w:r w:rsidR="00276915">
        <w:rPr>
          <w:sz w:val="20"/>
          <w:szCs w:val="20"/>
        </w:rPr>
        <w:t>, Judith</w:t>
      </w:r>
      <w:r>
        <w:rPr>
          <w:sz w:val="20"/>
          <w:szCs w:val="20"/>
        </w:rPr>
        <w:t xml:space="preserve"> Butler. “Sex and Gender in Simone de Beauvoir’s Secon</w:t>
      </w:r>
      <w:r>
        <w:rPr>
          <w:sz w:val="20"/>
          <w:szCs w:val="20"/>
        </w:rPr>
        <w:t xml:space="preserve">d Sex.” in </w:t>
      </w:r>
      <w:r>
        <w:rPr>
          <w:i/>
          <w:sz w:val="20"/>
          <w:szCs w:val="20"/>
        </w:rPr>
        <w:t>Yale French Studies</w:t>
      </w:r>
      <w:r>
        <w:rPr>
          <w:sz w:val="20"/>
          <w:szCs w:val="20"/>
        </w:rPr>
        <w:t xml:space="preserve">, no. 72, 1986, pp. 35–49. </w:t>
      </w:r>
      <w:r>
        <w:rPr>
          <w:i/>
          <w:sz w:val="20"/>
          <w:szCs w:val="20"/>
        </w:rPr>
        <w:t>JSTOR</w:t>
      </w:r>
      <w:r>
        <w:rPr>
          <w:sz w:val="20"/>
          <w:szCs w:val="20"/>
        </w:rPr>
        <w:t xml:space="preserve">, </w:t>
      </w:r>
      <w:hyperlink r:id="rId6">
        <w:r>
          <w:rPr>
            <w:color w:val="1155CC"/>
            <w:sz w:val="20"/>
            <w:szCs w:val="20"/>
            <w:u w:val="single"/>
          </w:rPr>
          <w:t>https://doi.org/10.2307/2930225</w:t>
        </w:r>
      </w:hyperlink>
      <w:r>
        <w:rPr>
          <w:sz w:val="20"/>
          <w:szCs w:val="20"/>
        </w:rPr>
        <w:t xml:space="preserve"> . Accessed 7/7/22.</w:t>
      </w:r>
    </w:p>
  </w:footnote>
  <w:footnote w:id="8">
    <w:p w14:paraId="00000045" w14:textId="77777777" w:rsidR="0055220F" w:rsidRDefault="005A6764">
      <w:pPr>
        <w:spacing w:line="240" w:lineRule="auto"/>
        <w:rPr>
          <w:sz w:val="20"/>
          <w:szCs w:val="20"/>
        </w:rPr>
      </w:pPr>
      <w:r>
        <w:rPr>
          <w:vertAlign w:val="superscript"/>
        </w:rPr>
        <w:footnoteRef/>
      </w:r>
      <w:r>
        <w:rPr>
          <w:sz w:val="20"/>
          <w:szCs w:val="20"/>
        </w:rPr>
        <w:t xml:space="preserve"> JEAN-PAUL</w:t>
      </w:r>
      <w:r>
        <w:t xml:space="preserve">, </w:t>
      </w:r>
      <w:r>
        <w:rPr>
          <w:sz w:val="20"/>
          <w:szCs w:val="20"/>
        </w:rPr>
        <w:t xml:space="preserve">SARTRE, et al. “Existentialism Is a Humanism.” </w:t>
      </w:r>
      <w:r>
        <w:rPr>
          <w:i/>
          <w:sz w:val="20"/>
          <w:szCs w:val="20"/>
        </w:rPr>
        <w:t>Existentialism Is a Humanism</w:t>
      </w:r>
      <w:r>
        <w:rPr>
          <w:sz w:val="20"/>
          <w:szCs w:val="20"/>
        </w:rPr>
        <w:t xml:space="preserve">, edited by JOHN KULKA, </w:t>
      </w:r>
      <w:r>
        <w:rPr>
          <w:sz w:val="20"/>
          <w:szCs w:val="20"/>
        </w:rPr>
        <w:t xml:space="preserve">Yale University Press, 2007, pp. 17–72. </w:t>
      </w:r>
      <w:r>
        <w:rPr>
          <w:i/>
          <w:sz w:val="20"/>
          <w:szCs w:val="20"/>
        </w:rPr>
        <w:t>JSTOR</w:t>
      </w:r>
      <w:r>
        <w:rPr>
          <w:sz w:val="20"/>
          <w:szCs w:val="20"/>
        </w:rPr>
        <w:t xml:space="preserve">, </w:t>
      </w:r>
      <w:hyperlink r:id="rId7">
        <w:r>
          <w:rPr>
            <w:color w:val="1155CC"/>
            <w:sz w:val="20"/>
            <w:szCs w:val="20"/>
            <w:u w:val="single"/>
          </w:rPr>
          <w:t>https://doi.org/10.2307/j.ctv15vwkgx.5</w:t>
        </w:r>
      </w:hyperlink>
      <w:r>
        <w:rPr>
          <w:sz w:val="20"/>
          <w:szCs w:val="20"/>
        </w:rPr>
        <w:t xml:space="preserve"> . Accessed 7 Jun. 2022.</w:t>
      </w:r>
    </w:p>
  </w:footnote>
  <w:footnote w:id="9">
    <w:p w14:paraId="00000047" w14:textId="77777777" w:rsidR="0055220F" w:rsidRDefault="005A6764">
      <w:pPr>
        <w:spacing w:line="240" w:lineRule="auto"/>
        <w:rPr>
          <w:sz w:val="20"/>
          <w:szCs w:val="20"/>
        </w:rPr>
      </w:pPr>
      <w:r>
        <w:rPr>
          <w:vertAlign w:val="superscript"/>
        </w:rPr>
        <w:footnoteRef/>
      </w:r>
      <w:r>
        <w:rPr>
          <w:sz w:val="20"/>
          <w:szCs w:val="20"/>
        </w:rPr>
        <w:t xml:space="preserve"> Sonia Kruks. “Gender and Subjectivity: Simone de Beauvoir and Contemporary Feminism.” </w:t>
      </w:r>
      <w:r>
        <w:rPr>
          <w:i/>
          <w:sz w:val="20"/>
          <w:szCs w:val="20"/>
        </w:rPr>
        <w:t>Signs</w:t>
      </w:r>
      <w:r>
        <w:rPr>
          <w:sz w:val="20"/>
          <w:szCs w:val="20"/>
        </w:rPr>
        <w:t xml:space="preserve">, vol. 18, no. 1, 1992, pp. 89–110. </w:t>
      </w:r>
      <w:r>
        <w:rPr>
          <w:i/>
          <w:sz w:val="20"/>
          <w:szCs w:val="20"/>
        </w:rPr>
        <w:t>JSTOR</w:t>
      </w:r>
      <w:r>
        <w:rPr>
          <w:sz w:val="20"/>
          <w:szCs w:val="20"/>
        </w:rPr>
        <w:t xml:space="preserve">, </w:t>
      </w:r>
      <w:hyperlink r:id="rId8">
        <w:r>
          <w:rPr>
            <w:color w:val="1155CC"/>
            <w:sz w:val="20"/>
            <w:szCs w:val="20"/>
            <w:u w:val="single"/>
          </w:rPr>
          <w:t>http://www.</w:t>
        </w:r>
        <w:r>
          <w:rPr>
            <w:color w:val="1155CC"/>
            <w:sz w:val="20"/>
            <w:szCs w:val="20"/>
            <w:u w:val="single"/>
          </w:rPr>
          <w:t>jstor.org/stable/3174728</w:t>
        </w:r>
      </w:hyperlink>
      <w:r>
        <w:rPr>
          <w:sz w:val="20"/>
          <w:szCs w:val="20"/>
        </w:rPr>
        <w:t xml:space="preserve"> . Accessed 7 Jun. 2022.</w:t>
      </w:r>
    </w:p>
  </w:footnote>
  <w:footnote w:id="10">
    <w:p w14:paraId="0000003C" w14:textId="77777777" w:rsidR="0055220F" w:rsidRDefault="005A6764">
      <w:pPr>
        <w:spacing w:line="240" w:lineRule="auto"/>
        <w:rPr>
          <w:sz w:val="20"/>
          <w:szCs w:val="20"/>
        </w:rPr>
      </w:pPr>
      <w:r>
        <w:rPr>
          <w:vertAlign w:val="superscript"/>
        </w:rPr>
        <w:footnoteRef/>
      </w:r>
      <w:r>
        <w:rPr>
          <w:sz w:val="20"/>
          <w:szCs w:val="20"/>
        </w:rPr>
        <w:t xml:space="preserve"> Si</w:t>
      </w:r>
      <w:r>
        <w:rPr>
          <w:sz w:val="20"/>
          <w:szCs w:val="20"/>
        </w:rPr>
        <w:t xml:space="preserve">mone De Beauvoir - </w:t>
      </w:r>
      <w:r>
        <w:rPr>
          <w:i/>
          <w:sz w:val="20"/>
          <w:szCs w:val="20"/>
        </w:rPr>
        <w:t xml:space="preserve">Girlhood </w:t>
      </w:r>
      <w:r>
        <w:rPr>
          <w:sz w:val="20"/>
          <w:szCs w:val="20"/>
        </w:rPr>
        <w:t>The second sex 1949, translated 2009</w:t>
      </w:r>
    </w:p>
  </w:footnote>
  <w:footnote w:id="11">
    <w:p w14:paraId="00000035" w14:textId="762468F3" w:rsidR="0055220F" w:rsidRDefault="005A6764">
      <w:pPr>
        <w:spacing w:line="240" w:lineRule="auto"/>
        <w:rPr>
          <w:sz w:val="20"/>
          <w:szCs w:val="20"/>
        </w:rPr>
      </w:pPr>
      <w:r>
        <w:rPr>
          <w:vertAlign w:val="superscript"/>
        </w:rPr>
        <w:footnoteRef/>
      </w:r>
      <w:r>
        <w:rPr>
          <w:sz w:val="20"/>
          <w:szCs w:val="20"/>
        </w:rPr>
        <w:t xml:space="preserve"> Mari </w:t>
      </w:r>
      <w:r w:rsidR="00276915">
        <w:rPr>
          <w:sz w:val="20"/>
          <w:szCs w:val="20"/>
        </w:rPr>
        <w:t>Mikkola.</w:t>
      </w:r>
      <w:r>
        <w:rPr>
          <w:sz w:val="20"/>
          <w:szCs w:val="20"/>
        </w:rPr>
        <w:t xml:space="preserve"> Zalta, Edward N. (ed.).</w:t>
      </w:r>
      <w:hyperlink r:id="rId9">
        <w:r>
          <w:rPr>
            <w:sz w:val="20"/>
            <w:szCs w:val="20"/>
          </w:rPr>
          <w:t xml:space="preserve"> </w:t>
        </w:r>
      </w:hyperlink>
      <w:hyperlink r:id="rId10">
        <w:r>
          <w:rPr>
            <w:i/>
            <w:color w:val="1155CC"/>
            <w:sz w:val="20"/>
            <w:szCs w:val="20"/>
            <w:u w:val="single"/>
          </w:rPr>
          <w:t xml:space="preserve">The Stanford </w:t>
        </w:r>
        <w:r w:rsidR="00276915">
          <w:rPr>
            <w:i/>
            <w:color w:val="1155CC"/>
            <w:sz w:val="20"/>
            <w:szCs w:val="20"/>
            <w:u w:val="single"/>
          </w:rPr>
          <w:t>Encyclopaedia</w:t>
        </w:r>
        <w:r>
          <w:rPr>
            <w:i/>
            <w:color w:val="1155CC"/>
            <w:sz w:val="20"/>
            <w:szCs w:val="20"/>
            <w:u w:val="single"/>
          </w:rPr>
          <w:t xml:space="preserve"> of Philosophy</w:t>
        </w:r>
      </w:hyperlink>
      <w:r>
        <w:rPr>
          <w:sz w:val="20"/>
          <w:szCs w:val="20"/>
        </w:rPr>
        <w:t>. Metaphysics Research Lab, Stanford Unive</w:t>
      </w:r>
      <w:r>
        <w:rPr>
          <w:sz w:val="20"/>
          <w:szCs w:val="20"/>
        </w:rPr>
        <w:t xml:space="preserve">rsity – via Stanford </w:t>
      </w:r>
      <w:r w:rsidR="00276915">
        <w:rPr>
          <w:sz w:val="20"/>
          <w:szCs w:val="20"/>
        </w:rPr>
        <w:t>Encyclopaedia</w:t>
      </w:r>
      <w:r>
        <w:rPr>
          <w:sz w:val="20"/>
          <w:szCs w:val="20"/>
        </w:rPr>
        <w:t xml:space="preserve"> of </w:t>
      </w:r>
      <w:r w:rsidR="00276915">
        <w:rPr>
          <w:sz w:val="20"/>
          <w:szCs w:val="20"/>
        </w:rPr>
        <w:t>Philosophy. (</w:t>
      </w:r>
      <w:r>
        <w:rPr>
          <w:sz w:val="20"/>
          <w:szCs w:val="20"/>
        </w:rPr>
        <w:t>3 January 2018)</w:t>
      </w:r>
    </w:p>
  </w:footnote>
  <w:footnote w:id="12">
    <w:p w14:paraId="00000031" w14:textId="0DB6643A" w:rsidR="0055220F" w:rsidRDefault="005A6764">
      <w:pPr>
        <w:spacing w:line="240" w:lineRule="auto"/>
        <w:rPr>
          <w:sz w:val="20"/>
          <w:szCs w:val="20"/>
        </w:rPr>
      </w:pPr>
      <w:r>
        <w:rPr>
          <w:vertAlign w:val="superscript"/>
        </w:rPr>
        <w:footnoteRef/>
      </w:r>
      <w:r>
        <w:rPr>
          <w:sz w:val="20"/>
          <w:szCs w:val="20"/>
        </w:rPr>
        <w:t xml:space="preserve">  </w:t>
      </w:r>
      <w:r w:rsidR="00276915">
        <w:rPr>
          <w:sz w:val="20"/>
          <w:szCs w:val="20"/>
        </w:rPr>
        <w:t>Shulamite</w:t>
      </w:r>
      <w:r>
        <w:rPr>
          <w:sz w:val="20"/>
          <w:szCs w:val="20"/>
        </w:rPr>
        <w:t xml:space="preserve"> Firestone, </w:t>
      </w:r>
      <w:r>
        <w:rPr>
          <w:i/>
          <w:sz w:val="20"/>
          <w:szCs w:val="20"/>
        </w:rPr>
        <w:t xml:space="preserve">The Dialectic of Sex, </w:t>
      </w:r>
      <w:r>
        <w:rPr>
          <w:sz w:val="20"/>
          <w:szCs w:val="20"/>
        </w:rPr>
        <w:t>p11 1970</w:t>
      </w:r>
    </w:p>
  </w:footnote>
  <w:footnote w:id="13">
    <w:p w14:paraId="00000032" w14:textId="77777777" w:rsidR="0055220F" w:rsidRDefault="005A6764">
      <w:pPr>
        <w:spacing w:line="240" w:lineRule="auto"/>
        <w:rPr>
          <w:sz w:val="20"/>
          <w:szCs w:val="20"/>
        </w:rPr>
      </w:pPr>
      <w:r>
        <w:rPr>
          <w:vertAlign w:val="superscript"/>
        </w:rPr>
        <w:footnoteRef/>
      </w:r>
      <w:r>
        <w:rPr>
          <w:sz w:val="20"/>
          <w:szCs w:val="20"/>
        </w:rPr>
        <w:t xml:space="preserve"> Lynda Birke "In Pursuit of </w:t>
      </w:r>
      <w:r>
        <w:rPr>
          <w:sz w:val="20"/>
          <w:szCs w:val="20"/>
        </w:rPr>
        <w:t>Difference: Scientific Studies of Women and Men," Muriel Lederman and Ingrid Bartsch eds., The Gender and Science Reader, New York: Routledge. (p. 320, 2001)</w:t>
      </w:r>
    </w:p>
  </w:footnote>
  <w:footnote w:id="14">
    <w:p w14:paraId="00000033" w14:textId="69ACF504" w:rsidR="0055220F" w:rsidRDefault="005A6764">
      <w:pPr>
        <w:spacing w:line="240" w:lineRule="auto"/>
        <w:rPr>
          <w:sz w:val="20"/>
          <w:szCs w:val="20"/>
        </w:rPr>
      </w:pPr>
      <w:r>
        <w:rPr>
          <w:vertAlign w:val="superscript"/>
        </w:rPr>
        <w:footnoteRef/>
      </w:r>
      <w:r>
        <w:rPr>
          <w:sz w:val="20"/>
          <w:szCs w:val="20"/>
        </w:rPr>
        <w:t xml:space="preserve">Tomas </w:t>
      </w:r>
      <w:r w:rsidR="00276915">
        <w:rPr>
          <w:sz w:val="20"/>
          <w:szCs w:val="20"/>
        </w:rPr>
        <w:t>Bogardus.</w:t>
      </w:r>
      <w:hyperlink r:id="rId11">
        <w:r>
          <w:rPr>
            <w:sz w:val="20"/>
            <w:szCs w:val="20"/>
          </w:rPr>
          <w:t xml:space="preserve"> </w:t>
        </w:r>
      </w:hyperlink>
      <w:hyperlink r:id="rId12">
        <w:r>
          <w:rPr>
            <w:color w:val="1155CC"/>
            <w:sz w:val="20"/>
            <w:szCs w:val="20"/>
            <w:u w:val="single"/>
          </w:rPr>
          <w:t>"Evaluating Arguments for the Sex/Gender Distinction"</w:t>
        </w:r>
      </w:hyperlink>
      <w:r>
        <w:rPr>
          <w:sz w:val="20"/>
          <w:szCs w:val="20"/>
        </w:rPr>
        <w:t xml:space="preserve">. </w:t>
      </w:r>
      <w:r>
        <w:rPr>
          <w:i/>
          <w:sz w:val="20"/>
          <w:szCs w:val="20"/>
        </w:rPr>
        <w:t>Philosophia</w:t>
      </w:r>
      <w:r>
        <w:rPr>
          <w:sz w:val="20"/>
          <w:szCs w:val="20"/>
        </w:rPr>
        <w:t xml:space="preserve">. </w:t>
      </w:r>
      <w:r>
        <w:rPr>
          <w:b/>
          <w:sz w:val="20"/>
          <w:szCs w:val="20"/>
        </w:rPr>
        <w:t>48</w:t>
      </w:r>
      <w:r>
        <w:rPr>
          <w:sz w:val="20"/>
          <w:szCs w:val="20"/>
        </w:rPr>
        <w:t xml:space="preserve"> (3): 873–892.2020</w:t>
      </w:r>
    </w:p>
  </w:footnote>
  <w:footnote w:id="15">
    <w:p w14:paraId="0000003D" w14:textId="44C51DB8" w:rsidR="0055220F" w:rsidRDefault="005A6764">
      <w:pPr>
        <w:spacing w:line="240" w:lineRule="auto"/>
        <w:rPr>
          <w:sz w:val="20"/>
          <w:szCs w:val="20"/>
        </w:rPr>
      </w:pPr>
      <w:r>
        <w:rPr>
          <w:vertAlign w:val="superscript"/>
        </w:rPr>
        <w:footnoteRef/>
      </w:r>
      <w:r>
        <w:rPr>
          <w:sz w:val="20"/>
          <w:szCs w:val="20"/>
        </w:rPr>
        <w:t xml:space="preserve">Katelyn Burns, </w:t>
      </w:r>
      <w:r w:rsidR="00276915">
        <w:rPr>
          <w:sz w:val="20"/>
          <w:szCs w:val="20"/>
        </w:rPr>
        <w:t>the</w:t>
      </w:r>
      <w:r>
        <w:rPr>
          <w:sz w:val="20"/>
          <w:szCs w:val="20"/>
        </w:rPr>
        <w:t xml:space="preserve"> rise of anti-trans “radical” feminists, </w:t>
      </w:r>
      <w:r w:rsidR="00276915">
        <w:rPr>
          <w:sz w:val="20"/>
          <w:szCs w:val="20"/>
        </w:rPr>
        <w:t xml:space="preserve">explained,  </w:t>
      </w:r>
      <w:hyperlink r:id="rId13">
        <w:r>
          <w:rPr>
            <w:color w:val="1155CC"/>
            <w:sz w:val="20"/>
            <w:szCs w:val="20"/>
            <w:u w:val="single"/>
          </w:rPr>
          <w:t>https://ww</w:t>
        </w:r>
        <w:r>
          <w:rPr>
            <w:color w:val="1155CC"/>
            <w:sz w:val="20"/>
            <w:szCs w:val="20"/>
            <w:u w:val="single"/>
          </w:rPr>
          <w:t>w.vox.com/identities/2019/9/5/20840101/terfs-radical-feminists-gender-critical</w:t>
        </w:r>
      </w:hyperlink>
      <w:r>
        <w:rPr>
          <w:sz w:val="20"/>
          <w:szCs w:val="20"/>
        </w:rPr>
        <w:t xml:space="preserve"> accessed 7/6/22</w:t>
      </w:r>
    </w:p>
  </w:footnote>
  <w:footnote w:id="16">
    <w:p w14:paraId="0000003E" w14:textId="77777777" w:rsidR="0055220F" w:rsidRDefault="005A6764">
      <w:pPr>
        <w:spacing w:line="240" w:lineRule="auto"/>
        <w:rPr>
          <w:sz w:val="20"/>
          <w:szCs w:val="20"/>
        </w:rPr>
      </w:pPr>
      <w:r>
        <w:rPr>
          <w:vertAlign w:val="superscript"/>
        </w:rPr>
        <w:footnoteRef/>
      </w:r>
      <w:r>
        <w:rPr>
          <w:sz w:val="20"/>
          <w:szCs w:val="20"/>
        </w:rPr>
        <w:t xml:space="preserve"> Anonymous,  </w:t>
      </w:r>
      <w:hyperlink r:id="rId14">
        <w:r>
          <w:rPr>
            <w:color w:val="1155CC"/>
            <w:sz w:val="20"/>
            <w:szCs w:val="20"/>
            <w:u w:val="single"/>
          </w:rPr>
          <w:t>https://www.reddit.com/r/MtF/com</w:t>
        </w:r>
        <w:r>
          <w:rPr>
            <w:color w:val="1155CC"/>
            <w:sz w:val="20"/>
            <w:szCs w:val="20"/>
            <w:u w:val="single"/>
          </w:rPr>
          <w:t>ments/bbvjpp/one_is_not_born_a_woman_but_becomes_one_simone_de/</w:t>
        </w:r>
      </w:hyperlink>
      <w:r>
        <w:rPr>
          <w:sz w:val="20"/>
          <w:szCs w:val="20"/>
        </w:rPr>
        <w:t xml:space="preserve"> Accessed 7/6/22</w:t>
      </w:r>
    </w:p>
  </w:footnote>
  <w:footnote w:id="17">
    <w:p w14:paraId="0000003F" w14:textId="77777777" w:rsidR="0055220F" w:rsidRDefault="005A6764">
      <w:pPr>
        <w:spacing w:line="240" w:lineRule="auto"/>
        <w:rPr>
          <w:sz w:val="20"/>
          <w:szCs w:val="20"/>
        </w:rPr>
      </w:pPr>
      <w:r>
        <w:rPr>
          <w:vertAlign w:val="superscript"/>
        </w:rPr>
        <w:footnoteRef/>
      </w:r>
      <w:r>
        <w:rPr>
          <w:sz w:val="20"/>
          <w:szCs w:val="20"/>
        </w:rPr>
        <w:t xml:space="preserve"> Anonymous, </w:t>
      </w:r>
      <w:hyperlink r:id="rId15">
        <w:r>
          <w:rPr>
            <w:color w:val="1155CC"/>
            <w:sz w:val="20"/>
            <w:szCs w:val="20"/>
            <w:u w:val="single"/>
          </w:rPr>
          <w:t>https://www.reddit.com/r/asktransgender/</w:t>
        </w:r>
        <w:r>
          <w:rPr>
            <w:color w:val="1155CC"/>
            <w:sz w:val="20"/>
            <w:szCs w:val="20"/>
            <w:u w:val="single"/>
          </w:rPr>
          <w:t>comments/42nrr6/any_reflections_on_de_beauvoir_one_is_not_born/</w:t>
        </w:r>
      </w:hyperlink>
      <w:r>
        <w:rPr>
          <w:sz w:val="20"/>
          <w:szCs w:val="20"/>
        </w:rPr>
        <w:t xml:space="preserve"> accessed 7/6/22</w:t>
      </w:r>
    </w:p>
  </w:footnote>
  <w:footnote w:id="18">
    <w:p w14:paraId="00000051" w14:textId="36C2E506" w:rsidR="0055220F" w:rsidRDefault="005A6764">
      <w:pPr>
        <w:spacing w:line="240" w:lineRule="auto"/>
        <w:rPr>
          <w:sz w:val="20"/>
          <w:szCs w:val="20"/>
        </w:rPr>
      </w:pPr>
      <w:r>
        <w:rPr>
          <w:vertAlign w:val="superscript"/>
        </w:rPr>
        <w:footnoteRef/>
      </w:r>
      <w:r>
        <w:rPr>
          <w:sz w:val="20"/>
          <w:szCs w:val="20"/>
        </w:rPr>
        <w:t xml:space="preserve"> Williams, Cristan.</w:t>
      </w:r>
      <w:hyperlink r:id="rId16">
        <w:r>
          <w:rPr>
            <w:sz w:val="20"/>
            <w:szCs w:val="20"/>
          </w:rPr>
          <w:t xml:space="preserve"> </w:t>
        </w:r>
      </w:hyperlink>
      <w:hyperlink r:id="rId17">
        <w:r>
          <w:rPr>
            <w:color w:val="1155CC"/>
            <w:sz w:val="20"/>
            <w:szCs w:val="20"/>
            <w:u w:val="single"/>
          </w:rPr>
          <w:t xml:space="preserve">"Sex, Gender, and Sexuality: The </w:t>
        </w:r>
        <w:r w:rsidR="00276915">
          <w:rPr>
            <w:color w:val="1155CC"/>
            <w:sz w:val="20"/>
            <w:szCs w:val="20"/>
            <w:u w:val="single"/>
          </w:rPr>
          <w:t>Trans Advocate</w:t>
        </w:r>
        <w:r>
          <w:rPr>
            <w:color w:val="1155CC"/>
            <w:sz w:val="20"/>
            <w:szCs w:val="20"/>
            <w:u w:val="single"/>
          </w:rPr>
          <w:t xml:space="preserve"> interviews Catharine A. MacKinnon"</w:t>
        </w:r>
      </w:hyperlink>
      <w:r>
        <w:rPr>
          <w:sz w:val="20"/>
          <w:szCs w:val="20"/>
        </w:rPr>
        <w:t xml:space="preserve">. The </w:t>
      </w:r>
      <w:r w:rsidR="00276915">
        <w:rPr>
          <w:sz w:val="20"/>
          <w:szCs w:val="20"/>
        </w:rPr>
        <w:t>Trans Advocate</w:t>
      </w:r>
      <w:r>
        <w:rPr>
          <w:sz w:val="20"/>
          <w:szCs w:val="20"/>
        </w:rPr>
        <w:t>.</w:t>
      </w:r>
      <w:hyperlink r:id="rId18">
        <w:r>
          <w:rPr>
            <w:sz w:val="20"/>
            <w:szCs w:val="20"/>
          </w:rPr>
          <w:t xml:space="preserve"> </w:t>
        </w:r>
      </w:hyperlink>
      <w:hyperlink r:id="rId19">
        <w:r>
          <w:rPr>
            <w:color w:val="1155CC"/>
            <w:sz w:val="20"/>
            <w:szCs w:val="20"/>
            <w:u w:val="single"/>
          </w:rPr>
          <w:t>Archived</w:t>
        </w:r>
      </w:hyperlink>
      <w:r>
        <w:rPr>
          <w:sz w:val="20"/>
          <w:szCs w:val="20"/>
        </w:rPr>
        <w:t xml:space="preserve"> from the original on 24 Dece</w:t>
      </w:r>
      <w:r>
        <w:rPr>
          <w:sz w:val="20"/>
          <w:szCs w:val="20"/>
        </w:rPr>
        <w:t xml:space="preserve">mber 2018. Retrieved 22 December 2018. 7 </w:t>
      </w:r>
      <w:r w:rsidR="00276915">
        <w:rPr>
          <w:sz w:val="20"/>
          <w:szCs w:val="20"/>
        </w:rPr>
        <w:t>April</w:t>
      </w:r>
      <w:r>
        <w:rPr>
          <w:sz w:val="20"/>
          <w:szCs w:val="20"/>
        </w:rPr>
        <w:t xml:space="preserve"> 2015</w:t>
      </w:r>
    </w:p>
  </w:footnote>
  <w:footnote w:id="19">
    <w:p w14:paraId="00000040" w14:textId="77777777" w:rsidR="0055220F" w:rsidRDefault="005A6764">
      <w:pPr>
        <w:spacing w:line="240" w:lineRule="auto"/>
        <w:rPr>
          <w:sz w:val="20"/>
          <w:szCs w:val="20"/>
        </w:rPr>
      </w:pPr>
      <w:r>
        <w:rPr>
          <w:vertAlign w:val="superscript"/>
        </w:rPr>
        <w:footnoteRef/>
      </w:r>
      <w:r>
        <w:rPr>
          <w:sz w:val="20"/>
          <w:szCs w:val="20"/>
        </w:rPr>
        <w:t xml:space="preserve"> COLLINS, CANDACE. “SIMONE DE BEAUVOIR’S GENDER OF AMBIGUITY.” </w:t>
      </w:r>
      <w:r>
        <w:rPr>
          <w:i/>
          <w:sz w:val="20"/>
          <w:szCs w:val="20"/>
        </w:rPr>
        <w:t>Simone de Beauvoir Studies</w:t>
      </w:r>
      <w:r>
        <w:rPr>
          <w:sz w:val="20"/>
          <w:szCs w:val="20"/>
        </w:rPr>
        <w:t xml:space="preserve">, vol. 14, 1997, pp. 72–82. </w:t>
      </w:r>
      <w:r>
        <w:rPr>
          <w:i/>
          <w:sz w:val="20"/>
          <w:szCs w:val="20"/>
        </w:rPr>
        <w:t>JSTOR</w:t>
      </w:r>
      <w:r>
        <w:rPr>
          <w:sz w:val="20"/>
          <w:szCs w:val="20"/>
        </w:rPr>
        <w:t xml:space="preserve">, </w:t>
      </w:r>
      <w:hyperlink r:id="rId20">
        <w:r>
          <w:rPr>
            <w:color w:val="1155CC"/>
            <w:sz w:val="20"/>
            <w:szCs w:val="20"/>
            <w:u w:val="single"/>
          </w:rPr>
          <w:t>http://www.jstor.org/stable/45170499</w:t>
        </w:r>
      </w:hyperlink>
      <w:r>
        <w:rPr>
          <w:sz w:val="20"/>
          <w:szCs w:val="20"/>
        </w:rPr>
        <w:t xml:space="preserve"> . Accessed 7 Jun. 2022. p74</w:t>
      </w:r>
    </w:p>
  </w:footnote>
  <w:footnote w:id="20">
    <w:p w14:paraId="00000041" w14:textId="77777777" w:rsidR="0055220F" w:rsidRDefault="005A6764">
      <w:pPr>
        <w:spacing w:line="240" w:lineRule="auto"/>
        <w:rPr>
          <w:sz w:val="20"/>
          <w:szCs w:val="20"/>
        </w:rPr>
      </w:pPr>
      <w:r>
        <w:rPr>
          <w:vertAlign w:val="superscript"/>
        </w:rPr>
        <w:footnoteRef/>
      </w:r>
      <w:r>
        <w:rPr>
          <w:sz w:val="20"/>
          <w:szCs w:val="20"/>
        </w:rPr>
        <w:t xml:space="preserve"> Ibid p78 </w:t>
      </w:r>
    </w:p>
  </w:footnote>
  <w:footnote w:id="21">
    <w:p w14:paraId="00000049" w14:textId="77777777" w:rsidR="0055220F" w:rsidRDefault="005A6764">
      <w:pPr>
        <w:spacing w:line="240" w:lineRule="auto"/>
        <w:rPr>
          <w:sz w:val="20"/>
          <w:szCs w:val="20"/>
        </w:rPr>
      </w:pPr>
      <w:r>
        <w:rPr>
          <w:vertAlign w:val="superscript"/>
        </w:rPr>
        <w:footnoteRef/>
      </w:r>
      <w:r>
        <w:rPr>
          <w:sz w:val="20"/>
          <w:szCs w:val="20"/>
        </w:rPr>
        <w:t xml:space="preserve"> Ibid p78</w:t>
      </w:r>
    </w:p>
  </w:footnote>
  <w:footnote w:id="22">
    <w:p w14:paraId="00000046" w14:textId="73F0E9AA" w:rsidR="0055220F" w:rsidRDefault="005A6764">
      <w:pPr>
        <w:spacing w:line="240" w:lineRule="auto"/>
        <w:rPr>
          <w:sz w:val="20"/>
          <w:szCs w:val="20"/>
        </w:rPr>
      </w:pPr>
      <w:r>
        <w:rPr>
          <w:vertAlign w:val="superscript"/>
        </w:rPr>
        <w:footnoteRef/>
      </w:r>
      <w:r>
        <w:rPr>
          <w:sz w:val="20"/>
          <w:szCs w:val="20"/>
        </w:rPr>
        <w:t xml:space="preserve"> Language has moved forward drastically from the time that Beauvoir was writing as has </w:t>
      </w:r>
      <w:r>
        <w:rPr>
          <w:sz w:val="20"/>
          <w:szCs w:val="20"/>
        </w:rPr>
        <w:t xml:space="preserve">the meaning behind the words she uses to describe her sexual encounters with </w:t>
      </w:r>
      <w:r w:rsidR="00276915">
        <w:rPr>
          <w:sz w:val="20"/>
          <w:szCs w:val="20"/>
        </w:rPr>
        <w:t>woman,</w:t>
      </w:r>
      <w:r>
        <w:rPr>
          <w:sz w:val="20"/>
          <w:szCs w:val="20"/>
        </w:rPr>
        <w:t xml:space="preserve"> and it is important to note that while she has used lesbian in her works, unless the </w:t>
      </w:r>
      <w:r w:rsidR="00276915">
        <w:rPr>
          <w:sz w:val="20"/>
          <w:szCs w:val="20"/>
        </w:rPr>
        <w:t>identity</w:t>
      </w:r>
      <w:r>
        <w:rPr>
          <w:sz w:val="20"/>
          <w:szCs w:val="20"/>
        </w:rPr>
        <w:t xml:space="preserve"> is that of a woman who is only attracted to women then the modern terminology o</w:t>
      </w:r>
      <w:r>
        <w:rPr>
          <w:sz w:val="20"/>
          <w:szCs w:val="20"/>
        </w:rPr>
        <w:t>f lesbian does not apply as it may have done in 1949.</w:t>
      </w:r>
    </w:p>
  </w:footnote>
  <w:footnote w:id="23">
    <w:p w14:paraId="00000042" w14:textId="6A4A89BB" w:rsidR="0055220F" w:rsidRDefault="005A6764">
      <w:pPr>
        <w:spacing w:line="240" w:lineRule="auto"/>
        <w:rPr>
          <w:sz w:val="20"/>
          <w:szCs w:val="20"/>
        </w:rPr>
      </w:pPr>
      <w:r>
        <w:rPr>
          <w:vertAlign w:val="superscript"/>
        </w:rPr>
        <w:footnoteRef/>
      </w:r>
      <w:r>
        <w:rPr>
          <w:sz w:val="20"/>
          <w:szCs w:val="20"/>
        </w:rPr>
        <w:t xml:space="preserve"> Paul </w:t>
      </w:r>
      <w:r w:rsidR="00276915">
        <w:rPr>
          <w:sz w:val="20"/>
          <w:szCs w:val="20"/>
        </w:rPr>
        <w:t>Mountjoy, Modern</w:t>
      </w:r>
      <w:r>
        <w:rPr>
          <w:sz w:val="20"/>
          <w:szCs w:val="20"/>
        </w:rPr>
        <w:t xml:space="preserve"> science says homosexuality is not a choice accessed 7/6/22</w:t>
      </w:r>
    </w:p>
    <w:p w14:paraId="00000043" w14:textId="77777777" w:rsidR="0055220F" w:rsidRPr="008A2BA9" w:rsidRDefault="005A6764">
      <w:pPr>
        <w:spacing w:line="240" w:lineRule="auto"/>
        <w:rPr>
          <w:sz w:val="20"/>
          <w:szCs w:val="20"/>
        </w:rPr>
      </w:pPr>
      <w:hyperlink r:id="rId21">
        <w:r w:rsidRPr="008A2BA9">
          <w:rPr>
            <w:color w:val="1155CC"/>
            <w:sz w:val="20"/>
            <w:szCs w:val="20"/>
            <w:u w:val="single"/>
          </w:rPr>
          <w:t>https://www.washingtontimes.com/news/2014/dec/31/modern-science-says-homosexuality-not-choice/</w:t>
        </w:r>
      </w:hyperlink>
    </w:p>
  </w:footnote>
  <w:footnote w:id="24">
    <w:p w14:paraId="5E193E42" w14:textId="7089582E" w:rsidR="008A2BA9" w:rsidRPr="008A2BA9" w:rsidRDefault="008A2BA9">
      <w:pPr>
        <w:pStyle w:val="FootnoteText"/>
      </w:pPr>
      <w:r w:rsidRPr="008A2BA9">
        <w:rPr>
          <w:rStyle w:val="FootnoteReference"/>
        </w:rPr>
        <w:footnoteRef/>
      </w:r>
      <w:r w:rsidRPr="008A2BA9">
        <w:t xml:space="preserve"> Michele Le </w:t>
      </w:r>
      <w:proofErr w:type="spellStart"/>
      <w:r w:rsidRPr="008A2BA9">
        <w:t>Doeuff</w:t>
      </w:r>
      <w:proofErr w:type="spellEnd"/>
      <w:r w:rsidRPr="008A2BA9">
        <w:t xml:space="preserve">, ‘Simone de Beauvoir and Existentialism’ </w:t>
      </w:r>
    </w:p>
  </w:footnote>
  <w:footnote w:id="25">
    <w:p w14:paraId="566400BE" w14:textId="77777777" w:rsidR="008A2BA9" w:rsidRPr="008A2BA9" w:rsidRDefault="008A2BA9" w:rsidP="008A2BA9">
      <w:pPr>
        <w:rPr>
          <w:rFonts w:eastAsia="Times New Roman"/>
          <w:sz w:val="20"/>
          <w:szCs w:val="20"/>
        </w:rPr>
      </w:pPr>
      <w:r w:rsidRPr="008A2BA9">
        <w:rPr>
          <w:rStyle w:val="FootnoteReference"/>
          <w:sz w:val="20"/>
          <w:szCs w:val="20"/>
        </w:rPr>
        <w:footnoteRef/>
      </w:r>
      <w:r w:rsidRPr="008A2BA9">
        <w:rPr>
          <w:sz w:val="20"/>
          <w:szCs w:val="20"/>
        </w:rPr>
        <w:t xml:space="preserve"> </w:t>
      </w:r>
      <w:r w:rsidRPr="008A2BA9">
        <w:rPr>
          <w:rFonts w:eastAsia="Times New Roman"/>
          <w:sz w:val="20"/>
          <w:szCs w:val="20"/>
        </w:rPr>
        <w:t xml:space="preserve">Butler, Judith. “Sex and Gender in Simone de Beauvoir’s Second Sex.” </w:t>
      </w:r>
      <w:r w:rsidRPr="008A2BA9">
        <w:rPr>
          <w:rFonts w:eastAsia="Times New Roman"/>
          <w:i/>
          <w:iCs/>
          <w:sz w:val="20"/>
          <w:szCs w:val="20"/>
        </w:rPr>
        <w:t>Yale French Studies</w:t>
      </w:r>
      <w:r w:rsidRPr="008A2BA9">
        <w:rPr>
          <w:rFonts w:eastAsia="Times New Roman"/>
          <w:sz w:val="20"/>
          <w:szCs w:val="20"/>
        </w:rPr>
        <w:t xml:space="preserve">, no. 72, 1986, pp. 35–49. </w:t>
      </w:r>
      <w:r w:rsidRPr="008A2BA9">
        <w:rPr>
          <w:rFonts w:eastAsia="Times New Roman"/>
          <w:i/>
          <w:iCs/>
          <w:sz w:val="20"/>
          <w:szCs w:val="20"/>
        </w:rPr>
        <w:t>JSTOR</w:t>
      </w:r>
      <w:r w:rsidRPr="008A2BA9">
        <w:rPr>
          <w:rFonts w:eastAsia="Times New Roman"/>
          <w:sz w:val="20"/>
          <w:szCs w:val="20"/>
        </w:rPr>
        <w:t>, https://doi.org/10.2307/2930225. Accessed 7 Jun. 2022.</w:t>
      </w:r>
    </w:p>
    <w:p w14:paraId="35EE2F1E" w14:textId="557D643F" w:rsidR="008A2BA9" w:rsidRDefault="008A2BA9">
      <w:pPr>
        <w:pStyle w:val="FootnoteText"/>
      </w:pPr>
    </w:p>
  </w:footnote>
  <w:footnote w:id="26">
    <w:p w14:paraId="6EE13526" w14:textId="397C4346" w:rsidR="00084232" w:rsidRDefault="00084232">
      <w:pPr>
        <w:pStyle w:val="FootnoteText"/>
      </w:pPr>
      <w:r>
        <w:rPr>
          <w:rStyle w:val="FootnoteReference"/>
        </w:rPr>
        <w:footnoteRef/>
      </w:r>
      <w:r>
        <w:t xml:space="preserve"> Ibid, 43</w:t>
      </w:r>
    </w:p>
  </w:footnote>
  <w:footnote w:id="27">
    <w:p w14:paraId="00000036" w14:textId="77777777" w:rsidR="0055220F" w:rsidRDefault="005A6764">
      <w:pPr>
        <w:spacing w:line="240" w:lineRule="auto"/>
        <w:rPr>
          <w:sz w:val="20"/>
          <w:szCs w:val="20"/>
        </w:rPr>
      </w:pPr>
      <w:r>
        <w:rPr>
          <w:vertAlign w:val="superscript"/>
        </w:rPr>
        <w:footnoteRef/>
      </w:r>
      <w:r>
        <w:rPr>
          <w:sz w:val="20"/>
          <w:szCs w:val="20"/>
        </w:rPr>
        <w:t xml:space="preserve"> McCall, Dorothy Kaufmann. “Simone de Beauvoir, ‘The Second Sex’, and Jean-Paul Sartre.” </w:t>
      </w:r>
      <w:r>
        <w:rPr>
          <w:i/>
          <w:sz w:val="20"/>
          <w:szCs w:val="20"/>
        </w:rPr>
        <w:t>Signs</w:t>
      </w:r>
      <w:r>
        <w:rPr>
          <w:sz w:val="20"/>
          <w:szCs w:val="20"/>
        </w:rPr>
        <w:t xml:space="preserve">, vol. 5, no. 2, 1979, pp. 209–23. </w:t>
      </w:r>
      <w:r>
        <w:rPr>
          <w:i/>
          <w:sz w:val="20"/>
          <w:szCs w:val="20"/>
        </w:rPr>
        <w:t>JSTOR</w:t>
      </w:r>
      <w:r>
        <w:rPr>
          <w:sz w:val="20"/>
          <w:szCs w:val="20"/>
        </w:rPr>
        <w:t>, http://www.jstor.org/stable/3173557. Accessed 7 Jun. 2</w:t>
      </w:r>
      <w:r>
        <w:rPr>
          <w:sz w:val="20"/>
          <w:szCs w:val="20"/>
        </w:rPr>
        <w:t>022.</w:t>
      </w:r>
    </w:p>
    <w:p w14:paraId="00000037" w14:textId="77777777" w:rsidR="0055220F" w:rsidRDefault="0055220F">
      <w:pPr>
        <w:spacing w:line="240" w:lineRule="auto"/>
        <w:rPr>
          <w:sz w:val="20"/>
          <w:szCs w:val="20"/>
        </w:rPr>
      </w:pPr>
    </w:p>
  </w:footnote>
  <w:footnote w:id="28">
    <w:p w14:paraId="00000038" w14:textId="77777777" w:rsidR="0055220F" w:rsidRDefault="005A6764">
      <w:pPr>
        <w:spacing w:line="240" w:lineRule="auto"/>
        <w:rPr>
          <w:sz w:val="20"/>
          <w:szCs w:val="20"/>
        </w:rPr>
      </w:pPr>
      <w:r>
        <w:rPr>
          <w:vertAlign w:val="superscript"/>
        </w:rPr>
        <w:footnoteRef/>
      </w:r>
      <w:r>
        <w:rPr>
          <w:sz w:val="20"/>
          <w:szCs w:val="20"/>
        </w:rPr>
        <w:t xml:space="preserve"> Kruks, Sonia. “Gender and Subjectivity: Simone de Beauvoir and Contemporary Feminism.”</w:t>
      </w:r>
    </w:p>
  </w:footnote>
  <w:footnote w:id="29">
    <w:p w14:paraId="00000039" w14:textId="77777777" w:rsidR="0055220F" w:rsidRDefault="005A6764">
      <w:pPr>
        <w:spacing w:line="240" w:lineRule="auto"/>
        <w:rPr>
          <w:sz w:val="20"/>
          <w:szCs w:val="20"/>
        </w:rPr>
      </w:pPr>
      <w:r>
        <w:rPr>
          <w:vertAlign w:val="superscript"/>
        </w:rPr>
        <w:footnoteRef/>
      </w:r>
      <w:r>
        <w:rPr>
          <w:sz w:val="20"/>
          <w:szCs w:val="20"/>
        </w:rPr>
        <w:t xml:space="preserve">   McCall, Dorothy Kaufmann. “Simone de Beauvoir, ‘The Second Sex’, and Jean-Paul Sartre.”</w:t>
      </w:r>
    </w:p>
  </w:footnote>
  <w:footnote w:id="30">
    <w:p w14:paraId="0000003A" w14:textId="77777777" w:rsidR="0055220F" w:rsidRDefault="005A6764">
      <w:pPr>
        <w:spacing w:line="240" w:lineRule="auto"/>
        <w:rPr>
          <w:sz w:val="20"/>
          <w:szCs w:val="20"/>
        </w:rPr>
      </w:pPr>
      <w:r>
        <w:rPr>
          <w:vertAlign w:val="superscript"/>
        </w:rPr>
        <w:footnoteRef/>
      </w:r>
      <w:r>
        <w:rPr>
          <w:sz w:val="20"/>
          <w:szCs w:val="20"/>
        </w:rPr>
        <w:t xml:space="preserve"> Kruks, Sonia. “Gender and Subjectivity: Simone de Beauvoir and Cont</w:t>
      </w:r>
      <w:r>
        <w:rPr>
          <w:sz w:val="20"/>
          <w:szCs w:val="20"/>
        </w:rPr>
        <w:t>emporary Feminism.”</w:t>
      </w:r>
    </w:p>
  </w:footnote>
  <w:footnote w:id="31">
    <w:p w14:paraId="0000004C" w14:textId="77777777" w:rsidR="0055220F" w:rsidRDefault="005A6764">
      <w:pPr>
        <w:spacing w:line="240" w:lineRule="auto"/>
        <w:rPr>
          <w:sz w:val="20"/>
          <w:szCs w:val="20"/>
        </w:rPr>
      </w:pPr>
      <w:r>
        <w:rPr>
          <w:vertAlign w:val="superscript"/>
        </w:rPr>
        <w:footnoteRef/>
      </w:r>
      <w:hyperlink r:id="rId22">
        <w:r>
          <w:rPr>
            <w:color w:val="1155CC"/>
            <w:sz w:val="20"/>
            <w:szCs w:val="20"/>
            <w:u w:val="single"/>
          </w:rPr>
          <w:t>ttps://humansofploiesti.tumblr.com/post/108187138069/one-is-not-born-a-woman-but-becomes-one-simone</w:t>
        </w:r>
      </w:hyperlink>
      <w:r>
        <w:rPr>
          <w:sz w:val="20"/>
          <w:szCs w:val="20"/>
        </w:rPr>
        <w:t xml:space="preserve"> </w:t>
      </w:r>
    </w:p>
  </w:footnote>
  <w:footnote w:id="32">
    <w:p w14:paraId="0000004D" w14:textId="77777777" w:rsidR="0055220F" w:rsidRDefault="005A6764">
      <w:pPr>
        <w:spacing w:line="240" w:lineRule="auto"/>
        <w:rPr>
          <w:sz w:val="20"/>
          <w:szCs w:val="20"/>
        </w:rPr>
      </w:pPr>
      <w:r>
        <w:rPr>
          <w:vertAlign w:val="superscript"/>
        </w:rPr>
        <w:footnoteRef/>
      </w:r>
      <w:hyperlink r:id="rId23">
        <w:r>
          <w:rPr>
            <w:color w:val="1155CC"/>
            <w:sz w:val="20"/>
            <w:szCs w:val="20"/>
            <w:u w:val="single"/>
          </w:rPr>
          <w:t>ttps://dreaminginthedeepsouth.tumblr.</w:t>
        </w:r>
        <w:r>
          <w:rPr>
            <w:color w:val="1155CC"/>
            <w:sz w:val="20"/>
            <w:szCs w:val="20"/>
            <w:u w:val="single"/>
          </w:rPr>
          <w:t>com/post/2656316360/one-is-not-born-a-woman-one-becomes-one</w:t>
        </w:r>
      </w:hyperlink>
      <w:r>
        <w:rPr>
          <w:sz w:val="20"/>
          <w:szCs w:val="20"/>
        </w:rPr>
        <w:t xml:space="preserve"> </w:t>
      </w:r>
    </w:p>
  </w:footnote>
  <w:footnote w:id="33">
    <w:p w14:paraId="0000004E" w14:textId="77777777" w:rsidR="0055220F" w:rsidRDefault="005A6764">
      <w:pPr>
        <w:spacing w:line="240" w:lineRule="auto"/>
        <w:rPr>
          <w:sz w:val="20"/>
          <w:szCs w:val="20"/>
        </w:rPr>
      </w:pPr>
      <w:r>
        <w:rPr>
          <w:vertAlign w:val="superscript"/>
        </w:rPr>
        <w:footnoteRef/>
      </w:r>
      <w:r>
        <w:rPr>
          <w:sz w:val="20"/>
          <w:szCs w:val="20"/>
        </w:rPr>
        <w:t xml:space="preserve"> </w:t>
      </w:r>
      <w:hyperlink r:id="rId24">
        <w:r>
          <w:rPr>
            <w:color w:val="1155CC"/>
            <w:sz w:val="20"/>
            <w:szCs w:val="20"/>
            <w:u w:val="single"/>
          </w:rPr>
          <w:t>https://ghostdancers.tumblr.com/post/137007771571/one-is-not-born-but-rather-beco</w:t>
        </w:r>
        <w:r>
          <w:rPr>
            <w:color w:val="1155CC"/>
            <w:sz w:val="20"/>
            <w:szCs w:val="20"/>
            <w:u w:val="single"/>
          </w:rPr>
          <w:t>mes-a-woman</w:t>
        </w:r>
      </w:hyperlink>
      <w:r>
        <w:rPr>
          <w:sz w:val="20"/>
          <w:szCs w:val="20"/>
        </w:rPr>
        <w:t xml:space="preserve"> </w:t>
      </w:r>
    </w:p>
  </w:footnote>
  <w:footnote w:id="34">
    <w:p w14:paraId="00000048" w14:textId="77777777" w:rsidR="0055220F" w:rsidRDefault="005A6764">
      <w:pPr>
        <w:spacing w:line="240" w:lineRule="auto"/>
        <w:rPr>
          <w:sz w:val="20"/>
          <w:szCs w:val="20"/>
        </w:rPr>
      </w:pPr>
      <w:r>
        <w:rPr>
          <w:vertAlign w:val="superscript"/>
        </w:rPr>
        <w:footnoteRef/>
      </w:r>
      <w:r>
        <w:rPr>
          <w:sz w:val="20"/>
          <w:szCs w:val="20"/>
        </w:rPr>
        <w:t xml:space="preserve"> </w:t>
      </w:r>
    </w:p>
  </w:footnote>
  <w:footnote w:id="35">
    <w:p w14:paraId="0000002C" w14:textId="40E9E203" w:rsidR="0055220F" w:rsidRDefault="005A6764">
      <w:pPr>
        <w:spacing w:line="240" w:lineRule="auto"/>
        <w:rPr>
          <w:sz w:val="20"/>
          <w:szCs w:val="20"/>
        </w:rPr>
      </w:pPr>
      <w:r>
        <w:rPr>
          <w:vertAlign w:val="superscript"/>
        </w:rPr>
        <w:footnoteRef/>
      </w:r>
      <w:r>
        <w:rPr>
          <w:sz w:val="20"/>
          <w:szCs w:val="20"/>
        </w:rPr>
        <w:t xml:space="preserve"> Rachel Holmes, </w:t>
      </w:r>
      <w:r w:rsidR="00276915">
        <w:rPr>
          <w:i/>
          <w:sz w:val="20"/>
          <w:szCs w:val="20"/>
        </w:rPr>
        <w:t>the</w:t>
      </w:r>
      <w:r>
        <w:rPr>
          <w:i/>
          <w:sz w:val="20"/>
          <w:szCs w:val="20"/>
        </w:rPr>
        <w:t xml:space="preserve"> top 10 fem</w:t>
      </w:r>
      <w:r>
        <w:rPr>
          <w:i/>
          <w:sz w:val="20"/>
          <w:szCs w:val="20"/>
        </w:rPr>
        <w:t xml:space="preserve">inist books, </w:t>
      </w:r>
      <w:hyperlink r:id="rId25">
        <w:r>
          <w:rPr>
            <w:color w:val="1155CC"/>
            <w:sz w:val="20"/>
            <w:szCs w:val="20"/>
            <w:u w:val="single"/>
          </w:rPr>
          <w:t>https://www.theguardian.com/books/2014/jun/11/top-10-feminist-books-rachel-holmes-eleanor-marx</w:t>
        </w:r>
      </w:hyperlink>
      <w:r>
        <w:rPr>
          <w:sz w:val="20"/>
          <w:szCs w:val="20"/>
        </w:rPr>
        <w:t xml:space="preserve"> accessed 7/6/22</w:t>
      </w:r>
    </w:p>
  </w:footnote>
  <w:footnote w:id="36">
    <w:p w14:paraId="0000002D" w14:textId="77777777" w:rsidR="0055220F" w:rsidRDefault="005A6764">
      <w:pPr>
        <w:spacing w:line="240" w:lineRule="auto"/>
        <w:rPr>
          <w:i/>
          <w:sz w:val="20"/>
          <w:szCs w:val="20"/>
        </w:rPr>
      </w:pPr>
      <w:r>
        <w:rPr>
          <w:vertAlign w:val="superscript"/>
        </w:rPr>
        <w:footnoteRef/>
      </w:r>
      <w:r>
        <w:rPr>
          <w:sz w:val="20"/>
          <w:szCs w:val="20"/>
        </w:rPr>
        <w:t xml:space="preserve"> Varia Fedko-Blak</w:t>
      </w:r>
      <w:r>
        <w:rPr>
          <w:sz w:val="20"/>
          <w:szCs w:val="20"/>
        </w:rPr>
        <w:t>e</w:t>
      </w:r>
      <w:r>
        <w:t xml:space="preserve"> </w:t>
      </w:r>
      <w:r>
        <w:rPr>
          <w:i/>
          <w:sz w:val="20"/>
          <w:szCs w:val="20"/>
        </w:rPr>
        <w:t>10 Essential Feminist Texts You Should Read</w:t>
      </w:r>
    </w:p>
    <w:p w14:paraId="0000002E" w14:textId="77777777" w:rsidR="0055220F" w:rsidRDefault="005A6764">
      <w:pPr>
        <w:spacing w:line="240" w:lineRule="auto"/>
        <w:rPr>
          <w:sz w:val="20"/>
          <w:szCs w:val="20"/>
        </w:rPr>
      </w:pPr>
      <w:hyperlink r:id="rId26">
        <w:r>
          <w:rPr>
            <w:color w:val="1155CC"/>
            <w:sz w:val="20"/>
            <w:szCs w:val="20"/>
            <w:u w:val="single"/>
          </w:rPr>
          <w:t>https://theculturetrip.com/europe/united-kingdom/england/articles/10-essential-f</w:t>
        </w:r>
        <w:r>
          <w:rPr>
            <w:color w:val="1155CC"/>
            <w:sz w:val="20"/>
            <w:szCs w:val="20"/>
            <w:u w:val="single"/>
          </w:rPr>
          <w:t>eminist-texts-you-should-read/</w:t>
        </w:r>
      </w:hyperlink>
      <w:r>
        <w:rPr>
          <w:sz w:val="20"/>
          <w:szCs w:val="20"/>
        </w:rPr>
        <w:t xml:space="preserve"> </w:t>
      </w:r>
    </w:p>
  </w:footnote>
  <w:footnote w:id="37">
    <w:p w14:paraId="0000002F" w14:textId="77777777" w:rsidR="0055220F" w:rsidRDefault="005A6764">
      <w:pPr>
        <w:spacing w:line="240" w:lineRule="auto"/>
        <w:rPr>
          <w:sz w:val="20"/>
          <w:szCs w:val="20"/>
        </w:rPr>
      </w:pPr>
      <w:r>
        <w:rPr>
          <w:vertAlign w:val="superscript"/>
        </w:rPr>
        <w:footnoteRef/>
      </w:r>
      <w:r>
        <w:rPr>
          <w:sz w:val="20"/>
          <w:szCs w:val="20"/>
        </w:rPr>
        <w:t xml:space="preserve"> Pers com. Edward Ellis</w:t>
      </w:r>
    </w:p>
  </w:footnote>
  <w:footnote w:id="38">
    <w:p w14:paraId="0000004A" w14:textId="734E1622" w:rsidR="0055220F" w:rsidRDefault="005A6764">
      <w:pPr>
        <w:spacing w:line="240" w:lineRule="auto"/>
        <w:rPr>
          <w:sz w:val="20"/>
          <w:szCs w:val="20"/>
        </w:rPr>
      </w:pPr>
      <w:r>
        <w:rPr>
          <w:vertAlign w:val="superscript"/>
        </w:rPr>
        <w:footnoteRef/>
      </w:r>
      <w:r>
        <w:rPr>
          <w:sz w:val="20"/>
          <w:szCs w:val="20"/>
        </w:rPr>
        <w:t xml:space="preserve">  TSA </w:t>
      </w:r>
      <w:r w:rsidR="00276915">
        <w:rPr>
          <w:sz w:val="20"/>
          <w:szCs w:val="20"/>
        </w:rPr>
        <w:t>Desk, Essential</w:t>
      </w:r>
      <w:r>
        <w:rPr>
          <w:sz w:val="20"/>
          <w:szCs w:val="20"/>
        </w:rPr>
        <w:t xml:space="preserve"> Reading-list To Understand Feminism accessed 7/6/22</w:t>
      </w:r>
    </w:p>
    <w:p w14:paraId="0000004B" w14:textId="77777777" w:rsidR="0055220F" w:rsidRDefault="005A6764">
      <w:pPr>
        <w:spacing w:line="240" w:lineRule="auto"/>
        <w:rPr>
          <w:sz w:val="20"/>
          <w:szCs w:val="20"/>
        </w:rPr>
      </w:pPr>
      <w:r>
        <w:rPr>
          <w:sz w:val="20"/>
          <w:szCs w:val="20"/>
        </w:rPr>
        <w:t xml:space="preserve"> </w:t>
      </w:r>
      <w:hyperlink r:id="rId27">
        <w:r>
          <w:rPr>
            <w:color w:val="1155CC"/>
            <w:sz w:val="20"/>
            <w:szCs w:val="20"/>
            <w:u w:val="single"/>
          </w:rPr>
          <w:t>https://thesecondangle.co</w:t>
        </w:r>
        <w:r>
          <w:rPr>
            <w:color w:val="1155CC"/>
            <w:sz w:val="20"/>
            <w:szCs w:val="20"/>
            <w:u w:val="single"/>
          </w:rPr>
          <w:t>m/essential-reading-list-to-understand-feminism/</w:t>
        </w:r>
      </w:hyperlink>
      <w:r>
        <w:rPr>
          <w:sz w:val="20"/>
          <w:szCs w:val="20"/>
        </w:rPr>
        <w:t xml:space="preserve"> </w:t>
      </w:r>
    </w:p>
  </w:footnote>
  <w:footnote w:id="39">
    <w:p w14:paraId="0000004F" w14:textId="0E5F1F18" w:rsidR="0055220F" w:rsidRDefault="005A6764">
      <w:pPr>
        <w:spacing w:line="240" w:lineRule="auto"/>
        <w:rPr>
          <w:sz w:val="20"/>
          <w:szCs w:val="20"/>
        </w:rPr>
      </w:pPr>
      <w:r>
        <w:rPr>
          <w:vertAlign w:val="superscript"/>
        </w:rPr>
        <w:footnoteRef/>
      </w:r>
      <w:r>
        <w:rPr>
          <w:sz w:val="20"/>
          <w:szCs w:val="20"/>
        </w:rPr>
        <w:t xml:space="preserve">  Matt </w:t>
      </w:r>
      <w:r w:rsidR="00276915">
        <w:rPr>
          <w:sz w:val="20"/>
          <w:szCs w:val="20"/>
        </w:rPr>
        <w:t>Doe, Nier</w:t>
      </w:r>
      <w:r>
        <w:rPr>
          <w:sz w:val="20"/>
          <w:szCs w:val="20"/>
        </w:rPr>
        <w:t xml:space="preserve"> Automata Route B Simone + Cutscenes</w:t>
      </w:r>
      <w:hyperlink r:id="rId28">
        <w:r>
          <w:rPr>
            <w:color w:val="1155CC"/>
            <w:sz w:val="20"/>
            <w:szCs w:val="20"/>
            <w:u w:val="single"/>
          </w:rPr>
          <w:t>https://youtu.be/82cWiC2LTe8?t=350</w:t>
        </w:r>
      </w:hyperlink>
      <w:r>
        <w:rPr>
          <w:sz w:val="20"/>
          <w:szCs w:val="20"/>
        </w:rPr>
        <w:t xml:space="preserve"> accessed 7/6/22</w:t>
      </w:r>
    </w:p>
    <w:p w14:paraId="00000050" w14:textId="77777777" w:rsidR="0055220F" w:rsidRDefault="0055220F">
      <w:pPr>
        <w:spacing w:line="240" w:lineRule="auto"/>
        <w:rPr>
          <w:sz w:val="20"/>
          <w:szCs w:val="20"/>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20F"/>
    <w:rsid w:val="00084232"/>
    <w:rsid w:val="00171115"/>
    <w:rsid w:val="00276915"/>
    <w:rsid w:val="0055220F"/>
    <w:rsid w:val="005A6764"/>
    <w:rsid w:val="008A2B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0E077"/>
  <w15:docId w15:val="{CFA0065B-6ED8-4A5D-A56E-A288CA62F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8A2BA9"/>
    <w:pPr>
      <w:spacing w:line="240" w:lineRule="auto"/>
    </w:pPr>
    <w:rPr>
      <w:sz w:val="20"/>
      <w:szCs w:val="20"/>
    </w:rPr>
  </w:style>
  <w:style w:type="character" w:customStyle="1" w:styleId="FootnoteTextChar">
    <w:name w:val="Footnote Text Char"/>
    <w:basedOn w:val="DefaultParagraphFont"/>
    <w:link w:val="FootnoteText"/>
    <w:uiPriority w:val="99"/>
    <w:semiHidden/>
    <w:rsid w:val="008A2BA9"/>
    <w:rPr>
      <w:sz w:val="20"/>
      <w:szCs w:val="20"/>
    </w:rPr>
  </w:style>
  <w:style w:type="character" w:styleId="FootnoteReference">
    <w:name w:val="footnote reference"/>
    <w:basedOn w:val="DefaultParagraphFont"/>
    <w:uiPriority w:val="99"/>
    <w:semiHidden/>
    <w:unhideWhenUsed/>
    <w:rsid w:val="008A2B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875881">
      <w:bodyDiv w:val="1"/>
      <w:marLeft w:val="0"/>
      <w:marRight w:val="0"/>
      <w:marTop w:val="0"/>
      <w:marBottom w:val="0"/>
      <w:divBdr>
        <w:top w:val="none" w:sz="0" w:space="0" w:color="auto"/>
        <w:left w:val="none" w:sz="0" w:space="0" w:color="auto"/>
        <w:bottom w:val="none" w:sz="0" w:space="0" w:color="auto"/>
        <w:right w:val="none" w:sz="0" w:space="0" w:color="auto"/>
      </w:divBdr>
      <w:divsChild>
        <w:div w:id="678309579">
          <w:marLeft w:val="0"/>
          <w:marRight w:val="0"/>
          <w:marTop w:val="0"/>
          <w:marBottom w:val="0"/>
          <w:divBdr>
            <w:top w:val="none" w:sz="0" w:space="0" w:color="auto"/>
            <w:left w:val="none" w:sz="0" w:space="0" w:color="auto"/>
            <w:bottom w:val="none" w:sz="0" w:space="0" w:color="auto"/>
            <w:right w:val="none" w:sz="0" w:space="0" w:color="auto"/>
          </w:divBdr>
          <w:divsChild>
            <w:div w:id="175944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www.jstor.org/stable/3174728" TargetMode="External"/><Relationship Id="rId13" Type="http://schemas.openxmlformats.org/officeDocument/2006/relationships/hyperlink" Target="https://www.vox.com/identities/2019/9/5/20840101/terfs-radical-feminists-gender-critical" TargetMode="External"/><Relationship Id="rId18" Type="http://schemas.openxmlformats.org/officeDocument/2006/relationships/hyperlink" Target="https://web.archive.org/web/20181224025556/http://www.transadvocate.com/sex-gender-and-sexuality-the-transadvocate-interviews-catharine-a-mackinnon_n_15037.htm" TargetMode="External"/><Relationship Id="rId26" Type="http://schemas.openxmlformats.org/officeDocument/2006/relationships/hyperlink" Target="https://theculturetrip.com/europe/united-kingdom/england/articles/10-essential-feminist-texts-you-should-read/" TargetMode="External"/><Relationship Id="rId3" Type="http://schemas.openxmlformats.org/officeDocument/2006/relationships/hyperlink" Target="https://doi.org/10.2307/3177599" TargetMode="External"/><Relationship Id="rId21" Type="http://schemas.openxmlformats.org/officeDocument/2006/relationships/hyperlink" Target="https://www.washingtontimes.com/news/2014/dec/31/modern-science-says-homosexuality-not-choice/" TargetMode="External"/><Relationship Id="rId7" Type="http://schemas.openxmlformats.org/officeDocument/2006/relationships/hyperlink" Target="https://doi.org/10.2307/j.ctv15vwkgx.5" TargetMode="External"/><Relationship Id="rId12" Type="http://schemas.openxmlformats.org/officeDocument/2006/relationships/hyperlink" Target="https://philpapers.org/rec/BOGEAF" TargetMode="External"/><Relationship Id="rId17" Type="http://schemas.openxmlformats.org/officeDocument/2006/relationships/hyperlink" Target="http://www.transadvocate.com/sex-gender-and-sexuality-the-transadvocate-interviews-catharine-a-mackinnon_n_15037.htm" TargetMode="External"/><Relationship Id="rId25" Type="http://schemas.openxmlformats.org/officeDocument/2006/relationships/hyperlink" Target="https://www.theguardian.com/books/2014/jun/11/top-10-feminist-books-rachel-holmes-eleanor-marx" TargetMode="External"/><Relationship Id="rId2" Type="http://schemas.openxmlformats.org/officeDocument/2006/relationships/hyperlink" Target="https://archive.org/details/encyclopediaoffe0000unse/page/187" TargetMode="External"/><Relationship Id="rId16" Type="http://schemas.openxmlformats.org/officeDocument/2006/relationships/hyperlink" Target="http://www.transadvocate.com/sex-gender-and-sexuality-the-transadvocate-interviews-catharine-a-mackinnon_n_15037.htm" TargetMode="External"/><Relationship Id="rId20" Type="http://schemas.openxmlformats.org/officeDocument/2006/relationships/hyperlink" Target="http://www.jstor.org/stable/45170499" TargetMode="External"/><Relationship Id="rId1" Type="http://schemas.openxmlformats.org/officeDocument/2006/relationships/hyperlink" Target="https://archive.nytimes.com/www.nytimes.com/2010/05/30/books/review/Gray-t.html" TargetMode="External"/><Relationship Id="rId6" Type="http://schemas.openxmlformats.org/officeDocument/2006/relationships/hyperlink" Target="https://doi.org/10.2307/2930225" TargetMode="External"/><Relationship Id="rId11" Type="http://schemas.openxmlformats.org/officeDocument/2006/relationships/hyperlink" Target="https://philpapers.org/rec/BOGEAF" TargetMode="External"/><Relationship Id="rId24" Type="http://schemas.openxmlformats.org/officeDocument/2006/relationships/hyperlink" Target="https://ghostdancers.tumblr.com/post/137007771571/one-is-not-born-but-rather-becomes-a-woman" TargetMode="External"/><Relationship Id="rId5" Type="http://schemas.openxmlformats.org/officeDocument/2006/relationships/hyperlink" Target="https://doi.org/10.2307/3177599" TargetMode="External"/><Relationship Id="rId15" Type="http://schemas.openxmlformats.org/officeDocument/2006/relationships/hyperlink" Target="https://www.reddit.com/r/asktransgender/comments/42nrr6/any_reflections_on_de_beauvoir_one_is_not_born/" TargetMode="External"/><Relationship Id="rId23" Type="http://schemas.openxmlformats.org/officeDocument/2006/relationships/hyperlink" Target="https://dreaminginthedeepsouth.tumblr.com/post/2656316360/one-is-not-born-a-woman-one-becomes-one" TargetMode="External"/><Relationship Id="rId28" Type="http://schemas.openxmlformats.org/officeDocument/2006/relationships/hyperlink" Target="https://youtu.be/82cWiC2LTe8?t=350" TargetMode="External"/><Relationship Id="rId10" Type="http://schemas.openxmlformats.org/officeDocument/2006/relationships/hyperlink" Target="https://plato.stanford.edu/archives/win2017/entries/feminism-gender/" TargetMode="External"/><Relationship Id="rId19" Type="http://schemas.openxmlformats.org/officeDocument/2006/relationships/hyperlink" Target="https://web.archive.org/web/20181224025556/http://www.transadvocate.com/sex-gender-and-sexuality-the-transadvocate-interviews-catharine-a-mackinnon_n_15037.htm" TargetMode="External"/><Relationship Id="rId4" Type="http://schemas.openxmlformats.org/officeDocument/2006/relationships/hyperlink" Target="https://www.youtube.com/watch?v=Aekr9sLbVhQ" TargetMode="External"/><Relationship Id="rId9" Type="http://schemas.openxmlformats.org/officeDocument/2006/relationships/hyperlink" Target="https://plato.stanford.edu/archives/win2017/entries/feminism-gender/" TargetMode="External"/><Relationship Id="rId14" Type="http://schemas.openxmlformats.org/officeDocument/2006/relationships/hyperlink" Target="https://www.reddit.com/r/MtF/comments/bbvjpp/one_is_not_born_a_woman_but_becomes_one_simone_de/" TargetMode="External"/><Relationship Id="rId22" Type="http://schemas.openxmlformats.org/officeDocument/2006/relationships/hyperlink" Target="https://humansofploiesti.tumblr.com/post/108187138069/one-is-not-born-a-woman-but-becomes-one-simone" TargetMode="External"/><Relationship Id="rId27" Type="http://schemas.openxmlformats.org/officeDocument/2006/relationships/hyperlink" Target="https://thesecondangle.com/essential-reading-list-to-understand-femin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7</Pages>
  <Words>2542</Words>
  <Characters>14493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Rachael Bone (2103272)</cp:lastModifiedBy>
  <cp:revision>2</cp:revision>
  <dcterms:created xsi:type="dcterms:W3CDTF">2022-06-07T14:16:00Z</dcterms:created>
  <dcterms:modified xsi:type="dcterms:W3CDTF">2022-06-07T14:56:00Z</dcterms:modified>
</cp:coreProperties>
</file>