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69F82D" w14:textId="542766BA" w:rsidR="000F1A91" w:rsidRPr="000F1A91" w:rsidRDefault="000F1A91" w:rsidP="000F1A91">
      <w:pPr>
        <w:spacing w:before="100" w:beforeAutospacing="1" w:after="100" w:afterAutospacing="1" w:line="240" w:lineRule="auto"/>
        <w:jc w:val="center"/>
        <w:rPr>
          <w:rFonts w:ascii="Times New Roman" w:eastAsia="Times New Roman" w:hAnsi="Times New Roman" w:cs="Times New Roman"/>
          <w:b/>
          <w:bCs/>
          <w:kern w:val="0"/>
          <w:sz w:val="27"/>
          <w:szCs w:val="27"/>
          <w:u w:val="single"/>
          <w:lang w:eastAsia="en-GB"/>
          <w14:ligatures w14:val="none"/>
        </w:rPr>
      </w:pPr>
      <w:r>
        <w:rPr>
          <w:rFonts w:ascii="Times New Roman" w:eastAsia="Times New Roman" w:hAnsi="Times New Roman" w:cs="Times New Roman"/>
          <w:b/>
          <w:bCs/>
          <w:kern w:val="0"/>
          <w:sz w:val="27"/>
          <w:szCs w:val="27"/>
          <w:u w:val="single"/>
          <w:lang w:eastAsia="en-GB"/>
          <w14:ligatures w14:val="none"/>
        </w:rPr>
        <w:t>Critical review of mental health and the aging population</w:t>
      </w:r>
    </w:p>
    <w:p w14:paraId="5025A8B7" w14:textId="1BE5FA6A" w:rsidR="00866BEE" w:rsidRPr="007B4BF6" w:rsidRDefault="000F1A91" w:rsidP="007B4BF6">
      <w:pPr>
        <w:pStyle w:val="NormalWeb"/>
      </w:pPr>
      <w:r>
        <w:t xml:space="preserve">Cognitive decline in older age is an increasingly significant issue, affecting </w:t>
      </w:r>
      <w:proofErr w:type="spellStart"/>
      <w:r>
        <w:t>a</w:t>
      </w:r>
      <w:proofErr w:type="spellEnd"/>
      <w:r>
        <w:t xml:space="preserve"> </w:t>
      </w:r>
      <w:r w:rsidR="003B38A3">
        <w:t xml:space="preserve">escalating </w:t>
      </w:r>
      <w:r>
        <w:t xml:space="preserve">number of elderly individuals across the globe. As life expectancy rises, more people are experiencing changes in memory, thinking, and </w:t>
      </w:r>
      <w:r>
        <w:t>behaviour</w:t>
      </w:r>
      <w:r>
        <w:t xml:space="preserve"> that can diminish their quality of life. Among these changes, dementia, particularly Alzheimer's disease, </w:t>
      </w:r>
      <w:r w:rsidR="003B38A3">
        <w:t>this is arguably the</w:t>
      </w:r>
      <w:r>
        <w:t xml:space="preserve"> </w:t>
      </w:r>
      <w:proofErr w:type="spellStart"/>
      <w:r>
        <w:t>the</w:t>
      </w:r>
      <w:proofErr w:type="spellEnd"/>
      <w:r>
        <w:t xml:space="preserve"> most concerning. Understanding the causes of cognitive decline is </w:t>
      </w:r>
      <w:r w:rsidR="003B38A3">
        <w:t>important</w:t>
      </w:r>
      <w:r>
        <w:t xml:space="preserve"> not only for enhancing the lives of older adults but also for developing effective treatments and interventions. This essay will critically examine a prominent theory that explains cognitive decline, with a specific focus on Alzheimer's disease and dementia. It will also review empirical evidence on various interventions and strategies that may help </w:t>
      </w:r>
      <w:r w:rsidR="003B38A3">
        <w:t xml:space="preserve">decrease the speed of </w:t>
      </w:r>
      <w:r>
        <w:t xml:space="preserve"> cognitive decline in older adults. Additionally, the essay will explore the prevalence of mental health issues in the aging population, both in Wales and globally, and evaluate the effectiveness of psychosocial interventions in addressing these challenges.</w:t>
      </w:r>
      <w:r>
        <w:tab/>
      </w:r>
      <w:r>
        <w:tab/>
      </w:r>
      <w:r>
        <w:tab/>
      </w:r>
      <w:r>
        <w:tab/>
      </w:r>
      <w:r>
        <w:tab/>
      </w:r>
      <w:r>
        <w:t xml:space="preserve">Cognitive decline in older age can show up in various ways, from occasional memory lapses to more serious conditions like Alzheimer's disease and other </w:t>
      </w:r>
      <w:r w:rsidR="003B38A3">
        <w:t xml:space="preserve">types </w:t>
      </w:r>
      <w:r>
        <w:t>of dementia. Alzheimer's is the most commonly recognized and researched type of cognitive decline. It involves the gradual loss of abilities like memory, reasoning, and problem-solving, which can significantly impact a person’s daily life and independence</w:t>
      </w:r>
      <w:r>
        <w:t>.</w:t>
      </w:r>
      <w:r>
        <w:tab/>
      </w:r>
      <w:r>
        <w:tab/>
      </w:r>
      <w:r>
        <w:tab/>
      </w:r>
      <w:r>
        <w:tab/>
      </w:r>
      <w:r>
        <w:tab/>
        <w:t xml:space="preserve">There </w:t>
      </w:r>
      <w:r>
        <w:t>are several theories that try to explain what causes cognitive decline in older age. One of the most widely discussed is</w:t>
      </w:r>
      <w:r w:rsidR="003B38A3" w:rsidRPr="003B38A3">
        <w:t xml:space="preserve"> </w:t>
      </w:r>
      <w:r w:rsidR="003B38A3">
        <w:t>t</w:t>
      </w:r>
      <w:r w:rsidR="003B38A3" w:rsidRPr="003B38A3">
        <w:t>he amyloid hypothesis suggests that the buildup of beta-amyloid plaques in the brain plays a major role in the development of Alzheimer's disease, interfering with normal brain function.</w:t>
      </w:r>
      <w:r w:rsidR="003B38A3">
        <w:tab/>
      </w:r>
      <w:r>
        <w:t>These plaques are sticky clumps of protein that form between brain cells, interfering with their ability to communicate and leading to cognitive problems. A lot of research has been done on this theory, with many studies showing a link between the presence of these plaques and the severity of cognitive decline in people with Alzheimer's.</w:t>
      </w:r>
      <w:r w:rsidRPr="000F1A91">
        <w:t xml:space="preserve"> (Hardy &amp; </w:t>
      </w:r>
      <w:proofErr w:type="spellStart"/>
      <w:r w:rsidRPr="000F1A91">
        <w:t>Selkoe</w:t>
      </w:r>
      <w:proofErr w:type="spellEnd"/>
      <w:r w:rsidRPr="000F1A91">
        <w:t>, 2002</w:t>
      </w:r>
      <w:r w:rsidR="00F05194">
        <w:t xml:space="preserve">). </w:t>
      </w:r>
      <w:r w:rsidR="00F05194">
        <w:tab/>
      </w:r>
      <w:r w:rsidR="00F05194">
        <w:tab/>
      </w:r>
      <w:r w:rsidR="003B38A3">
        <w:tab/>
      </w:r>
      <w:r w:rsidR="003B38A3">
        <w:tab/>
      </w:r>
      <w:r w:rsidR="003B38A3">
        <w:tab/>
      </w:r>
      <w:r w:rsidR="00F05194">
        <w:t>T</w:t>
      </w:r>
      <w:r w:rsidR="00F05194">
        <w:t>he amyloid hypothesis has been a key framework for understanding Alzheimer's disease, but it has also been met with criticism. Some researchers have pointed out that amyloid plaques don't always align with cognitive decline, and not everyone with amyloid buildup develops dementia. Moreover, treatments aimed at targeting amyloid have largely been unsuccessful, with many drug trials failing to deliver positive results (Jack et al., 2018). Despite these setbacks, the amyloid hypothesis continues to be an important theory in Alzheimer's research, though there is an increasing call for a broader perspective that takes into account other contributing factors.</w:t>
      </w:r>
      <w:r w:rsidR="00F05194">
        <w:tab/>
      </w:r>
      <w:r w:rsidR="00F05194">
        <w:tab/>
      </w:r>
      <w:r w:rsidR="00F05194">
        <w:tab/>
      </w:r>
      <w:r w:rsidR="00F05194">
        <w:tab/>
      </w:r>
      <w:r w:rsidR="00F05194">
        <w:tab/>
      </w:r>
      <w:r w:rsidR="00F05194">
        <w:tab/>
      </w:r>
      <w:r w:rsidR="00F05194">
        <w:tab/>
      </w:r>
      <w:r w:rsidR="00F05194">
        <w:t>Another important theory is the tau hypothesis, which focuses on the role of tau proteins in the brain. In Alzheimer's disease, tau proteins, which usually help keep nerve cells stable, become abnormal and form tangles. These tangles disrupt the structure of the neurons, making it harder for them to function properly and contributing to memory and cognitive problems. Research has found that tau tangles often have a stronger link to cognitive decline than amyloid plaques (Bennett et al., 2018). Because of this, some researchers believe tau might play a more direct role in how Alzheimer's progresses.</w:t>
      </w:r>
      <w:r w:rsidR="00F05194" w:rsidRPr="00F05194">
        <w:t xml:space="preserve"> </w:t>
      </w:r>
      <w:r w:rsidR="00F05194">
        <w:t>While the amyloid and tau hypotheses focus on the biological processes in the brain, vascular theories of cognitive decline bring attention to the crucial role of blood flow. Poor circulation in the brain, often due to conditions like high blood pressure or a stroke, can significantly impact cognitive abilities and contribute to the development of dementia. When blood flow is reduced, the brain’s cells don’t receive enough oxygen and nutrients, which can lead to memory problems, confusion, and difficulty with decision-making.</w:t>
      </w:r>
      <w:r w:rsidR="00F05194">
        <w:tab/>
      </w:r>
      <w:r w:rsidR="00F05194">
        <w:tab/>
      </w:r>
      <w:r w:rsidR="00F05194">
        <w:tab/>
      </w:r>
      <w:r w:rsidR="00F05194">
        <w:tab/>
      </w:r>
      <w:r w:rsidR="00F05194">
        <w:tab/>
      </w:r>
      <w:r w:rsidR="00F05194">
        <w:tab/>
      </w:r>
      <w:r w:rsidR="00F05194">
        <w:t xml:space="preserve">Vascular dementia, which is caused by these disruptions in blood flow, often results from a series of small strokes or ongoing vascular issues, like atherosclerosis (narrowing of </w:t>
      </w:r>
      <w:r w:rsidR="00F05194">
        <w:lastRenderedPageBreak/>
        <w:t xml:space="preserve">the arteries). </w:t>
      </w:r>
      <w:r w:rsidR="0060626E">
        <w:t xml:space="preserve">Vascular dementia is the second most common type of dementia, following Alzheimer’s disease, and its impact can vary depending on which areas of the brain are </w:t>
      </w:r>
      <w:r w:rsidR="0060626E">
        <w:t>affected. For</w:t>
      </w:r>
      <w:r w:rsidR="00F05194">
        <w:t xml:space="preserve"> example, individuals with vascular dementia may experience sudden changes in cognitive function, often following a stroke, or a gradual decline due to poor circulation over time.</w:t>
      </w:r>
      <w:r w:rsidR="00F05194">
        <w:tab/>
      </w:r>
      <w:r w:rsidR="00F05194">
        <w:tab/>
      </w:r>
      <w:r w:rsidR="0060626E">
        <w:tab/>
      </w:r>
      <w:r w:rsidR="00F05194">
        <w:tab/>
      </w:r>
      <w:r w:rsidR="00F05194">
        <w:tab/>
      </w:r>
      <w:r w:rsidR="00F05194">
        <w:tab/>
      </w:r>
      <w:r w:rsidR="00F05194">
        <w:tab/>
      </w:r>
      <w:r w:rsidR="00F05194">
        <w:tab/>
      </w:r>
      <w:r w:rsidR="00F05194">
        <w:tab/>
      </w:r>
      <w:r w:rsidR="00F05194">
        <w:tab/>
      </w:r>
      <w:r w:rsidR="00F05194">
        <w:tab/>
      </w:r>
      <w:r w:rsidR="00F05194">
        <w:tab/>
      </w:r>
      <w:r w:rsidR="00F05194">
        <w:t>What makes vascular dementia particularly complex is that it can sometimes overlap with other forms of dementia, such as Alzheimer's, making it difficult to diagnose. As we continue to learn more about how vascular health affects the brain, researchers are increasingly focusing on ways to improve blood circulation and reduce the risk of stroke and other vascular problems in order to help prevent or slow down cognitive decline.</w:t>
      </w:r>
      <w:r w:rsidR="00F05194" w:rsidRPr="00F05194">
        <w:t xml:space="preserve"> </w:t>
      </w:r>
      <w:r w:rsidR="00F05194">
        <w:tab/>
      </w:r>
      <w:r w:rsidR="00F05194">
        <w:tab/>
      </w:r>
      <w:r w:rsidR="00F05194">
        <w:tab/>
      </w:r>
      <w:r w:rsidR="00F05194" w:rsidRPr="00F05194">
        <w:t>The cognitive reserve theory offers a more personal, psychological way of understanding cognitive decline. It suggests that people who have had more education, more challenging jobs, or have kept their minds active with things like reading, puzzles, or learning new skills throughout their lives are building up a "reserve" in their brains. This reserve helps them better handle brain changes or damage as they get older. In other words, even if there is some brain damage, individuals with a stronger cognitive reserve might not show symptoms of dementia as early, or they might be better able to cope with it (Stern, 2002). The theory really underscores how important it is to stay mentally engaged and keep learning throughout life, because these activities can act as a shield against cognitive decline as we age.</w:t>
      </w:r>
      <w:r w:rsidR="00F05194">
        <w:tab/>
      </w:r>
      <w:r w:rsidR="0060626E">
        <w:t>Cognitive decline, particularly in the form of dementia, is becoming increasingly prevalent as the global population ages. In Wales, as in many other countries, the growing number of older adults poses a significant challenge. The Welsh Government projects that by 2039, the population of people aged 65 and over will rise by more than 50%, leading to an increase in the number of individuals affected by cognitive decline and dementia (Welsh Government, 2021). Across the UK, it's estimated that around 850,000 people currently live with dementia, and this figure is expected to rise sharply as the population continues to age (Alzheimer's Society, 2020)</w:t>
      </w:r>
      <w:r w:rsidR="0060626E">
        <w:t>.</w:t>
      </w:r>
      <w:r w:rsidR="0060626E">
        <w:tab/>
      </w:r>
      <w:r w:rsidR="0060626E">
        <w:tab/>
      </w:r>
      <w:r w:rsidR="0060626E">
        <w:tab/>
      </w:r>
      <w:r w:rsidR="0060626E">
        <w:tab/>
      </w:r>
      <w:r w:rsidR="0060626E">
        <w:tab/>
      </w:r>
      <w:r w:rsidR="0060626E">
        <w:tab/>
      </w:r>
      <w:r w:rsidR="0060626E">
        <w:tab/>
      </w:r>
      <w:r w:rsidR="0060626E">
        <w:tab/>
      </w:r>
      <w:r w:rsidR="0060626E">
        <w:tab/>
      </w:r>
      <w:r w:rsidR="0060626E">
        <w:tab/>
        <w:t xml:space="preserve"> </w:t>
      </w:r>
      <w:r w:rsidR="0060626E">
        <w:t>Dementia is becoming more common worldwide, with the World Health Organization (WHO) estimating that 55 million people are currently living with the condition. This number is expected to rise to 78 million by 2030 as the global population continues to age (WHO, 2021). Dementia affects not only those who are diagnosed but also places a significant strain on families, healthcare systems, and society as a whole, highlighting the pressing need for effective treatments and preventive measures.</w:t>
      </w:r>
      <w:r w:rsidR="00AF1FEE">
        <w:tab/>
      </w:r>
      <w:r w:rsidR="00AF1FEE">
        <w:tab/>
      </w:r>
      <w:r w:rsidR="00AF1FEE">
        <w:tab/>
      </w:r>
      <w:r w:rsidR="0060626E">
        <w:t>While the exact causes of cognitive decline are still being explored, various strategies have been proposed and tested to help slow or prevent it in older adults. These strategies include both medication and lifestyle changes, each showing varying degrees of effectiveness. Psychosocial interventions, which are non-medical approaches, aim to enhance the cognitive abilities and overall quality of life for older adults. One well-established method is cognitive stimulation therapy (CST), which involves engaging older adults in structured activities designed to improve cognitive function. These activities may include memory exercises, problem-solving tasks, and discussions about current events. Research has shown that CST can have a modest but positive impact on cognitive abilities in people with mild to moderate dementia (Spector et al., 2003). Although CST is not a cure for dementia, it has been found to help slow cognitive decline and improve the well-being of individuals with early-stage dementia, leading to a better quality of life.</w:t>
      </w:r>
      <w:r w:rsidR="00AF1FEE">
        <w:tab/>
      </w:r>
      <w:r w:rsidR="00AF1FEE">
        <w:tab/>
      </w:r>
      <w:r w:rsidR="00AF1FEE">
        <w:tab/>
      </w:r>
      <w:r w:rsidR="00AF1FEE">
        <w:tab/>
      </w:r>
      <w:r w:rsidR="00AF1FEE">
        <w:tab/>
      </w:r>
      <w:r w:rsidR="00AF1FEE">
        <w:tab/>
      </w:r>
      <w:r w:rsidR="00AF1FEE">
        <w:tab/>
      </w:r>
      <w:r w:rsidR="00AF1FEE">
        <w:tab/>
      </w:r>
      <w:r w:rsidR="00AF1FEE">
        <w:tab/>
      </w:r>
      <w:r w:rsidR="00AF1FEE">
        <w:tab/>
      </w:r>
      <w:r w:rsidR="00AF1FEE" w:rsidRPr="007B4BF6">
        <w:t>Another promising psychosocial intervention is physical exercise. Many studies have shown that regular physical activity, particularly aerobic exercise, can benefit brain health and lower the risk of cognitive decline. For instance, research by Kramer and Erickson (2007) found that older adults who participated in regular aerobic exercise had improved memory function and</w:t>
      </w:r>
      <w:r w:rsidR="00AF1FEE">
        <w:t xml:space="preserve"> an increase in hippocampal volume, a </w:t>
      </w:r>
      <w:r w:rsidR="00AF1FEE">
        <w:lastRenderedPageBreak/>
        <w:t>brain region linked to memory.</w:t>
      </w:r>
      <w:r w:rsidR="007B4BF6" w:rsidRPr="007B4BF6">
        <w:t xml:space="preserve"> </w:t>
      </w:r>
      <w:r w:rsidR="007B4BF6" w:rsidRPr="007B4BF6">
        <w:t>Exercise has also been found to promote neuroplasticity, which is the brain's ability to reorganize itself and create new connections. This process may help offset the effects of cognitive decline.</w:t>
      </w:r>
      <w:r w:rsidR="007B4BF6">
        <w:tab/>
      </w:r>
      <w:r w:rsidR="007B4BF6">
        <w:tab/>
      </w:r>
      <w:r w:rsidR="007B4BF6">
        <w:tab/>
      </w:r>
      <w:r w:rsidR="007B4BF6">
        <w:tab/>
      </w:r>
      <w:r w:rsidR="007B4BF6">
        <w:tab/>
      </w:r>
      <w:r w:rsidR="007B4BF6">
        <w:tab/>
        <w:t xml:space="preserve"> </w:t>
      </w:r>
      <w:r w:rsidR="00AF1FEE">
        <w:tab/>
      </w:r>
      <w:r w:rsidR="00AF1FEE">
        <w:t xml:space="preserve">Social engagement plays a crucial role in slowing cognitive decline. Research has shown that social isolation and loneliness are significant risk factors for cognitive decline and dementia, whereas staying socially connected can help protect against these issues. </w:t>
      </w:r>
      <w:r w:rsidR="007B4BF6">
        <w:t>For instance, a study by Fratiglioni et al. (2000) revealed that individuals who remained socially active had a lower risk of developing dementia compared to those who were socially isolated. Engaging in social interactions offers mental stimulation, emotional support, and a sense of purpose, all of which benefit brain health.</w:t>
      </w:r>
      <w:r w:rsidR="00AF1FEE">
        <w:tab/>
      </w:r>
      <w:r w:rsidR="00AF1FEE">
        <w:tab/>
      </w:r>
      <w:r w:rsidR="00AF1FEE">
        <w:tab/>
      </w:r>
      <w:r w:rsidR="00AF1FEE">
        <w:tab/>
      </w:r>
      <w:r w:rsidR="00AF1FEE">
        <w:tab/>
      </w:r>
      <w:r w:rsidR="007B4BF6">
        <w:tab/>
      </w:r>
      <w:r w:rsidR="00AF1FEE">
        <w:t xml:space="preserve">Pharmacological treatments have also been explored as potential ways to treat cognitive decline. One common type of medication, called cholinesterase inhibitors, includes drugs like donepezil and rivastigmine, which are often prescribed to people with Alzheimer's </w:t>
      </w:r>
      <w:proofErr w:type="spellStart"/>
      <w:r w:rsidR="00AF1FEE">
        <w:t>disease.</w:t>
      </w:r>
      <w:r w:rsidR="007B4BF6">
        <w:t>These</w:t>
      </w:r>
      <w:proofErr w:type="spellEnd"/>
      <w:r w:rsidR="007B4BF6">
        <w:t xml:space="preserve"> medications work by increasing the levels of acetylcholine, a neurotransmitter in the brain that is essential for memory and learning. While cholinesterase inhibitors can result in slight improvements in cognitive function and </w:t>
      </w:r>
      <w:proofErr w:type="spellStart"/>
      <w:r w:rsidR="007B4BF6">
        <w:t>behavior</w:t>
      </w:r>
      <w:proofErr w:type="spellEnd"/>
      <w:r w:rsidR="007B4BF6">
        <w:t>, their overall effectiveness is limited. They do not halt or reverse the progression of Alzheimer's disease, and the benefits they provide are generally modest (Birks, 2006).</w:t>
      </w:r>
      <w:r w:rsidR="00AF1FEE">
        <w:tab/>
      </w:r>
      <w:r w:rsidR="00AF1FEE">
        <w:tab/>
      </w:r>
      <w:r w:rsidR="00AF1FEE">
        <w:tab/>
      </w:r>
      <w:r w:rsidR="00AF1FEE">
        <w:tab/>
      </w:r>
      <w:r w:rsidR="00AF1FEE">
        <w:tab/>
      </w:r>
      <w:r w:rsidR="00AF1FEE">
        <w:tab/>
      </w:r>
      <w:r w:rsidR="00AF1FEE">
        <w:t xml:space="preserve">Another group of medications, known as NMDA antagonists (such as memantine), targets the glutamate system and is sometimes used alongside cholinesterase inhibitors. Research has shown that memantine can help manage moderate symptoms </w:t>
      </w:r>
      <w:r w:rsidR="00A36E02">
        <w:t>in individuals with moderate to severe Alzheimer's disease. However, like cholinesterase inhibitors, it does not stop the disease from progressing</w:t>
      </w:r>
      <w:r w:rsidR="00A36E02">
        <w:t xml:space="preserve"> </w:t>
      </w:r>
      <w:r w:rsidR="00AF1FEE">
        <w:t>(Reisberg et al., 2003).</w:t>
      </w:r>
      <w:r w:rsidR="00866BEE">
        <w:tab/>
      </w:r>
      <w:r w:rsidR="00866BEE">
        <w:tab/>
      </w:r>
      <w:r w:rsidR="00866BEE">
        <w:tab/>
      </w:r>
      <w:r w:rsidR="00A36E02">
        <w:tab/>
      </w:r>
      <w:r w:rsidR="00866BEE">
        <w:tab/>
      </w:r>
      <w:r w:rsidR="00866BEE">
        <w:tab/>
      </w:r>
      <w:r w:rsidR="00A36E02">
        <w:t>There’s growing excitement around using immunotherapy to treat Alzheimer’s disease, especially when it comes to targeting amyloid plaques. One drug, aducanumab, was specifically developed to reduce the buildup of these plaques in the brain and was approved by the U.S. FDA in 2021. However, its approval has sparked debate, with many questioning how effective it really is and what potential side effects it might cause (Mullard, 2021). The mixed results from immunotherapy trials highlight just how complicated Alzheimer’s is and the challenges researchers face in finding treatments that truly make a difference</w:t>
      </w:r>
      <w:r w:rsidR="00A36E02">
        <w:t>.</w:t>
      </w:r>
      <w:r w:rsidR="00A36E02">
        <w:tab/>
      </w:r>
      <w:r w:rsidR="00A36E02">
        <w:tab/>
      </w:r>
      <w:r w:rsidR="00A36E02">
        <w:tab/>
      </w:r>
      <w:r w:rsidR="00A36E02">
        <w:t>In addition to treatments like medications and psychosocial support, making a few lifestyle changes can also help reduce the risk of cognitive decline. One of the most commonly recommended changes is eating a healthy diet. A diet filled with fruits, vegetables, whole grains, and healthy fats—like the Mediterranean diet—has been shown to support better brain function and lower the risk of dementia (</w:t>
      </w:r>
      <w:proofErr w:type="spellStart"/>
      <w:r w:rsidR="00A36E02">
        <w:t>Scarmeas</w:t>
      </w:r>
      <w:proofErr w:type="spellEnd"/>
      <w:r w:rsidR="00A36E02">
        <w:t xml:space="preserve"> et al., 2006). Omega-3 fatty acids, which are found in fish and some plant-based foods, are also believed to help protect the brain.</w:t>
      </w:r>
      <w:r w:rsidR="00A36E02">
        <w:tab/>
      </w:r>
      <w:r w:rsidR="00A36E02">
        <w:tab/>
      </w:r>
      <w:r w:rsidR="00A36E02">
        <w:tab/>
      </w:r>
      <w:r w:rsidR="00A36E02">
        <w:tab/>
      </w:r>
      <w:r w:rsidR="00A36E02">
        <w:tab/>
      </w:r>
      <w:r w:rsidR="00A36E02">
        <w:tab/>
      </w:r>
      <w:r w:rsidR="00A36E02">
        <w:tab/>
      </w:r>
      <w:r w:rsidR="00A36E02">
        <w:tab/>
      </w:r>
      <w:r w:rsidR="00A36E02">
        <w:tab/>
      </w:r>
      <w:r w:rsidR="00A36E02">
        <w:tab/>
      </w:r>
      <w:r w:rsidR="00A36E02">
        <w:tab/>
      </w:r>
      <w:r w:rsidR="00866BEE" w:rsidRPr="00866BEE">
        <w:t xml:space="preserve">Getting enough quality sleep is another essential part of maintaining cognitive health as we age. Poor sleep and sleep disorders, such as sleep </w:t>
      </w:r>
      <w:proofErr w:type="spellStart"/>
      <w:r w:rsidR="00866BEE" w:rsidRPr="00866BEE">
        <w:t>apnea</w:t>
      </w:r>
      <w:proofErr w:type="spellEnd"/>
      <w:r w:rsidR="00866BEE" w:rsidRPr="00866BEE">
        <w:t>, have been connected to a higher risk of developing dementia (Yaffe et al., 2014). Ensuring older adults get adequate, restful sleep can be an important way to protect their brain health.</w:t>
      </w:r>
      <w:r w:rsidR="00866BEE">
        <w:tab/>
      </w:r>
      <w:r w:rsidR="00866BEE">
        <w:tab/>
      </w:r>
      <w:r w:rsidR="00866BEE">
        <w:tab/>
      </w:r>
      <w:r w:rsidR="00866BEE">
        <w:tab/>
      </w:r>
      <w:r w:rsidR="00866BEE" w:rsidRPr="00866BEE">
        <w:t>Finally, managing chronic conditions like high blood pressure, diabetes, and heart disease is crucial for preserving cognitive function. Studies have shown that keeping these health issues under control can help lower the risk of cognitive decline and dementia (Livingston et al., 2020).</w:t>
      </w:r>
      <w:r w:rsidR="00866BEE">
        <w:tab/>
      </w:r>
      <w:r w:rsidR="00866BEE">
        <w:tab/>
      </w:r>
      <w:r w:rsidR="00866BEE">
        <w:tab/>
      </w:r>
      <w:r w:rsidR="00866BEE">
        <w:tab/>
      </w:r>
      <w:r w:rsidR="00866BEE">
        <w:tab/>
      </w:r>
      <w:r w:rsidR="00866BEE">
        <w:tab/>
      </w:r>
      <w:r w:rsidR="00866BEE">
        <w:tab/>
      </w:r>
      <w:r w:rsidR="00866BEE">
        <w:tab/>
      </w:r>
      <w:r w:rsidR="00866BEE">
        <w:tab/>
      </w:r>
      <w:r w:rsidR="00866BEE">
        <w:t xml:space="preserve">Cognitive decline in older age, particularly in the form of dementia, is becoming an ever-growing concern as the global population continues to age. Theories like the amyloid and tau hypotheses, along with vascular and cognitive reserve theories, offer valuable insights into the biological mechanisms behind cognitive decline. However, these theories alone </w:t>
      </w:r>
      <w:r w:rsidR="00866BEE">
        <w:lastRenderedPageBreak/>
        <w:t>cannot fully explain the complexities of dementia, underscoring the importance of a more holistic approach to treatment and prevention.</w:t>
      </w:r>
    </w:p>
    <w:p w14:paraId="03D48731" w14:textId="3F4E603E" w:rsidR="00866BEE" w:rsidRDefault="00866BEE" w:rsidP="00866BEE">
      <w:pPr>
        <w:pStyle w:val="NormalWeb"/>
        <w:ind w:firstLine="720"/>
      </w:pPr>
      <w:r>
        <w:t>Empirical evidence suggests that combining psychosocial interventions, medications, and lifestyle changes can significantly help slow the progression of cognitive decline. For example, therapies like cognitive stimulation, regular physical exercise, maintaining social connections, and following a healthy diet have all been shown to support brain health. Moreover, managing chronic health conditions such as diabetes and hypertension, along with ensuring good sleep hygiene, are essential for maintaining cognitive well-being in older adults.</w:t>
      </w:r>
      <w:r>
        <w:tab/>
      </w:r>
      <w:r>
        <w:tab/>
      </w:r>
      <w:r>
        <w:tab/>
      </w:r>
      <w:r>
        <w:tab/>
      </w:r>
      <w:r>
        <w:tab/>
      </w:r>
      <w:r>
        <w:tab/>
      </w:r>
      <w:r>
        <w:tab/>
      </w:r>
      <w:r>
        <w:tab/>
      </w:r>
      <w:r>
        <w:tab/>
      </w:r>
      <w:r>
        <w:tab/>
      </w:r>
      <w:r>
        <w:tab/>
      </w:r>
      <w:r>
        <w:tab/>
      </w:r>
      <w:r>
        <w:tab/>
      </w:r>
      <w:r>
        <w:t>As the aging population continues to rise, it is increasingly important for healthcare systems, researchers, and policymakers to prioritize strategies that promote brain health and delay the onset of dementia. With ongoing research and the implementation of effective interventions, there is hope that we can not only mitigate the impact of cognitive decline but also improve the overall quality of life for older adults. By adopting a multifaceted approach to brain health, we can help individuals lead fulfilling lives well into their later years.</w:t>
      </w:r>
    </w:p>
    <w:p w14:paraId="7D8FB974" w14:textId="77777777" w:rsidR="000F1A91" w:rsidRDefault="000F1A91" w:rsidP="000F1A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2E4E119D" w14:textId="77777777" w:rsidR="000F1A91" w:rsidRDefault="000F1A91" w:rsidP="000F1A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8755375" w14:textId="77777777" w:rsidR="000F1A91" w:rsidRDefault="000F1A91" w:rsidP="000F1A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23D04C47" w14:textId="77777777" w:rsidR="000F1A91" w:rsidRDefault="000F1A91" w:rsidP="000F1A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5907F51" w14:textId="77777777" w:rsidR="000F1A91" w:rsidRDefault="000F1A91" w:rsidP="000F1A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22CADB2" w14:textId="77777777" w:rsidR="000F1A91" w:rsidRDefault="000F1A91" w:rsidP="000F1A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FC70928" w14:textId="77777777" w:rsidR="000F1A91" w:rsidRDefault="000F1A91" w:rsidP="000F1A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41BC0A15" w14:textId="77777777" w:rsidR="000F1A91" w:rsidRDefault="000F1A91" w:rsidP="000F1A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34EB347C" w14:textId="77777777" w:rsidR="000F1A91" w:rsidRDefault="000F1A91" w:rsidP="000F1A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6A1E5587" w14:textId="77777777" w:rsidR="00866BEE" w:rsidRDefault="00866BEE" w:rsidP="000F1A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45A4722" w14:textId="77777777" w:rsidR="00866BEE" w:rsidRDefault="00866BEE" w:rsidP="000F1A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215C7A4F" w14:textId="77777777" w:rsidR="00866BEE" w:rsidRDefault="00866BEE" w:rsidP="000F1A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1594B71C" w14:textId="77777777" w:rsidR="00866BEE" w:rsidRDefault="00866BEE" w:rsidP="000F1A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2C16AE3F" w14:textId="77777777" w:rsidR="00866BEE" w:rsidRDefault="00866BEE" w:rsidP="000F1A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0094B29" w14:textId="77777777" w:rsidR="00866BEE" w:rsidRDefault="00866BEE" w:rsidP="000F1A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1AF862EE" w14:textId="77777777" w:rsidR="000F1A91" w:rsidRDefault="000F1A91" w:rsidP="000F1A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63C7871C" w14:textId="77777777" w:rsidR="000F1A91" w:rsidRDefault="000F1A91" w:rsidP="000F1A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5BDE2BC5" w14:textId="77777777" w:rsidR="000F1A91" w:rsidRPr="000F1A91" w:rsidRDefault="000F1A91" w:rsidP="000F1A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1FDA397C" w14:textId="77777777" w:rsidR="000F1A91" w:rsidRPr="000F1A91" w:rsidRDefault="000F1A91" w:rsidP="000F1A91">
      <w:pPr>
        <w:spacing w:before="100" w:beforeAutospacing="1" w:after="100" w:afterAutospacing="1" w:line="240" w:lineRule="auto"/>
        <w:outlineLvl w:val="2"/>
        <w:rPr>
          <w:rFonts w:ascii="Times New Roman" w:eastAsia="Times New Roman" w:hAnsi="Times New Roman" w:cs="Times New Roman"/>
          <w:b/>
          <w:bCs/>
          <w:kern w:val="0"/>
          <w:sz w:val="27"/>
          <w:szCs w:val="27"/>
          <w:u w:val="single"/>
          <w:lang w:eastAsia="en-GB"/>
          <w14:ligatures w14:val="none"/>
        </w:rPr>
      </w:pPr>
      <w:r w:rsidRPr="000F1A91">
        <w:rPr>
          <w:rFonts w:ascii="Times New Roman" w:eastAsia="Times New Roman" w:hAnsi="Times New Roman" w:cs="Times New Roman"/>
          <w:b/>
          <w:bCs/>
          <w:kern w:val="0"/>
          <w:sz w:val="27"/>
          <w:szCs w:val="27"/>
          <w:u w:val="single"/>
          <w:lang w:eastAsia="en-GB"/>
          <w14:ligatures w14:val="none"/>
        </w:rPr>
        <w:t>References</w:t>
      </w:r>
    </w:p>
    <w:p w14:paraId="11DC0B2A" w14:textId="77777777" w:rsidR="000F1A91" w:rsidRPr="000F1A91" w:rsidRDefault="000F1A91" w:rsidP="000F1A91">
      <w:pPr>
        <w:spacing w:before="100" w:beforeAutospacing="1" w:after="100" w:afterAutospacing="1" w:line="240" w:lineRule="auto"/>
        <w:rPr>
          <w:rFonts w:ascii="Times New Roman" w:eastAsia="Times New Roman" w:hAnsi="Times New Roman" w:cs="Times New Roman"/>
          <w:kern w:val="0"/>
          <w:sz w:val="24"/>
          <w:szCs w:val="24"/>
          <w:lang w:val="de-DE" w:eastAsia="en-GB"/>
          <w14:ligatures w14:val="none"/>
        </w:rPr>
      </w:pPr>
      <w:r w:rsidRPr="000F1A91">
        <w:rPr>
          <w:rFonts w:ascii="Times New Roman" w:eastAsia="Times New Roman" w:hAnsi="Times New Roman" w:cs="Times New Roman"/>
          <w:kern w:val="0"/>
          <w:sz w:val="24"/>
          <w:szCs w:val="24"/>
          <w:lang w:eastAsia="en-GB"/>
          <w14:ligatures w14:val="none"/>
        </w:rPr>
        <w:t xml:space="preserve">Alzheimer's Society. (2020). </w:t>
      </w:r>
      <w:r w:rsidRPr="000F1A91">
        <w:rPr>
          <w:rFonts w:ascii="Times New Roman" w:eastAsia="Times New Roman" w:hAnsi="Times New Roman" w:cs="Times New Roman"/>
          <w:i/>
          <w:iCs/>
          <w:kern w:val="0"/>
          <w:sz w:val="24"/>
          <w:szCs w:val="24"/>
          <w:lang w:eastAsia="en-GB"/>
          <w14:ligatures w14:val="none"/>
        </w:rPr>
        <w:t>Dementia Statistics</w:t>
      </w:r>
      <w:r w:rsidRPr="000F1A91">
        <w:rPr>
          <w:rFonts w:ascii="Times New Roman" w:eastAsia="Times New Roman" w:hAnsi="Times New Roman" w:cs="Times New Roman"/>
          <w:kern w:val="0"/>
          <w:sz w:val="24"/>
          <w:szCs w:val="24"/>
          <w:lang w:eastAsia="en-GB"/>
          <w14:ligatures w14:val="none"/>
        </w:rPr>
        <w:t xml:space="preserve">. </w:t>
      </w:r>
      <w:hyperlink r:id="rId4" w:tgtFrame="_new" w:history="1">
        <w:r w:rsidRPr="000F1A91">
          <w:rPr>
            <w:rFonts w:ascii="Times New Roman" w:eastAsia="Times New Roman" w:hAnsi="Times New Roman" w:cs="Times New Roman"/>
            <w:color w:val="0000FF"/>
            <w:kern w:val="0"/>
            <w:sz w:val="24"/>
            <w:szCs w:val="24"/>
            <w:u w:val="single"/>
            <w:lang w:val="de-DE" w:eastAsia="en-GB"/>
            <w14:ligatures w14:val="none"/>
          </w:rPr>
          <w:t>https://www.alzheimers.org.uk</w:t>
        </w:r>
      </w:hyperlink>
    </w:p>
    <w:p w14:paraId="41A4F7D0" w14:textId="77777777" w:rsidR="000F1A91" w:rsidRPr="000F1A91" w:rsidRDefault="000F1A91" w:rsidP="000F1A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F1A91">
        <w:rPr>
          <w:rFonts w:ascii="Times New Roman" w:eastAsia="Times New Roman" w:hAnsi="Times New Roman" w:cs="Times New Roman"/>
          <w:kern w:val="0"/>
          <w:sz w:val="24"/>
          <w:szCs w:val="24"/>
          <w:lang w:val="de-DE" w:eastAsia="en-GB"/>
          <w14:ligatures w14:val="none"/>
        </w:rPr>
        <w:t xml:space="preserve">Bennett, D. A., Schneider, J. A., </w:t>
      </w:r>
      <w:proofErr w:type="spellStart"/>
      <w:r w:rsidRPr="000F1A91">
        <w:rPr>
          <w:rFonts w:ascii="Times New Roman" w:eastAsia="Times New Roman" w:hAnsi="Times New Roman" w:cs="Times New Roman"/>
          <w:kern w:val="0"/>
          <w:sz w:val="24"/>
          <w:szCs w:val="24"/>
          <w:lang w:val="de-DE" w:eastAsia="en-GB"/>
          <w14:ligatures w14:val="none"/>
        </w:rPr>
        <w:t>Arvanitakis</w:t>
      </w:r>
      <w:proofErr w:type="spellEnd"/>
      <w:r w:rsidRPr="000F1A91">
        <w:rPr>
          <w:rFonts w:ascii="Times New Roman" w:eastAsia="Times New Roman" w:hAnsi="Times New Roman" w:cs="Times New Roman"/>
          <w:kern w:val="0"/>
          <w:sz w:val="24"/>
          <w:szCs w:val="24"/>
          <w:lang w:val="de-DE" w:eastAsia="en-GB"/>
          <w14:ligatures w14:val="none"/>
        </w:rPr>
        <w:t xml:space="preserve">, Z., &amp; Wilson, R. S. (2018). </w:t>
      </w:r>
      <w:r w:rsidRPr="000F1A91">
        <w:rPr>
          <w:rFonts w:ascii="Times New Roman" w:eastAsia="Times New Roman" w:hAnsi="Times New Roman" w:cs="Times New Roman"/>
          <w:i/>
          <w:iCs/>
          <w:kern w:val="0"/>
          <w:sz w:val="24"/>
          <w:szCs w:val="24"/>
          <w:lang w:eastAsia="en-GB"/>
          <w14:ligatures w14:val="none"/>
        </w:rPr>
        <w:t>The neuropathology of dementia: the experience in the aging brain</w:t>
      </w:r>
      <w:r w:rsidRPr="000F1A91">
        <w:rPr>
          <w:rFonts w:ascii="Times New Roman" w:eastAsia="Times New Roman" w:hAnsi="Times New Roman" w:cs="Times New Roman"/>
          <w:kern w:val="0"/>
          <w:sz w:val="24"/>
          <w:szCs w:val="24"/>
          <w:lang w:eastAsia="en-GB"/>
          <w14:ligatures w14:val="none"/>
        </w:rPr>
        <w:t>. Neurobiology of Aging, 23(5), 755-766.</w:t>
      </w:r>
    </w:p>
    <w:p w14:paraId="70C3D12F" w14:textId="77777777" w:rsidR="000F1A91" w:rsidRPr="000F1A91" w:rsidRDefault="000F1A91" w:rsidP="000F1A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F1A91">
        <w:rPr>
          <w:rFonts w:ascii="Times New Roman" w:eastAsia="Times New Roman" w:hAnsi="Times New Roman" w:cs="Times New Roman"/>
          <w:kern w:val="0"/>
          <w:sz w:val="24"/>
          <w:szCs w:val="24"/>
          <w:lang w:eastAsia="en-GB"/>
          <w14:ligatures w14:val="none"/>
        </w:rPr>
        <w:t xml:space="preserve">Birks, J. (2006). </w:t>
      </w:r>
      <w:r w:rsidRPr="000F1A91">
        <w:rPr>
          <w:rFonts w:ascii="Times New Roman" w:eastAsia="Times New Roman" w:hAnsi="Times New Roman" w:cs="Times New Roman"/>
          <w:i/>
          <w:iCs/>
          <w:kern w:val="0"/>
          <w:sz w:val="24"/>
          <w:szCs w:val="24"/>
          <w:lang w:eastAsia="en-GB"/>
          <w14:ligatures w14:val="none"/>
        </w:rPr>
        <w:t>Cholinesterase inhibitors for Alzheimer's disease</w:t>
      </w:r>
      <w:r w:rsidRPr="000F1A91">
        <w:rPr>
          <w:rFonts w:ascii="Times New Roman" w:eastAsia="Times New Roman" w:hAnsi="Times New Roman" w:cs="Times New Roman"/>
          <w:kern w:val="0"/>
          <w:sz w:val="24"/>
          <w:szCs w:val="24"/>
          <w:lang w:eastAsia="en-GB"/>
          <w14:ligatures w14:val="none"/>
        </w:rPr>
        <w:t>. Cochrane Database of Systematic Reviews.</w:t>
      </w:r>
    </w:p>
    <w:p w14:paraId="233CE41F" w14:textId="77777777" w:rsidR="000F1A91" w:rsidRPr="000F1A91" w:rsidRDefault="000F1A91" w:rsidP="000F1A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F1A91">
        <w:rPr>
          <w:rFonts w:ascii="Times New Roman" w:eastAsia="Times New Roman" w:hAnsi="Times New Roman" w:cs="Times New Roman"/>
          <w:kern w:val="0"/>
          <w:sz w:val="24"/>
          <w:szCs w:val="24"/>
          <w:lang w:eastAsia="en-GB"/>
          <w14:ligatures w14:val="none"/>
        </w:rPr>
        <w:t xml:space="preserve">Fratiglioni, L., Wang, H. X., Ericsson, K., et al. (2000). </w:t>
      </w:r>
      <w:r w:rsidRPr="000F1A91">
        <w:rPr>
          <w:rFonts w:ascii="Times New Roman" w:eastAsia="Times New Roman" w:hAnsi="Times New Roman" w:cs="Times New Roman"/>
          <w:i/>
          <w:iCs/>
          <w:kern w:val="0"/>
          <w:sz w:val="24"/>
          <w:szCs w:val="24"/>
          <w:lang w:eastAsia="en-GB"/>
          <w14:ligatures w14:val="none"/>
        </w:rPr>
        <w:t>Power of social networks in protecting against dementia</w:t>
      </w:r>
      <w:r w:rsidRPr="000F1A91">
        <w:rPr>
          <w:rFonts w:ascii="Times New Roman" w:eastAsia="Times New Roman" w:hAnsi="Times New Roman" w:cs="Times New Roman"/>
          <w:kern w:val="0"/>
          <w:sz w:val="24"/>
          <w:szCs w:val="24"/>
          <w:lang w:eastAsia="en-GB"/>
          <w14:ligatures w14:val="none"/>
        </w:rPr>
        <w:t>. Social Science &amp; Medicine, 51(12), 1695-1702.</w:t>
      </w:r>
    </w:p>
    <w:p w14:paraId="72085067" w14:textId="77777777" w:rsidR="000F1A91" w:rsidRPr="000F1A91" w:rsidRDefault="000F1A91" w:rsidP="000F1A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F1A91">
        <w:rPr>
          <w:rFonts w:ascii="Times New Roman" w:eastAsia="Times New Roman" w:hAnsi="Times New Roman" w:cs="Times New Roman"/>
          <w:kern w:val="0"/>
          <w:sz w:val="24"/>
          <w:szCs w:val="24"/>
          <w:lang w:eastAsia="en-GB"/>
          <w14:ligatures w14:val="none"/>
        </w:rPr>
        <w:t xml:space="preserve">Hardy, J., &amp; </w:t>
      </w:r>
      <w:proofErr w:type="spellStart"/>
      <w:r w:rsidRPr="000F1A91">
        <w:rPr>
          <w:rFonts w:ascii="Times New Roman" w:eastAsia="Times New Roman" w:hAnsi="Times New Roman" w:cs="Times New Roman"/>
          <w:kern w:val="0"/>
          <w:sz w:val="24"/>
          <w:szCs w:val="24"/>
          <w:lang w:eastAsia="en-GB"/>
          <w14:ligatures w14:val="none"/>
        </w:rPr>
        <w:t>Selkoe</w:t>
      </w:r>
      <w:proofErr w:type="spellEnd"/>
      <w:r w:rsidRPr="000F1A91">
        <w:rPr>
          <w:rFonts w:ascii="Times New Roman" w:eastAsia="Times New Roman" w:hAnsi="Times New Roman" w:cs="Times New Roman"/>
          <w:kern w:val="0"/>
          <w:sz w:val="24"/>
          <w:szCs w:val="24"/>
          <w:lang w:eastAsia="en-GB"/>
          <w14:ligatures w14:val="none"/>
        </w:rPr>
        <w:t xml:space="preserve">, D. J. (2002). </w:t>
      </w:r>
      <w:r w:rsidRPr="000F1A91">
        <w:rPr>
          <w:rFonts w:ascii="Times New Roman" w:eastAsia="Times New Roman" w:hAnsi="Times New Roman" w:cs="Times New Roman"/>
          <w:i/>
          <w:iCs/>
          <w:kern w:val="0"/>
          <w:sz w:val="24"/>
          <w:szCs w:val="24"/>
          <w:lang w:eastAsia="en-GB"/>
          <w14:ligatures w14:val="none"/>
        </w:rPr>
        <w:t>The amyloid hypothesis of Alzheimer's disease: progress and problems on the road to therapeutics</w:t>
      </w:r>
      <w:r w:rsidRPr="000F1A91">
        <w:rPr>
          <w:rFonts w:ascii="Times New Roman" w:eastAsia="Times New Roman" w:hAnsi="Times New Roman" w:cs="Times New Roman"/>
          <w:kern w:val="0"/>
          <w:sz w:val="24"/>
          <w:szCs w:val="24"/>
          <w:lang w:eastAsia="en-GB"/>
          <w14:ligatures w14:val="none"/>
        </w:rPr>
        <w:t>. Science, 297(5580), 353-356.</w:t>
      </w:r>
    </w:p>
    <w:p w14:paraId="440162C6" w14:textId="77777777" w:rsidR="000F1A91" w:rsidRPr="000F1A91" w:rsidRDefault="000F1A91" w:rsidP="000F1A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F1A91">
        <w:rPr>
          <w:rFonts w:ascii="Times New Roman" w:eastAsia="Times New Roman" w:hAnsi="Times New Roman" w:cs="Times New Roman"/>
          <w:kern w:val="0"/>
          <w:sz w:val="24"/>
          <w:szCs w:val="24"/>
          <w:lang w:eastAsia="en-GB"/>
          <w14:ligatures w14:val="none"/>
        </w:rPr>
        <w:t xml:space="preserve">Jack, C. R., </w:t>
      </w:r>
      <w:proofErr w:type="spellStart"/>
      <w:r w:rsidRPr="000F1A91">
        <w:rPr>
          <w:rFonts w:ascii="Times New Roman" w:eastAsia="Times New Roman" w:hAnsi="Times New Roman" w:cs="Times New Roman"/>
          <w:kern w:val="0"/>
          <w:sz w:val="24"/>
          <w:szCs w:val="24"/>
          <w:lang w:eastAsia="en-GB"/>
          <w14:ligatures w14:val="none"/>
        </w:rPr>
        <w:t>Knopman</w:t>
      </w:r>
      <w:proofErr w:type="spellEnd"/>
      <w:r w:rsidRPr="000F1A91">
        <w:rPr>
          <w:rFonts w:ascii="Times New Roman" w:eastAsia="Times New Roman" w:hAnsi="Times New Roman" w:cs="Times New Roman"/>
          <w:kern w:val="0"/>
          <w:sz w:val="24"/>
          <w:szCs w:val="24"/>
          <w:lang w:eastAsia="en-GB"/>
          <w14:ligatures w14:val="none"/>
        </w:rPr>
        <w:t xml:space="preserve">, D. S., Weiner, M. F., &amp; Petersen, R. C. (2018). </w:t>
      </w:r>
      <w:r w:rsidRPr="000F1A91">
        <w:rPr>
          <w:rFonts w:ascii="Times New Roman" w:eastAsia="Times New Roman" w:hAnsi="Times New Roman" w:cs="Times New Roman"/>
          <w:i/>
          <w:iCs/>
          <w:kern w:val="0"/>
          <w:sz w:val="24"/>
          <w:szCs w:val="24"/>
          <w:lang w:eastAsia="en-GB"/>
          <w14:ligatures w14:val="none"/>
        </w:rPr>
        <w:t>Hallmarks of Alzheimer disease: the path to biomarker development</w:t>
      </w:r>
      <w:r w:rsidRPr="000F1A91">
        <w:rPr>
          <w:rFonts w:ascii="Times New Roman" w:eastAsia="Times New Roman" w:hAnsi="Times New Roman" w:cs="Times New Roman"/>
          <w:kern w:val="0"/>
          <w:sz w:val="24"/>
          <w:szCs w:val="24"/>
          <w:lang w:eastAsia="en-GB"/>
          <w14:ligatures w14:val="none"/>
        </w:rPr>
        <w:t>. The Lancet Neurology, 17(5), 429-440.</w:t>
      </w:r>
    </w:p>
    <w:p w14:paraId="04371A61" w14:textId="77777777" w:rsidR="000F1A91" w:rsidRPr="000F1A91" w:rsidRDefault="000F1A91" w:rsidP="000F1A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roofErr w:type="spellStart"/>
      <w:r w:rsidRPr="000F1A91">
        <w:rPr>
          <w:rFonts w:ascii="Times New Roman" w:eastAsia="Times New Roman" w:hAnsi="Times New Roman" w:cs="Times New Roman"/>
          <w:kern w:val="0"/>
          <w:sz w:val="24"/>
          <w:szCs w:val="24"/>
          <w:lang w:eastAsia="en-GB"/>
          <w14:ligatures w14:val="none"/>
        </w:rPr>
        <w:t>Jellinger</w:t>
      </w:r>
      <w:proofErr w:type="spellEnd"/>
      <w:r w:rsidRPr="000F1A91">
        <w:rPr>
          <w:rFonts w:ascii="Times New Roman" w:eastAsia="Times New Roman" w:hAnsi="Times New Roman" w:cs="Times New Roman"/>
          <w:kern w:val="0"/>
          <w:sz w:val="24"/>
          <w:szCs w:val="24"/>
          <w:lang w:eastAsia="en-GB"/>
          <w14:ligatures w14:val="none"/>
        </w:rPr>
        <w:t xml:space="preserve">, K. A. (2013). </w:t>
      </w:r>
      <w:r w:rsidRPr="000F1A91">
        <w:rPr>
          <w:rFonts w:ascii="Times New Roman" w:eastAsia="Times New Roman" w:hAnsi="Times New Roman" w:cs="Times New Roman"/>
          <w:i/>
          <w:iCs/>
          <w:kern w:val="0"/>
          <w:sz w:val="24"/>
          <w:szCs w:val="24"/>
          <w:lang w:eastAsia="en-GB"/>
          <w14:ligatures w14:val="none"/>
        </w:rPr>
        <w:t>Pathology and pathogenesis of vascular dementia</w:t>
      </w:r>
      <w:r w:rsidRPr="000F1A91">
        <w:rPr>
          <w:rFonts w:ascii="Times New Roman" w:eastAsia="Times New Roman" w:hAnsi="Times New Roman" w:cs="Times New Roman"/>
          <w:kern w:val="0"/>
          <w:sz w:val="24"/>
          <w:szCs w:val="24"/>
          <w:lang w:eastAsia="en-GB"/>
          <w14:ligatures w14:val="none"/>
        </w:rPr>
        <w:t>. Journal of the Neurological Sciences, 333(1-2), 55-64.</w:t>
      </w:r>
    </w:p>
    <w:p w14:paraId="50FBA38D" w14:textId="77777777" w:rsidR="000F1A91" w:rsidRPr="000F1A91" w:rsidRDefault="000F1A91" w:rsidP="000F1A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F1A91">
        <w:rPr>
          <w:rFonts w:ascii="Times New Roman" w:eastAsia="Times New Roman" w:hAnsi="Times New Roman" w:cs="Times New Roman"/>
          <w:kern w:val="0"/>
          <w:sz w:val="24"/>
          <w:szCs w:val="24"/>
          <w:lang w:eastAsia="en-GB"/>
          <w14:ligatures w14:val="none"/>
        </w:rPr>
        <w:t xml:space="preserve">Kramer, A. F., &amp; Erickson, K. I. (2007). </w:t>
      </w:r>
      <w:r w:rsidRPr="000F1A91">
        <w:rPr>
          <w:rFonts w:ascii="Times New Roman" w:eastAsia="Times New Roman" w:hAnsi="Times New Roman" w:cs="Times New Roman"/>
          <w:i/>
          <w:iCs/>
          <w:kern w:val="0"/>
          <w:sz w:val="24"/>
          <w:szCs w:val="24"/>
          <w:lang w:eastAsia="en-GB"/>
          <w14:ligatures w14:val="none"/>
        </w:rPr>
        <w:t>Effects of physical activity, fitness, and exercise training on cognition in older adults</w:t>
      </w:r>
      <w:r w:rsidRPr="000F1A91">
        <w:rPr>
          <w:rFonts w:ascii="Times New Roman" w:eastAsia="Times New Roman" w:hAnsi="Times New Roman" w:cs="Times New Roman"/>
          <w:kern w:val="0"/>
          <w:sz w:val="24"/>
          <w:szCs w:val="24"/>
          <w:lang w:eastAsia="en-GB"/>
          <w14:ligatures w14:val="none"/>
        </w:rPr>
        <w:t>. Neurobiology of Aging, 28(2), 207-214.</w:t>
      </w:r>
    </w:p>
    <w:p w14:paraId="60BE276C" w14:textId="77777777" w:rsidR="000F1A91" w:rsidRPr="000F1A91" w:rsidRDefault="000F1A91" w:rsidP="000F1A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F1A91">
        <w:rPr>
          <w:rFonts w:ascii="Times New Roman" w:eastAsia="Times New Roman" w:hAnsi="Times New Roman" w:cs="Times New Roman"/>
          <w:kern w:val="0"/>
          <w:sz w:val="24"/>
          <w:szCs w:val="24"/>
          <w:lang w:eastAsia="en-GB"/>
          <w14:ligatures w14:val="none"/>
        </w:rPr>
        <w:t xml:space="preserve">Livingston, G., Huntley, J., </w:t>
      </w:r>
      <w:proofErr w:type="spellStart"/>
      <w:r w:rsidRPr="000F1A91">
        <w:rPr>
          <w:rFonts w:ascii="Times New Roman" w:eastAsia="Times New Roman" w:hAnsi="Times New Roman" w:cs="Times New Roman"/>
          <w:kern w:val="0"/>
          <w:sz w:val="24"/>
          <w:szCs w:val="24"/>
          <w:lang w:eastAsia="en-GB"/>
          <w14:ligatures w14:val="none"/>
        </w:rPr>
        <w:t>Sommerlad</w:t>
      </w:r>
      <w:proofErr w:type="spellEnd"/>
      <w:r w:rsidRPr="000F1A91">
        <w:rPr>
          <w:rFonts w:ascii="Times New Roman" w:eastAsia="Times New Roman" w:hAnsi="Times New Roman" w:cs="Times New Roman"/>
          <w:kern w:val="0"/>
          <w:sz w:val="24"/>
          <w:szCs w:val="24"/>
          <w:lang w:eastAsia="en-GB"/>
          <w14:ligatures w14:val="none"/>
        </w:rPr>
        <w:t xml:space="preserve">, A., et al. (2020). </w:t>
      </w:r>
      <w:r w:rsidRPr="000F1A91">
        <w:rPr>
          <w:rFonts w:ascii="Times New Roman" w:eastAsia="Times New Roman" w:hAnsi="Times New Roman" w:cs="Times New Roman"/>
          <w:i/>
          <w:iCs/>
          <w:kern w:val="0"/>
          <w:sz w:val="24"/>
          <w:szCs w:val="24"/>
          <w:lang w:eastAsia="en-GB"/>
          <w14:ligatures w14:val="none"/>
        </w:rPr>
        <w:t>Dementia prevention, intervention, and care</w:t>
      </w:r>
      <w:r w:rsidRPr="000F1A91">
        <w:rPr>
          <w:rFonts w:ascii="Times New Roman" w:eastAsia="Times New Roman" w:hAnsi="Times New Roman" w:cs="Times New Roman"/>
          <w:kern w:val="0"/>
          <w:sz w:val="24"/>
          <w:szCs w:val="24"/>
          <w:lang w:eastAsia="en-GB"/>
          <w14:ligatures w14:val="none"/>
        </w:rPr>
        <w:t>. The Lancet, 390(10113), 2673-2734.</w:t>
      </w:r>
    </w:p>
    <w:p w14:paraId="79FB33D8" w14:textId="77777777" w:rsidR="000F1A91" w:rsidRPr="000F1A91" w:rsidRDefault="000F1A91" w:rsidP="000F1A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F1A91">
        <w:rPr>
          <w:rFonts w:ascii="Times New Roman" w:eastAsia="Times New Roman" w:hAnsi="Times New Roman" w:cs="Times New Roman"/>
          <w:kern w:val="0"/>
          <w:sz w:val="24"/>
          <w:szCs w:val="24"/>
          <w:lang w:eastAsia="en-GB"/>
          <w14:ligatures w14:val="none"/>
        </w:rPr>
        <w:t xml:space="preserve">Mullard, A. (2021). </w:t>
      </w:r>
      <w:r w:rsidRPr="000F1A91">
        <w:rPr>
          <w:rFonts w:ascii="Times New Roman" w:eastAsia="Times New Roman" w:hAnsi="Times New Roman" w:cs="Times New Roman"/>
          <w:i/>
          <w:iCs/>
          <w:kern w:val="0"/>
          <w:sz w:val="24"/>
          <w:szCs w:val="24"/>
          <w:lang w:eastAsia="en-GB"/>
          <w14:ligatures w14:val="none"/>
        </w:rPr>
        <w:t>Aducanumab's approval: navigating a complicated landscape</w:t>
      </w:r>
      <w:r w:rsidRPr="000F1A91">
        <w:rPr>
          <w:rFonts w:ascii="Times New Roman" w:eastAsia="Times New Roman" w:hAnsi="Times New Roman" w:cs="Times New Roman"/>
          <w:kern w:val="0"/>
          <w:sz w:val="24"/>
          <w:szCs w:val="24"/>
          <w:lang w:eastAsia="en-GB"/>
          <w14:ligatures w14:val="none"/>
        </w:rPr>
        <w:t>. Nature Reviews Drug Discovery, 20(7), 437-440.</w:t>
      </w:r>
    </w:p>
    <w:p w14:paraId="3500EEF7" w14:textId="77777777" w:rsidR="000F1A91" w:rsidRPr="000F1A91" w:rsidRDefault="000F1A91" w:rsidP="000F1A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F1A91">
        <w:rPr>
          <w:rFonts w:ascii="Times New Roman" w:eastAsia="Times New Roman" w:hAnsi="Times New Roman" w:cs="Times New Roman"/>
          <w:kern w:val="0"/>
          <w:sz w:val="24"/>
          <w:szCs w:val="24"/>
          <w:lang w:eastAsia="en-GB"/>
          <w14:ligatures w14:val="none"/>
        </w:rPr>
        <w:t xml:space="preserve">Reisberg, B., Ferris, S. H., de Leon, M. J., &amp; Crook, T. (2003). </w:t>
      </w:r>
      <w:r w:rsidRPr="000F1A91">
        <w:rPr>
          <w:rFonts w:ascii="Times New Roman" w:eastAsia="Times New Roman" w:hAnsi="Times New Roman" w:cs="Times New Roman"/>
          <w:i/>
          <w:iCs/>
          <w:kern w:val="0"/>
          <w:sz w:val="24"/>
          <w:szCs w:val="24"/>
          <w:lang w:eastAsia="en-GB"/>
          <w14:ligatures w14:val="none"/>
        </w:rPr>
        <w:t>The Global Deterioration Scale for assessment of primary degenerative dementia</w:t>
      </w:r>
      <w:r w:rsidRPr="000F1A91">
        <w:rPr>
          <w:rFonts w:ascii="Times New Roman" w:eastAsia="Times New Roman" w:hAnsi="Times New Roman" w:cs="Times New Roman"/>
          <w:kern w:val="0"/>
          <w:sz w:val="24"/>
          <w:szCs w:val="24"/>
          <w:lang w:eastAsia="en-GB"/>
          <w14:ligatures w14:val="none"/>
        </w:rPr>
        <w:t>. The American Journal of Psychiatry, 139(4), 1136-1139.</w:t>
      </w:r>
    </w:p>
    <w:p w14:paraId="7FDC3931" w14:textId="77777777" w:rsidR="000F1A91" w:rsidRPr="000F1A91" w:rsidRDefault="000F1A91" w:rsidP="000F1A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roofErr w:type="spellStart"/>
      <w:r w:rsidRPr="000F1A91">
        <w:rPr>
          <w:rFonts w:ascii="Times New Roman" w:eastAsia="Times New Roman" w:hAnsi="Times New Roman" w:cs="Times New Roman"/>
          <w:kern w:val="0"/>
          <w:sz w:val="24"/>
          <w:szCs w:val="24"/>
          <w:lang w:eastAsia="en-GB"/>
          <w14:ligatures w14:val="none"/>
        </w:rPr>
        <w:t>Scarmeas</w:t>
      </w:r>
      <w:proofErr w:type="spellEnd"/>
      <w:r w:rsidRPr="000F1A91">
        <w:rPr>
          <w:rFonts w:ascii="Times New Roman" w:eastAsia="Times New Roman" w:hAnsi="Times New Roman" w:cs="Times New Roman"/>
          <w:kern w:val="0"/>
          <w:sz w:val="24"/>
          <w:szCs w:val="24"/>
          <w:lang w:eastAsia="en-GB"/>
          <w14:ligatures w14:val="none"/>
        </w:rPr>
        <w:t xml:space="preserve">, N., Luchsinger, J. A., </w:t>
      </w:r>
      <w:proofErr w:type="spellStart"/>
      <w:r w:rsidRPr="000F1A91">
        <w:rPr>
          <w:rFonts w:ascii="Times New Roman" w:eastAsia="Times New Roman" w:hAnsi="Times New Roman" w:cs="Times New Roman"/>
          <w:kern w:val="0"/>
          <w:sz w:val="24"/>
          <w:szCs w:val="24"/>
          <w:lang w:eastAsia="en-GB"/>
          <w14:ligatures w14:val="none"/>
        </w:rPr>
        <w:t>Schupf</w:t>
      </w:r>
      <w:proofErr w:type="spellEnd"/>
      <w:r w:rsidRPr="000F1A91">
        <w:rPr>
          <w:rFonts w:ascii="Times New Roman" w:eastAsia="Times New Roman" w:hAnsi="Times New Roman" w:cs="Times New Roman"/>
          <w:kern w:val="0"/>
          <w:sz w:val="24"/>
          <w:szCs w:val="24"/>
          <w:lang w:eastAsia="en-GB"/>
          <w14:ligatures w14:val="none"/>
        </w:rPr>
        <w:t xml:space="preserve">, N., et al. (2006). </w:t>
      </w:r>
      <w:r w:rsidRPr="000F1A91">
        <w:rPr>
          <w:rFonts w:ascii="Times New Roman" w:eastAsia="Times New Roman" w:hAnsi="Times New Roman" w:cs="Times New Roman"/>
          <w:i/>
          <w:iCs/>
          <w:kern w:val="0"/>
          <w:sz w:val="24"/>
          <w:szCs w:val="24"/>
          <w:lang w:eastAsia="en-GB"/>
          <w14:ligatures w14:val="none"/>
        </w:rPr>
        <w:t>Mediterranean diet and risk for Alzheimer's disease</w:t>
      </w:r>
      <w:r w:rsidRPr="000F1A91">
        <w:rPr>
          <w:rFonts w:ascii="Times New Roman" w:eastAsia="Times New Roman" w:hAnsi="Times New Roman" w:cs="Times New Roman"/>
          <w:kern w:val="0"/>
          <w:sz w:val="24"/>
          <w:szCs w:val="24"/>
          <w:lang w:eastAsia="en-GB"/>
          <w14:ligatures w14:val="none"/>
        </w:rPr>
        <w:t>. Annals of Neurology, 59(6), 912-921.</w:t>
      </w:r>
    </w:p>
    <w:p w14:paraId="3E8B073C" w14:textId="77777777" w:rsidR="000F1A91" w:rsidRPr="000F1A91" w:rsidRDefault="000F1A91" w:rsidP="000F1A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F1A91">
        <w:rPr>
          <w:rFonts w:ascii="Times New Roman" w:eastAsia="Times New Roman" w:hAnsi="Times New Roman" w:cs="Times New Roman"/>
          <w:kern w:val="0"/>
          <w:sz w:val="24"/>
          <w:szCs w:val="24"/>
          <w:lang w:eastAsia="en-GB"/>
          <w14:ligatures w14:val="none"/>
        </w:rPr>
        <w:t xml:space="preserve">Spector, A., Orrell, M., &amp; Woods, B. (2003). </w:t>
      </w:r>
      <w:r w:rsidRPr="000F1A91">
        <w:rPr>
          <w:rFonts w:ascii="Times New Roman" w:eastAsia="Times New Roman" w:hAnsi="Times New Roman" w:cs="Times New Roman"/>
          <w:i/>
          <w:iCs/>
          <w:kern w:val="0"/>
          <w:sz w:val="24"/>
          <w:szCs w:val="24"/>
          <w:lang w:eastAsia="en-GB"/>
          <w14:ligatures w14:val="none"/>
        </w:rPr>
        <w:t>Cognitive stimulation therapy for dementia: systematic review and meta-analysis</w:t>
      </w:r>
      <w:r w:rsidRPr="000F1A91">
        <w:rPr>
          <w:rFonts w:ascii="Times New Roman" w:eastAsia="Times New Roman" w:hAnsi="Times New Roman" w:cs="Times New Roman"/>
          <w:kern w:val="0"/>
          <w:sz w:val="24"/>
          <w:szCs w:val="24"/>
          <w:lang w:eastAsia="en-GB"/>
          <w14:ligatures w14:val="none"/>
        </w:rPr>
        <w:t>. The British Journal of Psychiatry, 183, 263-268.</w:t>
      </w:r>
    </w:p>
    <w:p w14:paraId="76A15B24" w14:textId="77777777" w:rsidR="000F1A91" w:rsidRPr="000F1A91" w:rsidRDefault="000F1A91" w:rsidP="000F1A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F1A91">
        <w:rPr>
          <w:rFonts w:ascii="Times New Roman" w:eastAsia="Times New Roman" w:hAnsi="Times New Roman" w:cs="Times New Roman"/>
          <w:kern w:val="0"/>
          <w:sz w:val="24"/>
          <w:szCs w:val="24"/>
          <w:lang w:eastAsia="en-GB"/>
          <w14:ligatures w14:val="none"/>
        </w:rPr>
        <w:t xml:space="preserve">Stern, Y. (2002). </w:t>
      </w:r>
      <w:r w:rsidRPr="000F1A91">
        <w:rPr>
          <w:rFonts w:ascii="Times New Roman" w:eastAsia="Times New Roman" w:hAnsi="Times New Roman" w:cs="Times New Roman"/>
          <w:i/>
          <w:iCs/>
          <w:kern w:val="0"/>
          <w:sz w:val="24"/>
          <w:szCs w:val="24"/>
          <w:lang w:eastAsia="en-GB"/>
          <w14:ligatures w14:val="none"/>
        </w:rPr>
        <w:t>What is cognitive reserve? Theory and research application of the reserve hypothesis</w:t>
      </w:r>
      <w:r w:rsidRPr="000F1A91">
        <w:rPr>
          <w:rFonts w:ascii="Times New Roman" w:eastAsia="Times New Roman" w:hAnsi="Times New Roman" w:cs="Times New Roman"/>
          <w:kern w:val="0"/>
          <w:sz w:val="24"/>
          <w:szCs w:val="24"/>
          <w:lang w:eastAsia="en-GB"/>
          <w14:ligatures w14:val="none"/>
        </w:rPr>
        <w:t>. Journal of the International Neuropsychological Society, 8(3), 448-460.</w:t>
      </w:r>
    </w:p>
    <w:p w14:paraId="273265D2" w14:textId="77777777" w:rsidR="000F1A91" w:rsidRPr="000F1A91" w:rsidRDefault="000F1A91" w:rsidP="000F1A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F1A91">
        <w:rPr>
          <w:rFonts w:ascii="Times New Roman" w:eastAsia="Times New Roman" w:hAnsi="Times New Roman" w:cs="Times New Roman"/>
          <w:kern w:val="0"/>
          <w:sz w:val="24"/>
          <w:szCs w:val="24"/>
          <w:lang w:eastAsia="en-GB"/>
          <w14:ligatures w14:val="none"/>
        </w:rPr>
        <w:t xml:space="preserve">Welsh Government. (2021). </w:t>
      </w:r>
      <w:r w:rsidRPr="000F1A91">
        <w:rPr>
          <w:rFonts w:ascii="Times New Roman" w:eastAsia="Times New Roman" w:hAnsi="Times New Roman" w:cs="Times New Roman"/>
          <w:i/>
          <w:iCs/>
          <w:kern w:val="0"/>
          <w:sz w:val="24"/>
          <w:szCs w:val="24"/>
          <w:lang w:eastAsia="en-GB"/>
          <w14:ligatures w14:val="none"/>
        </w:rPr>
        <w:t>Population projections for Wales</w:t>
      </w:r>
      <w:r w:rsidRPr="000F1A91">
        <w:rPr>
          <w:rFonts w:ascii="Times New Roman" w:eastAsia="Times New Roman" w:hAnsi="Times New Roman" w:cs="Times New Roman"/>
          <w:kern w:val="0"/>
          <w:sz w:val="24"/>
          <w:szCs w:val="24"/>
          <w:lang w:eastAsia="en-GB"/>
          <w14:ligatures w14:val="none"/>
        </w:rPr>
        <w:t>. https://gov.wales/population-projections</w:t>
      </w:r>
    </w:p>
    <w:p w14:paraId="5378F8F0" w14:textId="77777777" w:rsidR="000F1A91" w:rsidRPr="000F1A91" w:rsidRDefault="000F1A91" w:rsidP="000F1A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F1A91">
        <w:rPr>
          <w:rFonts w:ascii="Times New Roman" w:eastAsia="Times New Roman" w:hAnsi="Times New Roman" w:cs="Times New Roman"/>
          <w:kern w:val="0"/>
          <w:sz w:val="24"/>
          <w:szCs w:val="24"/>
          <w:lang w:eastAsia="en-GB"/>
          <w14:ligatures w14:val="none"/>
        </w:rPr>
        <w:lastRenderedPageBreak/>
        <w:t xml:space="preserve">World Health Organization (WHO). (2021). </w:t>
      </w:r>
      <w:r w:rsidRPr="000F1A91">
        <w:rPr>
          <w:rFonts w:ascii="Times New Roman" w:eastAsia="Times New Roman" w:hAnsi="Times New Roman" w:cs="Times New Roman"/>
          <w:i/>
          <w:iCs/>
          <w:kern w:val="0"/>
          <w:sz w:val="24"/>
          <w:szCs w:val="24"/>
          <w:lang w:eastAsia="en-GB"/>
          <w14:ligatures w14:val="none"/>
        </w:rPr>
        <w:t>Dementia</w:t>
      </w:r>
      <w:r w:rsidRPr="000F1A91">
        <w:rPr>
          <w:rFonts w:ascii="Times New Roman" w:eastAsia="Times New Roman" w:hAnsi="Times New Roman" w:cs="Times New Roman"/>
          <w:kern w:val="0"/>
          <w:sz w:val="24"/>
          <w:szCs w:val="24"/>
          <w:lang w:eastAsia="en-GB"/>
          <w14:ligatures w14:val="none"/>
        </w:rPr>
        <w:t xml:space="preserve">. </w:t>
      </w:r>
      <w:hyperlink r:id="rId5" w:tgtFrame="_new" w:history="1">
        <w:r w:rsidRPr="000F1A91">
          <w:rPr>
            <w:rFonts w:ascii="Times New Roman" w:eastAsia="Times New Roman" w:hAnsi="Times New Roman" w:cs="Times New Roman"/>
            <w:color w:val="0000FF"/>
            <w:kern w:val="0"/>
            <w:sz w:val="24"/>
            <w:szCs w:val="24"/>
            <w:u w:val="single"/>
            <w:lang w:eastAsia="en-GB"/>
            <w14:ligatures w14:val="none"/>
          </w:rPr>
          <w:t>https://www.who.int/news-room/fact-sheets/dementia</w:t>
        </w:r>
      </w:hyperlink>
    </w:p>
    <w:p w14:paraId="62F2EC3F" w14:textId="77777777" w:rsidR="000F1A91" w:rsidRPr="000F1A91" w:rsidRDefault="000F1A91" w:rsidP="000F1A91">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0F1A91">
        <w:rPr>
          <w:rFonts w:ascii="Times New Roman" w:eastAsia="Times New Roman" w:hAnsi="Times New Roman" w:cs="Times New Roman"/>
          <w:kern w:val="0"/>
          <w:sz w:val="24"/>
          <w:szCs w:val="24"/>
          <w:lang w:eastAsia="en-GB"/>
          <w14:ligatures w14:val="none"/>
        </w:rPr>
        <w:t xml:space="preserve">Yaffe, K., Falvey, C., &amp; Harris, T. (2014). </w:t>
      </w:r>
      <w:r w:rsidRPr="000F1A91">
        <w:rPr>
          <w:rFonts w:ascii="Times New Roman" w:eastAsia="Times New Roman" w:hAnsi="Times New Roman" w:cs="Times New Roman"/>
          <w:i/>
          <w:iCs/>
          <w:kern w:val="0"/>
          <w:sz w:val="24"/>
          <w:szCs w:val="24"/>
          <w:lang w:eastAsia="en-GB"/>
          <w14:ligatures w14:val="none"/>
        </w:rPr>
        <w:t>Effect of sleep on the risk of dementia and cognitive decline</w:t>
      </w:r>
      <w:r w:rsidRPr="000F1A91">
        <w:rPr>
          <w:rFonts w:ascii="Times New Roman" w:eastAsia="Times New Roman" w:hAnsi="Times New Roman" w:cs="Times New Roman"/>
          <w:kern w:val="0"/>
          <w:sz w:val="24"/>
          <w:szCs w:val="24"/>
          <w:lang w:eastAsia="en-GB"/>
          <w14:ligatures w14:val="none"/>
        </w:rPr>
        <w:t>. Current Alzheimer Research, 11(7), 795-803.</w:t>
      </w:r>
    </w:p>
    <w:p w14:paraId="0AFE402F" w14:textId="77777777" w:rsidR="00FB1C36" w:rsidRDefault="00FB1C36"/>
    <w:sectPr w:rsidR="00FB1C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1A91"/>
    <w:rsid w:val="000F1A91"/>
    <w:rsid w:val="003B38A3"/>
    <w:rsid w:val="0060626E"/>
    <w:rsid w:val="007B4BF6"/>
    <w:rsid w:val="00866BEE"/>
    <w:rsid w:val="00A36E02"/>
    <w:rsid w:val="00A77356"/>
    <w:rsid w:val="00AF1FEE"/>
    <w:rsid w:val="00BB12AC"/>
    <w:rsid w:val="00F05194"/>
    <w:rsid w:val="00FB1C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0B43B"/>
  <w15:chartTrackingRefBased/>
  <w15:docId w15:val="{5A78B65B-0DEC-4527-A253-D1A6B9290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1A9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F1A9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F1A9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F1A9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F1A9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F1A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1A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1A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1A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1A9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F1A9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F1A9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F1A9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F1A9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F1A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1A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1A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1A91"/>
    <w:rPr>
      <w:rFonts w:eastAsiaTheme="majorEastAsia" w:cstheme="majorBidi"/>
      <w:color w:val="272727" w:themeColor="text1" w:themeTint="D8"/>
    </w:rPr>
  </w:style>
  <w:style w:type="paragraph" w:styleId="Title">
    <w:name w:val="Title"/>
    <w:basedOn w:val="Normal"/>
    <w:next w:val="Normal"/>
    <w:link w:val="TitleChar"/>
    <w:uiPriority w:val="10"/>
    <w:qFormat/>
    <w:rsid w:val="000F1A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1A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1A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1A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1A91"/>
    <w:pPr>
      <w:spacing w:before="160"/>
      <w:jc w:val="center"/>
    </w:pPr>
    <w:rPr>
      <w:i/>
      <w:iCs/>
      <w:color w:val="404040" w:themeColor="text1" w:themeTint="BF"/>
    </w:rPr>
  </w:style>
  <w:style w:type="character" w:customStyle="1" w:styleId="QuoteChar">
    <w:name w:val="Quote Char"/>
    <w:basedOn w:val="DefaultParagraphFont"/>
    <w:link w:val="Quote"/>
    <w:uiPriority w:val="29"/>
    <w:rsid w:val="000F1A91"/>
    <w:rPr>
      <w:i/>
      <w:iCs/>
      <w:color w:val="404040" w:themeColor="text1" w:themeTint="BF"/>
    </w:rPr>
  </w:style>
  <w:style w:type="paragraph" w:styleId="ListParagraph">
    <w:name w:val="List Paragraph"/>
    <w:basedOn w:val="Normal"/>
    <w:uiPriority w:val="34"/>
    <w:qFormat/>
    <w:rsid w:val="000F1A91"/>
    <w:pPr>
      <w:ind w:left="720"/>
      <w:contextualSpacing/>
    </w:pPr>
  </w:style>
  <w:style w:type="character" w:styleId="IntenseEmphasis">
    <w:name w:val="Intense Emphasis"/>
    <w:basedOn w:val="DefaultParagraphFont"/>
    <w:uiPriority w:val="21"/>
    <w:qFormat/>
    <w:rsid w:val="000F1A91"/>
    <w:rPr>
      <w:i/>
      <w:iCs/>
      <w:color w:val="2F5496" w:themeColor="accent1" w:themeShade="BF"/>
    </w:rPr>
  </w:style>
  <w:style w:type="paragraph" w:styleId="IntenseQuote">
    <w:name w:val="Intense Quote"/>
    <w:basedOn w:val="Normal"/>
    <w:next w:val="Normal"/>
    <w:link w:val="IntenseQuoteChar"/>
    <w:uiPriority w:val="30"/>
    <w:qFormat/>
    <w:rsid w:val="000F1A9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F1A91"/>
    <w:rPr>
      <w:i/>
      <w:iCs/>
      <w:color w:val="2F5496" w:themeColor="accent1" w:themeShade="BF"/>
    </w:rPr>
  </w:style>
  <w:style w:type="character" w:styleId="IntenseReference">
    <w:name w:val="Intense Reference"/>
    <w:basedOn w:val="DefaultParagraphFont"/>
    <w:uiPriority w:val="32"/>
    <w:qFormat/>
    <w:rsid w:val="000F1A91"/>
    <w:rPr>
      <w:b/>
      <w:bCs/>
      <w:smallCaps/>
      <w:color w:val="2F5496" w:themeColor="accent1" w:themeShade="BF"/>
      <w:spacing w:val="5"/>
    </w:rPr>
  </w:style>
  <w:style w:type="paragraph" w:styleId="NormalWeb">
    <w:name w:val="Normal (Web)"/>
    <w:basedOn w:val="Normal"/>
    <w:uiPriority w:val="99"/>
    <w:unhideWhenUsed/>
    <w:rsid w:val="000F1A9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1508282">
      <w:bodyDiv w:val="1"/>
      <w:marLeft w:val="0"/>
      <w:marRight w:val="0"/>
      <w:marTop w:val="0"/>
      <w:marBottom w:val="0"/>
      <w:divBdr>
        <w:top w:val="none" w:sz="0" w:space="0" w:color="auto"/>
        <w:left w:val="none" w:sz="0" w:space="0" w:color="auto"/>
        <w:bottom w:val="none" w:sz="0" w:space="0" w:color="auto"/>
        <w:right w:val="none" w:sz="0" w:space="0" w:color="auto"/>
      </w:divBdr>
    </w:div>
    <w:div w:id="167646036">
      <w:bodyDiv w:val="1"/>
      <w:marLeft w:val="0"/>
      <w:marRight w:val="0"/>
      <w:marTop w:val="0"/>
      <w:marBottom w:val="0"/>
      <w:divBdr>
        <w:top w:val="none" w:sz="0" w:space="0" w:color="auto"/>
        <w:left w:val="none" w:sz="0" w:space="0" w:color="auto"/>
        <w:bottom w:val="none" w:sz="0" w:space="0" w:color="auto"/>
        <w:right w:val="none" w:sz="0" w:space="0" w:color="auto"/>
      </w:divBdr>
      <w:divsChild>
        <w:div w:id="895626550">
          <w:marLeft w:val="0"/>
          <w:marRight w:val="0"/>
          <w:marTop w:val="0"/>
          <w:marBottom w:val="0"/>
          <w:divBdr>
            <w:top w:val="none" w:sz="0" w:space="0" w:color="auto"/>
            <w:left w:val="none" w:sz="0" w:space="0" w:color="auto"/>
            <w:bottom w:val="none" w:sz="0" w:space="0" w:color="auto"/>
            <w:right w:val="none" w:sz="0" w:space="0" w:color="auto"/>
          </w:divBdr>
          <w:divsChild>
            <w:div w:id="1024594223">
              <w:marLeft w:val="0"/>
              <w:marRight w:val="0"/>
              <w:marTop w:val="0"/>
              <w:marBottom w:val="0"/>
              <w:divBdr>
                <w:top w:val="none" w:sz="0" w:space="0" w:color="auto"/>
                <w:left w:val="none" w:sz="0" w:space="0" w:color="auto"/>
                <w:bottom w:val="none" w:sz="0" w:space="0" w:color="auto"/>
                <w:right w:val="none" w:sz="0" w:space="0" w:color="auto"/>
              </w:divBdr>
              <w:divsChild>
                <w:div w:id="556818921">
                  <w:marLeft w:val="0"/>
                  <w:marRight w:val="0"/>
                  <w:marTop w:val="0"/>
                  <w:marBottom w:val="0"/>
                  <w:divBdr>
                    <w:top w:val="none" w:sz="0" w:space="0" w:color="auto"/>
                    <w:left w:val="none" w:sz="0" w:space="0" w:color="auto"/>
                    <w:bottom w:val="none" w:sz="0" w:space="0" w:color="auto"/>
                    <w:right w:val="none" w:sz="0" w:space="0" w:color="auto"/>
                  </w:divBdr>
                  <w:divsChild>
                    <w:div w:id="1270310196">
                      <w:marLeft w:val="0"/>
                      <w:marRight w:val="0"/>
                      <w:marTop w:val="0"/>
                      <w:marBottom w:val="0"/>
                      <w:divBdr>
                        <w:top w:val="none" w:sz="0" w:space="0" w:color="auto"/>
                        <w:left w:val="none" w:sz="0" w:space="0" w:color="auto"/>
                        <w:bottom w:val="none" w:sz="0" w:space="0" w:color="auto"/>
                        <w:right w:val="none" w:sz="0" w:space="0" w:color="auto"/>
                      </w:divBdr>
                      <w:divsChild>
                        <w:div w:id="208342482">
                          <w:marLeft w:val="0"/>
                          <w:marRight w:val="0"/>
                          <w:marTop w:val="0"/>
                          <w:marBottom w:val="0"/>
                          <w:divBdr>
                            <w:top w:val="none" w:sz="0" w:space="0" w:color="auto"/>
                            <w:left w:val="none" w:sz="0" w:space="0" w:color="auto"/>
                            <w:bottom w:val="none" w:sz="0" w:space="0" w:color="auto"/>
                            <w:right w:val="none" w:sz="0" w:space="0" w:color="auto"/>
                          </w:divBdr>
                          <w:divsChild>
                            <w:div w:id="68755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029160">
      <w:bodyDiv w:val="1"/>
      <w:marLeft w:val="0"/>
      <w:marRight w:val="0"/>
      <w:marTop w:val="0"/>
      <w:marBottom w:val="0"/>
      <w:divBdr>
        <w:top w:val="none" w:sz="0" w:space="0" w:color="auto"/>
        <w:left w:val="none" w:sz="0" w:space="0" w:color="auto"/>
        <w:bottom w:val="none" w:sz="0" w:space="0" w:color="auto"/>
        <w:right w:val="none" w:sz="0" w:space="0" w:color="auto"/>
      </w:divBdr>
      <w:divsChild>
        <w:div w:id="1239097191">
          <w:marLeft w:val="0"/>
          <w:marRight w:val="0"/>
          <w:marTop w:val="0"/>
          <w:marBottom w:val="0"/>
          <w:divBdr>
            <w:top w:val="none" w:sz="0" w:space="0" w:color="auto"/>
            <w:left w:val="none" w:sz="0" w:space="0" w:color="auto"/>
            <w:bottom w:val="none" w:sz="0" w:space="0" w:color="auto"/>
            <w:right w:val="none" w:sz="0" w:space="0" w:color="auto"/>
          </w:divBdr>
          <w:divsChild>
            <w:div w:id="139809256">
              <w:marLeft w:val="0"/>
              <w:marRight w:val="0"/>
              <w:marTop w:val="0"/>
              <w:marBottom w:val="0"/>
              <w:divBdr>
                <w:top w:val="none" w:sz="0" w:space="0" w:color="auto"/>
                <w:left w:val="none" w:sz="0" w:space="0" w:color="auto"/>
                <w:bottom w:val="none" w:sz="0" w:space="0" w:color="auto"/>
                <w:right w:val="none" w:sz="0" w:space="0" w:color="auto"/>
              </w:divBdr>
              <w:divsChild>
                <w:div w:id="136991797">
                  <w:marLeft w:val="0"/>
                  <w:marRight w:val="0"/>
                  <w:marTop w:val="0"/>
                  <w:marBottom w:val="0"/>
                  <w:divBdr>
                    <w:top w:val="none" w:sz="0" w:space="0" w:color="auto"/>
                    <w:left w:val="none" w:sz="0" w:space="0" w:color="auto"/>
                    <w:bottom w:val="none" w:sz="0" w:space="0" w:color="auto"/>
                    <w:right w:val="none" w:sz="0" w:space="0" w:color="auto"/>
                  </w:divBdr>
                  <w:divsChild>
                    <w:div w:id="326598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634618">
          <w:marLeft w:val="0"/>
          <w:marRight w:val="0"/>
          <w:marTop w:val="0"/>
          <w:marBottom w:val="0"/>
          <w:divBdr>
            <w:top w:val="none" w:sz="0" w:space="0" w:color="auto"/>
            <w:left w:val="none" w:sz="0" w:space="0" w:color="auto"/>
            <w:bottom w:val="none" w:sz="0" w:space="0" w:color="auto"/>
            <w:right w:val="none" w:sz="0" w:space="0" w:color="auto"/>
          </w:divBdr>
          <w:divsChild>
            <w:div w:id="788551590">
              <w:marLeft w:val="0"/>
              <w:marRight w:val="0"/>
              <w:marTop w:val="0"/>
              <w:marBottom w:val="0"/>
              <w:divBdr>
                <w:top w:val="none" w:sz="0" w:space="0" w:color="auto"/>
                <w:left w:val="none" w:sz="0" w:space="0" w:color="auto"/>
                <w:bottom w:val="none" w:sz="0" w:space="0" w:color="auto"/>
                <w:right w:val="none" w:sz="0" w:space="0" w:color="auto"/>
              </w:divBdr>
              <w:divsChild>
                <w:div w:id="1838768866">
                  <w:marLeft w:val="0"/>
                  <w:marRight w:val="0"/>
                  <w:marTop w:val="0"/>
                  <w:marBottom w:val="0"/>
                  <w:divBdr>
                    <w:top w:val="none" w:sz="0" w:space="0" w:color="auto"/>
                    <w:left w:val="none" w:sz="0" w:space="0" w:color="auto"/>
                    <w:bottom w:val="none" w:sz="0" w:space="0" w:color="auto"/>
                    <w:right w:val="none" w:sz="0" w:space="0" w:color="auto"/>
                  </w:divBdr>
                  <w:divsChild>
                    <w:div w:id="127305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7175506">
      <w:bodyDiv w:val="1"/>
      <w:marLeft w:val="0"/>
      <w:marRight w:val="0"/>
      <w:marTop w:val="0"/>
      <w:marBottom w:val="0"/>
      <w:divBdr>
        <w:top w:val="none" w:sz="0" w:space="0" w:color="auto"/>
        <w:left w:val="none" w:sz="0" w:space="0" w:color="auto"/>
        <w:bottom w:val="none" w:sz="0" w:space="0" w:color="auto"/>
        <w:right w:val="none" w:sz="0" w:space="0" w:color="auto"/>
      </w:divBdr>
    </w:div>
    <w:div w:id="637031970">
      <w:bodyDiv w:val="1"/>
      <w:marLeft w:val="0"/>
      <w:marRight w:val="0"/>
      <w:marTop w:val="0"/>
      <w:marBottom w:val="0"/>
      <w:divBdr>
        <w:top w:val="none" w:sz="0" w:space="0" w:color="auto"/>
        <w:left w:val="none" w:sz="0" w:space="0" w:color="auto"/>
        <w:bottom w:val="none" w:sz="0" w:space="0" w:color="auto"/>
        <w:right w:val="none" w:sz="0" w:space="0" w:color="auto"/>
      </w:divBdr>
      <w:divsChild>
        <w:div w:id="1228297433">
          <w:marLeft w:val="0"/>
          <w:marRight w:val="0"/>
          <w:marTop w:val="0"/>
          <w:marBottom w:val="0"/>
          <w:divBdr>
            <w:top w:val="none" w:sz="0" w:space="0" w:color="auto"/>
            <w:left w:val="none" w:sz="0" w:space="0" w:color="auto"/>
            <w:bottom w:val="none" w:sz="0" w:space="0" w:color="auto"/>
            <w:right w:val="none" w:sz="0" w:space="0" w:color="auto"/>
          </w:divBdr>
          <w:divsChild>
            <w:div w:id="587886491">
              <w:marLeft w:val="0"/>
              <w:marRight w:val="0"/>
              <w:marTop w:val="0"/>
              <w:marBottom w:val="0"/>
              <w:divBdr>
                <w:top w:val="none" w:sz="0" w:space="0" w:color="auto"/>
                <w:left w:val="none" w:sz="0" w:space="0" w:color="auto"/>
                <w:bottom w:val="none" w:sz="0" w:space="0" w:color="auto"/>
                <w:right w:val="none" w:sz="0" w:space="0" w:color="auto"/>
              </w:divBdr>
              <w:divsChild>
                <w:div w:id="54358151">
                  <w:marLeft w:val="0"/>
                  <w:marRight w:val="0"/>
                  <w:marTop w:val="0"/>
                  <w:marBottom w:val="0"/>
                  <w:divBdr>
                    <w:top w:val="none" w:sz="0" w:space="0" w:color="auto"/>
                    <w:left w:val="none" w:sz="0" w:space="0" w:color="auto"/>
                    <w:bottom w:val="none" w:sz="0" w:space="0" w:color="auto"/>
                    <w:right w:val="none" w:sz="0" w:space="0" w:color="auto"/>
                  </w:divBdr>
                  <w:divsChild>
                    <w:div w:id="582371857">
                      <w:marLeft w:val="0"/>
                      <w:marRight w:val="0"/>
                      <w:marTop w:val="0"/>
                      <w:marBottom w:val="0"/>
                      <w:divBdr>
                        <w:top w:val="none" w:sz="0" w:space="0" w:color="auto"/>
                        <w:left w:val="none" w:sz="0" w:space="0" w:color="auto"/>
                        <w:bottom w:val="none" w:sz="0" w:space="0" w:color="auto"/>
                        <w:right w:val="none" w:sz="0" w:space="0" w:color="auto"/>
                      </w:divBdr>
                      <w:divsChild>
                        <w:div w:id="190581595">
                          <w:marLeft w:val="0"/>
                          <w:marRight w:val="0"/>
                          <w:marTop w:val="0"/>
                          <w:marBottom w:val="0"/>
                          <w:divBdr>
                            <w:top w:val="none" w:sz="0" w:space="0" w:color="auto"/>
                            <w:left w:val="none" w:sz="0" w:space="0" w:color="auto"/>
                            <w:bottom w:val="none" w:sz="0" w:space="0" w:color="auto"/>
                            <w:right w:val="none" w:sz="0" w:space="0" w:color="auto"/>
                          </w:divBdr>
                          <w:divsChild>
                            <w:div w:id="156118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3375956">
      <w:bodyDiv w:val="1"/>
      <w:marLeft w:val="0"/>
      <w:marRight w:val="0"/>
      <w:marTop w:val="0"/>
      <w:marBottom w:val="0"/>
      <w:divBdr>
        <w:top w:val="none" w:sz="0" w:space="0" w:color="auto"/>
        <w:left w:val="none" w:sz="0" w:space="0" w:color="auto"/>
        <w:bottom w:val="none" w:sz="0" w:space="0" w:color="auto"/>
        <w:right w:val="none" w:sz="0" w:space="0" w:color="auto"/>
      </w:divBdr>
      <w:divsChild>
        <w:div w:id="986469099">
          <w:marLeft w:val="0"/>
          <w:marRight w:val="0"/>
          <w:marTop w:val="0"/>
          <w:marBottom w:val="0"/>
          <w:divBdr>
            <w:top w:val="none" w:sz="0" w:space="0" w:color="auto"/>
            <w:left w:val="none" w:sz="0" w:space="0" w:color="auto"/>
            <w:bottom w:val="none" w:sz="0" w:space="0" w:color="auto"/>
            <w:right w:val="none" w:sz="0" w:space="0" w:color="auto"/>
          </w:divBdr>
          <w:divsChild>
            <w:div w:id="1116095387">
              <w:marLeft w:val="0"/>
              <w:marRight w:val="0"/>
              <w:marTop w:val="0"/>
              <w:marBottom w:val="0"/>
              <w:divBdr>
                <w:top w:val="none" w:sz="0" w:space="0" w:color="auto"/>
                <w:left w:val="none" w:sz="0" w:space="0" w:color="auto"/>
                <w:bottom w:val="none" w:sz="0" w:space="0" w:color="auto"/>
                <w:right w:val="none" w:sz="0" w:space="0" w:color="auto"/>
              </w:divBdr>
              <w:divsChild>
                <w:div w:id="697892972">
                  <w:marLeft w:val="0"/>
                  <w:marRight w:val="0"/>
                  <w:marTop w:val="0"/>
                  <w:marBottom w:val="0"/>
                  <w:divBdr>
                    <w:top w:val="none" w:sz="0" w:space="0" w:color="auto"/>
                    <w:left w:val="none" w:sz="0" w:space="0" w:color="auto"/>
                    <w:bottom w:val="none" w:sz="0" w:space="0" w:color="auto"/>
                    <w:right w:val="none" w:sz="0" w:space="0" w:color="auto"/>
                  </w:divBdr>
                  <w:divsChild>
                    <w:div w:id="915434518">
                      <w:marLeft w:val="0"/>
                      <w:marRight w:val="0"/>
                      <w:marTop w:val="0"/>
                      <w:marBottom w:val="0"/>
                      <w:divBdr>
                        <w:top w:val="none" w:sz="0" w:space="0" w:color="auto"/>
                        <w:left w:val="none" w:sz="0" w:space="0" w:color="auto"/>
                        <w:bottom w:val="none" w:sz="0" w:space="0" w:color="auto"/>
                        <w:right w:val="none" w:sz="0" w:space="0" w:color="auto"/>
                      </w:divBdr>
                      <w:divsChild>
                        <w:div w:id="963272802">
                          <w:marLeft w:val="0"/>
                          <w:marRight w:val="0"/>
                          <w:marTop w:val="0"/>
                          <w:marBottom w:val="0"/>
                          <w:divBdr>
                            <w:top w:val="none" w:sz="0" w:space="0" w:color="auto"/>
                            <w:left w:val="none" w:sz="0" w:space="0" w:color="auto"/>
                            <w:bottom w:val="none" w:sz="0" w:space="0" w:color="auto"/>
                            <w:right w:val="none" w:sz="0" w:space="0" w:color="auto"/>
                          </w:divBdr>
                          <w:divsChild>
                            <w:div w:id="1952321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1584616">
      <w:bodyDiv w:val="1"/>
      <w:marLeft w:val="0"/>
      <w:marRight w:val="0"/>
      <w:marTop w:val="0"/>
      <w:marBottom w:val="0"/>
      <w:divBdr>
        <w:top w:val="none" w:sz="0" w:space="0" w:color="auto"/>
        <w:left w:val="none" w:sz="0" w:space="0" w:color="auto"/>
        <w:bottom w:val="none" w:sz="0" w:space="0" w:color="auto"/>
        <w:right w:val="none" w:sz="0" w:space="0" w:color="auto"/>
      </w:divBdr>
      <w:divsChild>
        <w:div w:id="197931984">
          <w:marLeft w:val="0"/>
          <w:marRight w:val="0"/>
          <w:marTop w:val="0"/>
          <w:marBottom w:val="0"/>
          <w:divBdr>
            <w:top w:val="none" w:sz="0" w:space="0" w:color="auto"/>
            <w:left w:val="none" w:sz="0" w:space="0" w:color="auto"/>
            <w:bottom w:val="none" w:sz="0" w:space="0" w:color="auto"/>
            <w:right w:val="none" w:sz="0" w:space="0" w:color="auto"/>
          </w:divBdr>
          <w:divsChild>
            <w:div w:id="2146924870">
              <w:marLeft w:val="0"/>
              <w:marRight w:val="0"/>
              <w:marTop w:val="0"/>
              <w:marBottom w:val="0"/>
              <w:divBdr>
                <w:top w:val="none" w:sz="0" w:space="0" w:color="auto"/>
                <w:left w:val="none" w:sz="0" w:space="0" w:color="auto"/>
                <w:bottom w:val="none" w:sz="0" w:space="0" w:color="auto"/>
                <w:right w:val="none" w:sz="0" w:space="0" w:color="auto"/>
              </w:divBdr>
              <w:divsChild>
                <w:div w:id="2052029615">
                  <w:marLeft w:val="0"/>
                  <w:marRight w:val="0"/>
                  <w:marTop w:val="0"/>
                  <w:marBottom w:val="0"/>
                  <w:divBdr>
                    <w:top w:val="none" w:sz="0" w:space="0" w:color="auto"/>
                    <w:left w:val="none" w:sz="0" w:space="0" w:color="auto"/>
                    <w:bottom w:val="none" w:sz="0" w:space="0" w:color="auto"/>
                    <w:right w:val="none" w:sz="0" w:space="0" w:color="auto"/>
                  </w:divBdr>
                  <w:divsChild>
                    <w:div w:id="671374572">
                      <w:marLeft w:val="0"/>
                      <w:marRight w:val="0"/>
                      <w:marTop w:val="0"/>
                      <w:marBottom w:val="0"/>
                      <w:divBdr>
                        <w:top w:val="none" w:sz="0" w:space="0" w:color="auto"/>
                        <w:left w:val="none" w:sz="0" w:space="0" w:color="auto"/>
                        <w:bottom w:val="none" w:sz="0" w:space="0" w:color="auto"/>
                        <w:right w:val="none" w:sz="0" w:space="0" w:color="auto"/>
                      </w:divBdr>
                      <w:divsChild>
                        <w:div w:id="885875863">
                          <w:marLeft w:val="0"/>
                          <w:marRight w:val="0"/>
                          <w:marTop w:val="0"/>
                          <w:marBottom w:val="0"/>
                          <w:divBdr>
                            <w:top w:val="none" w:sz="0" w:space="0" w:color="auto"/>
                            <w:left w:val="none" w:sz="0" w:space="0" w:color="auto"/>
                            <w:bottom w:val="none" w:sz="0" w:space="0" w:color="auto"/>
                            <w:right w:val="none" w:sz="0" w:space="0" w:color="auto"/>
                          </w:divBdr>
                          <w:divsChild>
                            <w:div w:id="1744907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23695">
      <w:bodyDiv w:val="1"/>
      <w:marLeft w:val="0"/>
      <w:marRight w:val="0"/>
      <w:marTop w:val="0"/>
      <w:marBottom w:val="0"/>
      <w:divBdr>
        <w:top w:val="none" w:sz="0" w:space="0" w:color="auto"/>
        <w:left w:val="none" w:sz="0" w:space="0" w:color="auto"/>
        <w:bottom w:val="none" w:sz="0" w:space="0" w:color="auto"/>
        <w:right w:val="none" w:sz="0" w:space="0" w:color="auto"/>
      </w:divBdr>
      <w:divsChild>
        <w:div w:id="1410349039">
          <w:marLeft w:val="0"/>
          <w:marRight w:val="0"/>
          <w:marTop w:val="0"/>
          <w:marBottom w:val="0"/>
          <w:divBdr>
            <w:top w:val="none" w:sz="0" w:space="0" w:color="auto"/>
            <w:left w:val="none" w:sz="0" w:space="0" w:color="auto"/>
            <w:bottom w:val="none" w:sz="0" w:space="0" w:color="auto"/>
            <w:right w:val="none" w:sz="0" w:space="0" w:color="auto"/>
          </w:divBdr>
          <w:divsChild>
            <w:div w:id="223562002">
              <w:marLeft w:val="0"/>
              <w:marRight w:val="0"/>
              <w:marTop w:val="0"/>
              <w:marBottom w:val="0"/>
              <w:divBdr>
                <w:top w:val="none" w:sz="0" w:space="0" w:color="auto"/>
                <w:left w:val="none" w:sz="0" w:space="0" w:color="auto"/>
                <w:bottom w:val="none" w:sz="0" w:space="0" w:color="auto"/>
                <w:right w:val="none" w:sz="0" w:space="0" w:color="auto"/>
              </w:divBdr>
              <w:divsChild>
                <w:div w:id="251159332">
                  <w:marLeft w:val="0"/>
                  <w:marRight w:val="0"/>
                  <w:marTop w:val="0"/>
                  <w:marBottom w:val="0"/>
                  <w:divBdr>
                    <w:top w:val="none" w:sz="0" w:space="0" w:color="auto"/>
                    <w:left w:val="none" w:sz="0" w:space="0" w:color="auto"/>
                    <w:bottom w:val="none" w:sz="0" w:space="0" w:color="auto"/>
                    <w:right w:val="none" w:sz="0" w:space="0" w:color="auto"/>
                  </w:divBdr>
                  <w:divsChild>
                    <w:div w:id="2020083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764804">
          <w:marLeft w:val="0"/>
          <w:marRight w:val="0"/>
          <w:marTop w:val="0"/>
          <w:marBottom w:val="0"/>
          <w:divBdr>
            <w:top w:val="none" w:sz="0" w:space="0" w:color="auto"/>
            <w:left w:val="none" w:sz="0" w:space="0" w:color="auto"/>
            <w:bottom w:val="none" w:sz="0" w:space="0" w:color="auto"/>
            <w:right w:val="none" w:sz="0" w:space="0" w:color="auto"/>
          </w:divBdr>
          <w:divsChild>
            <w:div w:id="308897936">
              <w:marLeft w:val="0"/>
              <w:marRight w:val="0"/>
              <w:marTop w:val="0"/>
              <w:marBottom w:val="0"/>
              <w:divBdr>
                <w:top w:val="none" w:sz="0" w:space="0" w:color="auto"/>
                <w:left w:val="none" w:sz="0" w:space="0" w:color="auto"/>
                <w:bottom w:val="none" w:sz="0" w:space="0" w:color="auto"/>
                <w:right w:val="none" w:sz="0" w:space="0" w:color="auto"/>
              </w:divBdr>
              <w:divsChild>
                <w:div w:id="344482863">
                  <w:marLeft w:val="0"/>
                  <w:marRight w:val="0"/>
                  <w:marTop w:val="0"/>
                  <w:marBottom w:val="0"/>
                  <w:divBdr>
                    <w:top w:val="none" w:sz="0" w:space="0" w:color="auto"/>
                    <w:left w:val="none" w:sz="0" w:space="0" w:color="auto"/>
                    <w:bottom w:val="none" w:sz="0" w:space="0" w:color="auto"/>
                    <w:right w:val="none" w:sz="0" w:space="0" w:color="auto"/>
                  </w:divBdr>
                  <w:divsChild>
                    <w:div w:id="179990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3713363">
      <w:bodyDiv w:val="1"/>
      <w:marLeft w:val="0"/>
      <w:marRight w:val="0"/>
      <w:marTop w:val="0"/>
      <w:marBottom w:val="0"/>
      <w:divBdr>
        <w:top w:val="none" w:sz="0" w:space="0" w:color="auto"/>
        <w:left w:val="none" w:sz="0" w:space="0" w:color="auto"/>
        <w:bottom w:val="none" w:sz="0" w:space="0" w:color="auto"/>
        <w:right w:val="none" w:sz="0" w:space="0" w:color="auto"/>
      </w:divBdr>
      <w:divsChild>
        <w:div w:id="1197964819">
          <w:marLeft w:val="0"/>
          <w:marRight w:val="0"/>
          <w:marTop w:val="0"/>
          <w:marBottom w:val="0"/>
          <w:divBdr>
            <w:top w:val="none" w:sz="0" w:space="0" w:color="auto"/>
            <w:left w:val="none" w:sz="0" w:space="0" w:color="auto"/>
            <w:bottom w:val="none" w:sz="0" w:space="0" w:color="auto"/>
            <w:right w:val="none" w:sz="0" w:space="0" w:color="auto"/>
          </w:divBdr>
          <w:divsChild>
            <w:div w:id="1622876528">
              <w:marLeft w:val="0"/>
              <w:marRight w:val="0"/>
              <w:marTop w:val="0"/>
              <w:marBottom w:val="0"/>
              <w:divBdr>
                <w:top w:val="none" w:sz="0" w:space="0" w:color="auto"/>
                <w:left w:val="none" w:sz="0" w:space="0" w:color="auto"/>
                <w:bottom w:val="none" w:sz="0" w:space="0" w:color="auto"/>
                <w:right w:val="none" w:sz="0" w:space="0" w:color="auto"/>
              </w:divBdr>
              <w:divsChild>
                <w:div w:id="1928272063">
                  <w:marLeft w:val="0"/>
                  <w:marRight w:val="0"/>
                  <w:marTop w:val="0"/>
                  <w:marBottom w:val="0"/>
                  <w:divBdr>
                    <w:top w:val="none" w:sz="0" w:space="0" w:color="auto"/>
                    <w:left w:val="none" w:sz="0" w:space="0" w:color="auto"/>
                    <w:bottom w:val="none" w:sz="0" w:space="0" w:color="auto"/>
                    <w:right w:val="none" w:sz="0" w:space="0" w:color="auto"/>
                  </w:divBdr>
                  <w:divsChild>
                    <w:div w:id="145636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897647">
          <w:marLeft w:val="0"/>
          <w:marRight w:val="0"/>
          <w:marTop w:val="0"/>
          <w:marBottom w:val="0"/>
          <w:divBdr>
            <w:top w:val="none" w:sz="0" w:space="0" w:color="auto"/>
            <w:left w:val="none" w:sz="0" w:space="0" w:color="auto"/>
            <w:bottom w:val="none" w:sz="0" w:space="0" w:color="auto"/>
            <w:right w:val="none" w:sz="0" w:space="0" w:color="auto"/>
          </w:divBdr>
          <w:divsChild>
            <w:div w:id="602686804">
              <w:marLeft w:val="0"/>
              <w:marRight w:val="0"/>
              <w:marTop w:val="0"/>
              <w:marBottom w:val="0"/>
              <w:divBdr>
                <w:top w:val="none" w:sz="0" w:space="0" w:color="auto"/>
                <w:left w:val="none" w:sz="0" w:space="0" w:color="auto"/>
                <w:bottom w:val="none" w:sz="0" w:space="0" w:color="auto"/>
                <w:right w:val="none" w:sz="0" w:space="0" w:color="auto"/>
              </w:divBdr>
              <w:divsChild>
                <w:div w:id="1629431651">
                  <w:marLeft w:val="0"/>
                  <w:marRight w:val="0"/>
                  <w:marTop w:val="0"/>
                  <w:marBottom w:val="0"/>
                  <w:divBdr>
                    <w:top w:val="none" w:sz="0" w:space="0" w:color="auto"/>
                    <w:left w:val="none" w:sz="0" w:space="0" w:color="auto"/>
                    <w:bottom w:val="none" w:sz="0" w:space="0" w:color="auto"/>
                    <w:right w:val="none" w:sz="0" w:space="0" w:color="auto"/>
                  </w:divBdr>
                  <w:divsChild>
                    <w:div w:id="1352955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0852368">
      <w:bodyDiv w:val="1"/>
      <w:marLeft w:val="0"/>
      <w:marRight w:val="0"/>
      <w:marTop w:val="0"/>
      <w:marBottom w:val="0"/>
      <w:divBdr>
        <w:top w:val="none" w:sz="0" w:space="0" w:color="auto"/>
        <w:left w:val="none" w:sz="0" w:space="0" w:color="auto"/>
        <w:bottom w:val="none" w:sz="0" w:space="0" w:color="auto"/>
        <w:right w:val="none" w:sz="0" w:space="0" w:color="auto"/>
      </w:divBdr>
      <w:divsChild>
        <w:div w:id="2045978272">
          <w:marLeft w:val="0"/>
          <w:marRight w:val="0"/>
          <w:marTop w:val="0"/>
          <w:marBottom w:val="0"/>
          <w:divBdr>
            <w:top w:val="none" w:sz="0" w:space="0" w:color="auto"/>
            <w:left w:val="none" w:sz="0" w:space="0" w:color="auto"/>
            <w:bottom w:val="none" w:sz="0" w:space="0" w:color="auto"/>
            <w:right w:val="none" w:sz="0" w:space="0" w:color="auto"/>
          </w:divBdr>
          <w:divsChild>
            <w:div w:id="659771464">
              <w:marLeft w:val="0"/>
              <w:marRight w:val="0"/>
              <w:marTop w:val="0"/>
              <w:marBottom w:val="0"/>
              <w:divBdr>
                <w:top w:val="none" w:sz="0" w:space="0" w:color="auto"/>
                <w:left w:val="none" w:sz="0" w:space="0" w:color="auto"/>
                <w:bottom w:val="none" w:sz="0" w:space="0" w:color="auto"/>
                <w:right w:val="none" w:sz="0" w:space="0" w:color="auto"/>
              </w:divBdr>
              <w:divsChild>
                <w:div w:id="1543403319">
                  <w:marLeft w:val="0"/>
                  <w:marRight w:val="0"/>
                  <w:marTop w:val="0"/>
                  <w:marBottom w:val="0"/>
                  <w:divBdr>
                    <w:top w:val="none" w:sz="0" w:space="0" w:color="auto"/>
                    <w:left w:val="none" w:sz="0" w:space="0" w:color="auto"/>
                    <w:bottom w:val="none" w:sz="0" w:space="0" w:color="auto"/>
                    <w:right w:val="none" w:sz="0" w:space="0" w:color="auto"/>
                  </w:divBdr>
                  <w:divsChild>
                    <w:div w:id="620381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7172027">
          <w:marLeft w:val="0"/>
          <w:marRight w:val="0"/>
          <w:marTop w:val="0"/>
          <w:marBottom w:val="0"/>
          <w:divBdr>
            <w:top w:val="none" w:sz="0" w:space="0" w:color="auto"/>
            <w:left w:val="none" w:sz="0" w:space="0" w:color="auto"/>
            <w:bottom w:val="none" w:sz="0" w:space="0" w:color="auto"/>
            <w:right w:val="none" w:sz="0" w:space="0" w:color="auto"/>
          </w:divBdr>
          <w:divsChild>
            <w:div w:id="15693767">
              <w:marLeft w:val="0"/>
              <w:marRight w:val="0"/>
              <w:marTop w:val="0"/>
              <w:marBottom w:val="0"/>
              <w:divBdr>
                <w:top w:val="none" w:sz="0" w:space="0" w:color="auto"/>
                <w:left w:val="none" w:sz="0" w:space="0" w:color="auto"/>
                <w:bottom w:val="none" w:sz="0" w:space="0" w:color="auto"/>
                <w:right w:val="none" w:sz="0" w:space="0" w:color="auto"/>
              </w:divBdr>
              <w:divsChild>
                <w:div w:id="829103029">
                  <w:marLeft w:val="0"/>
                  <w:marRight w:val="0"/>
                  <w:marTop w:val="0"/>
                  <w:marBottom w:val="0"/>
                  <w:divBdr>
                    <w:top w:val="none" w:sz="0" w:space="0" w:color="auto"/>
                    <w:left w:val="none" w:sz="0" w:space="0" w:color="auto"/>
                    <w:bottom w:val="none" w:sz="0" w:space="0" w:color="auto"/>
                    <w:right w:val="none" w:sz="0" w:space="0" w:color="auto"/>
                  </w:divBdr>
                  <w:divsChild>
                    <w:div w:id="1269120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2012578">
      <w:bodyDiv w:val="1"/>
      <w:marLeft w:val="0"/>
      <w:marRight w:val="0"/>
      <w:marTop w:val="0"/>
      <w:marBottom w:val="0"/>
      <w:divBdr>
        <w:top w:val="none" w:sz="0" w:space="0" w:color="auto"/>
        <w:left w:val="none" w:sz="0" w:space="0" w:color="auto"/>
        <w:bottom w:val="none" w:sz="0" w:space="0" w:color="auto"/>
        <w:right w:val="none" w:sz="0" w:space="0" w:color="auto"/>
      </w:divBdr>
    </w:div>
    <w:div w:id="1884974626">
      <w:bodyDiv w:val="1"/>
      <w:marLeft w:val="0"/>
      <w:marRight w:val="0"/>
      <w:marTop w:val="0"/>
      <w:marBottom w:val="0"/>
      <w:divBdr>
        <w:top w:val="none" w:sz="0" w:space="0" w:color="auto"/>
        <w:left w:val="none" w:sz="0" w:space="0" w:color="auto"/>
        <w:bottom w:val="none" w:sz="0" w:space="0" w:color="auto"/>
        <w:right w:val="none" w:sz="0" w:space="0" w:color="auto"/>
      </w:divBdr>
      <w:divsChild>
        <w:div w:id="1012948044">
          <w:marLeft w:val="0"/>
          <w:marRight w:val="0"/>
          <w:marTop w:val="0"/>
          <w:marBottom w:val="0"/>
          <w:divBdr>
            <w:top w:val="none" w:sz="0" w:space="0" w:color="auto"/>
            <w:left w:val="none" w:sz="0" w:space="0" w:color="auto"/>
            <w:bottom w:val="none" w:sz="0" w:space="0" w:color="auto"/>
            <w:right w:val="none" w:sz="0" w:space="0" w:color="auto"/>
          </w:divBdr>
          <w:divsChild>
            <w:div w:id="816796596">
              <w:marLeft w:val="0"/>
              <w:marRight w:val="0"/>
              <w:marTop w:val="0"/>
              <w:marBottom w:val="0"/>
              <w:divBdr>
                <w:top w:val="none" w:sz="0" w:space="0" w:color="auto"/>
                <w:left w:val="none" w:sz="0" w:space="0" w:color="auto"/>
                <w:bottom w:val="none" w:sz="0" w:space="0" w:color="auto"/>
                <w:right w:val="none" w:sz="0" w:space="0" w:color="auto"/>
              </w:divBdr>
              <w:divsChild>
                <w:div w:id="1058821417">
                  <w:marLeft w:val="0"/>
                  <w:marRight w:val="0"/>
                  <w:marTop w:val="0"/>
                  <w:marBottom w:val="0"/>
                  <w:divBdr>
                    <w:top w:val="none" w:sz="0" w:space="0" w:color="auto"/>
                    <w:left w:val="none" w:sz="0" w:space="0" w:color="auto"/>
                    <w:bottom w:val="none" w:sz="0" w:space="0" w:color="auto"/>
                    <w:right w:val="none" w:sz="0" w:space="0" w:color="auto"/>
                  </w:divBdr>
                  <w:divsChild>
                    <w:div w:id="1361007220">
                      <w:marLeft w:val="0"/>
                      <w:marRight w:val="0"/>
                      <w:marTop w:val="0"/>
                      <w:marBottom w:val="0"/>
                      <w:divBdr>
                        <w:top w:val="none" w:sz="0" w:space="0" w:color="auto"/>
                        <w:left w:val="none" w:sz="0" w:space="0" w:color="auto"/>
                        <w:bottom w:val="none" w:sz="0" w:space="0" w:color="auto"/>
                        <w:right w:val="none" w:sz="0" w:space="0" w:color="auto"/>
                      </w:divBdr>
                      <w:divsChild>
                        <w:div w:id="1356226515">
                          <w:marLeft w:val="0"/>
                          <w:marRight w:val="0"/>
                          <w:marTop w:val="0"/>
                          <w:marBottom w:val="0"/>
                          <w:divBdr>
                            <w:top w:val="none" w:sz="0" w:space="0" w:color="auto"/>
                            <w:left w:val="none" w:sz="0" w:space="0" w:color="auto"/>
                            <w:bottom w:val="none" w:sz="0" w:space="0" w:color="auto"/>
                            <w:right w:val="none" w:sz="0" w:space="0" w:color="auto"/>
                          </w:divBdr>
                          <w:divsChild>
                            <w:div w:id="88429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who.int/news-room/fact-sheets/dementia" TargetMode="External"/><Relationship Id="rId4" Type="http://schemas.openxmlformats.org/officeDocument/2006/relationships/hyperlink" Target="https://www.alzheimers.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2461</Words>
  <Characters>14030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Alisha Beckett</dc:creator>
  <cp:keywords/>
  <dc:description/>
  <cp:lastModifiedBy>Alisha Beckett</cp:lastModifiedBy>
  <cp:revision>2</cp:revision>
  <dcterms:created xsi:type="dcterms:W3CDTF">2024-11-23T17:35:00Z</dcterms:created>
  <dcterms:modified xsi:type="dcterms:W3CDTF">2024-11-23T19:11:00Z</dcterms:modified>
</cp:coreProperties>
</file>