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28423" w14:textId="16796464"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Following an observed critical incident at a large secondary school in Cardiff, this paper intends to discuss the centrality of social interaction in learning and the role and use of language in ‘dialogic teaching’ (Alexander, 2004). In this teaching approach, both students and teachers </w:t>
      </w:r>
      <w:r w:rsidR="007E72DC">
        <w:rPr>
          <w:rFonts w:ascii="Arial" w:hAnsi="Arial" w:cs="Arial"/>
          <w:sz w:val="22"/>
          <w:szCs w:val="22"/>
        </w:rPr>
        <w:t xml:space="preserve">can feel empowered </w:t>
      </w:r>
      <w:r w:rsidRPr="006C4010">
        <w:rPr>
          <w:rFonts w:ascii="Arial" w:hAnsi="Arial" w:cs="Arial"/>
          <w:sz w:val="22"/>
          <w:szCs w:val="22"/>
        </w:rPr>
        <w:t>by contributing to and initiating classroom discussion</w:t>
      </w:r>
      <w:r w:rsidR="007E72DC">
        <w:rPr>
          <w:rFonts w:ascii="Arial" w:hAnsi="Arial" w:cs="Arial"/>
          <w:sz w:val="22"/>
          <w:szCs w:val="22"/>
        </w:rPr>
        <w:t xml:space="preserve"> (</w:t>
      </w:r>
      <w:proofErr w:type="spellStart"/>
      <w:r w:rsidR="007E72DC">
        <w:rPr>
          <w:rFonts w:ascii="Arial" w:hAnsi="Arial" w:cs="Arial"/>
          <w:sz w:val="22"/>
          <w:szCs w:val="22"/>
        </w:rPr>
        <w:t>Cazden</w:t>
      </w:r>
      <w:proofErr w:type="spellEnd"/>
      <w:r w:rsidR="007E72DC">
        <w:rPr>
          <w:rFonts w:ascii="Arial" w:hAnsi="Arial" w:cs="Arial"/>
          <w:sz w:val="22"/>
          <w:szCs w:val="22"/>
        </w:rPr>
        <w:t>, 2001).</w:t>
      </w:r>
      <w:r w:rsidRPr="006C4010">
        <w:rPr>
          <w:rFonts w:ascii="Arial" w:hAnsi="Arial" w:cs="Arial"/>
          <w:sz w:val="22"/>
          <w:szCs w:val="22"/>
        </w:rPr>
        <w:t xml:space="preserve"> This research was undertaken in line with the </w:t>
      </w:r>
      <w:r w:rsidRPr="006C4010">
        <w:rPr>
          <w:rStyle w:val="Emphasis"/>
          <w:rFonts w:ascii="Arial" w:hAnsi="Arial" w:cs="Arial"/>
          <w:sz w:val="22"/>
          <w:szCs w:val="22"/>
        </w:rPr>
        <w:t>British Educational Research Association</w:t>
      </w:r>
      <w:r w:rsidRPr="006C4010">
        <w:rPr>
          <w:rFonts w:ascii="Arial" w:hAnsi="Arial" w:cs="Arial"/>
          <w:sz w:val="22"/>
          <w:szCs w:val="22"/>
        </w:rPr>
        <w:t> guidelines, which outlines the need for participant anonymity, confidentiality and privacy (BERA, 2018, p.21). For this research, the school observed, will be termed ‘School Z’.  </w:t>
      </w:r>
    </w:p>
    <w:p w14:paraId="59C3DDDF"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4A23A5D4"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Critical incidents are important for the teaching profession, as they afford teachers deeper insights into the efficacy of their teaching and the underlying assumptions, values and beliefs that shape their approach and attitude to learning (Tripp, 1993, pp. 24–25; Joshi, 2018, p. 83). Although scholars disagree over the precise definition of ‘critical incidents’ and have placed different emphasis on the role of interpretation and analysis, overall, critical incidents are regarded as a valuable tool. More precisely, critical incidents are considered an essential aspect of teaching development, teacher training programmes and reflexivity, as they afford teachers the opportunity to improve their teaching practise (Brookfield, 1995; Tripp, 1993, Joshi, 2018; </w:t>
      </w:r>
      <w:proofErr w:type="spellStart"/>
      <w:r w:rsidRPr="006C4010">
        <w:rPr>
          <w:rFonts w:ascii="Arial" w:hAnsi="Arial" w:cs="Arial"/>
          <w:sz w:val="22"/>
          <w:szCs w:val="22"/>
        </w:rPr>
        <w:t>Halquist</w:t>
      </w:r>
      <w:proofErr w:type="spellEnd"/>
      <w:r w:rsidRPr="006C4010">
        <w:rPr>
          <w:rFonts w:ascii="Arial" w:hAnsi="Arial" w:cs="Arial"/>
          <w:sz w:val="22"/>
          <w:szCs w:val="22"/>
        </w:rPr>
        <w:t xml:space="preserve"> and </w:t>
      </w:r>
      <w:proofErr w:type="spellStart"/>
      <w:r w:rsidRPr="006C4010">
        <w:rPr>
          <w:rFonts w:ascii="Arial" w:hAnsi="Arial" w:cs="Arial"/>
          <w:sz w:val="22"/>
          <w:szCs w:val="22"/>
        </w:rPr>
        <w:t>Musanti</w:t>
      </w:r>
      <w:proofErr w:type="spellEnd"/>
      <w:r w:rsidRPr="006C4010">
        <w:rPr>
          <w:rFonts w:ascii="Arial" w:hAnsi="Arial" w:cs="Arial"/>
          <w:sz w:val="22"/>
          <w:szCs w:val="22"/>
        </w:rPr>
        <w:t>, 2010; Richards and Farrell, 2010). Given the depth that critical incidents afford, and the focus on a specific aspect of observation, this paper considers that continuity exists with case study approaches (Arthur et al, 2012, p. 102). </w:t>
      </w:r>
    </w:p>
    <w:p w14:paraId="549D8C7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2882FAEA" w14:textId="6FB8934C" w:rsidR="00AB4FFD"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‘School Z’ is maintained by the Local Authority and attracts students from a disadvantaged demographic. According to Estyn, ‘school Z’ ‘serves a catchment area in which there are high levels of social and economic disadvantage’ (2017, p.1). In February 2017 </w:t>
      </w:r>
      <w:r w:rsidR="00AB4FFD" w:rsidRPr="006C4010">
        <w:rPr>
          <w:rFonts w:ascii="Arial" w:hAnsi="Arial" w:cs="Arial"/>
          <w:sz w:val="22"/>
          <w:szCs w:val="22"/>
        </w:rPr>
        <w:t>"</w:t>
      </w:r>
      <w:r w:rsidRPr="006C4010">
        <w:rPr>
          <w:rFonts w:ascii="Arial" w:hAnsi="Arial" w:cs="Arial"/>
          <w:sz w:val="22"/>
          <w:szCs w:val="22"/>
        </w:rPr>
        <w:t>around 60% of pupils live (d) in the 20% most deprived areas of Wales</w:t>
      </w:r>
      <w:r w:rsidR="00AB4FFD" w:rsidRPr="006C4010">
        <w:rPr>
          <w:rFonts w:ascii="Arial" w:hAnsi="Arial" w:cs="Arial"/>
          <w:sz w:val="22"/>
          <w:szCs w:val="22"/>
        </w:rPr>
        <w:t>"</w:t>
      </w:r>
      <w:r w:rsidRPr="006C4010">
        <w:rPr>
          <w:rFonts w:ascii="Arial" w:hAnsi="Arial" w:cs="Arial"/>
          <w:sz w:val="22"/>
          <w:szCs w:val="22"/>
        </w:rPr>
        <w:t xml:space="preserve"> (Ibid, p. 1). 32.7% of pupils were entitled to free school meals, which was over 15% higher than the national average (Ibid, p.1). Nonetheless, following their ‘Excellent’ status for both performance and future prospects (Ibid, p, 2) the school has established multiple partnerships with local schools and is currently oversubscribed. Despite a rise in student numbers since this report, in early 2017, 1721 pupils were registered at the school (Ibid, p.1). </w:t>
      </w:r>
    </w:p>
    <w:p w14:paraId="51C391BE"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p>
    <w:p w14:paraId="56BB09C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The incident under examination, occurred in a Year 8 History class, the first lesson on a Thursday morning in the autumn of 2019. The class were aged between 11.5 and 13 years, and were exceptionally able, being one of the highest sets of the ten-set year. There were thirty students in the class, including approximately equal numbers of male and females. While it was unclear whether a seating-plan was in place, students were arranged in tables of two, multiple subject displays were evident, and a ‘hands up policy’ was apparent. </w:t>
      </w:r>
    </w:p>
    <w:p w14:paraId="607201E2" w14:textId="4CE9D4E0" w:rsidR="00CF7995"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lastRenderedPageBreak/>
        <w:t>The lesson was observed in a ‘naturalistic’ environment (Arthur et al, 2012, p. 165; Cohen, Manion &amp; Morrison, 2011, p. 464) where I assumed a ‘non-participant’ role (Kumar, 2011, p. 173). I adopted this role pragmatically: the teacher directed us to sit at the back of the class, and, since this was my first observation in ‘School Z’, I was keen to observe intently and develop accurate notes. Whilst observing, I strived to act professionally and objectively in accordance with Estyn’s guidelines (Estyn, 2014, p.24). Similarly, in accordance with (Arthur et al, 2012, p. 166) I sought to utilise my ‘five senses’ and pay attention to the multiple classroom contexts for instance physical, human and interactional (Morrison, 1993, p. 80). </w:t>
      </w:r>
    </w:p>
    <w:p w14:paraId="6B7E364E" w14:textId="77777777" w:rsidR="00E612B6" w:rsidRPr="006C4010" w:rsidRDefault="00E612B6" w:rsidP="006C4010">
      <w:pPr>
        <w:pStyle w:val="NormalWeb"/>
        <w:spacing w:before="0" w:beforeAutospacing="0" w:after="0" w:afterAutospacing="0" w:line="360" w:lineRule="auto"/>
        <w:rPr>
          <w:rFonts w:ascii="Arial" w:hAnsi="Arial" w:cs="Arial"/>
          <w:sz w:val="22"/>
          <w:szCs w:val="22"/>
        </w:rPr>
      </w:pPr>
    </w:p>
    <w:p w14:paraId="0A5E9776" w14:textId="7857C12E" w:rsidR="001C27F3"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Contrary to quantitative approaches and use of a sociogram (Leung and </w:t>
      </w:r>
      <w:proofErr w:type="spellStart"/>
      <w:r w:rsidRPr="006C4010">
        <w:rPr>
          <w:rFonts w:ascii="Arial" w:hAnsi="Arial" w:cs="Arial"/>
          <w:sz w:val="22"/>
          <w:szCs w:val="22"/>
        </w:rPr>
        <w:t>Silberling</w:t>
      </w:r>
      <w:proofErr w:type="spellEnd"/>
      <w:r w:rsidRPr="006C4010">
        <w:rPr>
          <w:rFonts w:ascii="Arial" w:hAnsi="Arial" w:cs="Arial"/>
          <w:sz w:val="22"/>
          <w:szCs w:val="22"/>
        </w:rPr>
        <w:t xml:space="preserve"> 2012), I approached the observation in a semi-structured manner using (Wood, 2016, p. 125) ‘checklist’ for effective observation. This channelled my recording of the lesson into six key categories: classroom culture, objectives, direction, access and challenge, assessment and </w:t>
      </w:r>
      <w:r w:rsidR="001C27F3" w:rsidRPr="006C4010">
        <w:rPr>
          <w:rFonts w:ascii="Arial" w:hAnsi="Arial" w:cs="Arial"/>
          <w:sz w:val="22"/>
          <w:szCs w:val="22"/>
        </w:rPr>
        <w:t>"</w:t>
      </w:r>
      <w:r w:rsidRPr="006C4010">
        <w:rPr>
          <w:rFonts w:ascii="Arial" w:hAnsi="Arial" w:cs="Arial"/>
          <w:sz w:val="22"/>
          <w:szCs w:val="22"/>
        </w:rPr>
        <w:t>telling moments</w:t>
      </w:r>
      <w:r w:rsidR="001C27F3" w:rsidRPr="006C4010">
        <w:rPr>
          <w:rFonts w:ascii="Arial" w:hAnsi="Arial" w:cs="Arial"/>
          <w:sz w:val="22"/>
          <w:szCs w:val="22"/>
        </w:rPr>
        <w:t>"</w:t>
      </w:r>
      <w:r w:rsidRPr="006C4010">
        <w:rPr>
          <w:rFonts w:ascii="Arial" w:hAnsi="Arial" w:cs="Arial"/>
          <w:sz w:val="22"/>
          <w:szCs w:val="22"/>
        </w:rPr>
        <w:t xml:space="preserve"> (Ibid, p. 125). I decided upon a semi-structured approach, as, I considered it more beneficial to create a hypothesis rather than test a preconceived one (Cohen, 2002, 2011). </w:t>
      </w:r>
    </w:p>
    <w:p w14:paraId="12393DAF"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p>
    <w:p w14:paraId="390029D5" w14:textId="4B4D916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As demonstrated by appendices </w:t>
      </w:r>
      <w:r w:rsidR="003B234D">
        <w:rPr>
          <w:rFonts w:ascii="Arial" w:hAnsi="Arial" w:cs="Arial"/>
          <w:sz w:val="22"/>
          <w:szCs w:val="22"/>
        </w:rPr>
        <w:t>1-4</w:t>
      </w:r>
      <w:r w:rsidRPr="006C4010">
        <w:rPr>
          <w:rFonts w:ascii="Arial" w:hAnsi="Arial" w:cs="Arial"/>
          <w:sz w:val="22"/>
          <w:szCs w:val="22"/>
        </w:rPr>
        <w:t>, I expanded on these sections, compiling multiple narrative notes (Kumar, 2011, 175). Whilst Wood’s ‘checklist’ influenced my observational focus, overall, I approached the observational opportunity with a broad focus on the effectiveness of student and teacher interaction. Indeed, </w:t>
      </w:r>
      <w:r w:rsidRPr="006C4010">
        <w:rPr>
          <w:rStyle w:val="Emphasis"/>
          <w:rFonts w:ascii="Arial" w:hAnsi="Arial" w:cs="Arial"/>
          <w:sz w:val="22"/>
          <w:szCs w:val="22"/>
        </w:rPr>
        <w:t>Estyn</w:t>
      </w:r>
      <w:r w:rsidRPr="006C4010">
        <w:rPr>
          <w:rFonts w:ascii="Arial" w:hAnsi="Arial" w:cs="Arial"/>
          <w:sz w:val="22"/>
          <w:szCs w:val="22"/>
        </w:rPr>
        <w:t> (2014, p. 17) recommend that lessons should be observed based on the development of student learning and analysed according to Gagne’s nine instructional phases (Krull et al, 2010, p. 203). As discussed below, two of these phases concern ‘eliciting performance’ and ‘providing learning guidance’ (Ibid, p. 203).</w:t>
      </w:r>
    </w:p>
    <w:p w14:paraId="5651A04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147DA938" w14:textId="1C726243"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Whilst observations are often used in conjunction with other data, and interpretation bias is inherent in observing (Arthur et al, 2012), examining incidents that are ‘unexpected’ in the classroom, enables teachers to probe the meanings of these events and, if negative, alter their practice (Joshi, p.1 and p. 83). According to A</w:t>
      </w:r>
      <w:r w:rsidR="00666D1E">
        <w:rPr>
          <w:rFonts w:ascii="Arial" w:hAnsi="Arial" w:cs="Arial"/>
          <w:sz w:val="22"/>
          <w:szCs w:val="22"/>
        </w:rPr>
        <w:t>n</w:t>
      </w:r>
      <w:r w:rsidRPr="006C4010">
        <w:rPr>
          <w:rFonts w:ascii="Arial" w:hAnsi="Arial" w:cs="Arial"/>
          <w:sz w:val="22"/>
          <w:szCs w:val="22"/>
        </w:rPr>
        <w:t>derson and Herr (199</w:t>
      </w:r>
      <w:r w:rsidR="00666D1E">
        <w:rPr>
          <w:rFonts w:ascii="Arial" w:hAnsi="Arial" w:cs="Arial"/>
          <w:sz w:val="22"/>
          <w:szCs w:val="22"/>
        </w:rPr>
        <w:t>9</w:t>
      </w:r>
      <w:r w:rsidRPr="006C4010">
        <w:rPr>
          <w:rFonts w:ascii="Arial" w:hAnsi="Arial" w:cs="Arial"/>
          <w:sz w:val="22"/>
          <w:szCs w:val="22"/>
        </w:rPr>
        <w:t xml:space="preserve">), Brookfield (1995) and Cook (1994) the most effective teachers will share these findings with colleagues to benefit other students, develop deeper insights and enhance professional awareness. Consultation with colleagues, is one of Brookfield’s four lenses of critical reflection, alongside ‘student’s eyes… theory and personal experience’ (1995, p. vi). Similarly, in their exploration of two qualitative research papers, </w:t>
      </w:r>
      <w:proofErr w:type="spellStart"/>
      <w:r w:rsidRPr="006C4010">
        <w:rPr>
          <w:rFonts w:ascii="Arial" w:hAnsi="Arial" w:cs="Arial"/>
          <w:sz w:val="22"/>
          <w:szCs w:val="22"/>
        </w:rPr>
        <w:t>Halquist</w:t>
      </w:r>
      <w:proofErr w:type="spellEnd"/>
      <w:r w:rsidRPr="006C4010">
        <w:rPr>
          <w:rFonts w:ascii="Arial" w:hAnsi="Arial" w:cs="Arial"/>
          <w:sz w:val="22"/>
          <w:szCs w:val="22"/>
        </w:rPr>
        <w:t xml:space="preserve"> and </w:t>
      </w:r>
      <w:proofErr w:type="spellStart"/>
      <w:r w:rsidRPr="006C4010">
        <w:rPr>
          <w:rFonts w:ascii="Arial" w:hAnsi="Arial" w:cs="Arial"/>
          <w:sz w:val="22"/>
          <w:szCs w:val="22"/>
        </w:rPr>
        <w:t>Musanti</w:t>
      </w:r>
      <w:proofErr w:type="spellEnd"/>
      <w:r w:rsidRPr="006C4010">
        <w:rPr>
          <w:rFonts w:ascii="Arial" w:hAnsi="Arial" w:cs="Arial"/>
          <w:sz w:val="22"/>
          <w:szCs w:val="22"/>
        </w:rPr>
        <w:t xml:space="preserve"> (2010) assert that multi-layered collaboration provides ‘‘turning points’ in ways of thinking about and reflecting’ for both researchers and practitioners (p. 449). </w:t>
      </w:r>
    </w:p>
    <w:p w14:paraId="33D18763"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lastRenderedPageBreak/>
        <w:t> </w:t>
      </w:r>
    </w:p>
    <w:p w14:paraId="0843A3BB" w14:textId="3B6465EE"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In ‘school Z’ the incident that has been rendered critical, occurred between a male student (‘Student S’) and an experienced female History teacher, who, is Head of History. The topic being studied was the Renaissance period. Although I am unclear how many lessons on this topic preceded the observation, from the level of knowledge and understanding displayed (when answering an array of questions at pace), it was evident that the class had a firm grasp of the topic and had begun to deepen their knowledge and comprehension. Although the </w:t>
      </w:r>
      <w:r w:rsidRPr="006C4010">
        <w:rPr>
          <w:rStyle w:val="Emphasis"/>
          <w:rFonts w:ascii="Arial" w:hAnsi="Arial" w:cs="Arial"/>
          <w:sz w:val="22"/>
          <w:szCs w:val="22"/>
        </w:rPr>
        <w:t>‘Transformational Curriculum’</w:t>
      </w:r>
      <w:r w:rsidRPr="006C4010">
        <w:rPr>
          <w:rFonts w:ascii="Arial" w:hAnsi="Arial" w:cs="Arial"/>
          <w:sz w:val="22"/>
          <w:szCs w:val="22"/>
        </w:rPr>
        <w:t> in Wales awaits introduction, progression in History is outlined in Donaldson’s </w:t>
      </w:r>
      <w:r w:rsidRPr="006C4010">
        <w:rPr>
          <w:rStyle w:val="Emphasis"/>
          <w:rFonts w:ascii="Arial" w:hAnsi="Arial" w:cs="Arial"/>
          <w:sz w:val="22"/>
          <w:szCs w:val="22"/>
        </w:rPr>
        <w:t>Successful Futures</w:t>
      </w:r>
      <w:r w:rsidRPr="006C4010">
        <w:rPr>
          <w:rFonts w:ascii="Arial" w:hAnsi="Arial" w:cs="Arial"/>
          <w:sz w:val="22"/>
          <w:szCs w:val="22"/>
        </w:rPr>
        <w:t> under the Humanities </w:t>
      </w:r>
      <w:r w:rsidRPr="006C4010">
        <w:rPr>
          <w:rStyle w:val="Emphasis"/>
          <w:rFonts w:ascii="Arial" w:hAnsi="Arial" w:cs="Arial"/>
          <w:sz w:val="22"/>
          <w:szCs w:val="22"/>
        </w:rPr>
        <w:t>Area of Learning and Experience</w:t>
      </w:r>
      <w:r w:rsidRPr="006C4010">
        <w:rPr>
          <w:rFonts w:ascii="Arial" w:hAnsi="Arial" w:cs="Arial"/>
          <w:sz w:val="22"/>
          <w:szCs w:val="22"/>
        </w:rPr>
        <w:t> (</w:t>
      </w:r>
      <w:proofErr w:type="spellStart"/>
      <w:r w:rsidRPr="006C4010">
        <w:rPr>
          <w:rFonts w:ascii="Arial" w:hAnsi="Arial" w:cs="Arial"/>
          <w:sz w:val="22"/>
          <w:szCs w:val="22"/>
        </w:rPr>
        <w:t>AoLe</w:t>
      </w:r>
      <w:proofErr w:type="spellEnd"/>
      <w:r w:rsidRPr="006C4010">
        <w:rPr>
          <w:rFonts w:ascii="Arial" w:hAnsi="Arial" w:cs="Arial"/>
          <w:sz w:val="22"/>
          <w:szCs w:val="22"/>
        </w:rPr>
        <w:t xml:space="preserve">) (Donaldson, 2015, p. 46-47). Progression across each </w:t>
      </w:r>
      <w:proofErr w:type="spellStart"/>
      <w:r w:rsidRPr="006C4010">
        <w:rPr>
          <w:rFonts w:ascii="Arial" w:hAnsi="Arial" w:cs="Arial"/>
          <w:sz w:val="22"/>
          <w:szCs w:val="22"/>
        </w:rPr>
        <w:t>AoLE</w:t>
      </w:r>
      <w:proofErr w:type="spellEnd"/>
      <w:r w:rsidRPr="006C4010">
        <w:rPr>
          <w:rFonts w:ascii="Arial" w:hAnsi="Arial" w:cs="Arial"/>
          <w:sz w:val="22"/>
          <w:szCs w:val="22"/>
        </w:rPr>
        <w:t xml:space="preserve"> will be supported by a series of ‘What Matters Statements’</w:t>
      </w:r>
      <w:r w:rsidR="00E612B6">
        <w:rPr>
          <w:rFonts w:ascii="Arial" w:hAnsi="Arial" w:cs="Arial"/>
          <w:sz w:val="22"/>
          <w:szCs w:val="22"/>
        </w:rPr>
        <w:t xml:space="preserve">; </w:t>
      </w:r>
      <w:r w:rsidRPr="006C4010">
        <w:rPr>
          <w:rFonts w:ascii="Arial" w:hAnsi="Arial" w:cs="Arial"/>
          <w:sz w:val="22"/>
          <w:szCs w:val="22"/>
        </w:rPr>
        <w:t>in the humanities, ‘progression… is underpinned by the idea that subject content does not get intrinsically more complex’, but, that children are able to respond with greater depth, nuance and understanding (Welsh Government, 2019a, p. 57). </w:t>
      </w:r>
    </w:p>
    <w:p w14:paraId="25ECEA58"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0CE6E84C"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Following a stimulating review of previous material that was assessed by a range of oral questioning (that activated prior knowledge and re-enforced the key concepts regarding the significance of the Renaissance) (</w:t>
      </w:r>
      <w:proofErr w:type="spellStart"/>
      <w:r w:rsidRPr="006C4010">
        <w:rPr>
          <w:rFonts w:ascii="Arial" w:hAnsi="Arial" w:cs="Arial"/>
          <w:sz w:val="22"/>
          <w:szCs w:val="22"/>
        </w:rPr>
        <w:t>Cazden</w:t>
      </w:r>
      <w:proofErr w:type="spellEnd"/>
      <w:r w:rsidRPr="006C4010">
        <w:rPr>
          <w:rFonts w:ascii="Arial" w:hAnsi="Arial" w:cs="Arial"/>
          <w:sz w:val="22"/>
          <w:szCs w:val="22"/>
        </w:rPr>
        <w:t xml:space="preserve">, 1992, p. 123; Alexander, 2012, p.3), the teacher set her first independent writing task. This sequence of assessment for learning supports </w:t>
      </w:r>
      <w:proofErr w:type="spellStart"/>
      <w:r w:rsidRPr="006C4010">
        <w:rPr>
          <w:rFonts w:ascii="Arial" w:hAnsi="Arial" w:cs="Arial"/>
          <w:sz w:val="22"/>
          <w:szCs w:val="22"/>
        </w:rPr>
        <w:t>Rosenshine’s</w:t>
      </w:r>
      <w:proofErr w:type="spellEnd"/>
      <w:r w:rsidRPr="006C4010">
        <w:rPr>
          <w:rFonts w:ascii="Arial" w:hAnsi="Arial" w:cs="Arial"/>
          <w:sz w:val="22"/>
          <w:szCs w:val="22"/>
        </w:rPr>
        <w:t xml:space="preserve"> recommendation that independent tasks should be set after teacher guidance and questioning (2012, p. 13). The task was explained verbally, and a sheet with a table was distributed to each student. The scaffold was divided into five sections, with each section containing one of the five key ‘R’ words. The class were asked to explain in writing how each R term, related to the Renaissance period. </w:t>
      </w:r>
    </w:p>
    <w:p w14:paraId="116A532D"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224676CB" w14:textId="040A73B2"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The students confidently engaged in this activity, and, began to reflect and quietly discuss in pairs the terms on the page. During this period, the teacher monitored the class and engaged with multiple students. After approximately ten minutes, the teacher initiated a group discussion of the task, asking certain students to share their thoughts and posing open questions for children to voluntarily respond. Crucially, in response to the teacher’s open question: ‘how can the Renaissance period be explained as resonant?’, ‘Student S’, sitting at the back of the class, remarked that the Renaissance period marked the ‘official change of religion’. Until this point, no explicit link had been made between the Renaissance and the Reformation period, nor, between ‘old’ and ‘new’ religious ideals. </w:t>
      </w:r>
    </w:p>
    <w:p w14:paraId="04480611"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5A1D761E"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From an observational perspective, this insight was influenced by previous discussions where ideas and knowledge were exchanged. As will shortly be discussed, these types of </w:t>
      </w:r>
      <w:r w:rsidRPr="006C4010">
        <w:rPr>
          <w:rFonts w:ascii="Arial" w:hAnsi="Arial" w:cs="Arial"/>
          <w:sz w:val="22"/>
          <w:szCs w:val="22"/>
        </w:rPr>
        <w:lastRenderedPageBreak/>
        <w:t>interactions relate to social-constructivist learning theories such as ‘dialogic’ teaching (Alexander 2008, 2012, 2017). Given the emphasis on communication and verbal reasoning, this incident illuminates the implementation of literacy development as a cross-curricular responsibility, and two of the four key purposes of the forthcoming Welsh curriculum: to create ‘ambitious and capable learners’ that are ‘ethical’ and ‘informed’ (Donaldson, 2015, p. 31-40; Welsh Government, 2019b, p.6)</w:t>
      </w:r>
    </w:p>
    <w:p w14:paraId="374942BA"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1091ADA5" w14:textId="5C693ACB"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Following praise of ‘Student S’s’ contribution (Skinner, 1938) the teacher re-enforced the relationship between these periods by drawing the following arrow diagram on the board: </w:t>
      </w:r>
    </w:p>
    <w:p w14:paraId="26D815BC" w14:textId="77777777" w:rsidR="00CF7995" w:rsidRPr="006C4010" w:rsidRDefault="00CF7995" w:rsidP="006C4010">
      <w:pPr>
        <w:pStyle w:val="Default"/>
        <w:spacing w:line="360" w:lineRule="auto"/>
        <w:rPr>
          <w:rFonts w:ascii="Arial" w:hAnsi="Arial" w:cs="Arial"/>
          <w:color w:val="auto"/>
          <w:sz w:val="22"/>
          <w:szCs w:val="22"/>
        </w:rPr>
      </w:pPr>
    </w:p>
    <w:p w14:paraId="36F17E68" w14:textId="77777777" w:rsidR="006B5D81" w:rsidRPr="006C4010" w:rsidRDefault="006B5D81" w:rsidP="006C4010">
      <w:pPr>
        <w:autoSpaceDE w:val="0"/>
        <w:autoSpaceDN w:val="0"/>
        <w:adjustRightInd w:val="0"/>
        <w:spacing w:after="0" w:line="360" w:lineRule="auto"/>
        <w:rPr>
          <w:rFonts w:ascii="Arial" w:hAnsi="Arial" w:cs="Arial"/>
        </w:rPr>
      </w:pPr>
    </w:p>
    <w:p w14:paraId="6CE98101" w14:textId="6DD25414" w:rsidR="00032BF3" w:rsidRPr="006C4010" w:rsidRDefault="006B5D81" w:rsidP="006C4010">
      <w:pPr>
        <w:tabs>
          <w:tab w:val="center" w:pos="4513"/>
        </w:tabs>
        <w:autoSpaceDE w:val="0"/>
        <w:autoSpaceDN w:val="0"/>
        <w:adjustRightInd w:val="0"/>
        <w:spacing w:after="0" w:line="360" w:lineRule="auto"/>
        <w:jc w:val="center"/>
        <w:rPr>
          <w:rFonts w:ascii="Arial" w:hAnsi="Arial" w:cs="Arial"/>
        </w:rPr>
      </w:pPr>
      <w:r w:rsidRPr="006C4010">
        <w:rPr>
          <w:rFonts w:ascii="Arial" w:hAnsi="Arial" w:cs="Arial"/>
          <w:noProof/>
        </w:rPr>
        <mc:AlternateContent>
          <mc:Choice Requires="wps">
            <w:drawing>
              <wp:anchor distT="0" distB="0" distL="114300" distR="114300" simplePos="0" relativeHeight="251659264" behindDoc="0" locked="0" layoutInCell="1" allowOverlap="1" wp14:anchorId="3C5A7462" wp14:editId="7CE6E347">
                <wp:simplePos x="0" y="0"/>
                <wp:positionH relativeFrom="column">
                  <wp:posOffset>2009140</wp:posOffset>
                </wp:positionH>
                <wp:positionV relativeFrom="paragraph">
                  <wp:posOffset>97790</wp:posOffset>
                </wp:positionV>
                <wp:extent cx="1571625" cy="9525"/>
                <wp:effectExtent l="0" t="76200" r="28575" b="85725"/>
                <wp:wrapNone/>
                <wp:docPr id="1" name="Straight Arrow Connector 1"/>
                <wp:cNvGraphicFramePr/>
                <a:graphic xmlns:a="http://schemas.openxmlformats.org/drawingml/2006/main">
                  <a:graphicData uri="http://schemas.microsoft.com/office/word/2010/wordprocessingShape">
                    <wps:wsp>
                      <wps:cNvCnPr/>
                      <wps:spPr>
                        <a:xfrm flipV="1">
                          <a:off x="0" y="0"/>
                          <a:ext cx="15716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D33D07E" id="_x0000_t32" coordsize="21600,21600" o:spt="32" o:oned="t" path="m,l21600,21600e" filled="f">
                <v:path arrowok="t" fillok="f" o:connecttype="none"/>
                <o:lock v:ext="edit" shapetype="t"/>
              </v:shapetype>
              <v:shape id="Straight Arrow Connector 1" o:spid="_x0000_s1026" type="#_x0000_t32" style="position:absolute;margin-left:158.2pt;margin-top:7.7pt;width:123.75pt;height:.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" strokecolor="#4472c4 [3204]" strokeweight=".5pt">
                <v:stroke endarrow="block" joinstyle="miter"/>
              </v:shape>
            </w:pict>
          </mc:Fallback>
        </mc:AlternateContent>
      </w:r>
      <w:r w:rsidRPr="006C4010">
        <w:rPr>
          <w:rFonts w:ascii="Arial" w:hAnsi="Arial" w:cs="Arial"/>
        </w:rPr>
        <w:t xml:space="preserve">Renaissance </w:t>
      </w:r>
      <w:r w:rsidRPr="006C4010">
        <w:rPr>
          <w:rFonts w:ascii="Arial" w:hAnsi="Arial" w:cs="Arial"/>
        </w:rPr>
        <w:tab/>
        <w:t xml:space="preserve">    Reformation</w:t>
      </w:r>
    </w:p>
    <w:p w14:paraId="051E71AC" w14:textId="3F9E8082" w:rsidR="00032BF3" w:rsidRPr="006C4010" w:rsidRDefault="00253BC9" w:rsidP="006C4010">
      <w:pPr>
        <w:tabs>
          <w:tab w:val="left" w:pos="2760"/>
        </w:tabs>
        <w:autoSpaceDE w:val="0"/>
        <w:autoSpaceDN w:val="0"/>
        <w:adjustRightInd w:val="0"/>
        <w:spacing w:after="0" w:line="360" w:lineRule="auto"/>
        <w:jc w:val="center"/>
        <w:rPr>
          <w:rFonts w:ascii="Arial" w:hAnsi="Arial" w:cs="Arial"/>
        </w:rPr>
      </w:pPr>
      <w:r w:rsidRPr="006C4010">
        <w:rPr>
          <w:rFonts w:ascii="Arial" w:hAnsi="Arial" w:cs="Arial"/>
        </w:rPr>
        <w:t xml:space="preserve">Ideas of </w:t>
      </w:r>
      <w:r w:rsidR="006B5D81" w:rsidRPr="006C4010">
        <w:rPr>
          <w:rFonts w:ascii="Arial" w:hAnsi="Arial" w:cs="Arial"/>
        </w:rPr>
        <w:t>Martin Luther King</w:t>
      </w:r>
      <w:r w:rsidR="001703B5" w:rsidRPr="006C4010">
        <w:rPr>
          <w:rFonts w:ascii="Arial" w:hAnsi="Arial" w:cs="Arial"/>
        </w:rPr>
        <w:t xml:space="preserve"> </w:t>
      </w:r>
    </w:p>
    <w:p w14:paraId="3EB4D451" w14:textId="3A420024" w:rsidR="00CF7995" w:rsidRPr="006C4010" w:rsidRDefault="00CF7995" w:rsidP="006C4010">
      <w:pPr>
        <w:tabs>
          <w:tab w:val="left" w:pos="2760"/>
        </w:tabs>
        <w:autoSpaceDE w:val="0"/>
        <w:autoSpaceDN w:val="0"/>
        <w:adjustRightInd w:val="0"/>
        <w:spacing w:after="0" w:line="360" w:lineRule="auto"/>
        <w:jc w:val="center"/>
        <w:rPr>
          <w:rFonts w:ascii="Arial" w:hAnsi="Arial" w:cs="Arial"/>
        </w:rPr>
      </w:pPr>
    </w:p>
    <w:p w14:paraId="32AAB3C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Once students had copied this illustration into their books, the teacher developed ‘Student S’s’ remark by displaying a video that demonstrated the religious transitions and tensions of the period. Essentially, the teacher capitalised on ‘Student S’s’ comment to introduce new knowledge and stretch the classes current level of understanding (</w:t>
      </w:r>
      <w:proofErr w:type="spellStart"/>
      <w:r w:rsidRPr="006C4010">
        <w:rPr>
          <w:rFonts w:ascii="Arial" w:hAnsi="Arial" w:cs="Arial"/>
          <w:sz w:val="22"/>
          <w:szCs w:val="22"/>
        </w:rPr>
        <w:t>Lemov</w:t>
      </w:r>
      <w:proofErr w:type="spellEnd"/>
      <w:r w:rsidRPr="006C4010">
        <w:rPr>
          <w:rFonts w:ascii="Arial" w:hAnsi="Arial" w:cs="Arial"/>
          <w:sz w:val="22"/>
          <w:szCs w:val="22"/>
        </w:rPr>
        <w:t>, 2010, p.42; Alexander, 2017, p.3). This incident demonstrated that genuine learning regarding past societies and worldviews (Welsh Government, 2019a) had occurred through not only social constructive channels such as dialogue and discussion but also, careful teacher direction through scaffolding, questioning and a strong rapport with students (</w:t>
      </w:r>
      <w:proofErr w:type="spellStart"/>
      <w:r w:rsidRPr="006C4010">
        <w:rPr>
          <w:rFonts w:ascii="Arial" w:hAnsi="Arial" w:cs="Arial"/>
          <w:sz w:val="22"/>
          <w:szCs w:val="22"/>
        </w:rPr>
        <w:t>MacBlain</w:t>
      </w:r>
      <w:proofErr w:type="spellEnd"/>
      <w:r w:rsidRPr="006C4010">
        <w:rPr>
          <w:rFonts w:ascii="Arial" w:hAnsi="Arial" w:cs="Arial"/>
          <w:sz w:val="22"/>
          <w:szCs w:val="22"/>
        </w:rPr>
        <w:t>, 2014, p. 11; Bloom, 1956). </w:t>
      </w:r>
    </w:p>
    <w:p w14:paraId="59BE8F36" w14:textId="08F7C551" w:rsidR="00CF7995"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24596F65" w14:textId="16134DA9" w:rsidR="003664B0" w:rsidRPr="006C4010" w:rsidRDefault="003664B0"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w:t>
      </w:r>
    </w:p>
    <w:p w14:paraId="7E88E8E0" w14:textId="552EA128"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Although this paper cannot explore each aforementioned aspect of instruction, this unique blend of pedagogy taps into the idea that teaching is not merely a profession, but an art that combines ‘the skills of a theorist, an artist, a technician and a performer to deliver a </w:t>
      </w:r>
      <w:r w:rsidR="003664B0" w:rsidRPr="006C4010">
        <w:rPr>
          <w:rFonts w:ascii="Arial" w:hAnsi="Arial" w:cs="Arial"/>
          <w:sz w:val="22"/>
          <w:szCs w:val="22"/>
        </w:rPr>
        <w:t>"</w:t>
      </w:r>
      <w:r w:rsidRPr="006C4010">
        <w:rPr>
          <w:rFonts w:ascii="Arial" w:hAnsi="Arial" w:cs="Arial"/>
          <w:sz w:val="22"/>
          <w:szCs w:val="22"/>
        </w:rPr>
        <w:t>complex service’ (</w:t>
      </w:r>
      <w:proofErr w:type="spellStart"/>
      <w:r w:rsidRPr="006C4010">
        <w:rPr>
          <w:rFonts w:ascii="Arial" w:hAnsi="Arial" w:cs="Arial"/>
          <w:sz w:val="22"/>
          <w:szCs w:val="22"/>
        </w:rPr>
        <w:t>Denby</w:t>
      </w:r>
      <w:proofErr w:type="spellEnd"/>
      <w:r w:rsidRPr="006C4010">
        <w:rPr>
          <w:rFonts w:ascii="Arial" w:hAnsi="Arial" w:cs="Arial"/>
          <w:sz w:val="22"/>
          <w:szCs w:val="22"/>
        </w:rPr>
        <w:t xml:space="preserve">, 2015, p. 36). Given the current educational transformation in Wales, that teachers deliver a </w:t>
      </w:r>
      <w:r w:rsidR="003664B0" w:rsidRPr="006C4010">
        <w:rPr>
          <w:rFonts w:ascii="Arial" w:hAnsi="Arial" w:cs="Arial"/>
          <w:sz w:val="22"/>
          <w:szCs w:val="22"/>
        </w:rPr>
        <w:t>"</w:t>
      </w:r>
      <w:r w:rsidRPr="006C4010">
        <w:rPr>
          <w:rFonts w:ascii="Arial" w:hAnsi="Arial" w:cs="Arial"/>
          <w:sz w:val="22"/>
          <w:szCs w:val="22"/>
        </w:rPr>
        <w:t>complex service</w:t>
      </w:r>
      <w:r w:rsidR="003664B0" w:rsidRPr="006C4010">
        <w:rPr>
          <w:rFonts w:ascii="Arial" w:hAnsi="Arial" w:cs="Arial"/>
          <w:sz w:val="22"/>
          <w:szCs w:val="22"/>
        </w:rPr>
        <w:t>"</w:t>
      </w:r>
      <w:r w:rsidRPr="006C4010">
        <w:rPr>
          <w:rFonts w:ascii="Arial" w:hAnsi="Arial" w:cs="Arial"/>
          <w:sz w:val="22"/>
          <w:szCs w:val="22"/>
        </w:rPr>
        <w:t xml:space="preserve"> </w:t>
      </w:r>
      <w:r w:rsidR="00E612B6">
        <w:rPr>
          <w:rFonts w:ascii="Arial" w:hAnsi="Arial" w:cs="Arial"/>
          <w:sz w:val="22"/>
          <w:szCs w:val="22"/>
        </w:rPr>
        <w:t xml:space="preserve">(Ibid) </w:t>
      </w:r>
      <w:r w:rsidRPr="006C4010">
        <w:rPr>
          <w:rFonts w:ascii="Arial" w:hAnsi="Arial" w:cs="Arial"/>
          <w:sz w:val="22"/>
          <w:szCs w:val="22"/>
        </w:rPr>
        <w:t>can be upheld. In addition to the demands of the subject curriculum, teachers will be responsible for not only educating the younger generation but, equipping with them with the skills and attributes needed to achieve their potential, engage with society and cultivate successful and balanced lives (Welsh Government, 2019b). </w:t>
      </w:r>
      <w:r w:rsidRPr="006C4010">
        <w:rPr>
          <w:rStyle w:val="Emphasis"/>
          <w:rFonts w:ascii="Arial" w:hAnsi="Arial" w:cs="Arial"/>
          <w:sz w:val="22"/>
          <w:szCs w:val="22"/>
        </w:rPr>
        <w:t>Successful Futures</w:t>
      </w:r>
      <w:r w:rsidRPr="006C4010">
        <w:rPr>
          <w:rFonts w:ascii="Arial" w:hAnsi="Arial" w:cs="Arial"/>
          <w:sz w:val="22"/>
          <w:szCs w:val="22"/>
        </w:rPr>
        <w:t xml:space="preserve"> then bridges the gap between traditional and progressive approaches to learning: in that, it seeks to harmonise direct teaching and the art of teaching, alongside creating a learner-centred ethos. (Donaldson, 2015; </w:t>
      </w:r>
      <w:proofErr w:type="spellStart"/>
      <w:r w:rsidRPr="006C4010">
        <w:rPr>
          <w:rFonts w:ascii="Arial" w:hAnsi="Arial" w:cs="Arial"/>
          <w:sz w:val="22"/>
          <w:szCs w:val="22"/>
        </w:rPr>
        <w:t>Didau</w:t>
      </w:r>
      <w:proofErr w:type="spellEnd"/>
      <w:r w:rsidRPr="006C4010">
        <w:rPr>
          <w:rFonts w:ascii="Arial" w:hAnsi="Arial" w:cs="Arial"/>
          <w:sz w:val="22"/>
          <w:szCs w:val="22"/>
        </w:rPr>
        <w:t>, 2015, p. 93). </w:t>
      </w:r>
    </w:p>
    <w:p w14:paraId="655AC68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lastRenderedPageBreak/>
        <w:t> </w:t>
      </w:r>
    </w:p>
    <w:p w14:paraId="667FB55C"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While the subject matter of the incident clearly has links to creating ethical and informed citizens, I consider that the way in which this response was advanced relates more closely with learner capability and ambition (Donaldson, 2015, p. 31). Most evident is ‘Student S’s’ ability to ‘connect and apply’ knowledge of the Renaissance to different contexts, in this instance, the Reformation (Donaldson, 2015, p. 29). The term ‘resonant’ was not explicitly defined by the teacher, which suggests that ‘Student S’ was able to infer the meanings of the term based on previous discussions regarding the ‘significance’ of the Renaissance and arguably problem- solving skills since ‘resonance’ was the last term on the sheet. </w:t>
      </w:r>
    </w:p>
    <w:p w14:paraId="4C5D75B8"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3879F1E1"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Given that ‘Student S’ volunteered their response, and was confident to draw a new connection, it is also plausible to argue that ‘Student S’ enjoyed being intellectually challenged and was not only capable of sharing and explaining his thoughts but was willing. This latter point is significant as the new curriculum considers receptiveness to learning to be a key indicator of future success and achieving one’s potential in an increasingly changing world (Donaldson, 2015, p.5; Welsh Government, 2015 p. 1). Additionally, the observation that ‘Student S’ was willing, fulfils </w:t>
      </w:r>
      <w:proofErr w:type="gramStart"/>
      <w:r w:rsidRPr="006C4010">
        <w:rPr>
          <w:rFonts w:ascii="Arial" w:hAnsi="Arial" w:cs="Arial"/>
          <w:sz w:val="22"/>
          <w:szCs w:val="22"/>
        </w:rPr>
        <w:t>Alexander‘</w:t>
      </w:r>
      <w:proofErr w:type="gramEnd"/>
      <w:r w:rsidRPr="006C4010">
        <w:rPr>
          <w:rFonts w:ascii="Arial" w:hAnsi="Arial" w:cs="Arial"/>
          <w:sz w:val="22"/>
          <w:szCs w:val="22"/>
        </w:rPr>
        <w:t xml:space="preserve">s (2008) criteria that dialogic teaching is ‘supportive’ as well as ‘collective’ and ‘reciprocal’. From a different paradigm, Leung and </w:t>
      </w:r>
      <w:proofErr w:type="spellStart"/>
      <w:r w:rsidRPr="006C4010">
        <w:rPr>
          <w:rFonts w:ascii="Arial" w:hAnsi="Arial" w:cs="Arial"/>
          <w:sz w:val="22"/>
          <w:szCs w:val="22"/>
        </w:rPr>
        <w:t>Silbering</w:t>
      </w:r>
      <w:proofErr w:type="spellEnd"/>
      <w:r w:rsidRPr="006C4010">
        <w:rPr>
          <w:rFonts w:ascii="Arial" w:hAnsi="Arial" w:cs="Arial"/>
          <w:sz w:val="22"/>
          <w:szCs w:val="22"/>
        </w:rPr>
        <w:t xml:space="preserve"> (2006) argue that positive emotional environments have profound effects on ‘children’s motivation to learn and subsequent achievement’ (p. 57). </w:t>
      </w:r>
    </w:p>
    <w:p w14:paraId="39411D01"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12028828"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Contrary to behaviourism that emphasises the impact of the environment on learning, and humanism which focalises the individual in learning; constructivism argues that interaction is integral to learning and that learning is a dynamic process (</w:t>
      </w:r>
      <w:proofErr w:type="spellStart"/>
      <w:r w:rsidRPr="006C4010">
        <w:rPr>
          <w:rFonts w:ascii="Arial" w:hAnsi="Arial" w:cs="Arial"/>
          <w:sz w:val="22"/>
          <w:szCs w:val="22"/>
        </w:rPr>
        <w:t>Macblain</w:t>
      </w:r>
      <w:proofErr w:type="spellEnd"/>
      <w:r w:rsidRPr="006C4010">
        <w:rPr>
          <w:rFonts w:ascii="Arial" w:hAnsi="Arial" w:cs="Arial"/>
          <w:sz w:val="22"/>
          <w:szCs w:val="22"/>
        </w:rPr>
        <w:t>, 2014, p.11; Welsh Government, 2010, p.6; Bruner, 1987, p.5 ). Although differences exist between constructionist theories, fundamentally, constructivism is based on the cognitive psychology premise that learning is the result of ‘mental constructions’ (Olusegun, 2015, p. 66). Crucially, in accordance with epistemological thought (that questions how we interact with our external environments), these ‘mental constructions’ or rather ‘schemas’ are unique to individuals and represent our processing of knowledge such as new ideas, objects and vocabulary (Olusegun, 2015, p. 66; Piaget, 1972). </w:t>
      </w:r>
    </w:p>
    <w:p w14:paraId="062E236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0D313526" w14:textId="7FA7A845" w:rsidR="00E612B6"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Regarding the critical incident, perhaps, the characteristic most indicative of constructivist thought is that knowledge was not only collaboratively constructed through discussion and elicited by the teacher’s questioning style; but that knowledge was deepened as a result of verbal interaction between teacher and students, and amongst student themselves. (Olusegun, 2015; Mercer, 2002 p.1). These observations illuminate the social-constructivist </w:t>
      </w:r>
      <w:r w:rsidRPr="006C4010">
        <w:rPr>
          <w:rFonts w:ascii="Arial" w:hAnsi="Arial" w:cs="Arial"/>
          <w:sz w:val="22"/>
          <w:szCs w:val="22"/>
        </w:rPr>
        <w:lastRenderedPageBreak/>
        <w:t>position and two key dimensions of this scholarship: namely the role of language in learning and the optimal conditions in which learning occurs (Mercer,</w:t>
      </w:r>
      <w:r w:rsidR="00784BBC">
        <w:rPr>
          <w:rFonts w:ascii="Arial" w:hAnsi="Arial" w:cs="Arial"/>
          <w:sz w:val="22"/>
          <w:szCs w:val="22"/>
        </w:rPr>
        <w:t xml:space="preserve"> </w:t>
      </w:r>
      <w:r w:rsidRPr="006C4010">
        <w:rPr>
          <w:rFonts w:ascii="Arial" w:hAnsi="Arial" w:cs="Arial"/>
          <w:sz w:val="22"/>
          <w:szCs w:val="22"/>
        </w:rPr>
        <w:t xml:space="preserve">p. 1; </w:t>
      </w:r>
      <w:proofErr w:type="spellStart"/>
      <w:r w:rsidRPr="006C4010">
        <w:rPr>
          <w:rFonts w:ascii="Arial" w:hAnsi="Arial" w:cs="Arial"/>
          <w:sz w:val="22"/>
          <w:szCs w:val="22"/>
        </w:rPr>
        <w:t>Vgotsky</w:t>
      </w:r>
      <w:proofErr w:type="spellEnd"/>
      <w:r w:rsidRPr="006C4010">
        <w:rPr>
          <w:rFonts w:ascii="Arial" w:hAnsi="Arial" w:cs="Arial"/>
          <w:sz w:val="22"/>
          <w:szCs w:val="22"/>
        </w:rPr>
        <w:t xml:space="preserve">, 1978). </w:t>
      </w:r>
    </w:p>
    <w:p w14:paraId="674B6108" w14:textId="77777777" w:rsidR="00E612B6" w:rsidRDefault="00E612B6" w:rsidP="006C4010">
      <w:pPr>
        <w:pStyle w:val="NormalWeb"/>
        <w:spacing w:before="0" w:beforeAutospacing="0" w:after="0" w:afterAutospacing="0" w:line="360" w:lineRule="auto"/>
        <w:rPr>
          <w:rFonts w:ascii="Arial" w:hAnsi="Arial" w:cs="Arial"/>
          <w:sz w:val="22"/>
          <w:szCs w:val="22"/>
        </w:rPr>
      </w:pPr>
    </w:p>
    <w:p w14:paraId="3738CFC8" w14:textId="77777777" w:rsidR="00E612B6" w:rsidRDefault="00CF7995" w:rsidP="006C4010">
      <w:pPr>
        <w:pStyle w:val="NormalWeb"/>
        <w:spacing w:before="0" w:beforeAutospacing="0" w:after="0" w:afterAutospacing="0" w:line="360" w:lineRule="auto"/>
        <w:rPr>
          <w:rFonts w:ascii="Arial" w:hAnsi="Arial" w:cs="Arial"/>
          <w:sz w:val="22"/>
          <w:szCs w:val="22"/>
        </w:rPr>
      </w:pPr>
      <w:proofErr w:type="spellStart"/>
      <w:r w:rsidRPr="006C4010">
        <w:rPr>
          <w:rFonts w:ascii="Arial" w:hAnsi="Arial" w:cs="Arial"/>
          <w:sz w:val="22"/>
          <w:szCs w:val="22"/>
        </w:rPr>
        <w:t>Vgotsky</w:t>
      </w:r>
      <w:proofErr w:type="spellEnd"/>
      <w:r w:rsidRPr="006C4010">
        <w:rPr>
          <w:rFonts w:ascii="Arial" w:hAnsi="Arial" w:cs="Arial"/>
          <w:sz w:val="22"/>
          <w:szCs w:val="22"/>
        </w:rPr>
        <w:t xml:space="preserve"> introduced the idea that language was a sign system that </w:t>
      </w:r>
      <w:r w:rsidRPr="006C4010">
        <w:rPr>
          <w:rStyle w:val="Emphasis"/>
          <w:rFonts w:ascii="Arial" w:hAnsi="Arial" w:cs="Arial"/>
          <w:sz w:val="22"/>
          <w:szCs w:val="22"/>
        </w:rPr>
        <w:t>mediated</w:t>
      </w:r>
      <w:r w:rsidRPr="006C4010">
        <w:rPr>
          <w:rFonts w:ascii="Arial" w:hAnsi="Arial" w:cs="Arial"/>
          <w:sz w:val="22"/>
          <w:szCs w:val="22"/>
        </w:rPr>
        <w:t> the external and internal words of children (</w:t>
      </w:r>
      <w:proofErr w:type="spellStart"/>
      <w:r w:rsidRPr="006C4010">
        <w:rPr>
          <w:rFonts w:ascii="Arial" w:hAnsi="Arial" w:cs="Arial"/>
          <w:sz w:val="22"/>
          <w:szCs w:val="22"/>
        </w:rPr>
        <w:t>Shabani</w:t>
      </w:r>
      <w:proofErr w:type="spellEnd"/>
      <w:r w:rsidRPr="006C4010">
        <w:rPr>
          <w:rFonts w:ascii="Arial" w:hAnsi="Arial" w:cs="Arial"/>
          <w:sz w:val="22"/>
          <w:szCs w:val="22"/>
        </w:rPr>
        <w:t xml:space="preserve">, 2016, p.2). Since language was a social-cultural phenomenon, </w:t>
      </w:r>
      <w:proofErr w:type="spellStart"/>
      <w:r w:rsidRPr="006C4010">
        <w:rPr>
          <w:rFonts w:ascii="Arial" w:hAnsi="Arial" w:cs="Arial"/>
          <w:sz w:val="22"/>
          <w:szCs w:val="22"/>
        </w:rPr>
        <w:t>Vgotsky</w:t>
      </w:r>
      <w:proofErr w:type="spellEnd"/>
      <w:r w:rsidRPr="006C4010">
        <w:rPr>
          <w:rFonts w:ascii="Arial" w:hAnsi="Arial" w:cs="Arial"/>
          <w:sz w:val="22"/>
          <w:szCs w:val="22"/>
        </w:rPr>
        <w:t xml:space="preserve"> theorised that it preceded internal thought and the development of ‘higher mental functions’ such as logical thinking (</w:t>
      </w:r>
      <w:proofErr w:type="spellStart"/>
      <w:r w:rsidRPr="006C4010">
        <w:rPr>
          <w:rFonts w:ascii="Arial" w:hAnsi="Arial" w:cs="Arial"/>
          <w:sz w:val="22"/>
          <w:szCs w:val="22"/>
        </w:rPr>
        <w:t>Verenikina</w:t>
      </w:r>
      <w:proofErr w:type="spellEnd"/>
      <w:r w:rsidRPr="006C4010">
        <w:rPr>
          <w:rFonts w:ascii="Arial" w:hAnsi="Arial" w:cs="Arial"/>
          <w:sz w:val="22"/>
          <w:szCs w:val="22"/>
        </w:rPr>
        <w:t xml:space="preserve">, 2003, pp. 1-3). Nonetheless, for more modern social-culturalists, </w:t>
      </w:r>
      <w:proofErr w:type="spellStart"/>
      <w:r w:rsidRPr="006C4010">
        <w:rPr>
          <w:rFonts w:ascii="Arial" w:hAnsi="Arial" w:cs="Arial"/>
          <w:sz w:val="22"/>
          <w:szCs w:val="22"/>
        </w:rPr>
        <w:t>Vgotsky’s</w:t>
      </w:r>
      <w:proofErr w:type="spellEnd"/>
      <w:r w:rsidRPr="006C4010">
        <w:rPr>
          <w:rFonts w:ascii="Arial" w:hAnsi="Arial" w:cs="Arial"/>
          <w:sz w:val="22"/>
          <w:szCs w:val="22"/>
        </w:rPr>
        <w:t xml:space="preserve"> theory does not adequately explain the significance and nuances of language in learning. For social-semiotician Lemke and cognitive psychologist Bruner- who sought to clarify the relationship between language and social processes- this is certainly the case (Lemke, 1990; Bruner, 1978). </w:t>
      </w:r>
    </w:p>
    <w:p w14:paraId="104521F6" w14:textId="77777777" w:rsidR="00E612B6" w:rsidRDefault="00E612B6" w:rsidP="006C4010">
      <w:pPr>
        <w:pStyle w:val="NormalWeb"/>
        <w:spacing w:before="0" w:beforeAutospacing="0" w:after="0" w:afterAutospacing="0" w:line="360" w:lineRule="auto"/>
        <w:rPr>
          <w:rFonts w:ascii="Arial" w:hAnsi="Arial" w:cs="Arial"/>
          <w:sz w:val="22"/>
          <w:szCs w:val="22"/>
        </w:rPr>
      </w:pPr>
    </w:p>
    <w:p w14:paraId="20102E6B" w14:textId="47349629" w:rsidR="006A0A73"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Starting from a theoretical perspective, Lemke with utmost comprehension explores the complexity of language and it’s multiple dimensions. In consonance with linguistic traditions, one of these dimensions concerns the capacity of language to evoke meaning: ‘semantics’. For Lemke, and Bruner, the semantic dimension of language is fundamental to understanding how language functions as a communication vehicle (Lemke, 1990, pp</w:t>
      </w:r>
      <w:r w:rsidR="00D247C1">
        <w:rPr>
          <w:rFonts w:ascii="Arial" w:hAnsi="Arial" w:cs="Arial"/>
          <w:sz w:val="22"/>
          <w:szCs w:val="22"/>
        </w:rPr>
        <w:t xml:space="preserve">. </w:t>
      </w:r>
      <w:r w:rsidRPr="006C4010">
        <w:rPr>
          <w:rFonts w:ascii="Arial" w:hAnsi="Arial" w:cs="Arial"/>
          <w:sz w:val="22"/>
          <w:szCs w:val="22"/>
        </w:rPr>
        <w:t xml:space="preserve">ix-3; Bruner, 1978, p.1). Lemke explains that without this semantic quality, connections between different ideas would be impossible, as meanings are relational: they derive their unique definition based on other concepts (Ibid, pp. ix-3). Lemke terms this the ‘semantic resources of language’ which paves the way for his examination of language in educational contexts, especially in Science (Ibid, </w:t>
      </w:r>
      <w:r w:rsidR="00D247C1" w:rsidRPr="006C4010">
        <w:rPr>
          <w:rFonts w:ascii="Arial" w:hAnsi="Arial" w:cs="Arial"/>
          <w:sz w:val="22"/>
          <w:szCs w:val="22"/>
        </w:rPr>
        <w:t>pp. ix</w:t>
      </w:r>
      <w:r w:rsidRPr="006C4010">
        <w:rPr>
          <w:rFonts w:ascii="Arial" w:hAnsi="Arial" w:cs="Arial"/>
          <w:sz w:val="22"/>
          <w:szCs w:val="22"/>
        </w:rPr>
        <w:t xml:space="preserve">-3). </w:t>
      </w:r>
    </w:p>
    <w:p w14:paraId="28F733B0" w14:textId="77777777" w:rsidR="006A0A73" w:rsidRDefault="006A0A73" w:rsidP="006C4010">
      <w:pPr>
        <w:pStyle w:val="NormalWeb"/>
        <w:spacing w:before="0" w:beforeAutospacing="0" w:after="0" w:afterAutospacing="0" w:line="360" w:lineRule="auto"/>
        <w:rPr>
          <w:rFonts w:ascii="Arial" w:hAnsi="Arial" w:cs="Arial"/>
          <w:sz w:val="22"/>
          <w:szCs w:val="22"/>
        </w:rPr>
      </w:pPr>
    </w:p>
    <w:p w14:paraId="7A6E4329" w14:textId="2E86A92D"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Although Bruner agrees with the link between semantics and communication, Bruner is intrigued by the intermediary stage of interpretation that indicates a ‘working understanding of reciprocal relations’ (1978, p. 1). For Bruner, that ‘the child’s use of language’ depends upon the recognition and comprehension of different voices also illustrates the cultural and cognitive dimensions, especially for younger children (Ibid, 1983, pp. 1-15). Conversely, Lemke channels the ‘semantic resources of language’ to uncover how language is used to speak about Science (‘semantics of Science’) and how Science is taught from a distinct Scientific rubric (Lemke, 1990, pp. ix-1). Two different languages are simultaneously at work during a Science class: one relates to the </w:t>
      </w:r>
      <w:r w:rsidRPr="006C4010">
        <w:rPr>
          <w:rStyle w:val="Emphasis"/>
          <w:rFonts w:ascii="Arial" w:hAnsi="Arial" w:cs="Arial"/>
          <w:sz w:val="22"/>
          <w:szCs w:val="22"/>
        </w:rPr>
        <w:t>ways</w:t>
      </w:r>
      <w:r w:rsidRPr="006C4010">
        <w:rPr>
          <w:rFonts w:ascii="Arial" w:hAnsi="Arial" w:cs="Arial"/>
          <w:sz w:val="22"/>
          <w:szCs w:val="22"/>
        </w:rPr>
        <w:t> in which classroom ideas are exchanged, whereas, the other refers to the </w:t>
      </w:r>
      <w:r w:rsidRPr="006C4010">
        <w:rPr>
          <w:rStyle w:val="Emphasis"/>
          <w:rFonts w:ascii="Arial" w:hAnsi="Arial" w:cs="Arial"/>
          <w:sz w:val="22"/>
          <w:szCs w:val="22"/>
        </w:rPr>
        <w:t>Scientific use</w:t>
      </w:r>
      <w:r w:rsidRPr="006C4010">
        <w:rPr>
          <w:rFonts w:ascii="Arial" w:hAnsi="Arial" w:cs="Arial"/>
          <w:sz w:val="22"/>
          <w:szCs w:val="22"/>
        </w:rPr>
        <w:t> of language to instil Scientific reasoning, terminology and methods (Ibid, pp. 129-174).  </w:t>
      </w:r>
    </w:p>
    <w:p w14:paraId="73137E0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4DD75977"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A refined social-cultural perspective has thus emerged: language is not merely an indicator of one’s cognitive development and level of thinking, but, is a collective tool </w:t>
      </w:r>
      <w:r w:rsidRPr="006C4010">
        <w:rPr>
          <w:rStyle w:val="Emphasis"/>
          <w:rFonts w:ascii="Arial" w:hAnsi="Arial" w:cs="Arial"/>
          <w:sz w:val="22"/>
          <w:szCs w:val="22"/>
        </w:rPr>
        <w:t>of </w:t>
      </w:r>
      <w:r w:rsidRPr="006C4010">
        <w:rPr>
          <w:rFonts w:ascii="Arial" w:hAnsi="Arial" w:cs="Arial"/>
          <w:sz w:val="22"/>
          <w:szCs w:val="22"/>
        </w:rPr>
        <w:t xml:space="preserve">thinking </w:t>
      </w:r>
      <w:r w:rsidRPr="006C4010">
        <w:rPr>
          <w:rFonts w:ascii="Arial" w:hAnsi="Arial" w:cs="Arial"/>
          <w:sz w:val="22"/>
          <w:szCs w:val="22"/>
        </w:rPr>
        <w:lastRenderedPageBreak/>
        <w:t>(Lemke, 1990; Mercer, 2002, p. 4). Yet, for Mercer, these interactions do not merely occur in educational environments, but, socially and between family members (Ibid, p.3). According to Mercer, research has inadequately researched the ‘activity of adults as self-conscious teachers or instructors’ (Ibid, pp.3-4).</w:t>
      </w:r>
      <w:r w:rsidRPr="006C4010">
        <w:rPr>
          <w:rStyle w:val="Strong"/>
          <w:rFonts w:ascii="Arial" w:hAnsi="Arial" w:cs="Arial"/>
          <w:sz w:val="22"/>
          <w:szCs w:val="22"/>
        </w:rPr>
        <w:t> </w:t>
      </w:r>
      <w:r w:rsidRPr="006C4010">
        <w:rPr>
          <w:rFonts w:ascii="Arial" w:hAnsi="Arial" w:cs="Arial"/>
          <w:sz w:val="22"/>
          <w:szCs w:val="22"/>
        </w:rPr>
        <w:t> This point is substantiated by his recalled conversation with his two-year-old daughter, regarding bats. Through questioning his daughter, Mercer realised that his daughter did not understand that the bats were sleeping ‘inside’ of their roof and that they were nocturnal (Ibid, p.4).  </w:t>
      </w:r>
    </w:p>
    <w:p w14:paraId="5990129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07269F20" w14:textId="74AB8D3C"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While this dialogue brings to focus Piaget’s behaviourist principles of assimilation and adaptation (1972,1980), as Anna- after a period of confusion and resistance- is required to form a new level of understanding about bats; Mercer is interested in how language resolves these states of confusion and how children use language – regardless of environment- to acquire new information and solidify their understanding (Mercer, 2002, p.4). In this example, Anna asks her father twice whether the bats ‘go there to bye-byes now?’, to confirm that the bats sleep inside the roof and to process the newly acquired fact that bats are nocturnal (Ibid, pp.3-4). Perhaps, in a similar vein, ‘Student S’ volunteered his connection between the Renaissance and Reformation to receive teacher clarification and input. </w:t>
      </w:r>
    </w:p>
    <w:p w14:paraId="6FB347C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4BD6274A" w14:textId="345BFA9A"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Notably, in accordance with Bruner and Lemke, Mercer contends that learning is a ‘dialogic process’ where teachers and students and parents and children depend on language not only to solidify shared experiences but to build mutual frames of understanding (Ibid, p.4</w:t>
      </w:r>
      <w:r w:rsidR="00784BBC">
        <w:rPr>
          <w:rFonts w:ascii="Arial" w:hAnsi="Arial" w:cs="Arial"/>
          <w:sz w:val="22"/>
          <w:szCs w:val="22"/>
        </w:rPr>
        <w:t xml:space="preserve">; </w:t>
      </w:r>
      <w:r w:rsidR="00784BBC">
        <w:rPr>
          <w:rFonts w:ascii="Arial" w:hAnsi="Arial" w:cs="Arial"/>
          <w:sz w:val="22"/>
          <w:szCs w:val="22"/>
        </w:rPr>
        <w:t>Mercer and Howe, 2012</w:t>
      </w:r>
      <w:r w:rsidRPr="006C4010">
        <w:rPr>
          <w:rFonts w:ascii="Arial" w:hAnsi="Arial" w:cs="Arial"/>
          <w:sz w:val="22"/>
          <w:szCs w:val="22"/>
        </w:rPr>
        <w:t xml:space="preserve">). In line with </w:t>
      </w:r>
      <w:proofErr w:type="spellStart"/>
      <w:r w:rsidRPr="006C4010">
        <w:rPr>
          <w:rFonts w:ascii="Arial" w:hAnsi="Arial" w:cs="Arial"/>
          <w:sz w:val="22"/>
          <w:szCs w:val="22"/>
        </w:rPr>
        <w:t>Vgotsky’s</w:t>
      </w:r>
      <w:proofErr w:type="spellEnd"/>
      <w:r w:rsidRPr="006C4010">
        <w:rPr>
          <w:rFonts w:ascii="Arial" w:hAnsi="Arial" w:cs="Arial"/>
          <w:sz w:val="22"/>
          <w:szCs w:val="22"/>
        </w:rPr>
        <w:t xml:space="preserve"> ‘zone of proximal development’ where the presence of a more knowledgeable other can enhance learning; Mercer terms the space in which these ‘frame of reference (s)’ occur as the ‘intermetal development zone’ (IDZ) (Ibid, p.5). Yet, contrary to </w:t>
      </w:r>
      <w:proofErr w:type="spellStart"/>
      <w:r w:rsidRPr="006C4010">
        <w:rPr>
          <w:rFonts w:ascii="Arial" w:hAnsi="Arial" w:cs="Arial"/>
          <w:sz w:val="22"/>
          <w:szCs w:val="22"/>
        </w:rPr>
        <w:t>Vgotsky</w:t>
      </w:r>
      <w:proofErr w:type="spellEnd"/>
      <w:r w:rsidRPr="006C4010">
        <w:rPr>
          <w:rFonts w:ascii="Arial" w:hAnsi="Arial" w:cs="Arial"/>
          <w:sz w:val="22"/>
          <w:szCs w:val="22"/>
        </w:rPr>
        <w:t xml:space="preserve"> who emphasises the </w:t>
      </w:r>
      <w:r w:rsidRPr="006C4010">
        <w:rPr>
          <w:rStyle w:val="Emphasis"/>
          <w:rFonts w:ascii="Arial" w:hAnsi="Arial" w:cs="Arial"/>
          <w:sz w:val="22"/>
          <w:szCs w:val="22"/>
        </w:rPr>
        <w:t>presence</w:t>
      </w:r>
      <w:r w:rsidRPr="006C4010">
        <w:rPr>
          <w:rFonts w:ascii="Arial" w:hAnsi="Arial" w:cs="Arial"/>
          <w:sz w:val="22"/>
          <w:szCs w:val="22"/>
        </w:rPr>
        <w:t> of a more knowledgeable other to secure learning development; Mercer stresses the important role of the </w:t>
      </w:r>
      <w:r w:rsidRPr="006C4010">
        <w:rPr>
          <w:rStyle w:val="Emphasis"/>
          <w:rFonts w:ascii="Arial" w:hAnsi="Arial" w:cs="Arial"/>
          <w:sz w:val="22"/>
          <w:szCs w:val="22"/>
        </w:rPr>
        <w:t>teacher</w:t>
      </w:r>
      <w:r w:rsidRPr="006C4010">
        <w:rPr>
          <w:rFonts w:ascii="Arial" w:hAnsi="Arial" w:cs="Arial"/>
          <w:sz w:val="22"/>
          <w:szCs w:val="22"/>
        </w:rPr>
        <w:t> in creating and maintaining this optimal space of learning (Ibid, p.6). </w:t>
      </w:r>
    </w:p>
    <w:p w14:paraId="71AE152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3E6D6543" w14:textId="669F1979" w:rsidR="00CF7995" w:rsidRPr="006C4010" w:rsidRDefault="00E612B6" w:rsidP="006C4010">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As explored by </w:t>
      </w:r>
      <w:r w:rsidR="00CF7995" w:rsidRPr="006C4010">
        <w:rPr>
          <w:rFonts w:ascii="Arial" w:hAnsi="Arial" w:cs="Arial"/>
          <w:sz w:val="22"/>
          <w:szCs w:val="22"/>
        </w:rPr>
        <w:t>Welsh Government</w:t>
      </w:r>
      <w:r>
        <w:rPr>
          <w:rFonts w:ascii="Arial" w:hAnsi="Arial" w:cs="Arial"/>
          <w:sz w:val="22"/>
          <w:szCs w:val="22"/>
        </w:rPr>
        <w:t xml:space="preserve"> (</w:t>
      </w:r>
      <w:r w:rsidR="00CF7995" w:rsidRPr="006C4010">
        <w:rPr>
          <w:rFonts w:ascii="Arial" w:hAnsi="Arial" w:cs="Arial"/>
          <w:sz w:val="22"/>
          <w:szCs w:val="22"/>
        </w:rPr>
        <w:t>2010, pp.16-17</w:t>
      </w:r>
      <w:r>
        <w:rPr>
          <w:rFonts w:ascii="Arial" w:hAnsi="Arial" w:cs="Arial"/>
          <w:sz w:val="22"/>
          <w:szCs w:val="22"/>
        </w:rPr>
        <w:t xml:space="preserve">), </w:t>
      </w:r>
      <w:r w:rsidR="00CF7995" w:rsidRPr="006C4010">
        <w:rPr>
          <w:rFonts w:ascii="Arial" w:hAnsi="Arial" w:cs="Arial"/>
          <w:sz w:val="22"/>
          <w:szCs w:val="22"/>
        </w:rPr>
        <w:t>Alexander</w:t>
      </w:r>
      <w:r>
        <w:rPr>
          <w:rFonts w:ascii="Arial" w:hAnsi="Arial" w:cs="Arial"/>
          <w:sz w:val="22"/>
          <w:szCs w:val="22"/>
        </w:rPr>
        <w:t xml:space="preserve"> (</w:t>
      </w:r>
      <w:r w:rsidR="00CF7995" w:rsidRPr="006C4010">
        <w:rPr>
          <w:rFonts w:ascii="Arial" w:hAnsi="Arial" w:cs="Arial"/>
          <w:sz w:val="22"/>
          <w:szCs w:val="22"/>
        </w:rPr>
        <w:t>2008, 2017</w:t>
      </w:r>
      <w:r>
        <w:rPr>
          <w:rFonts w:ascii="Arial" w:hAnsi="Arial" w:cs="Arial"/>
          <w:sz w:val="22"/>
          <w:szCs w:val="22"/>
        </w:rPr>
        <w:t xml:space="preserve">), </w:t>
      </w:r>
      <w:proofErr w:type="spellStart"/>
      <w:r w:rsidR="00CF7995" w:rsidRPr="006C4010">
        <w:rPr>
          <w:rFonts w:ascii="Arial" w:hAnsi="Arial" w:cs="Arial"/>
          <w:sz w:val="22"/>
          <w:szCs w:val="22"/>
        </w:rPr>
        <w:t>Lemov</w:t>
      </w:r>
      <w:proofErr w:type="spellEnd"/>
      <w:r>
        <w:rPr>
          <w:rFonts w:ascii="Arial" w:hAnsi="Arial" w:cs="Arial"/>
          <w:sz w:val="22"/>
          <w:szCs w:val="22"/>
        </w:rPr>
        <w:t xml:space="preserve"> (</w:t>
      </w:r>
      <w:r w:rsidR="00CF7995" w:rsidRPr="006C4010">
        <w:rPr>
          <w:rFonts w:ascii="Arial" w:hAnsi="Arial" w:cs="Arial"/>
          <w:sz w:val="22"/>
          <w:szCs w:val="22"/>
        </w:rPr>
        <w:t>2010, pp. 27-53</w:t>
      </w:r>
      <w:r>
        <w:rPr>
          <w:rFonts w:ascii="Arial" w:hAnsi="Arial" w:cs="Arial"/>
          <w:sz w:val="22"/>
          <w:szCs w:val="22"/>
        </w:rPr>
        <w:t xml:space="preserve">), </w:t>
      </w:r>
      <w:proofErr w:type="spellStart"/>
      <w:r w:rsidR="00CF7995" w:rsidRPr="006C4010">
        <w:rPr>
          <w:rFonts w:ascii="Arial" w:hAnsi="Arial" w:cs="Arial"/>
          <w:sz w:val="22"/>
          <w:szCs w:val="22"/>
        </w:rPr>
        <w:t>Rosenshine</w:t>
      </w:r>
      <w:proofErr w:type="spellEnd"/>
      <w:r>
        <w:rPr>
          <w:rFonts w:ascii="Arial" w:hAnsi="Arial" w:cs="Arial"/>
          <w:sz w:val="22"/>
          <w:szCs w:val="22"/>
        </w:rPr>
        <w:t xml:space="preserve"> (</w:t>
      </w:r>
      <w:r w:rsidR="00CF7995" w:rsidRPr="006C4010">
        <w:rPr>
          <w:rFonts w:ascii="Arial" w:hAnsi="Arial" w:cs="Arial"/>
          <w:sz w:val="22"/>
          <w:szCs w:val="22"/>
        </w:rPr>
        <w:t>2012, pp. 15-17</w:t>
      </w:r>
      <w:r>
        <w:rPr>
          <w:rFonts w:ascii="Arial" w:hAnsi="Arial" w:cs="Arial"/>
          <w:sz w:val="22"/>
          <w:szCs w:val="22"/>
        </w:rPr>
        <w:t xml:space="preserve">) and </w:t>
      </w:r>
      <w:r w:rsidR="00CF7995" w:rsidRPr="006C4010">
        <w:rPr>
          <w:rFonts w:ascii="Arial" w:hAnsi="Arial" w:cs="Arial"/>
          <w:sz w:val="22"/>
          <w:szCs w:val="22"/>
        </w:rPr>
        <w:t>Bloom</w:t>
      </w:r>
      <w:r>
        <w:rPr>
          <w:rFonts w:ascii="Arial" w:hAnsi="Arial" w:cs="Arial"/>
          <w:sz w:val="22"/>
          <w:szCs w:val="22"/>
        </w:rPr>
        <w:t xml:space="preserve"> (</w:t>
      </w:r>
      <w:r w:rsidR="00CF7995" w:rsidRPr="006C4010">
        <w:rPr>
          <w:rFonts w:ascii="Arial" w:hAnsi="Arial" w:cs="Arial"/>
          <w:sz w:val="22"/>
          <w:szCs w:val="22"/>
        </w:rPr>
        <w:t>1956)</w:t>
      </w:r>
      <w:r>
        <w:rPr>
          <w:rFonts w:ascii="Arial" w:hAnsi="Arial" w:cs="Arial"/>
          <w:sz w:val="22"/>
          <w:szCs w:val="22"/>
        </w:rPr>
        <w:t xml:space="preserve"> t</w:t>
      </w:r>
      <w:r w:rsidRPr="006C4010">
        <w:rPr>
          <w:rFonts w:ascii="Arial" w:hAnsi="Arial" w:cs="Arial"/>
          <w:sz w:val="22"/>
          <w:szCs w:val="22"/>
        </w:rPr>
        <w:t>his can be achieved through effective questioning</w:t>
      </w:r>
      <w:r>
        <w:rPr>
          <w:rFonts w:ascii="Arial" w:hAnsi="Arial" w:cs="Arial"/>
          <w:sz w:val="22"/>
          <w:szCs w:val="22"/>
        </w:rPr>
        <w:t>.</w:t>
      </w:r>
      <w:r w:rsidR="00CF7995" w:rsidRPr="006C4010">
        <w:rPr>
          <w:rFonts w:ascii="Arial" w:hAnsi="Arial" w:cs="Arial"/>
          <w:sz w:val="22"/>
          <w:szCs w:val="22"/>
        </w:rPr>
        <w:t xml:space="preserve"> In the critical incident, the ‘application’ question posed by the History teacher- when asking how the Reformation can be explained as ‘resonant’- gave students the opportunity to formulate their own interpretation and connect knowledge in individual ways (Bloom, 1956). Contrary to review questions and more basic dialogic patterns such as ‘Triadic Dialogue’, this type of questioning appears concordant with Lemke and Alexander’s definition of </w:t>
      </w:r>
      <w:r w:rsidR="000F3326" w:rsidRPr="006C4010">
        <w:rPr>
          <w:rFonts w:ascii="Arial" w:hAnsi="Arial" w:cs="Arial"/>
          <w:sz w:val="22"/>
          <w:szCs w:val="22"/>
        </w:rPr>
        <w:t>"</w:t>
      </w:r>
      <w:r w:rsidR="00CF7995" w:rsidRPr="006C4010">
        <w:rPr>
          <w:rFonts w:ascii="Arial" w:hAnsi="Arial" w:cs="Arial"/>
          <w:sz w:val="22"/>
          <w:szCs w:val="22"/>
        </w:rPr>
        <w:t>true</w:t>
      </w:r>
      <w:r w:rsidR="000F3326" w:rsidRPr="006C4010">
        <w:rPr>
          <w:rFonts w:ascii="Arial" w:hAnsi="Arial" w:cs="Arial"/>
          <w:sz w:val="22"/>
          <w:szCs w:val="22"/>
        </w:rPr>
        <w:t>"</w:t>
      </w:r>
      <w:r w:rsidR="000F3326">
        <w:rPr>
          <w:rFonts w:ascii="Arial" w:hAnsi="Arial" w:cs="Arial"/>
          <w:sz w:val="22"/>
          <w:szCs w:val="22"/>
        </w:rPr>
        <w:t xml:space="preserve"> </w:t>
      </w:r>
      <w:r w:rsidR="00CF7995" w:rsidRPr="006C4010">
        <w:rPr>
          <w:rFonts w:ascii="Arial" w:hAnsi="Arial" w:cs="Arial"/>
          <w:sz w:val="22"/>
          <w:szCs w:val="22"/>
        </w:rPr>
        <w:t xml:space="preserve">and </w:t>
      </w:r>
      <w:r w:rsidR="000F3326" w:rsidRPr="006C4010">
        <w:rPr>
          <w:rFonts w:ascii="Arial" w:hAnsi="Arial" w:cs="Arial"/>
          <w:sz w:val="22"/>
          <w:szCs w:val="22"/>
        </w:rPr>
        <w:t>"</w:t>
      </w:r>
      <w:r w:rsidR="00CF7995" w:rsidRPr="006C4010">
        <w:rPr>
          <w:rFonts w:ascii="Arial" w:hAnsi="Arial" w:cs="Arial"/>
          <w:sz w:val="22"/>
          <w:szCs w:val="22"/>
        </w:rPr>
        <w:t>genuine</w:t>
      </w:r>
      <w:r w:rsidR="000F3326" w:rsidRPr="006C4010">
        <w:rPr>
          <w:rFonts w:ascii="Arial" w:hAnsi="Arial" w:cs="Arial"/>
          <w:sz w:val="22"/>
          <w:szCs w:val="22"/>
        </w:rPr>
        <w:t>"</w:t>
      </w:r>
      <w:r w:rsidR="00CF7995" w:rsidRPr="006C4010">
        <w:rPr>
          <w:rFonts w:ascii="Arial" w:hAnsi="Arial" w:cs="Arial"/>
          <w:sz w:val="22"/>
          <w:szCs w:val="22"/>
        </w:rPr>
        <w:t xml:space="preserve"> classroom </w:t>
      </w:r>
      <w:r w:rsidR="000F3326" w:rsidRPr="006C4010">
        <w:rPr>
          <w:rFonts w:ascii="Arial" w:hAnsi="Arial" w:cs="Arial"/>
          <w:sz w:val="22"/>
          <w:szCs w:val="22"/>
        </w:rPr>
        <w:t>"</w:t>
      </w:r>
      <w:r w:rsidR="00CF7995" w:rsidRPr="006C4010">
        <w:rPr>
          <w:rFonts w:ascii="Arial" w:hAnsi="Arial" w:cs="Arial"/>
          <w:sz w:val="22"/>
          <w:szCs w:val="22"/>
        </w:rPr>
        <w:t>talk</w:t>
      </w:r>
      <w:r w:rsidR="000F3326" w:rsidRPr="006C4010">
        <w:rPr>
          <w:rFonts w:ascii="Arial" w:hAnsi="Arial" w:cs="Arial"/>
          <w:sz w:val="22"/>
          <w:szCs w:val="22"/>
        </w:rPr>
        <w:t>"</w:t>
      </w:r>
      <w:r w:rsidR="00CF7995" w:rsidRPr="006C4010">
        <w:rPr>
          <w:rFonts w:ascii="Arial" w:hAnsi="Arial" w:cs="Arial"/>
          <w:sz w:val="22"/>
          <w:szCs w:val="22"/>
        </w:rPr>
        <w:t xml:space="preserve"> (Lemke, 1990, p.55; Alexander, 2017, p.3). </w:t>
      </w:r>
      <w:r w:rsidR="00CF7995" w:rsidRPr="006C4010">
        <w:rPr>
          <w:rFonts w:ascii="Arial" w:hAnsi="Arial" w:cs="Arial"/>
          <w:sz w:val="22"/>
          <w:szCs w:val="22"/>
        </w:rPr>
        <w:lastRenderedPageBreak/>
        <w:t xml:space="preserve">For Lemke, </w:t>
      </w:r>
      <w:r w:rsidR="0067495F" w:rsidRPr="006C4010">
        <w:rPr>
          <w:rFonts w:ascii="Arial" w:hAnsi="Arial" w:cs="Arial"/>
          <w:sz w:val="22"/>
          <w:szCs w:val="22"/>
        </w:rPr>
        <w:t>"</w:t>
      </w:r>
      <w:r w:rsidR="00CF7995" w:rsidRPr="006C4010">
        <w:rPr>
          <w:rFonts w:ascii="Arial" w:hAnsi="Arial" w:cs="Arial"/>
          <w:sz w:val="22"/>
          <w:szCs w:val="22"/>
        </w:rPr>
        <w:t>true dialogue</w:t>
      </w:r>
      <w:r w:rsidR="0067495F" w:rsidRPr="006C4010">
        <w:rPr>
          <w:rFonts w:ascii="Arial" w:hAnsi="Arial" w:cs="Arial"/>
          <w:sz w:val="22"/>
          <w:szCs w:val="22"/>
        </w:rPr>
        <w:t>"</w:t>
      </w:r>
      <w:r w:rsidR="00CF7995" w:rsidRPr="006C4010">
        <w:rPr>
          <w:rFonts w:ascii="Arial" w:hAnsi="Arial" w:cs="Arial"/>
          <w:sz w:val="22"/>
          <w:szCs w:val="22"/>
        </w:rPr>
        <w:t xml:space="preserve"> occurs when teachers posit </w:t>
      </w:r>
      <w:r w:rsidR="0067495F">
        <w:rPr>
          <w:rFonts w:ascii="Arial" w:hAnsi="Arial" w:cs="Arial"/>
          <w:sz w:val="22"/>
          <w:szCs w:val="22"/>
        </w:rPr>
        <w:t>‘</w:t>
      </w:r>
      <w:r w:rsidR="00CF7995" w:rsidRPr="006C4010">
        <w:rPr>
          <w:rFonts w:ascii="Arial" w:hAnsi="Arial" w:cs="Arial"/>
          <w:sz w:val="22"/>
          <w:szCs w:val="22"/>
        </w:rPr>
        <w:t>questions to which they do not presume to already know the "correct answer"’ (Ibid, p.55). Whilst Alexander agrees that autonomous thinking is a pre-requisite for meaningful classroom conversation, he also applies Bakhtin’s thought, arguing that effective questions lead to answers that stimulate further questions (Alexander, 2017, p.3). Since the teacher needed to explain ‘Student S’s’ answer to the class before introducing new material, this criterion can also be fulfilled. </w:t>
      </w:r>
    </w:p>
    <w:p w14:paraId="05D27FE7"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77817C1C" w14:textId="3141C768"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 Whilst ‘dialogic teaching’ has </w:t>
      </w:r>
      <w:r w:rsidR="00842688">
        <w:rPr>
          <w:rFonts w:ascii="Arial" w:hAnsi="Arial" w:cs="Arial"/>
          <w:sz w:val="22"/>
          <w:szCs w:val="22"/>
        </w:rPr>
        <w:t>its roots in</w:t>
      </w:r>
      <w:r w:rsidRPr="006C4010">
        <w:rPr>
          <w:rFonts w:ascii="Arial" w:hAnsi="Arial" w:cs="Arial"/>
          <w:sz w:val="22"/>
          <w:szCs w:val="22"/>
        </w:rPr>
        <w:t xml:space="preserve"> Socratic dialogue, it’s purpose also taps into modern debates over the role of the teacher, especially in securing student success in particular subject areas alongside literacy, oracy and meta-cognition skills (Alexander 2008, 2012, 2017; Welsh Government, 2010, pp.16-20). Regarding subject success, Lemke portends that teachers have a responsibility to educate learners that the subject themes and idealised format of their discipline (subject ‘language’) is actually a ‘code’ which needs to be interspersed with every-day (non-academic) frameworks ( Lemke, 1990, pp. 156-162; </w:t>
      </w:r>
      <w:proofErr w:type="spellStart"/>
      <w:r w:rsidRPr="006C4010">
        <w:rPr>
          <w:rFonts w:ascii="Arial" w:hAnsi="Arial" w:cs="Arial"/>
          <w:sz w:val="22"/>
          <w:szCs w:val="22"/>
        </w:rPr>
        <w:t>Cazden</w:t>
      </w:r>
      <w:proofErr w:type="spellEnd"/>
      <w:r w:rsidRPr="006C4010">
        <w:rPr>
          <w:rFonts w:ascii="Arial" w:hAnsi="Arial" w:cs="Arial"/>
          <w:sz w:val="22"/>
          <w:szCs w:val="22"/>
        </w:rPr>
        <w:t>, 1992, p. 127). In accordance with </w:t>
      </w:r>
      <w:r w:rsidRPr="006C4010">
        <w:rPr>
          <w:rStyle w:val="Emphasis"/>
          <w:rFonts w:ascii="Arial" w:hAnsi="Arial" w:cs="Arial"/>
          <w:sz w:val="22"/>
          <w:szCs w:val="22"/>
        </w:rPr>
        <w:t>Successful Futures</w:t>
      </w:r>
      <w:r w:rsidRPr="006C4010">
        <w:rPr>
          <w:rFonts w:ascii="Arial" w:hAnsi="Arial" w:cs="Arial"/>
          <w:sz w:val="22"/>
          <w:szCs w:val="22"/>
        </w:rPr>
        <w:t>, Lemke argues that by doing this, teachers will not only prevent student alienation, but improve their position to interrogate their own assumptions, and the laden ideologies behind disciplines themselves (p. 160-166). </w:t>
      </w:r>
    </w:p>
    <w:p w14:paraId="3D832B0B" w14:textId="43AA570F" w:rsidR="00CF7995"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16F6090E" w14:textId="5A99C5BD" w:rsidR="00CF7995" w:rsidRDefault="00842688" w:rsidP="006C4010">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According to </w:t>
      </w:r>
      <w:r w:rsidRPr="006C4010">
        <w:rPr>
          <w:rFonts w:ascii="Arial" w:hAnsi="Arial" w:cs="Arial"/>
          <w:sz w:val="22"/>
          <w:szCs w:val="22"/>
        </w:rPr>
        <w:t>Shapira-</w:t>
      </w:r>
      <w:proofErr w:type="spellStart"/>
      <w:r w:rsidRPr="006C4010">
        <w:rPr>
          <w:rFonts w:ascii="Arial" w:hAnsi="Arial" w:cs="Arial"/>
          <w:sz w:val="22"/>
          <w:szCs w:val="22"/>
        </w:rPr>
        <w:t>Lishchinsky</w:t>
      </w:r>
      <w:proofErr w:type="spellEnd"/>
      <w:r>
        <w:rPr>
          <w:rFonts w:ascii="Arial" w:hAnsi="Arial" w:cs="Arial"/>
          <w:sz w:val="22"/>
          <w:szCs w:val="22"/>
        </w:rPr>
        <w:t>, d</w:t>
      </w:r>
      <w:r w:rsidR="00CF7995" w:rsidRPr="006C4010">
        <w:rPr>
          <w:rFonts w:ascii="Arial" w:hAnsi="Arial" w:cs="Arial"/>
          <w:sz w:val="22"/>
          <w:szCs w:val="22"/>
        </w:rPr>
        <w:t xml:space="preserve">iscussing and reflecting on critical incidents better equips teachers for dealing with future critical incidents (2011, p. 650). Thus, it can be argued that at the macro-level, critical incidents strengthen the legitimacy of the teaching profession, as teachers are encouraged to continually reflect on their classroom experiences, and engage others in their interpretation and comprehension of </w:t>
      </w:r>
      <w:r w:rsidR="001718ED" w:rsidRPr="006C4010">
        <w:rPr>
          <w:rFonts w:ascii="Arial" w:hAnsi="Arial" w:cs="Arial"/>
          <w:sz w:val="22"/>
          <w:szCs w:val="22"/>
        </w:rPr>
        <w:t>"</w:t>
      </w:r>
      <w:r w:rsidR="00CF7995" w:rsidRPr="006C4010">
        <w:rPr>
          <w:rFonts w:ascii="Arial" w:hAnsi="Arial" w:cs="Arial"/>
          <w:sz w:val="22"/>
          <w:szCs w:val="22"/>
        </w:rPr>
        <w:t>telling moments</w:t>
      </w:r>
      <w:r w:rsidR="001718ED" w:rsidRPr="006C4010">
        <w:rPr>
          <w:rFonts w:ascii="Arial" w:hAnsi="Arial" w:cs="Arial"/>
          <w:sz w:val="22"/>
          <w:szCs w:val="22"/>
        </w:rPr>
        <w:t>"</w:t>
      </w:r>
      <w:r w:rsidR="001718ED" w:rsidRPr="006C4010">
        <w:rPr>
          <w:rFonts w:ascii="Arial" w:hAnsi="Arial" w:cs="Arial"/>
          <w:sz w:val="22"/>
          <w:szCs w:val="22"/>
        </w:rPr>
        <w:t xml:space="preserve"> </w:t>
      </w:r>
      <w:r w:rsidR="00CF7995" w:rsidRPr="006C4010">
        <w:rPr>
          <w:rFonts w:ascii="Arial" w:hAnsi="Arial" w:cs="Arial"/>
          <w:sz w:val="22"/>
          <w:szCs w:val="22"/>
        </w:rPr>
        <w:t>(Wood, 2016, p. 125; Brookfield, 1995, p. vi; Richards and Farrell, 2010). Shortly after observing the History class in focus, I discussed my interpretations with my observational partner (who is also a student-teacher) and exchanged narrative recordings of the lesson. As discussed by Kumar (2011, p. 175), this was also undertaken to prevent interpretation bias and ensure recording accuracy. During the lesson, three critical incidents were identified, each illustrating the role of language and questioning in teaching and learning. The incident discussed was the second incident that crystallised the benefits of ‘dialogic teaching’. As noted by Tripp (1993), Joshi (2018, p. 84) and Richards and Farrell (2010), action research is a crucial way in which teachers can challenge their assumptions (whether paradigmatic, prescriptive or casual) and improve their practice (Brookfield, 1995, p. 5). For this reason, social-constructivism, language and questioning were researched. </w:t>
      </w:r>
    </w:p>
    <w:p w14:paraId="33F34EB1" w14:textId="77777777" w:rsidR="006A0A73" w:rsidRPr="006C4010" w:rsidRDefault="006A0A73" w:rsidP="006C4010">
      <w:pPr>
        <w:pStyle w:val="NormalWeb"/>
        <w:spacing w:before="0" w:beforeAutospacing="0" w:after="0" w:afterAutospacing="0" w:line="360" w:lineRule="auto"/>
        <w:rPr>
          <w:rFonts w:ascii="Arial" w:hAnsi="Arial" w:cs="Arial"/>
          <w:sz w:val="22"/>
          <w:szCs w:val="22"/>
        </w:rPr>
      </w:pPr>
    </w:p>
    <w:p w14:paraId="067C9D64" w14:textId="0E012602" w:rsidR="00CF7995"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lastRenderedPageBreak/>
        <w:t xml:space="preserve"> Whilst collaboration might pose challenges and lead to uncomfortable feelings, </w:t>
      </w:r>
      <w:r w:rsidR="00842688">
        <w:rPr>
          <w:rFonts w:ascii="Arial" w:hAnsi="Arial" w:cs="Arial"/>
          <w:sz w:val="22"/>
          <w:szCs w:val="22"/>
        </w:rPr>
        <w:t xml:space="preserve">Cook considers </w:t>
      </w:r>
      <w:r w:rsidRPr="006C4010">
        <w:rPr>
          <w:rFonts w:ascii="Arial" w:hAnsi="Arial" w:cs="Arial"/>
          <w:sz w:val="22"/>
          <w:szCs w:val="22"/>
        </w:rPr>
        <w:t xml:space="preserve">the benefits to be gained far-reaching for both new and experienced professionals (1994, p. 408; Joshi, 2018, p. 84). Following the informal discussion with my observational partner, I presented my thoughts to a cohort of students, including experienced practitioners. This approach was also adopted by </w:t>
      </w:r>
      <w:proofErr w:type="spellStart"/>
      <w:r w:rsidRPr="006C4010">
        <w:rPr>
          <w:rFonts w:ascii="Arial" w:hAnsi="Arial" w:cs="Arial"/>
          <w:sz w:val="22"/>
          <w:szCs w:val="22"/>
        </w:rPr>
        <w:t>Halquist</w:t>
      </w:r>
      <w:proofErr w:type="spellEnd"/>
      <w:r w:rsidRPr="006C4010">
        <w:rPr>
          <w:rFonts w:ascii="Arial" w:hAnsi="Arial" w:cs="Arial"/>
          <w:sz w:val="22"/>
          <w:szCs w:val="22"/>
        </w:rPr>
        <w:t xml:space="preserve"> and </w:t>
      </w:r>
      <w:proofErr w:type="spellStart"/>
      <w:r w:rsidRPr="006C4010">
        <w:rPr>
          <w:rFonts w:ascii="Arial" w:hAnsi="Arial" w:cs="Arial"/>
          <w:sz w:val="22"/>
          <w:szCs w:val="22"/>
        </w:rPr>
        <w:t>Musanti</w:t>
      </w:r>
      <w:proofErr w:type="spellEnd"/>
      <w:r w:rsidRPr="006C4010">
        <w:rPr>
          <w:rFonts w:ascii="Arial" w:hAnsi="Arial" w:cs="Arial"/>
          <w:sz w:val="22"/>
          <w:szCs w:val="22"/>
        </w:rPr>
        <w:t xml:space="preserve"> (2010) when reflecting on contributors comments in the technological development project (p. 449). In my case, the group corroborated my research intentions and understanding of what constitutes a ‘critical incident’. Crucially, after verbalising and processing my observations using the Assisted Reflective Conclusions Model (appendices </w:t>
      </w:r>
      <w:proofErr w:type="spellStart"/>
      <w:r w:rsidRPr="006C4010">
        <w:rPr>
          <w:rFonts w:ascii="Arial" w:hAnsi="Arial" w:cs="Arial"/>
          <w:sz w:val="22"/>
          <w:szCs w:val="22"/>
        </w:rPr>
        <w:t>i</w:t>
      </w:r>
      <w:proofErr w:type="spellEnd"/>
      <w:r w:rsidRPr="006C4010">
        <w:rPr>
          <w:rFonts w:ascii="Arial" w:hAnsi="Arial" w:cs="Arial"/>
          <w:sz w:val="22"/>
          <w:szCs w:val="22"/>
        </w:rPr>
        <w:t>-ix); I recognised that ‘Student S’s’ response was not the result of teacher practice (in her use of questioning and elicitation), but, also ‘Student S’s’ engagement in the learning process. This refined perspective encouraged me to contextualise ‘dialogic teaching’ in not only social constructivism but, broader debates regarding the role of the teacher. </w:t>
      </w:r>
    </w:p>
    <w:p w14:paraId="35B8848F" w14:textId="77777777" w:rsidR="00D247C1" w:rsidRPr="006C4010" w:rsidRDefault="00D247C1" w:rsidP="006C4010">
      <w:pPr>
        <w:pStyle w:val="NormalWeb"/>
        <w:spacing w:before="0" w:beforeAutospacing="0" w:after="0" w:afterAutospacing="0" w:line="360" w:lineRule="auto"/>
        <w:rPr>
          <w:rFonts w:ascii="Arial" w:hAnsi="Arial" w:cs="Arial"/>
          <w:sz w:val="22"/>
          <w:szCs w:val="22"/>
        </w:rPr>
      </w:pPr>
    </w:p>
    <w:p w14:paraId="75AEBAC0" w14:textId="13BDBFA6" w:rsidR="00CF7995"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As indicated by appendix </w:t>
      </w:r>
      <w:r w:rsidR="003B234D">
        <w:rPr>
          <w:rFonts w:ascii="Arial" w:hAnsi="Arial" w:cs="Arial"/>
          <w:sz w:val="22"/>
          <w:szCs w:val="22"/>
        </w:rPr>
        <w:t>1,</w:t>
      </w:r>
      <w:r w:rsidRPr="006C4010">
        <w:rPr>
          <w:rFonts w:ascii="Arial" w:hAnsi="Arial" w:cs="Arial"/>
          <w:sz w:val="22"/>
          <w:szCs w:val="22"/>
        </w:rPr>
        <w:t xml:space="preserve"> my response to the incident was overwhelmingly positive. I was impressed by the teacher’s rapport with the students and her ability to utilise student’s comments to further the learning. Although similarities existed with another incident in the lesson, I decided to focus on ‘Student S’ as this appeared to significantly develop class- learning. Additionally, later in the week, I learnt that ‘Student S’ presented significant behavioural challenges to ‘School Z’. Whilst Leung and </w:t>
      </w:r>
      <w:proofErr w:type="spellStart"/>
      <w:r w:rsidRPr="006C4010">
        <w:rPr>
          <w:rFonts w:ascii="Arial" w:hAnsi="Arial" w:cs="Arial"/>
          <w:sz w:val="22"/>
          <w:szCs w:val="22"/>
        </w:rPr>
        <w:t>Silberling</w:t>
      </w:r>
      <w:proofErr w:type="spellEnd"/>
      <w:r w:rsidRPr="006C4010">
        <w:rPr>
          <w:rFonts w:ascii="Arial" w:hAnsi="Arial" w:cs="Arial"/>
          <w:sz w:val="22"/>
          <w:szCs w:val="22"/>
        </w:rPr>
        <w:t xml:space="preserve"> (2006) have discussed the impacts of popularity on student learning and motivation, their use of sociograms was focused on students that appear marginalised and lonely, whereas ‘Student S’ was observed to be popular with the class. </w:t>
      </w:r>
    </w:p>
    <w:p w14:paraId="71EF555E" w14:textId="77777777" w:rsidR="00D247C1" w:rsidRPr="006C4010" w:rsidRDefault="00D247C1" w:rsidP="006C4010">
      <w:pPr>
        <w:pStyle w:val="NormalWeb"/>
        <w:spacing w:before="0" w:beforeAutospacing="0" w:after="0" w:afterAutospacing="0" w:line="360" w:lineRule="auto"/>
        <w:rPr>
          <w:rFonts w:ascii="Arial" w:hAnsi="Arial" w:cs="Arial"/>
          <w:sz w:val="22"/>
          <w:szCs w:val="22"/>
        </w:rPr>
      </w:pPr>
    </w:p>
    <w:p w14:paraId="4B3F4525" w14:textId="2FB74362" w:rsidR="00CF7995"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This episode appeared more intriguing as it illuminated the teacher’s genuine inclusion of all pupils. Similarly, in spite of the behavioural challenges that ‘Student S’ presented to the school, the incident demonstrated ‘Student S’s’ ability in the subject and contribution to group learning. In my own practice, by allowing dialogic teaching, I intend to mirror this inclusivity and create a space in which different students feel engaged and comfortable to contribute (Leung and </w:t>
      </w:r>
      <w:proofErr w:type="spellStart"/>
      <w:r w:rsidRPr="006C4010">
        <w:rPr>
          <w:rFonts w:ascii="Arial" w:hAnsi="Arial" w:cs="Arial"/>
          <w:sz w:val="22"/>
          <w:szCs w:val="22"/>
        </w:rPr>
        <w:t>Silberling</w:t>
      </w:r>
      <w:proofErr w:type="spellEnd"/>
      <w:r w:rsidRPr="006C4010">
        <w:rPr>
          <w:rFonts w:ascii="Arial" w:hAnsi="Arial" w:cs="Arial"/>
          <w:sz w:val="22"/>
          <w:szCs w:val="22"/>
        </w:rPr>
        <w:t>, 2006). </w:t>
      </w:r>
    </w:p>
    <w:p w14:paraId="24A0C445" w14:textId="77777777" w:rsidR="00D247C1" w:rsidRPr="006C4010" w:rsidRDefault="00D247C1" w:rsidP="006C4010">
      <w:pPr>
        <w:pStyle w:val="NormalWeb"/>
        <w:spacing w:before="0" w:beforeAutospacing="0" w:after="0" w:afterAutospacing="0" w:line="360" w:lineRule="auto"/>
        <w:rPr>
          <w:rFonts w:ascii="Arial" w:hAnsi="Arial" w:cs="Arial"/>
          <w:sz w:val="22"/>
          <w:szCs w:val="22"/>
        </w:rPr>
      </w:pPr>
    </w:p>
    <w:p w14:paraId="6F93C504" w14:textId="6C1E4DBE" w:rsidR="00893E81"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Despite my positive reaction to the incident, reflections of critical incidents should also entail potential ways in which teaching could be improved (Joshi, 2018, p.83). </w:t>
      </w:r>
      <w:r w:rsidR="001718ED">
        <w:rPr>
          <w:rFonts w:ascii="Arial" w:hAnsi="Arial" w:cs="Arial"/>
          <w:sz w:val="22"/>
          <w:szCs w:val="22"/>
        </w:rPr>
        <w:t>As such, p</w:t>
      </w:r>
      <w:r w:rsidRPr="006C4010">
        <w:rPr>
          <w:rFonts w:ascii="Arial" w:hAnsi="Arial" w:cs="Arial"/>
          <w:sz w:val="22"/>
          <w:szCs w:val="22"/>
        </w:rPr>
        <w:t xml:space="preserve">erhaps, the teacher could have developed ‘Student S’s’ answer by asking them to explain how they connected the Reformation and Renaissance (p. 61; </w:t>
      </w:r>
      <w:proofErr w:type="spellStart"/>
      <w:r w:rsidRPr="006C4010">
        <w:rPr>
          <w:rFonts w:ascii="Arial" w:hAnsi="Arial" w:cs="Arial"/>
          <w:sz w:val="22"/>
          <w:szCs w:val="22"/>
        </w:rPr>
        <w:t>Lemov</w:t>
      </w:r>
      <w:proofErr w:type="spellEnd"/>
      <w:r w:rsidRPr="006C4010">
        <w:rPr>
          <w:rFonts w:ascii="Arial" w:hAnsi="Arial" w:cs="Arial"/>
          <w:sz w:val="22"/>
          <w:szCs w:val="22"/>
        </w:rPr>
        <w:t xml:space="preserve">, 2010, p. 42). Indeed, cognitive psychologists Bjork and Bjork (2011) argue that teachers need to capitalise on every learning opportunity in order to enhance student’s retrieval strength, independence and </w:t>
      </w:r>
      <w:r w:rsidRPr="006C4010">
        <w:rPr>
          <w:rFonts w:ascii="Arial" w:hAnsi="Arial" w:cs="Arial"/>
          <w:sz w:val="22"/>
          <w:szCs w:val="22"/>
        </w:rPr>
        <w:lastRenderedPageBreak/>
        <w:t>problem-solving skills (p. 61).</w:t>
      </w:r>
      <w:r w:rsidR="006E13F1">
        <w:rPr>
          <w:rFonts w:ascii="Arial" w:hAnsi="Arial" w:cs="Arial"/>
          <w:sz w:val="22"/>
          <w:szCs w:val="22"/>
        </w:rPr>
        <w:t xml:space="preserve"> </w:t>
      </w:r>
      <w:r w:rsidRPr="006C4010">
        <w:rPr>
          <w:rFonts w:ascii="Arial" w:hAnsi="Arial" w:cs="Arial"/>
          <w:sz w:val="22"/>
          <w:szCs w:val="22"/>
        </w:rPr>
        <w:t xml:space="preserve">As illustrated by the previous arrow diagram, the teacher connected these two events based on Martin Luther King’s religious ideas. Whilst this may be the ideal answer from a teacher perspective (to prepare students for exams), arguably, this was a missed opportunity to explore alternative rationale and extend ‘Student S’s’ learning. </w:t>
      </w:r>
    </w:p>
    <w:p w14:paraId="1F802098" w14:textId="77777777" w:rsidR="00893E81" w:rsidRDefault="00893E81" w:rsidP="006C4010">
      <w:pPr>
        <w:pStyle w:val="NormalWeb"/>
        <w:spacing w:before="0" w:beforeAutospacing="0" w:after="0" w:afterAutospacing="0" w:line="360" w:lineRule="auto"/>
        <w:rPr>
          <w:rFonts w:ascii="Arial" w:hAnsi="Arial" w:cs="Arial"/>
          <w:sz w:val="22"/>
          <w:szCs w:val="22"/>
        </w:rPr>
      </w:pPr>
    </w:p>
    <w:p w14:paraId="7D69F078" w14:textId="12FA183A"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Similarly, given that this topic encompasses the tension between state and societies, perhaps, the teacher could have asked ‘Student S’ to unpack the implications of the term ‘official’ in their statement: ‘official change of religion’. From my own historical knowledge, I am aware of alternative historical positions that scrutinise whether the Reformation was imposed or not (</w:t>
      </w:r>
      <w:proofErr w:type="spellStart"/>
      <w:r w:rsidRPr="006C4010">
        <w:rPr>
          <w:rFonts w:ascii="Arial" w:hAnsi="Arial" w:cs="Arial"/>
          <w:sz w:val="22"/>
          <w:szCs w:val="22"/>
        </w:rPr>
        <w:t>Shagan</w:t>
      </w:r>
      <w:proofErr w:type="spellEnd"/>
      <w:r w:rsidRPr="006C4010">
        <w:rPr>
          <w:rFonts w:ascii="Arial" w:hAnsi="Arial" w:cs="Arial"/>
          <w:sz w:val="22"/>
          <w:szCs w:val="22"/>
        </w:rPr>
        <w:t>, 2003). Thus, two methodological limitations are exposed: firstly, it can be suggested that my historical knowledge influenced my interpretation, secondly, the very reflection on my observation is concentrated on the analysis of one student (Arthur et al, 2012, p.103). </w:t>
      </w:r>
    </w:p>
    <w:p w14:paraId="643B1F5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4B2ED853"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According to Brookfield, critical reflection is central to leadership, as it helps: ‘model the democratic impulse and increase trust’ (Ibid, pp. Xi and VII). In other words, through a reflective culture and code- where communication is paramount- educational providers can prevent jeopardising professional relationships and being ignorant and unresponsive to teachers who might be abusing their positions or compromising professional standards. (EWC, 2019; ‘School Z’, 2018). Indeed, leadership, collaboration and professional learning, are integral to the revised professional standards (Welsh Government, 2019c). In professional practice, alongside implementing dialogic teaching, I intend to undertake observations of colleagues in accordance with school policies, professional guidelines and the </w:t>
      </w:r>
      <w:r w:rsidRPr="006C4010">
        <w:rPr>
          <w:rStyle w:val="Emphasis"/>
          <w:rFonts w:ascii="Arial" w:hAnsi="Arial" w:cs="Arial"/>
          <w:sz w:val="22"/>
          <w:szCs w:val="22"/>
        </w:rPr>
        <w:t>UN Convention on the Rights of the Child </w:t>
      </w:r>
      <w:r w:rsidRPr="006C4010">
        <w:rPr>
          <w:rFonts w:ascii="Arial" w:hAnsi="Arial" w:cs="Arial"/>
          <w:sz w:val="22"/>
          <w:szCs w:val="22"/>
        </w:rPr>
        <w:t>(</w:t>
      </w:r>
      <w:proofErr w:type="spellStart"/>
      <w:r w:rsidRPr="006C4010">
        <w:rPr>
          <w:rFonts w:ascii="Arial" w:hAnsi="Arial" w:cs="Arial"/>
          <w:sz w:val="22"/>
          <w:szCs w:val="22"/>
        </w:rPr>
        <w:t>Unicef</w:t>
      </w:r>
      <w:proofErr w:type="spellEnd"/>
      <w:r w:rsidRPr="006C4010">
        <w:rPr>
          <w:rFonts w:ascii="Arial" w:hAnsi="Arial" w:cs="Arial"/>
          <w:sz w:val="22"/>
          <w:szCs w:val="22"/>
        </w:rPr>
        <w:t>, 1989). </w:t>
      </w:r>
    </w:p>
    <w:p w14:paraId="5F2DC211"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797ADED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As argued by Shapira-</w:t>
      </w:r>
      <w:proofErr w:type="spellStart"/>
      <w:r w:rsidRPr="006C4010">
        <w:rPr>
          <w:rFonts w:ascii="Arial" w:hAnsi="Arial" w:cs="Arial"/>
          <w:sz w:val="22"/>
          <w:szCs w:val="22"/>
        </w:rPr>
        <w:t>Lishchinsky</w:t>
      </w:r>
      <w:proofErr w:type="spellEnd"/>
      <w:r w:rsidRPr="006C4010">
        <w:rPr>
          <w:rFonts w:ascii="Arial" w:hAnsi="Arial" w:cs="Arial"/>
          <w:sz w:val="22"/>
          <w:szCs w:val="22"/>
        </w:rPr>
        <w:t xml:space="preserve"> (2011) who identified five types of ethical dilemmas, reflective cultures and codes should also incorporate ‘ethical guidelines’ to minimise the adverse emotional effects (pp. 649-655). Whilst my incident did not display overt ethical tensions, conflicts could be interpreted between modelling ‘correct’ answers (such as Martin Luther King’s ideas) and providing students with an opportunity to develop their reasoning.</w:t>
      </w:r>
    </w:p>
    <w:p w14:paraId="4146C5EA" w14:textId="46965159"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Shapira-</w:t>
      </w:r>
      <w:proofErr w:type="spellStart"/>
      <w:r w:rsidRPr="006C4010">
        <w:rPr>
          <w:rFonts w:ascii="Arial" w:hAnsi="Arial" w:cs="Arial"/>
          <w:sz w:val="22"/>
          <w:szCs w:val="22"/>
        </w:rPr>
        <w:t>Lishchinksy’s</w:t>
      </w:r>
      <w:proofErr w:type="spellEnd"/>
      <w:r w:rsidRPr="006C4010">
        <w:rPr>
          <w:rFonts w:ascii="Arial" w:hAnsi="Arial" w:cs="Arial"/>
          <w:sz w:val="22"/>
          <w:szCs w:val="22"/>
        </w:rPr>
        <w:t xml:space="preserve"> qualitative findings are significant because they demonstrate that teachers are operating in ambivalent contexts. Teachers are forced to make and act upon decisions, based on the importance they attribute to their diverse responsibilities, for instance, a pupil’s health and wellbeing and school procedures (Ibid, pp. 653-655; </w:t>
      </w:r>
      <w:proofErr w:type="spellStart"/>
      <w:r w:rsidRPr="006C4010">
        <w:rPr>
          <w:rFonts w:ascii="Arial" w:hAnsi="Arial" w:cs="Arial"/>
          <w:sz w:val="22"/>
          <w:szCs w:val="22"/>
        </w:rPr>
        <w:t>Denby</w:t>
      </w:r>
      <w:proofErr w:type="spellEnd"/>
      <w:r w:rsidRPr="006C4010">
        <w:rPr>
          <w:rFonts w:ascii="Arial" w:hAnsi="Arial" w:cs="Arial"/>
          <w:sz w:val="22"/>
          <w:szCs w:val="22"/>
        </w:rPr>
        <w:t xml:space="preserve">, 2015, p. 31). This brings to focus the ongoing concerns regarding the ‘professional learning’ element of the revised professional model (Welsh Government, 2019c) and the extent to </w:t>
      </w:r>
      <w:r w:rsidRPr="006C4010">
        <w:rPr>
          <w:rFonts w:ascii="Arial" w:hAnsi="Arial" w:cs="Arial"/>
          <w:sz w:val="22"/>
          <w:szCs w:val="22"/>
        </w:rPr>
        <w:lastRenderedPageBreak/>
        <w:t>which the </w:t>
      </w:r>
      <w:r w:rsidRPr="006C4010">
        <w:rPr>
          <w:rStyle w:val="Emphasis"/>
          <w:rFonts w:ascii="Arial" w:hAnsi="Arial" w:cs="Arial"/>
          <w:sz w:val="22"/>
          <w:szCs w:val="22"/>
        </w:rPr>
        <w:t>Schools as Learning Organisations</w:t>
      </w:r>
      <w:r w:rsidRPr="006C4010">
        <w:rPr>
          <w:rFonts w:ascii="Arial" w:hAnsi="Arial" w:cs="Arial"/>
          <w:sz w:val="22"/>
          <w:szCs w:val="22"/>
        </w:rPr>
        <w:t> model can be realised in real-life contexts (Egan et al, 2018). </w:t>
      </w:r>
    </w:p>
    <w:p w14:paraId="5323784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12C90BB7" w14:textId="4E986A26"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This paper has examined social-constructivist interpretations of learning, the role of language and ‘dialogic teaching’. This approach was taken as both student and teacher influenced the direction and depth of learning. Although </w:t>
      </w:r>
      <w:proofErr w:type="spellStart"/>
      <w:r w:rsidRPr="006C4010">
        <w:rPr>
          <w:rFonts w:ascii="Arial" w:hAnsi="Arial" w:cs="Arial"/>
          <w:sz w:val="22"/>
          <w:szCs w:val="22"/>
        </w:rPr>
        <w:t>Vgotsky</w:t>
      </w:r>
      <w:proofErr w:type="spellEnd"/>
      <w:r w:rsidRPr="006C4010">
        <w:rPr>
          <w:rFonts w:ascii="Arial" w:hAnsi="Arial" w:cs="Arial"/>
          <w:sz w:val="22"/>
          <w:szCs w:val="22"/>
        </w:rPr>
        <w:t xml:space="preserve"> paved the way for this strand of constructivism, this paper considered the positions of Lemke, Mercer and Alexander, to be most </w:t>
      </w:r>
      <w:r w:rsidR="00CE2E9B">
        <w:rPr>
          <w:rFonts w:ascii="Arial" w:hAnsi="Arial" w:cs="Arial"/>
          <w:sz w:val="22"/>
          <w:szCs w:val="22"/>
        </w:rPr>
        <w:t>useful for</w:t>
      </w:r>
      <w:r w:rsidRPr="006C4010">
        <w:rPr>
          <w:rFonts w:ascii="Arial" w:hAnsi="Arial" w:cs="Arial"/>
          <w:sz w:val="22"/>
          <w:szCs w:val="22"/>
        </w:rPr>
        <w:t xml:space="preserve"> modern-day teaching. Whilst Mercer and Alexander are engaged in ongoing research on dialogic teaching, hopefully, Lemke’s </w:t>
      </w:r>
      <w:proofErr w:type="spellStart"/>
      <w:r w:rsidR="00CE2E9B">
        <w:rPr>
          <w:rFonts w:ascii="Arial" w:hAnsi="Arial" w:cs="Arial"/>
          <w:sz w:val="22"/>
          <w:szCs w:val="22"/>
        </w:rPr>
        <w:t>Vgotskian</w:t>
      </w:r>
      <w:proofErr w:type="spellEnd"/>
      <w:r w:rsidR="00CE2E9B">
        <w:rPr>
          <w:rFonts w:ascii="Arial" w:hAnsi="Arial" w:cs="Arial"/>
          <w:sz w:val="22"/>
          <w:szCs w:val="22"/>
        </w:rPr>
        <w:t xml:space="preserve"> </w:t>
      </w:r>
      <w:r w:rsidRPr="006C4010">
        <w:rPr>
          <w:rFonts w:ascii="Arial" w:hAnsi="Arial" w:cs="Arial"/>
          <w:sz w:val="22"/>
          <w:szCs w:val="22"/>
        </w:rPr>
        <w:t>suggestion that teachers should educate their students that subject ‘language’ is a ‘code’ will also be realised through the principle of authentic contexts and the implementation of </w:t>
      </w:r>
      <w:r w:rsidRPr="006C4010">
        <w:rPr>
          <w:rStyle w:val="Emphasis"/>
          <w:rFonts w:ascii="Arial" w:hAnsi="Arial" w:cs="Arial"/>
          <w:sz w:val="22"/>
          <w:szCs w:val="22"/>
        </w:rPr>
        <w:t>Successful Futures.</w:t>
      </w:r>
      <w:r w:rsidRPr="006C4010">
        <w:rPr>
          <w:rFonts w:ascii="Arial" w:hAnsi="Arial" w:cs="Arial"/>
          <w:sz w:val="22"/>
          <w:szCs w:val="22"/>
        </w:rPr>
        <w:t> </w:t>
      </w:r>
    </w:p>
    <w:p w14:paraId="45D32480"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w:t>
      </w:r>
    </w:p>
    <w:p w14:paraId="502C251B" w14:textId="77777777" w:rsidR="00CF7995" w:rsidRPr="006C4010" w:rsidRDefault="00CF7995" w:rsidP="006C4010">
      <w:pPr>
        <w:pStyle w:val="NormalWeb"/>
        <w:spacing w:before="0" w:beforeAutospacing="0" w:after="0" w:afterAutospacing="0" w:line="360" w:lineRule="auto"/>
        <w:rPr>
          <w:rFonts w:ascii="Arial" w:hAnsi="Arial" w:cs="Arial"/>
          <w:sz w:val="22"/>
          <w:szCs w:val="22"/>
        </w:rPr>
      </w:pPr>
      <w:r w:rsidRPr="006C4010">
        <w:rPr>
          <w:rFonts w:ascii="Arial" w:hAnsi="Arial" w:cs="Arial"/>
          <w:sz w:val="22"/>
          <w:szCs w:val="22"/>
        </w:rPr>
        <w:t xml:space="preserve">Despite the centrality of interaction and conversation, behaviourist ideas were acknowledged when questioning the factors that influenced ‘Student S’s response. To unpack the relationship between ‘Student S’s’ response and his known behavioural difficulties, behaviourism and literature on the emotional environments of learning might be useful. Finally, if professional learning models and frameworks can be harmonised, and teachers are utilising their training, knowledge and experiences to effectively implement the educational theory, pedagogical principles and a ‘repertoire of talk-based pedagogical skills’ (Alexander, 2017, p.2). Perhaps, Tripp’s vision of a robust teaching profession can be realised (Tripp, 1993, pp. xvi-xviii; </w:t>
      </w:r>
      <w:proofErr w:type="spellStart"/>
      <w:r w:rsidRPr="006C4010">
        <w:rPr>
          <w:rFonts w:ascii="Arial" w:hAnsi="Arial" w:cs="Arial"/>
          <w:sz w:val="22"/>
          <w:szCs w:val="22"/>
        </w:rPr>
        <w:t>Macblain</w:t>
      </w:r>
      <w:proofErr w:type="spellEnd"/>
      <w:r w:rsidRPr="006C4010">
        <w:rPr>
          <w:rFonts w:ascii="Arial" w:hAnsi="Arial" w:cs="Arial"/>
          <w:sz w:val="22"/>
          <w:szCs w:val="22"/>
        </w:rPr>
        <w:t>, 2014, p.8). </w:t>
      </w:r>
    </w:p>
    <w:p w14:paraId="110C4151" w14:textId="77777777" w:rsidR="00CF7995" w:rsidRPr="00CF7995" w:rsidRDefault="00CF7995" w:rsidP="008211D7">
      <w:pPr>
        <w:tabs>
          <w:tab w:val="left" w:pos="2760"/>
        </w:tabs>
        <w:autoSpaceDE w:val="0"/>
        <w:autoSpaceDN w:val="0"/>
        <w:adjustRightInd w:val="0"/>
        <w:spacing w:after="0" w:line="360" w:lineRule="auto"/>
        <w:jc w:val="center"/>
        <w:rPr>
          <w:rFonts w:ascii="Arial" w:hAnsi="Arial" w:cs="Arial"/>
          <w:color w:val="FFC000"/>
        </w:rPr>
      </w:pPr>
    </w:p>
    <w:p w14:paraId="00DDA90F" w14:textId="40AA2749" w:rsidR="00FC2E1F" w:rsidRPr="00CF7995" w:rsidRDefault="00FC2E1F" w:rsidP="008211D7">
      <w:pPr>
        <w:autoSpaceDE w:val="0"/>
        <w:autoSpaceDN w:val="0"/>
        <w:adjustRightInd w:val="0"/>
        <w:spacing w:after="0" w:line="360" w:lineRule="auto"/>
        <w:rPr>
          <w:rFonts w:ascii="Arial" w:hAnsi="Arial" w:cs="Arial"/>
          <w:color w:val="FFC000"/>
        </w:rPr>
      </w:pPr>
    </w:p>
    <w:p w14:paraId="4510D8BF" w14:textId="3257F26D" w:rsidR="00B04941" w:rsidRPr="00B94139" w:rsidRDefault="00B04941" w:rsidP="008211D7">
      <w:pPr>
        <w:autoSpaceDE w:val="0"/>
        <w:autoSpaceDN w:val="0"/>
        <w:adjustRightInd w:val="0"/>
        <w:spacing w:after="0" w:line="360" w:lineRule="auto"/>
        <w:rPr>
          <w:rFonts w:ascii="Arial" w:hAnsi="Arial" w:cs="Arial"/>
        </w:rPr>
      </w:pPr>
    </w:p>
    <w:p w14:paraId="72FC0DAC" w14:textId="4AA563AA" w:rsidR="00B04941" w:rsidRPr="00B94139" w:rsidRDefault="00B04941" w:rsidP="008211D7">
      <w:pPr>
        <w:autoSpaceDE w:val="0"/>
        <w:autoSpaceDN w:val="0"/>
        <w:adjustRightInd w:val="0"/>
        <w:spacing w:after="0" w:line="360" w:lineRule="auto"/>
        <w:rPr>
          <w:rFonts w:ascii="Arial" w:hAnsi="Arial" w:cs="Arial"/>
        </w:rPr>
      </w:pPr>
    </w:p>
    <w:p w14:paraId="45ED450D" w14:textId="3A7EEAD3" w:rsidR="00B04941" w:rsidRPr="00B94139" w:rsidRDefault="00B04941" w:rsidP="008211D7">
      <w:pPr>
        <w:autoSpaceDE w:val="0"/>
        <w:autoSpaceDN w:val="0"/>
        <w:adjustRightInd w:val="0"/>
        <w:spacing w:after="0" w:line="360" w:lineRule="auto"/>
        <w:rPr>
          <w:rFonts w:ascii="Arial" w:hAnsi="Arial" w:cs="Arial"/>
        </w:rPr>
      </w:pPr>
    </w:p>
    <w:p w14:paraId="32037818" w14:textId="4A230995" w:rsidR="00B04941" w:rsidRPr="00B94139" w:rsidRDefault="00B04941" w:rsidP="008211D7">
      <w:pPr>
        <w:autoSpaceDE w:val="0"/>
        <w:autoSpaceDN w:val="0"/>
        <w:adjustRightInd w:val="0"/>
        <w:spacing w:after="0" w:line="360" w:lineRule="auto"/>
        <w:rPr>
          <w:rFonts w:ascii="Arial" w:hAnsi="Arial" w:cs="Arial"/>
        </w:rPr>
      </w:pPr>
    </w:p>
    <w:p w14:paraId="3D33834E" w14:textId="7C410992" w:rsidR="00B04941" w:rsidRPr="00B94139" w:rsidRDefault="00B04941" w:rsidP="008211D7">
      <w:pPr>
        <w:autoSpaceDE w:val="0"/>
        <w:autoSpaceDN w:val="0"/>
        <w:adjustRightInd w:val="0"/>
        <w:spacing w:after="0" w:line="360" w:lineRule="auto"/>
        <w:rPr>
          <w:rFonts w:ascii="Arial" w:hAnsi="Arial" w:cs="Arial"/>
        </w:rPr>
      </w:pPr>
    </w:p>
    <w:p w14:paraId="67A94DD5" w14:textId="58B7039E" w:rsidR="00B04941" w:rsidRDefault="00B04941" w:rsidP="008211D7">
      <w:pPr>
        <w:autoSpaceDE w:val="0"/>
        <w:autoSpaceDN w:val="0"/>
        <w:adjustRightInd w:val="0"/>
        <w:spacing w:after="0" w:line="360" w:lineRule="auto"/>
        <w:rPr>
          <w:rFonts w:ascii="Arial" w:hAnsi="Arial" w:cs="Arial"/>
        </w:rPr>
      </w:pPr>
    </w:p>
    <w:p w14:paraId="0012A895" w14:textId="66DA09FC" w:rsidR="0091681A" w:rsidRDefault="0091681A" w:rsidP="008211D7">
      <w:pPr>
        <w:autoSpaceDE w:val="0"/>
        <w:autoSpaceDN w:val="0"/>
        <w:adjustRightInd w:val="0"/>
        <w:spacing w:after="0" w:line="360" w:lineRule="auto"/>
        <w:rPr>
          <w:rFonts w:ascii="Arial" w:hAnsi="Arial" w:cs="Arial"/>
        </w:rPr>
      </w:pPr>
    </w:p>
    <w:p w14:paraId="55BDE8AE" w14:textId="71944468" w:rsidR="0091681A" w:rsidRDefault="0091681A" w:rsidP="008211D7">
      <w:pPr>
        <w:autoSpaceDE w:val="0"/>
        <w:autoSpaceDN w:val="0"/>
        <w:adjustRightInd w:val="0"/>
        <w:spacing w:after="0" w:line="360" w:lineRule="auto"/>
        <w:rPr>
          <w:rFonts w:ascii="Arial" w:hAnsi="Arial" w:cs="Arial"/>
        </w:rPr>
      </w:pPr>
    </w:p>
    <w:p w14:paraId="60114AE2" w14:textId="127298BF" w:rsidR="0091681A" w:rsidRDefault="0091681A" w:rsidP="008211D7">
      <w:pPr>
        <w:autoSpaceDE w:val="0"/>
        <w:autoSpaceDN w:val="0"/>
        <w:adjustRightInd w:val="0"/>
        <w:spacing w:after="0" w:line="360" w:lineRule="auto"/>
        <w:rPr>
          <w:rFonts w:ascii="Arial" w:hAnsi="Arial" w:cs="Arial"/>
        </w:rPr>
      </w:pPr>
    </w:p>
    <w:p w14:paraId="515A864B" w14:textId="18DEB9D9" w:rsidR="0091681A" w:rsidRDefault="0091681A" w:rsidP="008211D7">
      <w:pPr>
        <w:autoSpaceDE w:val="0"/>
        <w:autoSpaceDN w:val="0"/>
        <w:adjustRightInd w:val="0"/>
        <w:spacing w:after="0" w:line="360" w:lineRule="auto"/>
        <w:rPr>
          <w:rFonts w:ascii="Arial" w:hAnsi="Arial" w:cs="Arial"/>
        </w:rPr>
      </w:pPr>
    </w:p>
    <w:p w14:paraId="338C8210" w14:textId="77777777" w:rsidR="0091681A" w:rsidRPr="00B94139" w:rsidRDefault="0091681A" w:rsidP="008211D7">
      <w:pPr>
        <w:autoSpaceDE w:val="0"/>
        <w:autoSpaceDN w:val="0"/>
        <w:adjustRightInd w:val="0"/>
        <w:spacing w:after="0" w:line="360" w:lineRule="auto"/>
        <w:rPr>
          <w:rFonts w:ascii="Arial" w:hAnsi="Arial" w:cs="Arial"/>
        </w:rPr>
      </w:pPr>
    </w:p>
    <w:p w14:paraId="475C3216" w14:textId="77777777" w:rsidR="00FD4C2D" w:rsidRDefault="00FD4C2D" w:rsidP="00FD4C2D">
      <w:pPr>
        <w:spacing w:line="360" w:lineRule="auto"/>
        <w:rPr>
          <w:rFonts w:ascii="Arial" w:hAnsi="Arial" w:cs="Arial"/>
        </w:rPr>
      </w:pPr>
    </w:p>
    <w:p w14:paraId="5DEDAE8D" w14:textId="36FA43B2" w:rsidR="00B04941" w:rsidRDefault="00B04941" w:rsidP="00FD4C2D">
      <w:pPr>
        <w:spacing w:line="360" w:lineRule="auto"/>
        <w:jc w:val="center"/>
        <w:rPr>
          <w:rFonts w:ascii="Arial" w:hAnsi="Arial" w:cs="Arial"/>
          <w:b/>
          <w:bCs/>
          <w:u w:val="single"/>
        </w:rPr>
      </w:pPr>
      <w:r w:rsidRPr="00B94139">
        <w:rPr>
          <w:rFonts w:ascii="Arial" w:hAnsi="Arial" w:cs="Arial"/>
          <w:b/>
          <w:bCs/>
          <w:u w:val="single"/>
        </w:rPr>
        <w:lastRenderedPageBreak/>
        <w:t>Reference List</w:t>
      </w:r>
    </w:p>
    <w:p w14:paraId="3A03C501" w14:textId="77777777" w:rsidR="00FD4C2D" w:rsidRPr="00B94139" w:rsidRDefault="00FD4C2D" w:rsidP="00FD4C2D">
      <w:pPr>
        <w:spacing w:line="360" w:lineRule="auto"/>
        <w:jc w:val="center"/>
        <w:rPr>
          <w:rFonts w:ascii="Arial" w:hAnsi="Arial" w:cs="Arial"/>
          <w:b/>
          <w:bCs/>
          <w:u w:val="single"/>
        </w:rPr>
      </w:pPr>
    </w:p>
    <w:p w14:paraId="024E3749"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Alexander, R.J. (2004) </w:t>
      </w:r>
      <w:r w:rsidRPr="00B94139">
        <w:rPr>
          <w:rFonts w:ascii="Arial" w:hAnsi="Arial" w:cs="Arial"/>
          <w:i/>
          <w:iCs/>
        </w:rPr>
        <w:t>Towards Dialogic Teaching: rethinking classroom talk</w:t>
      </w:r>
      <w:r w:rsidRPr="00B94139">
        <w:rPr>
          <w:rFonts w:ascii="Arial" w:hAnsi="Arial" w:cs="Arial"/>
        </w:rPr>
        <w:t xml:space="preserve"> 1st ed. York: </w:t>
      </w:r>
      <w:proofErr w:type="spellStart"/>
      <w:r w:rsidRPr="00B94139">
        <w:rPr>
          <w:rFonts w:ascii="Arial" w:hAnsi="Arial" w:cs="Arial"/>
        </w:rPr>
        <w:t>Dialogos</w:t>
      </w:r>
      <w:proofErr w:type="spellEnd"/>
      <w:r w:rsidRPr="00B94139">
        <w:rPr>
          <w:rFonts w:ascii="Arial" w:hAnsi="Arial" w:cs="Arial"/>
        </w:rPr>
        <w:t>.</w:t>
      </w:r>
    </w:p>
    <w:p w14:paraId="0DAB99C1" w14:textId="77777777" w:rsidR="00B04941" w:rsidRPr="00B94139" w:rsidRDefault="00B04941" w:rsidP="00B04941">
      <w:pPr>
        <w:autoSpaceDE w:val="0"/>
        <w:autoSpaceDN w:val="0"/>
        <w:adjustRightInd w:val="0"/>
        <w:spacing w:after="0" w:line="360" w:lineRule="auto"/>
        <w:rPr>
          <w:rFonts w:ascii="Arial" w:hAnsi="Arial" w:cs="Arial"/>
        </w:rPr>
      </w:pPr>
    </w:p>
    <w:p w14:paraId="0B36375E" w14:textId="77777777" w:rsidR="00B04941" w:rsidRPr="00B94139" w:rsidRDefault="00B04941" w:rsidP="00B04941">
      <w:pPr>
        <w:pStyle w:val="Default"/>
        <w:spacing w:line="360" w:lineRule="auto"/>
        <w:rPr>
          <w:rFonts w:ascii="Arial" w:hAnsi="Arial" w:cs="Arial"/>
          <w:sz w:val="22"/>
          <w:szCs w:val="22"/>
        </w:rPr>
      </w:pPr>
      <w:r w:rsidRPr="00B94139">
        <w:rPr>
          <w:rFonts w:ascii="Arial" w:hAnsi="Arial" w:cs="Arial"/>
          <w:sz w:val="22"/>
          <w:szCs w:val="22"/>
        </w:rPr>
        <w:t xml:space="preserve">Alexander, R. and Wolfe, S. (2008) </w:t>
      </w:r>
      <w:r w:rsidRPr="00B94139">
        <w:rPr>
          <w:rFonts w:ascii="Arial" w:hAnsi="Arial" w:cs="Arial"/>
          <w:i/>
          <w:iCs/>
          <w:sz w:val="22"/>
          <w:szCs w:val="22"/>
        </w:rPr>
        <w:t>Argumentation and dialogic teaching: alternative pedagogies for a changing world</w:t>
      </w:r>
      <w:r w:rsidRPr="00B94139">
        <w:rPr>
          <w:rFonts w:ascii="Arial" w:hAnsi="Arial" w:cs="Arial"/>
          <w:sz w:val="22"/>
          <w:szCs w:val="22"/>
        </w:rPr>
        <w:t xml:space="preserve">. London: </w:t>
      </w:r>
      <w:proofErr w:type="spellStart"/>
      <w:r w:rsidRPr="00B94139">
        <w:rPr>
          <w:rFonts w:ascii="Arial" w:hAnsi="Arial" w:cs="Arial"/>
          <w:sz w:val="22"/>
          <w:szCs w:val="22"/>
        </w:rPr>
        <w:t>Futurelab</w:t>
      </w:r>
      <w:proofErr w:type="spellEnd"/>
      <w:r w:rsidRPr="00B94139">
        <w:rPr>
          <w:rFonts w:ascii="Arial" w:hAnsi="Arial" w:cs="Arial"/>
          <w:sz w:val="22"/>
          <w:szCs w:val="22"/>
        </w:rPr>
        <w:t xml:space="preserve">. </w:t>
      </w:r>
    </w:p>
    <w:p w14:paraId="39F6C8BF" w14:textId="77777777" w:rsidR="00B04941" w:rsidRPr="00B94139" w:rsidRDefault="00B04941" w:rsidP="00B04941">
      <w:pPr>
        <w:pStyle w:val="Default"/>
        <w:spacing w:line="360" w:lineRule="auto"/>
        <w:rPr>
          <w:rFonts w:ascii="Arial" w:hAnsi="Arial" w:cs="Arial"/>
          <w:sz w:val="22"/>
          <w:szCs w:val="22"/>
        </w:rPr>
      </w:pPr>
    </w:p>
    <w:p w14:paraId="4B8018AF"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Alexander, R. (2012) ‘Improving Oracy and Classroom Talk in English Schools: Achievements and Challenges’, </w:t>
      </w:r>
      <w:r w:rsidRPr="00B94139">
        <w:rPr>
          <w:rFonts w:ascii="Arial" w:hAnsi="Arial" w:cs="Arial"/>
          <w:i/>
          <w:iCs/>
          <w:color w:val="333333"/>
          <w:shd w:val="clear" w:color="auto" w:fill="FFFFFF"/>
        </w:rPr>
        <w:t>Oracy the National Curriculum and Educational Standards</w:t>
      </w:r>
      <w:r w:rsidRPr="00B94139">
        <w:rPr>
          <w:rFonts w:ascii="Arial" w:hAnsi="Arial" w:cs="Arial"/>
        </w:rPr>
        <w:t>, London, 20</w:t>
      </w:r>
      <w:r w:rsidRPr="00B94139">
        <w:rPr>
          <w:rFonts w:ascii="Arial" w:hAnsi="Arial" w:cs="Arial"/>
          <w:vertAlign w:val="superscript"/>
        </w:rPr>
        <w:t>th</w:t>
      </w:r>
      <w:r w:rsidRPr="00B94139">
        <w:rPr>
          <w:rFonts w:ascii="Arial" w:hAnsi="Arial" w:cs="Arial"/>
        </w:rPr>
        <w:t xml:space="preserve"> February 2012. </w:t>
      </w:r>
    </w:p>
    <w:p w14:paraId="0C3FCE7D" w14:textId="77777777" w:rsidR="00B04941" w:rsidRPr="00B94139" w:rsidRDefault="00B04941" w:rsidP="00B04941">
      <w:pPr>
        <w:autoSpaceDE w:val="0"/>
        <w:autoSpaceDN w:val="0"/>
        <w:adjustRightInd w:val="0"/>
        <w:spacing w:after="0" w:line="360" w:lineRule="auto"/>
        <w:rPr>
          <w:rFonts w:ascii="Arial" w:hAnsi="Arial" w:cs="Arial"/>
        </w:rPr>
      </w:pPr>
    </w:p>
    <w:p w14:paraId="06E14DE2" w14:textId="6B305F02" w:rsidR="00B04941"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Alexander, R. (2017) </w:t>
      </w:r>
      <w:r w:rsidRPr="00B94139">
        <w:rPr>
          <w:rFonts w:ascii="Arial" w:hAnsi="Arial" w:cs="Arial"/>
          <w:i/>
          <w:iCs/>
        </w:rPr>
        <w:t>Towards Dialogic Teaching: rethinking classroom talk</w:t>
      </w:r>
      <w:r w:rsidRPr="00B94139">
        <w:rPr>
          <w:rFonts w:ascii="Arial" w:hAnsi="Arial" w:cs="Arial"/>
        </w:rPr>
        <w:t xml:space="preserve"> 5</w:t>
      </w:r>
      <w:r w:rsidRPr="00B94139">
        <w:rPr>
          <w:rFonts w:ascii="Arial" w:hAnsi="Arial" w:cs="Arial"/>
          <w:vertAlign w:val="superscript"/>
        </w:rPr>
        <w:t>th</w:t>
      </w:r>
      <w:r w:rsidRPr="00B94139">
        <w:rPr>
          <w:rFonts w:ascii="Arial" w:hAnsi="Arial" w:cs="Arial"/>
        </w:rPr>
        <w:t xml:space="preserve"> ed. York: </w:t>
      </w:r>
      <w:proofErr w:type="spellStart"/>
      <w:r w:rsidRPr="00B94139">
        <w:rPr>
          <w:rFonts w:ascii="Arial" w:hAnsi="Arial" w:cs="Arial"/>
        </w:rPr>
        <w:t>Dialogos</w:t>
      </w:r>
      <w:proofErr w:type="spellEnd"/>
      <w:r w:rsidRPr="00B94139">
        <w:rPr>
          <w:rFonts w:ascii="Arial" w:hAnsi="Arial" w:cs="Arial"/>
        </w:rPr>
        <w:t xml:space="preserve">.   </w:t>
      </w:r>
    </w:p>
    <w:p w14:paraId="39B9B22F" w14:textId="23F582A1" w:rsidR="00666D1E" w:rsidRDefault="00666D1E" w:rsidP="00B04941">
      <w:pPr>
        <w:autoSpaceDE w:val="0"/>
        <w:autoSpaceDN w:val="0"/>
        <w:adjustRightInd w:val="0"/>
        <w:spacing w:after="0" w:line="360" w:lineRule="auto"/>
        <w:rPr>
          <w:rFonts w:ascii="Arial" w:hAnsi="Arial" w:cs="Arial"/>
        </w:rPr>
      </w:pPr>
    </w:p>
    <w:p w14:paraId="0C757A9F" w14:textId="2E0E8AE7" w:rsidR="00B04941" w:rsidRDefault="00666D1E" w:rsidP="00666D1E">
      <w:pPr>
        <w:autoSpaceDE w:val="0"/>
        <w:autoSpaceDN w:val="0"/>
        <w:adjustRightInd w:val="0"/>
        <w:spacing w:after="0" w:line="240" w:lineRule="auto"/>
        <w:rPr>
          <w:rFonts w:ascii="Arial" w:hAnsi="Arial" w:cs="Arial"/>
          <w:color w:val="292526"/>
        </w:rPr>
      </w:pPr>
      <w:r w:rsidRPr="00666D1E">
        <w:rPr>
          <w:rFonts w:ascii="Arial" w:hAnsi="Arial" w:cs="Arial"/>
          <w:color w:val="292526"/>
        </w:rPr>
        <w:t>Anderson, G.</w:t>
      </w:r>
      <w:r>
        <w:rPr>
          <w:rFonts w:ascii="Arial" w:hAnsi="Arial" w:cs="Arial"/>
          <w:color w:val="292526"/>
        </w:rPr>
        <w:t xml:space="preserve"> </w:t>
      </w:r>
      <w:r w:rsidRPr="00666D1E">
        <w:rPr>
          <w:rFonts w:ascii="Arial" w:hAnsi="Arial" w:cs="Arial"/>
          <w:color w:val="292526"/>
        </w:rPr>
        <w:t>L., and Herr</w:t>
      </w:r>
      <w:r>
        <w:rPr>
          <w:rFonts w:ascii="Arial" w:hAnsi="Arial" w:cs="Arial"/>
          <w:color w:val="292526"/>
        </w:rPr>
        <w:t>, K.</w:t>
      </w:r>
      <w:r w:rsidRPr="00666D1E">
        <w:rPr>
          <w:rFonts w:ascii="Arial" w:hAnsi="Arial" w:cs="Arial"/>
          <w:color w:val="292526"/>
        </w:rPr>
        <w:t xml:space="preserve"> </w:t>
      </w:r>
      <w:r>
        <w:rPr>
          <w:rFonts w:ascii="Arial" w:hAnsi="Arial" w:cs="Arial"/>
          <w:color w:val="292526"/>
        </w:rPr>
        <w:t>(</w:t>
      </w:r>
      <w:r w:rsidRPr="00666D1E">
        <w:rPr>
          <w:rFonts w:ascii="Arial" w:hAnsi="Arial" w:cs="Arial"/>
          <w:color w:val="292526"/>
        </w:rPr>
        <w:t>199</w:t>
      </w:r>
      <w:r>
        <w:rPr>
          <w:rFonts w:ascii="Arial" w:hAnsi="Arial" w:cs="Arial"/>
          <w:color w:val="292526"/>
        </w:rPr>
        <w:t>9)</w:t>
      </w:r>
      <w:r w:rsidRPr="00666D1E">
        <w:rPr>
          <w:rFonts w:ascii="Arial" w:hAnsi="Arial" w:cs="Arial"/>
          <w:color w:val="292526"/>
        </w:rPr>
        <w:t xml:space="preserve"> </w:t>
      </w:r>
      <w:r>
        <w:rPr>
          <w:rFonts w:ascii="Arial" w:hAnsi="Arial" w:cs="Arial"/>
          <w:color w:val="292526"/>
        </w:rPr>
        <w:t>‘</w:t>
      </w:r>
      <w:r w:rsidRPr="00666D1E">
        <w:rPr>
          <w:rFonts w:ascii="Arial" w:hAnsi="Arial" w:cs="Arial"/>
          <w:color w:val="292526"/>
        </w:rPr>
        <w:t>The new paradigm wars: Is there room for rigorous practitioner</w:t>
      </w:r>
      <w:r>
        <w:rPr>
          <w:rFonts w:ascii="Arial" w:hAnsi="Arial" w:cs="Arial"/>
          <w:color w:val="292526"/>
        </w:rPr>
        <w:t xml:space="preserve"> </w:t>
      </w:r>
      <w:r w:rsidRPr="00666D1E">
        <w:rPr>
          <w:rFonts w:ascii="Arial" w:hAnsi="Arial" w:cs="Arial"/>
          <w:color w:val="292526"/>
        </w:rPr>
        <w:t>research in schools and universities?</w:t>
      </w:r>
      <w:r>
        <w:rPr>
          <w:rFonts w:ascii="Arial" w:hAnsi="Arial" w:cs="Arial"/>
          <w:color w:val="292526"/>
        </w:rPr>
        <w:t>’,</w:t>
      </w:r>
      <w:r w:rsidRPr="00666D1E">
        <w:rPr>
          <w:rFonts w:ascii="Arial" w:hAnsi="Arial" w:cs="Arial"/>
          <w:color w:val="292526"/>
        </w:rPr>
        <w:t xml:space="preserve"> </w:t>
      </w:r>
      <w:r w:rsidRPr="00666D1E">
        <w:rPr>
          <w:rFonts w:ascii="Arial" w:hAnsi="Arial" w:cs="Arial"/>
          <w:i/>
          <w:iCs/>
          <w:color w:val="292526"/>
        </w:rPr>
        <w:t>Educational Researcher</w:t>
      </w:r>
      <w:r>
        <w:rPr>
          <w:rFonts w:ascii="Arial" w:hAnsi="Arial" w:cs="Arial"/>
          <w:i/>
          <w:iCs/>
          <w:color w:val="292526"/>
        </w:rPr>
        <w:t>,</w:t>
      </w:r>
      <w:r w:rsidRPr="00666D1E">
        <w:rPr>
          <w:rFonts w:ascii="Arial" w:hAnsi="Arial" w:cs="Arial"/>
          <w:i/>
          <w:iCs/>
          <w:color w:val="292526"/>
        </w:rPr>
        <w:t xml:space="preserve"> </w:t>
      </w:r>
      <w:r w:rsidRPr="00666D1E">
        <w:rPr>
          <w:rFonts w:ascii="Arial" w:hAnsi="Arial" w:cs="Arial"/>
          <w:color w:val="292526"/>
        </w:rPr>
        <w:t>28</w:t>
      </w:r>
      <w:r>
        <w:rPr>
          <w:rFonts w:ascii="Arial" w:hAnsi="Arial" w:cs="Arial"/>
          <w:color w:val="292526"/>
        </w:rPr>
        <w:t xml:space="preserve"> (</w:t>
      </w:r>
      <w:r w:rsidRPr="00666D1E">
        <w:rPr>
          <w:rFonts w:ascii="Arial" w:hAnsi="Arial" w:cs="Arial"/>
          <w:color w:val="292526"/>
        </w:rPr>
        <w:t>5</w:t>
      </w:r>
      <w:r>
        <w:rPr>
          <w:rFonts w:ascii="Arial" w:hAnsi="Arial" w:cs="Arial"/>
          <w:color w:val="292526"/>
        </w:rPr>
        <w:t>), pp.</w:t>
      </w:r>
      <w:r w:rsidRPr="00666D1E">
        <w:rPr>
          <w:rFonts w:ascii="Arial" w:hAnsi="Arial" w:cs="Arial"/>
          <w:color w:val="292526"/>
        </w:rPr>
        <w:t xml:space="preserve"> 12–21</w:t>
      </w:r>
      <w:r>
        <w:rPr>
          <w:rFonts w:ascii="Arial" w:hAnsi="Arial" w:cs="Arial"/>
          <w:color w:val="292526"/>
        </w:rPr>
        <w:t xml:space="preserve">. </w:t>
      </w:r>
    </w:p>
    <w:p w14:paraId="7B7E76C7" w14:textId="3D9FAC00" w:rsidR="00666D1E" w:rsidRDefault="00666D1E" w:rsidP="00666D1E">
      <w:pPr>
        <w:autoSpaceDE w:val="0"/>
        <w:autoSpaceDN w:val="0"/>
        <w:adjustRightInd w:val="0"/>
        <w:spacing w:after="0" w:line="240" w:lineRule="auto"/>
        <w:rPr>
          <w:rFonts w:ascii="Arial" w:hAnsi="Arial" w:cs="Arial"/>
          <w:color w:val="292526"/>
        </w:rPr>
      </w:pPr>
    </w:p>
    <w:p w14:paraId="319651A5" w14:textId="77777777" w:rsidR="00666D1E" w:rsidRPr="00666D1E" w:rsidRDefault="00666D1E" w:rsidP="00666D1E">
      <w:pPr>
        <w:autoSpaceDE w:val="0"/>
        <w:autoSpaceDN w:val="0"/>
        <w:adjustRightInd w:val="0"/>
        <w:spacing w:after="0" w:line="240" w:lineRule="auto"/>
        <w:rPr>
          <w:rFonts w:ascii="Arial" w:hAnsi="Arial" w:cs="Arial"/>
          <w:color w:val="292526"/>
        </w:rPr>
      </w:pPr>
    </w:p>
    <w:p w14:paraId="11EDDCFD" w14:textId="77777777" w:rsidR="00B04941" w:rsidRPr="00B94139" w:rsidRDefault="00B04941" w:rsidP="00B04941">
      <w:pPr>
        <w:spacing w:line="360" w:lineRule="auto"/>
        <w:rPr>
          <w:rFonts w:ascii="Arial" w:hAnsi="Arial" w:cs="Arial"/>
        </w:rPr>
      </w:pPr>
      <w:r w:rsidRPr="00B94139">
        <w:rPr>
          <w:rFonts w:ascii="Arial" w:hAnsi="Arial" w:cs="Arial"/>
        </w:rPr>
        <w:t xml:space="preserve">Arthur, J. et al. (2012) </w:t>
      </w:r>
      <w:r w:rsidRPr="00B94139">
        <w:rPr>
          <w:rFonts w:ascii="Arial" w:hAnsi="Arial" w:cs="Arial"/>
          <w:i/>
          <w:iCs/>
        </w:rPr>
        <w:t>Research Methods and Methodologies in Education.</w:t>
      </w:r>
      <w:r w:rsidRPr="00B94139">
        <w:rPr>
          <w:rFonts w:ascii="Arial" w:hAnsi="Arial" w:cs="Arial"/>
        </w:rPr>
        <w:t xml:space="preserve"> London: SAGE. </w:t>
      </w:r>
    </w:p>
    <w:p w14:paraId="6D43845D" w14:textId="4C6436A6" w:rsidR="00B04941" w:rsidRDefault="00B04941" w:rsidP="00B04941">
      <w:pPr>
        <w:pStyle w:val="Default"/>
        <w:spacing w:line="360" w:lineRule="auto"/>
        <w:rPr>
          <w:rStyle w:val="A4"/>
          <w:rFonts w:ascii="Arial" w:hAnsi="Arial" w:cs="Arial"/>
          <w:sz w:val="22"/>
          <w:szCs w:val="22"/>
        </w:rPr>
      </w:pPr>
      <w:r w:rsidRPr="00B94139">
        <w:rPr>
          <w:rFonts w:ascii="Arial" w:hAnsi="Arial" w:cs="Arial"/>
          <w:sz w:val="22"/>
          <w:szCs w:val="22"/>
        </w:rPr>
        <w:t xml:space="preserve">BERA (2018) </w:t>
      </w:r>
      <w:r w:rsidRPr="00B94139">
        <w:rPr>
          <w:rFonts w:ascii="Arial" w:hAnsi="Arial" w:cs="Arial"/>
          <w:i/>
          <w:iCs/>
          <w:sz w:val="22"/>
          <w:szCs w:val="22"/>
        </w:rPr>
        <w:t>Ethical Guidelines for Educational Research</w:t>
      </w:r>
      <w:r w:rsidRPr="00B94139">
        <w:rPr>
          <w:rFonts w:ascii="Arial" w:hAnsi="Arial" w:cs="Arial"/>
          <w:sz w:val="22"/>
          <w:szCs w:val="22"/>
        </w:rPr>
        <w:t xml:space="preserve"> 4</w:t>
      </w:r>
      <w:r w:rsidRPr="00B94139">
        <w:rPr>
          <w:rFonts w:ascii="Arial" w:hAnsi="Arial" w:cs="Arial"/>
          <w:sz w:val="22"/>
          <w:szCs w:val="22"/>
          <w:vertAlign w:val="superscript"/>
        </w:rPr>
        <w:t>th</w:t>
      </w:r>
      <w:r w:rsidRPr="00B94139">
        <w:rPr>
          <w:rFonts w:ascii="Arial" w:hAnsi="Arial" w:cs="Arial"/>
          <w:sz w:val="22"/>
          <w:szCs w:val="22"/>
        </w:rPr>
        <w:t xml:space="preserve"> ed. London. </w:t>
      </w:r>
      <w:hyperlink r:id="rId8" w:history="1">
        <w:r w:rsidRPr="00B94139">
          <w:rPr>
            <w:rStyle w:val="Hyperlink"/>
            <w:rFonts w:ascii="Arial" w:hAnsi="Arial" w:cs="Arial"/>
            <w:sz w:val="22"/>
            <w:szCs w:val="22"/>
          </w:rPr>
          <w:t>https://www.bera.ac.uk/researchers-resources/publications/ethical-guidelines-for-educational-research-2018</w:t>
        </w:r>
      </w:hyperlink>
      <w:r w:rsidRPr="00B94139">
        <w:rPr>
          <w:rStyle w:val="A4"/>
          <w:rFonts w:ascii="Arial" w:hAnsi="Arial" w:cs="Arial"/>
          <w:sz w:val="22"/>
          <w:szCs w:val="22"/>
        </w:rPr>
        <w:t xml:space="preserve">. </w:t>
      </w:r>
    </w:p>
    <w:p w14:paraId="3B916076" w14:textId="532E66C2" w:rsidR="00A4058C" w:rsidRDefault="00A4058C" w:rsidP="00B04941">
      <w:pPr>
        <w:pStyle w:val="Default"/>
        <w:spacing w:line="360" w:lineRule="auto"/>
        <w:rPr>
          <w:rStyle w:val="A4"/>
          <w:rFonts w:ascii="Arial" w:hAnsi="Arial" w:cs="Arial"/>
          <w:sz w:val="22"/>
          <w:szCs w:val="22"/>
        </w:rPr>
      </w:pPr>
    </w:p>
    <w:p w14:paraId="3628FCCA" w14:textId="41ED28E5" w:rsidR="00A4058C" w:rsidRPr="00A4058C" w:rsidRDefault="00A4058C" w:rsidP="00A4058C">
      <w:pPr>
        <w:pStyle w:val="Default"/>
        <w:spacing w:line="360" w:lineRule="auto"/>
        <w:rPr>
          <w:rStyle w:val="A4"/>
          <w:rFonts w:ascii="Arial" w:hAnsi="Arial" w:cs="Arial"/>
          <w:sz w:val="22"/>
          <w:szCs w:val="22"/>
        </w:rPr>
      </w:pPr>
      <w:r w:rsidRPr="00A4058C">
        <w:rPr>
          <w:rFonts w:ascii="Arial" w:hAnsi="Arial" w:cs="Arial"/>
          <w:sz w:val="22"/>
          <w:szCs w:val="22"/>
        </w:rPr>
        <w:t xml:space="preserve">Bloom, B.S. (1956). </w:t>
      </w:r>
      <w:r w:rsidRPr="00A4058C">
        <w:rPr>
          <w:rFonts w:ascii="Arial" w:hAnsi="Arial" w:cs="Arial"/>
          <w:i/>
          <w:iCs/>
          <w:sz w:val="22"/>
          <w:szCs w:val="22"/>
        </w:rPr>
        <w:t>Taxonomy of educational objectives: The classification of educational goals.</w:t>
      </w:r>
      <w:r w:rsidRPr="00A4058C">
        <w:rPr>
          <w:rFonts w:ascii="Arial" w:hAnsi="Arial" w:cs="Arial"/>
          <w:sz w:val="22"/>
          <w:szCs w:val="22"/>
        </w:rPr>
        <w:t xml:space="preserve"> New York: Longmans, Green.</w:t>
      </w:r>
    </w:p>
    <w:p w14:paraId="5239D54D" w14:textId="77777777" w:rsidR="00B04941" w:rsidRPr="00B94139" w:rsidRDefault="00B04941" w:rsidP="00B04941">
      <w:pPr>
        <w:spacing w:line="360" w:lineRule="auto"/>
        <w:rPr>
          <w:rFonts w:ascii="Arial" w:hAnsi="Arial" w:cs="Arial"/>
          <w:b/>
          <w:bCs/>
          <w:u w:val="single"/>
        </w:rPr>
      </w:pPr>
    </w:p>
    <w:p w14:paraId="0FB8CC02" w14:textId="77777777" w:rsidR="00B04941" w:rsidRPr="00B94139" w:rsidRDefault="00B04941" w:rsidP="00B04941">
      <w:pPr>
        <w:pStyle w:val="Default"/>
        <w:spacing w:line="360" w:lineRule="auto"/>
        <w:rPr>
          <w:rFonts w:ascii="Arial" w:hAnsi="Arial" w:cs="Arial"/>
          <w:color w:val="333333"/>
          <w:sz w:val="22"/>
          <w:szCs w:val="22"/>
          <w:shd w:val="clear" w:color="auto" w:fill="FFFFFF"/>
        </w:rPr>
      </w:pPr>
      <w:r w:rsidRPr="00B94139">
        <w:rPr>
          <w:rFonts w:ascii="Arial" w:hAnsi="Arial" w:cs="Arial"/>
          <w:color w:val="333333"/>
          <w:sz w:val="22"/>
          <w:szCs w:val="22"/>
          <w:shd w:val="clear" w:color="auto" w:fill="FFFFFF"/>
        </w:rPr>
        <w:t xml:space="preserve">Bjork, E. and Bjork, R. (2011) ‘Making things hard on yourself, but in a good way: Creating desirable difficulties to enhance learning’, in M. A. </w:t>
      </w:r>
      <w:proofErr w:type="spellStart"/>
      <w:r w:rsidRPr="00B94139">
        <w:rPr>
          <w:rFonts w:ascii="Arial" w:hAnsi="Arial" w:cs="Arial"/>
          <w:color w:val="333333"/>
          <w:sz w:val="22"/>
          <w:szCs w:val="22"/>
          <w:shd w:val="clear" w:color="auto" w:fill="FFFFFF"/>
        </w:rPr>
        <w:t>Gernsbacher</w:t>
      </w:r>
      <w:proofErr w:type="spellEnd"/>
      <w:r w:rsidRPr="00B94139">
        <w:rPr>
          <w:rFonts w:ascii="Arial" w:hAnsi="Arial" w:cs="Arial"/>
          <w:color w:val="333333"/>
          <w:sz w:val="22"/>
          <w:szCs w:val="22"/>
          <w:shd w:val="clear" w:color="auto" w:fill="FFFFFF"/>
        </w:rPr>
        <w:t>, R. W. Pew, L. M. Hough, J. R. Pomerantz (Eds.), </w:t>
      </w:r>
      <w:r w:rsidRPr="00B94139">
        <w:rPr>
          <w:rStyle w:val="Emphasis"/>
          <w:rFonts w:ascii="Arial" w:hAnsi="Arial" w:cs="Arial"/>
          <w:color w:val="333333"/>
          <w:sz w:val="22"/>
          <w:szCs w:val="22"/>
          <w:shd w:val="clear" w:color="auto" w:fill="FFFFFF"/>
        </w:rPr>
        <w:t>Psychology and the real world: Essays illustrating fundamental contributions to society</w:t>
      </w:r>
      <w:r w:rsidRPr="00B94139">
        <w:rPr>
          <w:rFonts w:ascii="Arial" w:hAnsi="Arial" w:cs="Arial"/>
          <w:color w:val="333333"/>
          <w:sz w:val="22"/>
          <w:szCs w:val="22"/>
          <w:shd w:val="clear" w:color="auto" w:fill="FFFFFF"/>
        </w:rPr>
        <w:t> (pp. 56-64). New York: Worth.  </w:t>
      </w:r>
    </w:p>
    <w:p w14:paraId="3F7724D2" w14:textId="77777777" w:rsidR="00B04941" w:rsidRPr="00B94139" w:rsidRDefault="00B04941" w:rsidP="00B04941">
      <w:pPr>
        <w:spacing w:line="360" w:lineRule="auto"/>
        <w:rPr>
          <w:rFonts w:ascii="Arial" w:hAnsi="Arial" w:cs="Arial"/>
          <w:b/>
          <w:bCs/>
          <w:u w:val="single"/>
        </w:rPr>
      </w:pPr>
    </w:p>
    <w:p w14:paraId="58CC59B0" w14:textId="77777777" w:rsidR="00B04941" w:rsidRPr="00B94139" w:rsidRDefault="00B04941" w:rsidP="00B04941">
      <w:pPr>
        <w:spacing w:line="360" w:lineRule="auto"/>
        <w:rPr>
          <w:rFonts w:ascii="Arial" w:hAnsi="Arial" w:cs="Arial"/>
        </w:rPr>
      </w:pPr>
      <w:r w:rsidRPr="00B94139">
        <w:rPr>
          <w:rFonts w:ascii="Arial" w:hAnsi="Arial" w:cs="Arial"/>
        </w:rPr>
        <w:t xml:space="preserve">Brookfield, S.D. (1995) </w:t>
      </w:r>
      <w:r w:rsidRPr="00B94139">
        <w:rPr>
          <w:rFonts w:ascii="Arial" w:hAnsi="Arial" w:cs="Arial"/>
          <w:i/>
          <w:iCs/>
        </w:rPr>
        <w:t>Becoming a critically reflective teacher</w:t>
      </w:r>
      <w:r w:rsidRPr="00B94139">
        <w:rPr>
          <w:rFonts w:ascii="Arial" w:hAnsi="Arial" w:cs="Arial"/>
        </w:rPr>
        <w:t xml:space="preserve">. San Francisco: Jossey-Bass. </w:t>
      </w:r>
    </w:p>
    <w:p w14:paraId="3299A721" w14:textId="77777777" w:rsidR="00B04941" w:rsidRPr="00B94139" w:rsidRDefault="00B04941" w:rsidP="00B04941">
      <w:pPr>
        <w:pStyle w:val="Default"/>
        <w:spacing w:line="360" w:lineRule="auto"/>
        <w:rPr>
          <w:rFonts w:ascii="Arial" w:hAnsi="Arial" w:cs="Arial"/>
          <w:sz w:val="22"/>
          <w:szCs w:val="22"/>
          <w:shd w:val="clear" w:color="auto" w:fill="FFFFFF"/>
        </w:rPr>
      </w:pPr>
      <w:r w:rsidRPr="00B94139">
        <w:rPr>
          <w:rFonts w:ascii="Arial" w:hAnsi="Arial" w:cs="Arial"/>
          <w:sz w:val="22"/>
          <w:szCs w:val="22"/>
        </w:rPr>
        <w:t xml:space="preserve">Bruner, J. (1978). ‘The role of dialogue in Language Acquisition’, </w:t>
      </w:r>
      <w:r w:rsidRPr="00B94139">
        <w:rPr>
          <w:rFonts w:ascii="Arial" w:hAnsi="Arial" w:cs="Arial"/>
          <w:sz w:val="22"/>
          <w:szCs w:val="22"/>
          <w:shd w:val="clear" w:color="auto" w:fill="FFFFFF"/>
        </w:rPr>
        <w:t xml:space="preserve">in A. Sinclair, R. J. </w:t>
      </w:r>
      <w:proofErr w:type="spellStart"/>
      <w:r w:rsidRPr="00B94139">
        <w:rPr>
          <w:rFonts w:ascii="Arial" w:hAnsi="Arial" w:cs="Arial"/>
          <w:sz w:val="22"/>
          <w:szCs w:val="22"/>
          <w:shd w:val="clear" w:color="auto" w:fill="FFFFFF"/>
        </w:rPr>
        <w:t>Jarvelle</w:t>
      </w:r>
      <w:proofErr w:type="spellEnd"/>
      <w:r w:rsidRPr="00B94139">
        <w:rPr>
          <w:rFonts w:ascii="Arial" w:hAnsi="Arial" w:cs="Arial"/>
          <w:sz w:val="22"/>
          <w:szCs w:val="22"/>
          <w:shd w:val="clear" w:color="auto" w:fill="FFFFFF"/>
        </w:rPr>
        <w:t xml:space="preserve">, &amp; W. J. M. </w:t>
      </w:r>
      <w:proofErr w:type="spellStart"/>
      <w:r w:rsidRPr="00B94139">
        <w:rPr>
          <w:rFonts w:ascii="Arial" w:hAnsi="Arial" w:cs="Arial"/>
          <w:sz w:val="22"/>
          <w:szCs w:val="22"/>
          <w:shd w:val="clear" w:color="auto" w:fill="FFFFFF"/>
        </w:rPr>
        <w:t>Levelt</w:t>
      </w:r>
      <w:proofErr w:type="spellEnd"/>
      <w:r w:rsidRPr="00B94139">
        <w:rPr>
          <w:rFonts w:ascii="Arial" w:hAnsi="Arial" w:cs="Arial"/>
          <w:sz w:val="22"/>
          <w:szCs w:val="22"/>
          <w:shd w:val="clear" w:color="auto" w:fill="FFFFFF"/>
        </w:rPr>
        <w:t xml:space="preserve"> (Eds.), </w:t>
      </w:r>
      <w:r w:rsidRPr="00B94139">
        <w:rPr>
          <w:rFonts w:ascii="Arial" w:hAnsi="Arial" w:cs="Arial"/>
          <w:i/>
          <w:iCs/>
          <w:sz w:val="22"/>
          <w:szCs w:val="22"/>
          <w:shd w:val="clear" w:color="auto" w:fill="FFFFFF"/>
        </w:rPr>
        <w:t>The Child’s Concept of Language</w:t>
      </w:r>
      <w:r w:rsidRPr="00B94139">
        <w:rPr>
          <w:rFonts w:ascii="Arial" w:hAnsi="Arial" w:cs="Arial"/>
          <w:sz w:val="22"/>
          <w:szCs w:val="22"/>
          <w:shd w:val="clear" w:color="auto" w:fill="FFFFFF"/>
        </w:rPr>
        <w:t>. New York: Springer-Verlag.</w:t>
      </w:r>
    </w:p>
    <w:p w14:paraId="4BAD6FEF" w14:textId="77777777" w:rsidR="00B04941" w:rsidRPr="00B94139" w:rsidRDefault="00B04941" w:rsidP="00B04941">
      <w:pPr>
        <w:spacing w:line="360" w:lineRule="auto"/>
        <w:rPr>
          <w:rFonts w:ascii="Arial" w:hAnsi="Arial" w:cs="Arial"/>
        </w:rPr>
      </w:pPr>
    </w:p>
    <w:p w14:paraId="57AC0096" w14:textId="77777777" w:rsidR="00B04941" w:rsidRPr="00B94139" w:rsidRDefault="00B04941" w:rsidP="00B04941">
      <w:pPr>
        <w:spacing w:line="360" w:lineRule="auto"/>
        <w:rPr>
          <w:rFonts w:ascii="Arial" w:hAnsi="Arial" w:cs="Arial"/>
        </w:rPr>
      </w:pPr>
    </w:p>
    <w:p w14:paraId="7C9F4F62" w14:textId="322F1A0D" w:rsidR="00B04941" w:rsidRDefault="00B04941" w:rsidP="00B04941">
      <w:pPr>
        <w:autoSpaceDE w:val="0"/>
        <w:autoSpaceDN w:val="0"/>
        <w:adjustRightInd w:val="0"/>
        <w:spacing w:after="0" w:line="360" w:lineRule="auto"/>
        <w:rPr>
          <w:rFonts w:ascii="Arial" w:hAnsi="Arial" w:cs="Arial"/>
          <w:color w:val="000000"/>
        </w:rPr>
      </w:pPr>
      <w:proofErr w:type="spellStart"/>
      <w:r w:rsidRPr="00B94139">
        <w:rPr>
          <w:rFonts w:ascii="Arial" w:hAnsi="Arial" w:cs="Arial"/>
          <w:color w:val="000000"/>
        </w:rPr>
        <w:t>Cazden</w:t>
      </w:r>
      <w:proofErr w:type="spellEnd"/>
      <w:r w:rsidRPr="00B94139">
        <w:rPr>
          <w:rFonts w:ascii="Arial" w:hAnsi="Arial" w:cs="Arial"/>
          <w:color w:val="000000"/>
        </w:rPr>
        <w:t>, C. (1992), Review of ‘</w:t>
      </w:r>
      <w:r w:rsidRPr="00B94139">
        <w:rPr>
          <w:rFonts w:ascii="Arial" w:hAnsi="Arial" w:cs="Arial"/>
          <w:i/>
          <w:iCs/>
        </w:rPr>
        <w:t>Talking Science: Language, Learning and Values</w:t>
      </w:r>
      <w:r w:rsidRPr="00B94139">
        <w:rPr>
          <w:rFonts w:ascii="Arial" w:hAnsi="Arial" w:cs="Arial"/>
          <w:color w:val="000000"/>
        </w:rPr>
        <w:t xml:space="preserve">’, by Jay Lemke, </w:t>
      </w:r>
      <w:r w:rsidRPr="00B94139">
        <w:rPr>
          <w:rFonts w:ascii="Arial" w:hAnsi="Arial" w:cs="Arial"/>
          <w:i/>
          <w:iCs/>
          <w:color w:val="000000"/>
        </w:rPr>
        <w:t>Language in Society</w:t>
      </w:r>
      <w:r w:rsidRPr="00B94139">
        <w:rPr>
          <w:rFonts w:ascii="Arial" w:hAnsi="Arial" w:cs="Arial"/>
          <w:color w:val="000000"/>
        </w:rPr>
        <w:t xml:space="preserve">, 21 (1), pp. 123-128. </w:t>
      </w:r>
    </w:p>
    <w:p w14:paraId="54072875" w14:textId="31A7F223" w:rsidR="00121A32" w:rsidRDefault="00121A32" w:rsidP="00B04941">
      <w:pPr>
        <w:autoSpaceDE w:val="0"/>
        <w:autoSpaceDN w:val="0"/>
        <w:adjustRightInd w:val="0"/>
        <w:spacing w:after="0" w:line="360" w:lineRule="auto"/>
        <w:rPr>
          <w:rFonts w:ascii="Arial" w:hAnsi="Arial" w:cs="Arial"/>
          <w:color w:val="000000"/>
        </w:rPr>
      </w:pPr>
    </w:p>
    <w:p w14:paraId="220B86EB" w14:textId="77777777" w:rsidR="00121A32" w:rsidRPr="00121A32" w:rsidRDefault="00121A32" w:rsidP="00121A32">
      <w:pPr>
        <w:autoSpaceDE w:val="0"/>
        <w:autoSpaceDN w:val="0"/>
        <w:adjustRightInd w:val="0"/>
        <w:spacing w:after="0" w:line="240" w:lineRule="auto"/>
        <w:rPr>
          <w:rFonts w:ascii="Verdana" w:hAnsi="Verdana" w:cs="Verdana"/>
          <w:color w:val="000000"/>
          <w:sz w:val="24"/>
          <w:szCs w:val="24"/>
        </w:rPr>
      </w:pPr>
    </w:p>
    <w:p w14:paraId="1300F632" w14:textId="388FF4EA" w:rsidR="00121A32" w:rsidRPr="00121A32" w:rsidRDefault="00121A32" w:rsidP="00121A32">
      <w:pPr>
        <w:autoSpaceDE w:val="0"/>
        <w:autoSpaceDN w:val="0"/>
        <w:adjustRightInd w:val="0"/>
        <w:spacing w:after="0" w:line="360" w:lineRule="auto"/>
        <w:rPr>
          <w:rFonts w:ascii="Arial" w:hAnsi="Arial" w:cs="Arial"/>
          <w:color w:val="000000"/>
        </w:rPr>
      </w:pPr>
      <w:proofErr w:type="spellStart"/>
      <w:r w:rsidRPr="00121A32">
        <w:rPr>
          <w:rFonts w:ascii="Arial" w:hAnsi="Arial" w:cs="Arial"/>
        </w:rPr>
        <w:t>Cazden</w:t>
      </w:r>
      <w:proofErr w:type="spellEnd"/>
      <w:r w:rsidRPr="00121A32">
        <w:rPr>
          <w:rFonts w:ascii="Arial" w:hAnsi="Arial" w:cs="Arial"/>
        </w:rPr>
        <w:t>, C.</w:t>
      </w:r>
      <w:r w:rsidRPr="00121A32">
        <w:rPr>
          <w:rFonts w:ascii="Arial" w:hAnsi="Arial" w:cs="Arial"/>
        </w:rPr>
        <w:t xml:space="preserve"> </w:t>
      </w:r>
      <w:r w:rsidRPr="00121A32">
        <w:rPr>
          <w:rFonts w:ascii="Arial" w:hAnsi="Arial" w:cs="Arial"/>
        </w:rPr>
        <w:t xml:space="preserve">(2001) </w:t>
      </w:r>
      <w:r w:rsidRPr="00121A32">
        <w:rPr>
          <w:rFonts w:ascii="Arial" w:hAnsi="Arial" w:cs="Arial"/>
          <w:i/>
          <w:iCs/>
        </w:rPr>
        <w:t xml:space="preserve">Classroom Discourse: The Language of Teaching and Learning. </w:t>
      </w:r>
      <w:r w:rsidRPr="00121A32">
        <w:rPr>
          <w:rFonts w:ascii="Arial" w:hAnsi="Arial" w:cs="Arial"/>
        </w:rPr>
        <w:t>Portsmouth</w:t>
      </w:r>
      <w:r w:rsidRPr="00121A32">
        <w:rPr>
          <w:rFonts w:ascii="Arial" w:hAnsi="Arial" w:cs="Arial"/>
        </w:rPr>
        <w:t xml:space="preserve">: </w:t>
      </w:r>
      <w:r w:rsidRPr="00121A32">
        <w:rPr>
          <w:rFonts w:ascii="Arial" w:hAnsi="Arial" w:cs="Arial"/>
        </w:rPr>
        <w:t>Heinemann.</w:t>
      </w:r>
    </w:p>
    <w:p w14:paraId="06B55B17" w14:textId="77777777" w:rsidR="00B04941" w:rsidRPr="00B94139" w:rsidRDefault="00B04941" w:rsidP="00B04941">
      <w:pPr>
        <w:autoSpaceDE w:val="0"/>
        <w:autoSpaceDN w:val="0"/>
        <w:adjustRightInd w:val="0"/>
        <w:spacing w:after="0" w:line="360" w:lineRule="auto"/>
        <w:rPr>
          <w:rFonts w:ascii="Arial" w:hAnsi="Arial" w:cs="Arial"/>
          <w:color w:val="000000"/>
        </w:rPr>
      </w:pPr>
    </w:p>
    <w:p w14:paraId="767437D3" w14:textId="11E1AB2F" w:rsidR="00B04941" w:rsidRPr="00B94139" w:rsidRDefault="00B04941" w:rsidP="00B04941">
      <w:pPr>
        <w:spacing w:line="360" w:lineRule="auto"/>
        <w:rPr>
          <w:rFonts w:ascii="Arial" w:hAnsi="Arial" w:cs="Arial"/>
        </w:rPr>
      </w:pPr>
      <w:r w:rsidRPr="00B94139">
        <w:rPr>
          <w:rFonts w:ascii="Arial" w:hAnsi="Arial" w:cs="Arial"/>
        </w:rPr>
        <w:t>Cohen, L., Manion, L., &amp; Morrison, K. (201</w:t>
      </w:r>
      <w:r w:rsidR="005E4643">
        <w:rPr>
          <w:rFonts w:ascii="Arial" w:hAnsi="Arial" w:cs="Arial"/>
        </w:rPr>
        <w:t>1</w:t>
      </w:r>
      <w:r w:rsidRPr="00B94139">
        <w:rPr>
          <w:rFonts w:ascii="Arial" w:hAnsi="Arial" w:cs="Arial"/>
        </w:rPr>
        <w:t xml:space="preserve">) </w:t>
      </w:r>
      <w:r w:rsidRPr="00B94139">
        <w:rPr>
          <w:rFonts w:ascii="Arial" w:hAnsi="Arial" w:cs="Arial"/>
          <w:i/>
          <w:iCs/>
        </w:rPr>
        <w:t>Research Methods in Education</w:t>
      </w:r>
      <w:r w:rsidR="005E4643">
        <w:rPr>
          <w:rFonts w:ascii="Arial" w:hAnsi="Arial" w:cs="Arial"/>
        </w:rPr>
        <w:t>, 7</w:t>
      </w:r>
      <w:r w:rsidR="005E4643" w:rsidRPr="005E4643">
        <w:rPr>
          <w:rFonts w:ascii="Arial" w:hAnsi="Arial" w:cs="Arial"/>
          <w:vertAlign w:val="superscript"/>
        </w:rPr>
        <w:t>th</w:t>
      </w:r>
      <w:r w:rsidR="005E4643">
        <w:rPr>
          <w:rFonts w:ascii="Arial" w:hAnsi="Arial" w:cs="Arial"/>
        </w:rPr>
        <w:t xml:space="preserve"> ed</w:t>
      </w:r>
      <w:r w:rsidR="008E0012">
        <w:rPr>
          <w:rFonts w:ascii="Arial" w:hAnsi="Arial" w:cs="Arial"/>
        </w:rPr>
        <w:t>.</w:t>
      </w:r>
      <w:r w:rsidRPr="00B94139">
        <w:rPr>
          <w:rFonts w:ascii="Arial" w:hAnsi="Arial" w:cs="Arial"/>
        </w:rPr>
        <w:t xml:space="preserve"> London: Routledge. </w:t>
      </w:r>
    </w:p>
    <w:p w14:paraId="638E9BE0" w14:textId="77777777" w:rsidR="00B04941" w:rsidRPr="00B94139" w:rsidRDefault="00B04941" w:rsidP="00B04941">
      <w:pPr>
        <w:pStyle w:val="Default"/>
        <w:spacing w:line="360" w:lineRule="auto"/>
        <w:rPr>
          <w:sz w:val="22"/>
          <w:szCs w:val="22"/>
        </w:rPr>
      </w:pPr>
      <w:r w:rsidRPr="00B94139">
        <w:rPr>
          <w:rFonts w:ascii="Arial" w:hAnsi="Arial" w:cs="Arial"/>
          <w:sz w:val="22"/>
          <w:szCs w:val="22"/>
        </w:rPr>
        <w:t xml:space="preserve">Cook, L. (1994) Review of ‘Critical Incidents in Teaching’, by David Tripp, </w:t>
      </w:r>
      <w:r w:rsidRPr="00B94139">
        <w:rPr>
          <w:rFonts w:ascii="Arial" w:hAnsi="Arial" w:cs="Arial"/>
          <w:i/>
          <w:iCs/>
          <w:sz w:val="22"/>
          <w:szCs w:val="22"/>
        </w:rPr>
        <w:t>British Journal of Educational Studies,</w:t>
      </w:r>
      <w:r w:rsidRPr="00B94139">
        <w:rPr>
          <w:rFonts w:ascii="Arial" w:hAnsi="Arial" w:cs="Arial"/>
          <w:sz w:val="22"/>
          <w:szCs w:val="22"/>
        </w:rPr>
        <w:t xml:space="preserve"> 42 (4), pp. 407-409. </w:t>
      </w:r>
    </w:p>
    <w:p w14:paraId="70FED4E3" w14:textId="77777777" w:rsidR="00B04941" w:rsidRPr="00B94139" w:rsidRDefault="00B04941" w:rsidP="00B04941">
      <w:pPr>
        <w:pStyle w:val="Default"/>
        <w:spacing w:line="360" w:lineRule="auto"/>
        <w:rPr>
          <w:rFonts w:ascii="Arial" w:hAnsi="Arial" w:cs="Arial"/>
          <w:sz w:val="22"/>
          <w:szCs w:val="22"/>
        </w:rPr>
      </w:pPr>
    </w:p>
    <w:p w14:paraId="7B39F39C" w14:textId="77777777" w:rsidR="00B04941" w:rsidRPr="00B94139" w:rsidRDefault="00B04941" w:rsidP="00B04941">
      <w:pPr>
        <w:spacing w:line="360" w:lineRule="auto"/>
        <w:rPr>
          <w:rStyle w:val="normaltextrun"/>
          <w:rFonts w:ascii="Arial" w:hAnsi="Arial" w:cs="Arial"/>
          <w:shd w:val="clear" w:color="auto" w:fill="FFFFFF"/>
        </w:rPr>
      </w:pPr>
      <w:proofErr w:type="spellStart"/>
      <w:r w:rsidRPr="00B94139">
        <w:rPr>
          <w:rStyle w:val="normaltextrun"/>
          <w:rFonts w:ascii="Arial" w:hAnsi="Arial" w:cs="Arial"/>
          <w:shd w:val="clear" w:color="auto" w:fill="FFFFFF"/>
        </w:rPr>
        <w:t>Denby</w:t>
      </w:r>
      <w:proofErr w:type="spellEnd"/>
      <w:r w:rsidRPr="00B94139">
        <w:rPr>
          <w:rStyle w:val="normaltextrun"/>
          <w:rFonts w:ascii="Arial" w:hAnsi="Arial" w:cs="Arial"/>
          <w:shd w:val="clear" w:color="auto" w:fill="FFFFFF"/>
        </w:rPr>
        <w:t>, N.  (2015). </w:t>
      </w:r>
      <w:r w:rsidRPr="00B94139">
        <w:rPr>
          <w:rStyle w:val="normaltextrun"/>
          <w:rFonts w:ascii="Arial" w:hAnsi="Arial" w:cs="Arial"/>
          <w:i/>
          <w:iCs/>
          <w:shd w:val="clear" w:color="auto" w:fill="FFFFFF"/>
        </w:rPr>
        <w:t>Training to Teach: A Guide for Students</w:t>
      </w:r>
      <w:r w:rsidRPr="00B94139">
        <w:rPr>
          <w:rStyle w:val="normaltextrun"/>
          <w:rFonts w:ascii="Arial" w:hAnsi="Arial" w:cs="Arial"/>
          <w:shd w:val="clear" w:color="auto" w:fill="FFFFFF"/>
        </w:rPr>
        <w:t xml:space="preserve">. London:  Sage.  </w:t>
      </w:r>
    </w:p>
    <w:p w14:paraId="79439E48" w14:textId="77777777" w:rsidR="00B04941" w:rsidRPr="00B94139" w:rsidRDefault="00B04941" w:rsidP="00B04941">
      <w:pPr>
        <w:spacing w:line="360" w:lineRule="auto"/>
        <w:rPr>
          <w:rStyle w:val="normaltextrun"/>
          <w:rFonts w:ascii="Arial" w:hAnsi="Arial" w:cs="Arial"/>
          <w:shd w:val="clear" w:color="auto" w:fill="FFFFFF"/>
        </w:rPr>
      </w:pPr>
    </w:p>
    <w:p w14:paraId="321C1EAD" w14:textId="77777777" w:rsidR="00B04941" w:rsidRPr="00B94139" w:rsidRDefault="00B04941" w:rsidP="00B04941">
      <w:pPr>
        <w:spacing w:line="360" w:lineRule="auto"/>
        <w:rPr>
          <w:rFonts w:ascii="Arial" w:hAnsi="Arial" w:cs="Arial"/>
        </w:rPr>
      </w:pPr>
      <w:proofErr w:type="spellStart"/>
      <w:r w:rsidRPr="00B94139">
        <w:rPr>
          <w:rFonts w:ascii="Arial" w:hAnsi="Arial" w:cs="Arial"/>
        </w:rPr>
        <w:t>Didau</w:t>
      </w:r>
      <w:proofErr w:type="spellEnd"/>
      <w:r w:rsidRPr="00B94139">
        <w:rPr>
          <w:rFonts w:ascii="Arial" w:hAnsi="Arial" w:cs="Arial"/>
        </w:rPr>
        <w:t xml:space="preserve">, D. (2015) </w:t>
      </w:r>
      <w:r w:rsidRPr="00B94139">
        <w:rPr>
          <w:rFonts w:ascii="Arial" w:hAnsi="Arial" w:cs="Arial"/>
          <w:i/>
          <w:iCs/>
        </w:rPr>
        <w:t xml:space="preserve">What if everything you knew about education was </w:t>
      </w:r>
      <w:proofErr w:type="gramStart"/>
      <w:r w:rsidRPr="00B94139">
        <w:rPr>
          <w:rFonts w:ascii="Arial" w:hAnsi="Arial" w:cs="Arial"/>
          <w:i/>
          <w:iCs/>
        </w:rPr>
        <w:t>wrong?.</w:t>
      </w:r>
      <w:proofErr w:type="gramEnd"/>
      <w:r w:rsidRPr="00B94139">
        <w:rPr>
          <w:rFonts w:ascii="Arial" w:hAnsi="Arial" w:cs="Arial"/>
        </w:rPr>
        <w:t xml:space="preserve"> Carmarthen: Crown Publishing House Ltd. </w:t>
      </w:r>
    </w:p>
    <w:p w14:paraId="7BD1A9B0" w14:textId="77777777" w:rsidR="00B04941" w:rsidRPr="00B94139" w:rsidRDefault="00B04941" w:rsidP="00B04941">
      <w:pPr>
        <w:spacing w:line="360" w:lineRule="auto"/>
        <w:rPr>
          <w:rFonts w:ascii="Arial" w:hAnsi="Arial" w:cs="Arial"/>
        </w:rPr>
      </w:pPr>
    </w:p>
    <w:p w14:paraId="3567B2C9" w14:textId="77777777" w:rsidR="00B04941" w:rsidRPr="00B94139" w:rsidRDefault="00B04941" w:rsidP="00B04941">
      <w:pPr>
        <w:spacing w:line="360" w:lineRule="auto"/>
        <w:rPr>
          <w:rStyle w:val="Hyperlink"/>
          <w:rFonts w:ascii="Arial" w:eastAsia="Calibri" w:hAnsi="Arial" w:cs="Arial"/>
          <w:b/>
          <w:bCs/>
        </w:rPr>
      </w:pPr>
      <w:r w:rsidRPr="00B94139">
        <w:rPr>
          <w:rFonts w:ascii="Arial" w:hAnsi="Arial" w:cs="Arial"/>
        </w:rPr>
        <w:t xml:space="preserve">Donaldson, D. (2015) Successful Futures: Independent review of curriculum and assessment arrangements in Wales. Available at: </w:t>
      </w:r>
      <w:hyperlink r:id="rId9">
        <w:r w:rsidRPr="00B94139">
          <w:rPr>
            <w:rStyle w:val="Hyperlink"/>
            <w:rFonts w:ascii="Arial" w:eastAsia="Calibri" w:hAnsi="Arial" w:cs="Arial"/>
            <w:b/>
            <w:bCs/>
          </w:rPr>
          <w:t>https://gov.wales/docs/dcells/publications/150225-successful-futures-en.pdf</w:t>
        </w:r>
      </w:hyperlink>
      <w:r w:rsidRPr="00B94139">
        <w:rPr>
          <w:rStyle w:val="Hyperlink"/>
          <w:rFonts w:ascii="Arial" w:eastAsia="Calibri" w:hAnsi="Arial" w:cs="Arial"/>
          <w:b/>
          <w:bCs/>
        </w:rPr>
        <w:t xml:space="preserve">. </w:t>
      </w:r>
    </w:p>
    <w:p w14:paraId="66428795" w14:textId="77777777" w:rsidR="00B04941" w:rsidRPr="00B94139" w:rsidRDefault="00B04941" w:rsidP="00B04941">
      <w:pPr>
        <w:pStyle w:val="Default"/>
        <w:spacing w:line="360" w:lineRule="auto"/>
        <w:rPr>
          <w:rFonts w:ascii="Arial" w:hAnsi="Arial" w:cs="Arial"/>
          <w:sz w:val="22"/>
          <w:szCs w:val="22"/>
        </w:rPr>
      </w:pPr>
    </w:p>
    <w:p w14:paraId="215852AC" w14:textId="77777777" w:rsidR="00B04941" w:rsidRPr="00B94139" w:rsidRDefault="00B04941" w:rsidP="00B04941">
      <w:pPr>
        <w:pStyle w:val="Default"/>
        <w:spacing w:line="360" w:lineRule="auto"/>
        <w:rPr>
          <w:rFonts w:ascii="Arial" w:hAnsi="Arial" w:cs="Arial"/>
          <w:sz w:val="22"/>
          <w:szCs w:val="22"/>
        </w:rPr>
      </w:pPr>
      <w:r w:rsidRPr="00B94139">
        <w:rPr>
          <w:rFonts w:ascii="Arial" w:hAnsi="Arial" w:cs="Arial"/>
          <w:sz w:val="22"/>
          <w:szCs w:val="22"/>
        </w:rPr>
        <w:t xml:space="preserve">Egan et al (2018) </w:t>
      </w:r>
      <w:r w:rsidRPr="00B94139">
        <w:rPr>
          <w:rFonts w:ascii="Arial" w:hAnsi="Arial" w:cs="Arial"/>
          <w:i/>
          <w:iCs/>
          <w:sz w:val="22"/>
          <w:szCs w:val="22"/>
        </w:rPr>
        <w:t>Research to Support the National Professional Learning Approach for Wales, Area 9: Schools as Learning Organisations and the Welsh Government Professional Standards</w:t>
      </w:r>
      <w:r w:rsidRPr="00B94139">
        <w:rPr>
          <w:rFonts w:ascii="Arial" w:hAnsi="Arial" w:cs="Arial"/>
          <w:sz w:val="22"/>
          <w:szCs w:val="22"/>
        </w:rPr>
        <w:t xml:space="preserve">. Cardiff: Cardiff and Cardiff Metropolitan University. </w:t>
      </w:r>
    </w:p>
    <w:p w14:paraId="54684768" w14:textId="77777777" w:rsidR="00B04941" w:rsidRPr="00B94139" w:rsidRDefault="00B04941" w:rsidP="00B04941">
      <w:pPr>
        <w:pStyle w:val="Default"/>
        <w:spacing w:line="360" w:lineRule="auto"/>
        <w:rPr>
          <w:rFonts w:ascii="Arial" w:hAnsi="Arial" w:cs="Arial"/>
          <w:sz w:val="22"/>
          <w:szCs w:val="22"/>
        </w:rPr>
      </w:pPr>
      <w:r w:rsidRPr="00B94139">
        <w:rPr>
          <w:rFonts w:ascii="Arial" w:hAnsi="Arial" w:cs="Arial"/>
          <w:sz w:val="22"/>
          <w:szCs w:val="22"/>
        </w:rPr>
        <w:t xml:space="preserve">Available at: </w:t>
      </w:r>
      <w:hyperlink r:id="rId10" w:history="1">
        <w:r w:rsidRPr="00B94139">
          <w:rPr>
            <w:rStyle w:val="Hyperlink"/>
            <w:rFonts w:ascii="Arial" w:hAnsi="Arial" w:cs="Arial"/>
            <w:sz w:val="22"/>
            <w:szCs w:val="22"/>
          </w:rPr>
          <w:t>https://repository.cardiffmet.ac.uk/bitstream/handle/10369/10438/Report.pdf?sequence=1&amp;isAllowed=y</w:t>
        </w:r>
      </w:hyperlink>
      <w:r w:rsidRPr="00B94139">
        <w:rPr>
          <w:rFonts w:ascii="Arial" w:hAnsi="Arial" w:cs="Arial"/>
          <w:sz w:val="22"/>
          <w:szCs w:val="22"/>
        </w:rPr>
        <w:t xml:space="preserve">. </w:t>
      </w:r>
    </w:p>
    <w:p w14:paraId="3F884017" w14:textId="77777777" w:rsidR="00B04941" w:rsidRPr="00B94139" w:rsidRDefault="00B04941" w:rsidP="00B04941">
      <w:pPr>
        <w:autoSpaceDE w:val="0"/>
        <w:autoSpaceDN w:val="0"/>
        <w:adjustRightInd w:val="0"/>
        <w:spacing w:after="0" w:line="360" w:lineRule="auto"/>
        <w:rPr>
          <w:rFonts w:ascii="Arial" w:hAnsi="Arial" w:cs="Arial"/>
        </w:rPr>
      </w:pPr>
    </w:p>
    <w:p w14:paraId="690F8DFE"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Estyn (2004) </w:t>
      </w:r>
      <w:r w:rsidRPr="00B94139">
        <w:rPr>
          <w:rFonts w:ascii="Arial" w:hAnsi="Arial" w:cs="Arial"/>
          <w:i/>
          <w:iCs/>
        </w:rPr>
        <w:t>Effective classroom observations in primary and secondary schools</w:t>
      </w:r>
      <w:r w:rsidRPr="00B94139">
        <w:rPr>
          <w:rFonts w:ascii="Arial" w:hAnsi="Arial" w:cs="Arial"/>
        </w:rPr>
        <w:t xml:space="preserve">. Cardiff: Her Majesty’s Inspectorate for Training and Education in Wales. </w:t>
      </w:r>
    </w:p>
    <w:p w14:paraId="14C728BC" w14:textId="77777777" w:rsidR="00B04941" w:rsidRPr="00B94139" w:rsidRDefault="00B04941" w:rsidP="00B04941">
      <w:pPr>
        <w:autoSpaceDE w:val="0"/>
        <w:autoSpaceDN w:val="0"/>
        <w:adjustRightInd w:val="0"/>
        <w:spacing w:after="0" w:line="360" w:lineRule="auto"/>
        <w:rPr>
          <w:rFonts w:ascii="Arial" w:hAnsi="Arial" w:cs="Arial"/>
        </w:rPr>
      </w:pPr>
    </w:p>
    <w:p w14:paraId="37727782"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lastRenderedPageBreak/>
        <w:t xml:space="preserve">Estyn (2017), </w:t>
      </w:r>
      <w:r w:rsidRPr="00B94139">
        <w:rPr>
          <w:rFonts w:ascii="Arial" w:hAnsi="Arial" w:cs="Arial"/>
          <w:i/>
          <w:iCs/>
        </w:rPr>
        <w:t>Inspection report of ‘School Z’</w:t>
      </w:r>
      <w:r w:rsidRPr="00B94139">
        <w:rPr>
          <w:rFonts w:ascii="Arial" w:hAnsi="Arial" w:cs="Arial"/>
        </w:rPr>
        <w:t xml:space="preserve">. Cardiff: </w:t>
      </w:r>
      <w:r w:rsidRPr="00B94139">
        <w:rPr>
          <w:rFonts w:ascii="Arial" w:hAnsi="Arial" w:cs="Arial"/>
          <w:i/>
          <w:iCs/>
        </w:rPr>
        <w:t>Her Majesty’s Inspectorate for Training and Education in Wales</w:t>
      </w:r>
      <w:r w:rsidRPr="00B94139">
        <w:rPr>
          <w:rFonts w:ascii="Arial" w:hAnsi="Arial" w:cs="Arial"/>
        </w:rPr>
        <w:t xml:space="preserve">. </w:t>
      </w:r>
      <w:r w:rsidRPr="00B94139">
        <w:rPr>
          <w:rFonts w:ascii="Arial" w:hAnsi="Arial" w:cs="Arial"/>
        </w:rPr>
        <w:br/>
        <w:t xml:space="preserve">Available at: </w:t>
      </w:r>
      <w:hyperlink r:id="rId11" w:history="1">
        <w:r w:rsidRPr="00B94139">
          <w:rPr>
            <w:rStyle w:val="Hyperlink"/>
            <w:rFonts w:ascii="Arial" w:hAnsi="Arial" w:cs="Arial"/>
          </w:rPr>
          <w:t>https://www.estyn.gov.wales/provider/fitzalan-high-school</w:t>
        </w:r>
      </w:hyperlink>
      <w:r w:rsidRPr="00B94139">
        <w:rPr>
          <w:rFonts w:ascii="Arial" w:hAnsi="Arial" w:cs="Arial"/>
        </w:rPr>
        <w:t xml:space="preserve">. </w:t>
      </w:r>
    </w:p>
    <w:p w14:paraId="3D5F8D72" w14:textId="77777777" w:rsidR="00B04941" w:rsidRPr="00B94139" w:rsidRDefault="00B04941" w:rsidP="00B04941">
      <w:pPr>
        <w:autoSpaceDE w:val="0"/>
        <w:autoSpaceDN w:val="0"/>
        <w:adjustRightInd w:val="0"/>
        <w:spacing w:after="0" w:line="360" w:lineRule="auto"/>
        <w:rPr>
          <w:rFonts w:ascii="Arial" w:hAnsi="Arial" w:cs="Arial"/>
        </w:rPr>
      </w:pPr>
    </w:p>
    <w:p w14:paraId="15C21260" w14:textId="77777777" w:rsidR="00B04941" w:rsidRPr="00B94139" w:rsidRDefault="00B04941" w:rsidP="00B04941">
      <w:pPr>
        <w:pStyle w:val="Default"/>
        <w:spacing w:line="360" w:lineRule="auto"/>
        <w:rPr>
          <w:rFonts w:ascii="Arial" w:hAnsi="Arial" w:cs="Arial"/>
          <w:color w:val="333333"/>
          <w:sz w:val="22"/>
          <w:szCs w:val="22"/>
          <w:shd w:val="clear" w:color="auto" w:fill="FFFFFF"/>
        </w:rPr>
      </w:pPr>
      <w:r w:rsidRPr="00B94139">
        <w:rPr>
          <w:rFonts w:ascii="Arial" w:hAnsi="Arial" w:cs="Arial"/>
          <w:color w:val="333333"/>
          <w:sz w:val="22"/>
          <w:szCs w:val="22"/>
          <w:shd w:val="clear" w:color="auto" w:fill="FFFFFF"/>
        </w:rPr>
        <w:t xml:space="preserve">EWC (2019), </w:t>
      </w:r>
      <w:r w:rsidRPr="00B94139">
        <w:rPr>
          <w:rFonts w:ascii="Arial" w:hAnsi="Arial" w:cs="Arial"/>
          <w:i/>
          <w:iCs/>
          <w:color w:val="333333"/>
          <w:sz w:val="22"/>
          <w:szCs w:val="22"/>
          <w:shd w:val="clear" w:color="auto" w:fill="FFFFFF"/>
        </w:rPr>
        <w:t>Code of Professional Conduct and Practice</w:t>
      </w:r>
      <w:r w:rsidRPr="00B94139">
        <w:rPr>
          <w:rFonts w:ascii="Arial" w:hAnsi="Arial" w:cs="Arial"/>
          <w:color w:val="333333"/>
          <w:sz w:val="22"/>
          <w:szCs w:val="22"/>
          <w:shd w:val="clear" w:color="auto" w:fill="FFFFFF"/>
        </w:rPr>
        <w:t xml:space="preserve">. Cardiff. </w:t>
      </w:r>
    </w:p>
    <w:p w14:paraId="5147BD0C" w14:textId="77777777" w:rsidR="00B04941" w:rsidRPr="00B94139" w:rsidRDefault="00B04941" w:rsidP="00B04941">
      <w:pPr>
        <w:pStyle w:val="Default"/>
        <w:spacing w:line="360" w:lineRule="auto"/>
        <w:rPr>
          <w:rFonts w:ascii="Arial" w:hAnsi="Arial" w:cs="Arial"/>
          <w:sz w:val="22"/>
          <w:szCs w:val="22"/>
        </w:rPr>
      </w:pPr>
      <w:r w:rsidRPr="00B94139">
        <w:rPr>
          <w:rFonts w:ascii="Arial" w:hAnsi="Arial" w:cs="Arial"/>
          <w:b/>
          <w:bCs/>
          <w:sz w:val="22"/>
          <w:szCs w:val="22"/>
        </w:rPr>
        <w:t xml:space="preserve">Available at: </w:t>
      </w:r>
      <w:hyperlink r:id="rId12" w:history="1">
        <w:r w:rsidRPr="00B94139">
          <w:rPr>
            <w:rStyle w:val="Hyperlink"/>
            <w:rFonts w:ascii="Arial" w:hAnsi="Arial" w:cs="Arial"/>
            <w:b/>
            <w:bCs/>
            <w:sz w:val="22"/>
            <w:szCs w:val="22"/>
          </w:rPr>
          <w:t>www.ewc.wales</w:t>
        </w:r>
      </w:hyperlink>
      <w:r w:rsidRPr="00B94139">
        <w:rPr>
          <w:rFonts w:ascii="Arial" w:hAnsi="Arial" w:cs="Arial"/>
          <w:sz w:val="22"/>
          <w:szCs w:val="22"/>
        </w:rPr>
        <w:t>.</w:t>
      </w:r>
    </w:p>
    <w:p w14:paraId="482C5CD6" w14:textId="77777777" w:rsidR="00B04941" w:rsidRPr="00B94139" w:rsidRDefault="00B04941" w:rsidP="00B04941">
      <w:pPr>
        <w:pStyle w:val="Default"/>
        <w:spacing w:line="360" w:lineRule="auto"/>
        <w:rPr>
          <w:rFonts w:ascii="Arial" w:hAnsi="Arial" w:cs="Arial"/>
          <w:sz w:val="22"/>
          <w:szCs w:val="22"/>
        </w:rPr>
      </w:pPr>
    </w:p>
    <w:p w14:paraId="68F251A9" w14:textId="77777777" w:rsidR="00B04941" w:rsidRPr="00B94139" w:rsidRDefault="00B04941" w:rsidP="00B04941">
      <w:pPr>
        <w:spacing w:line="360" w:lineRule="auto"/>
        <w:rPr>
          <w:rFonts w:ascii="Arial" w:hAnsi="Arial" w:cs="Arial"/>
        </w:rPr>
      </w:pPr>
      <w:r w:rsidRPr="00B94139">
        <w:rPr>
          <w:rFonts w:ascii="Arial" w:hAnsi="Arial" w:cs="Arial"/>
        </w:rPr>
        <w:t xml:space="preserve">Fletcher-Wood, H. (2016) </w:t>
      </w:r>
      <w:r w:rsidRPr="00B94139">
        <w:rPr>
          <w:rFonts w:ascii="Arial" w:hAnsi="Arial" w:cs="Arial"/>
          <w:i/>
          <w:iCs/>
        </w:rPr>
        <w:t>Ticked off</w:t>
      </w:r>
      <w:r w:rsidRPr="00B94139">
        <w:rPr>
          <w:rFonts w:ascii="Arial" w:hAnsi="Arial" w:cs="Arial"/>
        </w:rPr>
        <w:t>. Carmarthen: Crown House Publishing Ltd.</w:t>
      </w:r>
    </w:p>
    <w:p w14:paraId="3333AB05" w14:textId="77777777" w:rsidR="00B04941" w:rsidRPr="00B94139" w:rsidRDefault="00B04941" w:rsidP="00B04941">
      <w:pPr>
        <w:spacing w:line="360" w:lineRule="auto"/>
        <w:rPr>
          <w:rFonts w:ascii="Arial" w:hAnsi="Arial" w:cs="Arial"/>
        </w:rPr>
      </w:pPr>
    </w:p>
    <w:p w14:paraId="6034A480" w14:textId="77777777" w:rsidR="00B04941" w:rsidRPr="00B94139" w:rsidRDefault="00B04941" w:rsidP="00B04941">
      <w:pPr>
        <w:spacing w:line="360" w:lineRule="auto"/>
        <w:rPr>
          <w:rFonts w:ascii="Arial" w:hAnsi="Arial" w:cs="Arial"/>
        </w:rPr>
      </w:pPr>
      <w:proofErr w:type="spellStart"/>
      <w:r w:rsidRPr="00B94139">
        <w:rPr>
          <w:rFonts w:ascii="Arial" w:hAnsi="Arial" w:cs="Arial"/>
        </w:rPr>
        <w:t>Gilli</w:t>
      </w:r>
      <w:proofErr w:type="spellEnd"/>
      <w:r w:rsidRPr="00B94139">
        <w:rPr>
          <w:rFonts w:ascii="Arial" w:hAnsi="Arial" w:cs="Arial"/>
        </w:rPr>
        <w:t xml:space="preserve">, A. and </w:t>
      </w:r>
      <w:proofErr w:type="spellStart"/>
      <w:r w:rsidRPr="00B94139">
        <w:rPr>
          <w:rFonts w:ascii="Arial" w:hAnsi="Arial" w:cs="Arial"/>
        </w:rPr>
        <w:t>Gilli</w:t>
      </w:r>
      <w:proofErr w:type="spellEnd"/>
      <w:r w:rsidRPr="00B94139">
        <w:rPr>
          <w:rFonts w:ascii="Arial" w:hAnsi="Arial" w:cs="Arial"/>
        </w:rPr>
        <w:t xml:space="preserve">, L. (1995) Review of ‘Critical Incidents in Teaching’, by David Tripp, </w:t>
      </w:r>
      <w:r w:rsidRPr="00B94139">
        <w:rPr>
          <w:rFonts w:ascii="Arial" w:hAnsi="Arial" w:cs="Arial"/>
          <w:i/>
          <w:iCs/>
        </w:rPr>
        <w:t>Vocational Educational Journal</w:t>
      </w:r>
      <w:r w:rsidRPr="00B94139">
        <w:rPr>
          <w:rFonts w:ascii="Arial" w:hAnsi="Arial" w:cs="Arial"/>
        </w:rPr>
        <w:t xml:space="preserve">, 70. </w:t>
      </w:r>
    </w:p>
    <w:p w14:paraId="5E97997D" w14:textId="77777777" w:rsidR="00B04941" w:rsidRPr="00B94139" w:rsidRDefault="00B04941" w:rsidP="00B04941">
      <w:pPr>
        <w:spacing w:line="360" w:lineRule="auto"/>
        <w:rPr>
          <w:rFonts w:ascii="Arial" w:hAnsi="Arial" w:cs="Arial"/>
        </w:rPr>
      </w:pPr>
    </w:p>
    <w:p w14:paraId="78E84C30" w14:textId="77777777" w:rsidR="00B04941" w:rsidRPr="00B94139" w:rsidRDefault="00B04941" w:rsidP="00B04941">
      <w:pPr>
        <w:spacing w:line="360" w:lineRule="auto"/>
        <w:rPr>
          <w:rFonts w:ascii="Arial" w:hAnsi="Arial" w:cs="Arial"/>
        </w:rPr>
      </w:pPr>
      <w:proofErr w:type="spellStart"/>
      <w:r w:rsidRPr="00B94139">
        <w:rPr>
          <w:rFonts w:ascii="Arial" w:hAnsi="Arial" w:cs="Arial"/>
        </w:rPr>
        <w:t>Halquist</w:t>
      </w:r>
      <w:proofErr w:type="spellEnd"/>
      <w:r w:rsidRPr="00B94139">
        <w:rPr>
          <w:rFonts w:ascii="Arial" w:hAnsi="Arial" w:cs="Arial"/>
        </w:rPr>
        <w:t xml:space="preserve">, D. and </w:t>
      </w:r>
      <w:proofErr w:type="spellStart"/>
      <w:r w:rsidRPr="00B94139">
        <w:rPr>
          <w:rFonts w:ascii="Arial" w:hAnsi="Arial" w:cs="Arial"/>
        </w:rPr>
        <w:t>Musanti</w:t>
      </w:r>
      <w:proofErr w:type="spellEnd"/>
      <w:r w:rsidRPr="00B94139">
        <w:rPr>
          <w:rFonts w:ascii="Arial" w:hAnsi="Arial" w:cs="Arial"/>
        </w:rPr>
        <w:t xml:space="preserve">, S. (2010) 'Critical incidents and reflection: turning points that challenge the researcher and create opportunities for knowing', </w:t>
      </w:r>
      <w:r w:rsidRPr="00B94139">
        <w:rPr>
          <w:rFonts w:ascii="Arial" w:hAnsi="Arial" w:cs="Arial"/>
          <w:i/>
          <w:iCs/>
        </w:rPr>
        <w:t>International Journal of Qualitative Studies in Education</w:t>
      </w:r>
      <w:r w:rsidRPr="00B94139">
        <w:rPr>
          <w:rFonts w:ascii="Arial" w:hAnsi="Arial" w:cs="Arial"/>
        </w:rPr>
        <w:t xml:space="preserve">, 23 (4), pp. 449 — 461. </w:t>
      </w:r>
    </w:p>
    <w:p w14:paraId="02BFD057" w14:textId="77777777" w:rsidR="00B04941" w:rsidRPr="00B94139" w:rsidRDefault="00B04941" w:rsidP="00B04941">
      <w:pPr>
        <w:spacing w:line="360" w:lineRule="auto"/>
        <w:rPr>
          <w:rFonts w:ascii="Arial" w:hAnsi="Arial" w:cs="Arial"/>
        </w:rPr>
      </w:pPr>
    </w:p>
    <w:p w14:paraId="13A859AC" w14:textId="77777777" w:rsidR="00B04941" w:rsidRPr="00B94139" w:rsidRDefault="00B04941" w:rsidP="00B04941">
      <w:pPr>
        <w:autoSpaceDE w:val="0"/>
        <w:autoSpaceDN w:val="0"/>
        <w:adjustRightInd w:val="0"/>
        <w:spacing w:after="0" w:line="360" w:lineRule="auto"/>
        <w:rPr>
          <w:rFonts w:ascii="Arial" w:hAnsi="Arial" w:cs="Arial"/>
          <w:color w:val="000000"/>
        </w:rPr>
      </w:pPr>
      <w:r w:rsidRPr="00B94139">
        <w:rPr>
          <w:rFonts w:ascii="Arial" w:hAnsi="Arial" w:cs="Arial"/>
          <w:color w:val="000000"/>
        </w:rPr>
        <w:t xml:space="preserve">Joshi, K. (2018) ‘Critical Incidents for Teachers’ Professional Development’, </w:t>
      </w:r>
      <w:r w:rsidRPr="00B94139">
        <w:rPr>
          <w:rFonts w:ascii="Arial" w:hAnsi="Arial" w:cs="Arial"/>
          <w:i/>
          <w:iCs/>
          <w:color w:val="000000"/>
        </w:rPr>
        <w:t xml:space="preserve">Journal of NELTA </w:t>
      </w:r>
      <w:proofErr w:type="spellStart"/>
      <w:r w:rsidRPr="00B94139">
        <w:rPr>
          <w:rFonts w:ascii="Arial" w:hAnsi="Arial" w:cs="Arial"/>
          <w:i/>
          <w:iCs/>
          <w:color w:val="000000"/>
        </w:rPr>
        <w:t>Surkhet</w:t>
      </w:r>
      <w:proofErr w:type="spellEnd"/>
      <w:r w:rsidRPr="00B94139">
        <w:rPr>
          <w:rFonts w:ascii="Arial" w:hAnsi="Arial" w:cs="Arial"/>
          <w:color w:val="000000"/>
        </w:rPr>
        <w:t xml:space="preserve">, 5, pp. 82-87. </w:t>
      </w:r>
    </w:p>
    <w:p w14:paraId="3C84DA94" w14:textId="77777777" w:rsidR="00B04941" w:rsidRPr="00B94139" w:rsidRDefault="00B04941" w:rsidP="00B04941">
      <w:pPr>
        <w:spacing w:line="360" w:lineRule="auto"/>
        <w:rPr>
          <w:rFonts w:ascii="Arial" w:hAnsi="Arial" w:cs="Arial"/>
        </w:rPr>
      </w:pPr>
    </w:p>
    <w:p w14:paraId="4FC227FF"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Krull, E. </w:t>
      </w:r>
      <w:proofErr w:type="spellStart"/>
      <w:r w:rsidRPr="00B94139">
        <w:rPr>
          <w:rFonts w:ascii="Arial" w:hAnsi="Arial" w:cs="Arial"/>
        </w:rPr>
        <w:t>Oras</w:t>
      </w:r>
      <w:proofErr w:type="spellEnd"/>
      <w:r w:rsidRPr="00B94139">
        <w:rPr>
          <w:rFonts w:ascii="Arial" w:hAnsi="Arial" w:cs="Arial"/>
        </w:rPr>
        <w:t xml:space="preserve">, K. and </w:t>
      </w:r>
      <w:proofErr w:type="spellStart"/>
      <w:r w:rsidRPr="00B94139">
        <w:rPr>
          <w:rFonts w:ascii="Arial" w:hAnsi="Arial" w:cs="Arial"/>
        </w:rPr>
        <w:t>Pikksaar</w:t>
      </w:r>
      <w:proofErr w:type="spellEnd"/>
      <w:r w:rsidRPr="00B94139">
        <w:rPr>
          <w:rFonts w:ascii="Arial" w:hAnsi="Arial" w:cs="Arial"/>
        </w:rPr>
        <w:t>, E. (2010) ‘Promoting student teachers’</w:t>
      </w:r>
    </w:p>
    <w:p w14:paraId="66853F5F"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lesson analysis and observation skills by using </w:t>
      </w:r>
      <w:proofErr w:type="spellStart"/>
      <w:r w:rsidRPr="00B94139">
        <w:rPr>
          <w:rFonts w:ascii="Arial" w:hAnsi="Arial" w:cs="Arial"/>
        </w:rPr>
        <w:t>Gagné’s</w:t>
      </w:r>
      <w:proofErr w:type="spellEnd"/>
      <w:r w:rsidRPr="00B94139">
        <w:rPr>
          <w:rFonts w:ascii="Arial" w:hAnsi="Arial" w:cs="Arial"/>
        </w:rPr>
        <w:t xml:space="preserve"> model of an instructional unit’, </w:t>
      </w:r>
      <w:r w:rsidRPr="00B94139">
        <w:rPr>
          <w:rFonts w:ascii="Arial" w:hAnsi="Arial" w:cs="Arial"/>
          <w:i/>
          <w:iCs/>
        </w:rPr>
        <w:t>Journal of Education for Teaching</w:t>
      </w:r>
      <w:r w:rsidRPr="00B94139">
        <w:rPr>
          <w:rFonts w:ascii="Arial" w:hAnsi="Arial" w:cs="Arial"/>
        </w:rPr>
        <w:t xml:space="preserve">, 36 (2), pp. 197-210. DOI: 10.1080/02607471003651789. </w:t>
      </w:r>
    </w:p>
    <w:p w14:paraId="20DD0245" w14:textId="77777777" w:rsidR="00B04941" w:rsidRPr="00B94139" w:rsidRDefault="00B04941" w:rsidP="00B04941">
      <w:pPr>
        <w:spacing w:line="360" w:lineRule="auto"/>
        <w:rPr>
          <w:rFonts w:ascii="Arial" w:hAnsi="Arial" w:cs="Arial"/>
        </w:rPr>
      </w:pPr>
    </w:p>
    <w:p w14:paraId="59ACD3FA" w14:textId="77777777" w:rsidR="00B04941" w:rsidRPr="00B94139" w:rsidRDefault="00B04941" w:rsidP="00B04941">
      <w:pPr>
        <w:spacing w:line="360" w:lineRule="auto"/>
        <w:rPr>
          <w:rFonts w:ascii="Arial" w:hAnsi="Arial" w:cs="Arial"/>
        </w:rPr>
      </w:pPr>
      <w:r w:rsidRPr="00B94139">
        <w:rPr>
          <w:rFonts w:ascii="Arial" w:hAnsi="Arial" w:cs="Arial"/>
        </w:rPr>
        <w:t xml:space="preserve">Kumar, R. (2011) </w:t>
      </w:r>
      <w:r w:rsidRPr="00B94139">
        <w:rPr>
          <w:rFonts w:ascii="Arial" w:hAnsi="Arial" w:cs="Arial"/>
          <w:i/>
          <w:iCs/>
        </w:rPr>
        <w:t>Research Methodology</w:t>
      </w:r>
      <w:r w:rsidRPr="00B94139">
        <w:rPr>
          <w:rFonts w:ascii="Arial" w:hAnsi="Arial" w:cs="Arial"/>
        </w:rPr>
        <w:t>: A Step by Step Guide for Beginners. 3</w:t>
      </w:r>
      <w:r w:rsidRPr="00B94139">
        <w:rPr>
          <w:rFonts w:ascii="Arial" w:hAnsi="Arial" w:cs="Arial"/>
          <w:vertAlign w:val="superscript"/>
        </w:rPr>
        <w:t>rd</w:t>
      </w:r>
      <w:r w:rsidRPr="00B94139">
        <w:rPr>
          <w:rFonts w:ascii="Arial" w:hAnsi="Arial" w:cs="Arial"/>
        </w:rPr>
        <w:t xml:space="preserve"> ed. London: SAGE. </w:t>
      </w:r>
      <w:r w:rsidRPr="00B94139">
        <w:rPr>
          <w:rFonts w:ascii="Arial" w:hAnsi="Arial" w:cs="Arial"/>
        </w:rPr>
        <w:br/>
      </w:r>
    </w:p>
    <w:p w14:paraId="564CFF87" w14:textId="77777777" w:rsidR="00B04941" w:rsidRPr="00B94139" w:rsidRDefault="00B04941" w:rsidP="00B04941">
      <w:pPr>
        <w:pStyle w:val="Default"/>
        <w:spacing w:line="360" w:lineRule="auto"/>
        <w:rPr>
          <w:rFonts w:ascii="Arial" w:hAnsi="Arial" w:cs="Arial"/>
          <w:color w:val="auto"/>
          <w:sz w:val="22"/>
          <w:szCs w:val="22"/>
        </w:rPr>
      </w:pPr>
      <w:r w:rsidRPr="00B94139">
        <w:rPr>
          <w:rFonts w:ascii="Arial" w:hAnsi="Arial" w:cs="Arial"/>
          <w:color w:val="auto"/>
          <w:sz w:val="22"/>
          <w:szCs w:val="22"/>
        </w:rPr>
        <w:t xml:space="preserve">Lemke, J. (1990) </w:t>
      </w:r>
      <w:r w:rsidRPr="00B94139">
        <w:rPr>
          <w:rFonts w:ascii="Arial" w:hAnsi="Arial" w:cs="Arial"/>
          <w:i/>
          <w:iCs/>
          <w:color w:val="auto"/>
          <w:sz w:val="22"/>
          <w:szCs w:val="22"/>
        </w:rPr>
        <w:t>Talking Science: Language, Learning and Values</w:t>
      </w:r>
      <w:r w:rsidRPr="00B94139">
        <w:rPr>
          <w:rFonts w:ascii="Arial" w:hAnsi="Arial" w:cs="Arial"/>
          <w:color w:val="auto"/>
          <w:sz w:val="22"/>
          <w:szCs w:val="22"/>
        </w:rPr>
        <w:t xml:space="preserve">. New Jersey: </w:t>
      </w:r>
    </w:p>
    <w:p w14:paraId="62F3B27C" w14:textId="77777777" w:rsidR="00B04941" w:rsidRPr="00B94139" w:rsidRDefault="00B04941" w:rsidP="00B04941">
      <w:pPr>
        <w:spacing w:line="360" w:lineRule="auto"/>
        <w:rPr>
          <w:rFonts w:ascii="Arial" w:hAnsi="Arial" w:cs="Arial"/>
        </w:rPr>
      </w:pPr>
      <w:r w:rsidRPr="00B94139">
        <w:rPr>
          <w:rFonts w:ascii="Arial" w:hAnsi="Arial" w:cs="Arial"/>
        </w:rPr>
        <w:t xml:space="preserve">ARBLEX. </w:t>
      </w:r>
      <w:r w:rsidRPr="00B94139">
        <w:rPr>
          <w:rFonts w:ascii="Arial" w:hAnsi="Arial" w:cs="Arial"/>
        </w:rPr>
        <w:br/>
      </w:r>
    </w:p>
    <w:p w14:paraId="3A133416" w14:textId="77777777" w:rsidR="00B04941" w:rsidRPr="00B94139" w:rsidRDefault="00B04941" w:rsidP="00B04941">
      <w:pPr>
        <w:spacing w:line="360" w:lineRule="auto"/>
        <w:rPr>
          <w:rStyle w:val="normaltextrun"/>
          <w:rFonts w:ascii="Arial" w:hAnsi="Arial" w:cs="Arial"/>
          <w:shd w:val="clear" w:color="auto" w:fill="FFFFFF"/>
        </w:rPr>
      </w:pPr>
      <w:proofErr w:type="spellStart"/>
      <w:r w:rsidRPr="00B94139">
        <w:rPr>
          <w:rStyle w:val="spellingerror"/>
          <w:rFonts w:ascii="Arial" w:hAnsi="Arial" w:cs="Arial"/>
          <w:shd w:val="clear" w:color="auto" w:fill="FFFFFF"/>
        </w:rPr>
        <w:t>Lemov</w:t>
      </w:r>
      <w:proofErr w:type="spellEnd"/>
      <w:r w:rsidRPr="00B94139">
        <w:rPr>
          <w:rStyle w:val="normaltextrun"/>
          <w:rFonts w:ascii="Arial" w:hAnsi="Arial" w:cs="Arial"/>
          <w:shd w:val="clear" w:color="auto" w:fill="FFFFFF"/>
        </w:rPr>
        <w:t>, D. (2010) </w:t>
      </w:r>
      <w:r w:rsidRPr="00B94139">
        <w:rPr>
          <w:rStyle w:val="normaltextrun"/>
          <w:rFonts w:ascii="Arial" w:hAnsi="Arial" w:cs="Arial"/>
          <w:i/>
          <w:iCs/>
          <w:shd w:val="clear" w:color="auto" w:fill="FFFFFF"/>
        </w:rPr>
        <w:t>Teach like a Champion.</w:t>
      </w:r>
      <w:r w:rsidRPr="00B94139">
        <w:rPr>
          <w:rStyle w:val="normaltextrun"/>
          <w:rFonts w:ascii="Arial" w:hAnsi="Arial" w:cs="Arial"/>
          <w:shd w:val="clear" w:color="auto" w:fill="FFFFFF"/>
        </w:rPr>
        <w:t> San Francisco: Josey –Bass. </w:t>
      </w:r>
      <w:r w:rsidRPr="00B94139">
        <w:rPr>
          <w:rStyle w:val="normaltextrun"/>
          <w:rFonts w:ascii="Arial" w:hAnsi="Arial" w:cs="Arial"/>
          <w:shd w:val="clear" w:color="auto" w:fill="FFFFFF"/>
        </w:rPr>
        <w:br/>
      </w:r>
    </w:p>
    <w:p w14:paraId="0DC1FF32"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lastRenderedPageBreak/>
        <w:t xml:space="preserve">Leung, B. and </w:t>
      </w:r>
      <w:proofErr w:type="spellStart"/>
      <w:r w:rsidRPr="00B94139">
        <w:rPr>
          <w:rFonts w:ascii="Arial" w:hAnsi="Arial" w:cs="Arial"/>
        </w:rPr>
        <w:t>Silberling</w:t>
      </w:r>
      <w:proofErr w:type="spellEnd"/>
      <w:r w:rsidRPr="00B94139">
        <w:rPr>
          <w:rFonts w:ascii="Arial" w:hAnsi="Arial" w:cs="Arial"/>
        </w:rPr>
        <w:t xml:space="preserve">, J. (2006) ‘Using Sociograms to identify social-status in the classroom’, </w:t>
      </w:r>
      <w:r w:rsidRPr="00B94139">
        <w:rPr>
          <w:rFonts w:ascii="Arial" w:hAnsi="Arial" w:cs="Arial"/>
          <w:i/>
          <w:iCs/>
        </w:rPr>
        <w:t>The California School Psychologist</w:t>
      </w:r>
      <w:r w:rsidRPr="00B94139">
        <w:rPr>
          <w:rFonts w:ascii="Arial" w:hAnsi="Arial" w:cs="Arial"/>
        </w:rPr>
        <w:t xml:space="preserve">, 11, pp. 57-61. </w:t>
      </w:r>
    </w:p>
    <w:p w14:paraId="6667D46A" w14:textId="77777777" w:rsidR="00B04941" w:rsidRPr="00B94139" w:rsidRDefault="00B04941" w:rsidP="00B04941">
      <w:pPr>
        <w:spacing w:line="360" w:lineRule="auto"/>
        <w:rPr>
          <w:rStyle w:val="normaltextrun"/>
          <w:rFonts w:ascii="Arial" w:hAnsi="Arial" w:cs="Arial"/>
          <w:shd w:val="clear" w:color="auto" w:fill="FFFFFF"/>
        </w:rPr>
      </w:pPr>
    </w:p>
    <w:p w14:paraId="384CC9A4" w14:textId="77777777" w:rsidR="00B04941" w:rsidRPr="00B94139" w:rsidRDefault="00B04941" w:rsidP="00B04941">
      <w:pPr>
        <w:spacing w:line="360" w:lineRule="auto"/>
        <w:rPr>
          <w:rFonts w:ascii="Arial" w:hAnsi="Arial" w:cs="Arial"/>
        </w:rPr>
      </w:pPr>
      <w:proofErr w:type="spellStart"/>
      <w:r w:rsidRPr="00B94139">
        <w:rPr>
          <w:rFonts w:ascii="Arial" w:hAnsi="Arial" w:cs="Arial"/>
        </w:rPr>
        <w:t>MacBlain</w:t>
      </w:r>
      <w:proofErr w:type="spellEnd"/>
      <w:r w:rsidRPr="00B94139">
        <w:rPr>
          <w:rFonts w:ascii="Arial" w:hAnsi="Arial" w:cs="Arial"/>
        </w:rPr>
        <w:t xml:space="preserve">, S. (2014) </w:t>
      </w:r>
      <w:r w:rsidRPr="00B94139">
        <w:rPr>
          <w:rFonts w:ascii="Arial" w:hAnsi="Arial" w:cs="Arial"/>
          <w:i/>
          <w:iCs/>
        </w:rPr>
        <w:t>How Children Learn</w:t>
      </w:r>
      <w:r w:rsidRPr="00B94139">
        <w:rPr>
          <w:rFonts w:ascii="Arial" w:hAnsi="Arial" w:cs="Arial"/>
        </w:rPr>
        <w:t>. London: SAGE</w:t>
      </w:r>
    </w:p>
    <w:p w14:paraId="74E057F7" w14:textId="77777777" w:rsidR="00B04941" w:rsidRPr="00B94139" w:rsidRDefault="00B04941" w:rsidP="00B04941">
      <w:pPr>
        <w:spacing w:line="360" w:lineRule="auto"/>
        <w:rPr>
          <w:rFonts w:ascii="Arial" w:hAnsi="Arial" w:cs="Arial"/>
        </w:rPr>
      </w:pPr>
    </w:p>
    <w:p w14:paraId="5D9B9232" w14:textId="6B32C1FD" w:rsidR="00B04941"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Mercer, N. </w:t>
      </w:r>
      <w:r w:rsidR="00DD0762">
        <w:rPr>
          <w:rFonts w:ascii="Arial" w:hAnsi="Arial" w:cs="Arial"/>
        </w:rPr>
        <w:t xml:space="preserve">(2002) </w:t>
      </w:r>
      <w:r w:rsidRPr="00B94139">
        <w:rPr>
          <w:rFonts w:ascii="Arial" w:hAnsi="Arial" w:cs="Arial"/>
        </w:rPr>
        <w:t>‘Developing Dialogues’, in Wells, G. &amp; Claxton, G</w:t>
      </w:r>
      <w:r w:rsidRPr="00B94139">
        <w:rPr>
          <w:rFonts w:ascii="Arial" w:hAnsi="Arial" w:cs="Arial"/>
          <w:i/>
          <w:iCs/>
        </w:rPr>
        <w:t>. Learning for life in the C21st: Sociocultural perspectives on the future of education</w:t>
      </w:r>
      <w:r w:rsidRPr="00B94139">
        <w:rPr>
          <w:rFonts w:ascii="Arial" w:hAnsi="Arial" w:cs="Arial"/>
        </w:rPr>
        <w:t>. Oxford: Blackwell.</w:t>
      </w:r>
    </w:p>
    <w:p w14:paraId="1548F73B" w14:textId="07D213FF" w:rsidR="005F7716" w:rsidRPr="005F7716" w:rsidRDefault="005F7716" w:rsidP="00B04941">
      <w:pPr>
        <w:autoSpaceDE w:val="0"/>
        <w:autoSpaceDN w:val="0"/>
        <w:adjustRightInd w:val="0"/>
        <w:spacing w:after="0" w:line="360" w:lineRule="auto"/>
        <w:rPr>
          <w:rFonts w:ascii="Arial" w:hAnsi="Arial" w:cs="Arial"/>
        </w:rPr>
      </w:pPr>
      <w:r w:rsidRPr="005F7716">
        <w:rPr>
          <w:rFonts w:ascii="Arial" w:hAnsi="Arial" w:cs="Arial"/>
        </w:rPr>
        <w:t>Mercer, N. and Howe, C. (2012), ‘</w:t>
      </w:r>
      <w:r w:rsidRPr="005F7716">
        <w:rPr>
          <w:rFonts w:ascii="Arial" w:hAnsi="Arial" w:cs="Arial"/>
        </w:rPr>
        <w:t>Explaining the dialogic processes of teaching and learning: The value and potential of sociocultural theory</w:t>
      </w:r>
      <w:r w:rsidRPr="005F7716">
        <w:rPr>
          <w:rFonts w:ascii="Arial" w:hAnsi="Arial" w:cs="Arial"/>
        </w:rPr>
        <w:t xml:space="preserve">’, </w:t>
      </w:r>
      <w:r w:rsidRPr="005F7716">
        <w:rPr>
          <w:rFonts w:ascii="Arial" w:hAnsi="Arial" w:cs="Arial"/>
          <w:i/>
          <w:iCs/>
        </w:rPr>
        <w:t>Learning, Culture and Social Interaction</w:t>
      </w:r>
      <w:r w:rsidRPr="005F7716">
        <w:rPr>
          <w:rFonts w:ascii="Arial" w:hAnsi="Arial" w:cs="Arial"/>
        </w:rPr>
        <w:t xml:space="preserve">, 1, pp. </w:t>
      </w:r>
      <w:r w:rsidRPr="005F7716">
        <w:rPr>
          <w:rFonts w:ascii="Arial" w:hAnsi="Arial" w:cs="Arial"/>
        </w:rPr>
        <w:t xml:space="preserve"> 12–2</w:t>
      </w:r>
      <w:r w:rsidRPr="005F7716">
        <w:rPr>
          <w:rFonts w:ascii="Arial" w:hAnsi="Arial" w:cs="Arial"/>
        </w:rPr>
        <w:t>1.</w:t>
      </w:r>
    </w:p>
    <w:p w14:paraId="2155D83C" w14:textId="77777777" w:rsidR="005F7716" w:rsidRDefault="005F7716" w:rsidP="00B04941">
      <w:pPr>
        <w:autoSpaceDE w:val="0"/>
        <w:autoSpaceDN w:val="0"/>
        <w:adjustRightInd w:val="0"/>
        <w:spacing w:after="0" w:line="360" w:lineRule="auto"/>
        <w:rPr>
          <w:rFonts w:ascii="Arial" w:hAnsi="Arial" w:cs="Arial"/>
        </w:rPr>
      </w:pPr>
    </w:p>
    <w:p w14:paraId="7D1DD4C7" w14:textId="5B609F10" w:rsidR="00A246FF" w:rsidRPr="00A246FF" w:rsidRDefault="00A246FF" w:rsidP="00B04941">
      <w:pPr>
        <w:autoSpaceDE w:val="0"/>
        <w:autoSpaceDN w:val="0"/>
        <w:adjustRightInd w:val="0"/>
        <w:spacing w:after="0" w:line="360" w:lineRule="auto"/>
        <w:rPr>
          <w:rFonts w:ascii="Arial" w:hAnsi="Arial" w:cs="Arial"/>
        </w:rPr>
      </w:pPr>
      <w:r w:rsidRPr="00A246FF">
        <w:rPr>
          <w:rFonts w:ascii="Arial" w:hAnsi="Arial" w:cs="Arial"/>
        </w:rPr>
        <w:t xml:space="preserve">Morrison, K. R. B. (1993) </w:t>
      </w:r>
      <w:r w:rsidRPr="00A246FF">
        <w:rPr>
          <w:rFonts w:ascii="Arial" w:hAnsi="Arial" w:cs="Arial"/>
          <w:i/>
          <w:iCs/>
        </w:rPr>
        <w:t>Planning and Accomplishing School-Centred Evaluation</w:t>
      </w:r>
      <w:r w:rsidRPr="00A246FF">
        <w:rPr>
          <w:rFonts w:ascii="Arial" w:hAnsi="Arial" w:cs="Arial"/>
        </w:rPr>
        <w:t>. Dereham, UK: Peter Francis.</w:t>
      </w:r>
    </w:p>
    <w:p w14:paraId="34445E8F" w14:textId="77777777" w:rsidR="00B04941" w:rsidRPr="00B94139" w:rsidRDefault="00B04941" w:rsidP="00B04941">
      <w:pPr>
        <w:autoSpaceDE w:val="0"/>
        <w:autoSpaceDN w:val="0"/>
        <w:adjustRightInd w:val="0"/>
        <w:spacing w:after="0" w:line="360" w:lineRule="auto"/>
        <w:rPr>
          <w:rFonts w:ascii="Arial" w:hAnsi="Arial" w:cs="Arial"/>
        </w:rPr>
      </w:pPr>
    </w:p>
    <w:p w14:paraId="3DEC57FC" w14:textId="77777777" w:rsidR="00B04941" w:rsidRPr="00B94139" w:rsidRDefault="00B04941" w:rsidP="00B04941">
      <w:pPr>
        <w:spacing w:line="360" w:lineRule="auto"/>
        <w:rPr>
          <w:rFonts w:ascii="Arial" w:hAnsi="Arial" w:cs="Arial"/>
          <w:b/>
          <w:bCs/>
          <w:color w:val="00B0F0"/>
          <w:u w:val="single"/>
        </w:rPr>
      </w:pPr>
      <w:r w:rsidRPr="00B94139">
        <w:rPr>
          <w:rFonts w:ascii="Arial" w:hAnsi="Arial" w:cs="Arial"/>
        </w:rPr>
        <w:t xml:space="preserve">Olusegun, S. (2015) ‘Constructivism Learning Theory: A Paradigm for Teaching and Learning’, </w:t>
      </w:r>
      <w:r w:rsidRPr="00B94139">
        <w:rPr>
          <w:rFonts w:ascii="Arial" w:hAnsi="Arial" w:cs="Arial"/>
          <w:i/>
          <w:iCs/>
        </w:rPr>
        <w:t>IOSR Journal of Research &amp; Method in Education</w:t>
      </w:r>
      <w:r w:rsidRPr="00B94139">
        <w:rPr>
          <w:rFonts w:ascii="Arial" w:hAnsi="Arial" w:cs="Arial"/>
        </w:rPr>
        <w:t>, 5 (6), pp. 66-70.</w:t>
      </w:r>
      <w:r w:rsidRPr="00B94139">
        <w:rPr>
          <w:rFonts w:ascii="Arial" w:hAnsi="Arial" w:cs="Arial"/>
        </w:rPr>
        <w:br/>
        <w:t xml:space="preserve">DOI: 10.9790/7388-05616670 </w:t>
      </w:r>
    </w:p>
    <w:p w14:paraId="2EF835B1" w14:textId="77777777" w:rsidR="00B04941" w:rsidRPr="00B94139" w:rsidRDefault="00B04941" w:rsidP="00B04941">
      <w:pPr>
        <w:pStyle w:val="Default"/>
        <w:spacing w:line="360" w:lineRule="auto"/>
        <w:rPr>
          <w:rFonts w:ascii="Arial" w:hAnsi="Arial" w:cs="Arial"/>
          <w:sz w:val="22"/>
          <w:szCs w:val="22"/>
        </w:rPr>
      </w:pPr>
    </w:p>
    <w:p w14:paraId="0330844C" w14:textId="77777777" w:rsidR="00B04941" w:rsidRPr="00B94139" w:rsidRDefault="00B04941" w:rsidP="00B04941">
      <w:pPr>
        <w:pStyle w:val="Default"/>
        <w:spacing w:line="360" w:lineRule="auto"/>
        <w:rPr>
          <w:rFonts w:ascii="Arial" w:hAnsi="Arial" w:cs="Arial"/>
          <w:sz w:val="22"/>
          <w:szCs w:val="22"/>
        </w:rPr>
      </w:pPr>
      <w:r w:rsidRPr="00B94139">
        <w:rPr>
          <w:rFonts w:ascii="Arial" w:hAnsi="Arial" w:cs="Arial"/>
          <w:sz w:val="22"/>
          <w:szCs w:val="22"/>
        </w:rPr>
        <w:t xml:space="preserve">Piaget, J. (1972) </w:t>
      </w:r>
      <w:r w:rsidRPr="00B94139">
        <w:rPr>
          <w:rFonts w:ascii="Arial" w:hAnsi="Arial" w:cs="Arial"/>
          <w:i/>
          <w:iCs/>
          <w:sz w:val="22"/>
          <w:szCs w:val="22"/>
        </w:rPr>
        <w:t>To Understand is to Invent</w:t>
      </w:r>
      <w:r w:rsidRPr="00B94139">
        <w:rPr>
          <w:rFonts w:ascii="Arial" w:hAnsi="Arial" w:cs="Arial"/>
          <w:sz w:val="22"/>
          <w:szCs w:val="22"/>
        </w:rPr>
        <w:t xml:space="preserve">. New York: Viking Press. </w:t>
      </w:r>
    </w:p>
    <w:p w14:paraId="7750058A" w14:textId="77777777" w:rsidR="00B04941" w:rsidRPr="00B94139" w:rsidRDefault="00B04941" w:rsidP="00B04941">
      <w:pPr>
        <w:pStyle w:val="Default"/>
        <w:spacing w:line="360" w:lineRule="auto"/>
        <w:rPr>
          <w:rFonts w:ascii="Arial" w:hAnsi="Arial" w:cs="Arial"/>
          <w:sz w:val="22"/>
          <w:szCs w:val="22"/>
        </w:rPr>
      </w:pPr>
    </w:p>
    <w:p w14:paraId="53F1663C" w14:textId="77777777" w:rsidR="00B04941" w:rsidRPr="00B94139" w:rsidRDefault="00B04941" w:rsidP="00B04941">
      <w:pPr>
        <w:autoSpaceDE w:val="0"/>
        <w:autoSpaceDN w:val="0"/>
        <w:adjustRightInd w:val="0"/>
        <w:spacing w:after="0" w:line="360" w:lineRule="auto"/>
        <w:rPr>
          <w:rFonts w:ascii="Arial" w:hAnsi="Arial" w:cs="Arial"/>
          <w:color w:val="000000"/>
        </w:rPr>
      </w:pPr>
      <w:r w:rsidRPr="009B46C5">
        <w:rPr>
          <w:rFonts w:ascii="Arial" w:hAnsi="Arial" w:cs="Arial"/>
          <w:color w:val="000000"/>
        </w:rPr>
        <w:t xml:space="preserve">Piaget, J. (1980). </w:t>
      </w:r>
      <w:r w:rsidRPr="00B94139">
        <w:rPr>
          <w:rFonts w:ascii="Arial" w:hAnsi="Arial" w:cs="Arial"/>
          <w:color w:val="000000"/>
        </w:rPr>
        <w:t>‘</w:t>
      </w:r>
      <w:r w:rsidRPr="009B46C5">
        <w:rPr>
          <w:rFonts w:ascii="Arial" w:hAnsi="Arial" w:cs="Arial"/>
          <w:color w:val="000000"/>
        </w:rPr>
        <w:t>The psychogenesis of knowledge and its epistemological significance</w:t>
      </w:r>
      <w:r w:rsidRPr="00B94139">
        <w:rPr>
          <w:rFonts w:ascii="Arial" w:hAnsi="Arial" w:cs="Arial"/>
          <w:color w:val="000000"/>
        </w:rPr>
        <w:t>’, i</w:t>
      </w:r>
      <w:r w:rsidRPr="009B46C5">
        <w:rPr>
          <w:rFonts w:ascii="Arial" w:hAnsi="Arial" w:cs="Arial"/>
          <w:color w:val="000000"/>
        </w:rPr>
        <w:t xml:space="preserve">n </w:t>
      </w:r>
      <w:proofErr w:type="spellStart"/>
      <w:proofErr w:type="gramStart"/>
      <w:r w:rsidRPr="009B46C5">
        <w:rPr>
          <w:rFonts w:ascii="Arial" w:hAnsi="Arial" w:cs="Arial"/>
          <w:color w:val="000000"/>
        </w:rPr>
        <w:t>M.Piatelli</w:t>
      </w:r>
      <w:proofErr w:type="gramEnd"/>
      <w:r w:rsidRPr="009B46C5">
        <w:rPr>
          <w:rFonts w:ascii="Arial" w:hAnsi="Arial" w:cs="Arial"/>
          <w:color w:val="000000"/>
        </w:rPr>
        <w:t>-Palmarini</w:t>
      </w:r>
      <w:proofErr w:type="spellEnd"/>
      <w:r w:rsidRPr="009B46C5">
        <w:rPr>
          <w:rFonts w:ascii="Arial" w:hAnsi="Arial" w:cs="Arial"/>
          <w:color w:val="000000"/>
        </w:rPr>
        <w:t xml:space="preserve"> (Ed.), </w:t>
      </w:r>
      <w:r w:rsidRPr="009B46C5">
        <w:rPr>
          <w:rFonts w:ascii="Arial" w:hAnsi="Arial" w:cs="Arial"/>
          <w:i/>
          <w:iCs/>
          <w:color w:val="000000"/>
        </w:rPr>
        <w:t xml:space="preserve">Language and learning </w:t>
      </w:r>
      <w:r w:rsidRPr="009B46C5">
        <w:rPr>
          <w:rFonts w:ascii="Arial" w:hAnsi="Arial" w:cs="Arial"/>
          <w:color w:val="000000"/>
        </w:rPr>
        <w:t>(pp. 23-34). Cambridge, MA: Harvard University Press</w:t>
      </w:r>
      <w:r w:rsidRPr="00B94139">
        <w:rPr>
          <w:rFonts w:ascii="Arial" w:hAnsi="Arial" w:cs="Arial"/>
          <w:color w:val="000000"/>
        </w:rPr>
        <w:t>.</w:t>
      </w:r>
    </w:p>
    <w:p w14:paraId="6EEBFA50" w14:textId="77777777" w:rsidR="00B04941" w:rsidRPr="00B94139" w:rsidRDefault="00B04941" w:rsidP="00B04941">
      <w:pPr>
        <w:autoSpaceDE w:val="0"/>
        <w:autoSpaceDN w:val="0"/>
        <w:adjustRightInd w:val="0"/>
        <w:spacing w:after="0" w:line="360" w:lineRule="auto"/>
        <w:rPr>
          <w:rFonts w:ascii="Arial" w:hAnsi="Arial" w:cs="Arial"/>
          <w:color w:val="000000"/>
        </w:rPr>
      </w:pPr>
    </w:p>
    <w:p w14:paraId="6DEECC31"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Richards, J. and Farrell, T. (2010). </w:t>
      </w:r>
      <w:r w:rsidRPr="00B94139">
        <w:rPr>
          <w:rFonts w:ascii="Arial" w:hAnsi="Arial" w:cs="Arial"/>
          <w:i/>
          <w:iCs/>
        </w:rPr>
        <w:t>Professional development for language teachers</w:t>
      </w:r>
      <w:r w:rsidRPr="00B94139">
        <w:rPr>
          <w:rFonts w:ascii="Arial" w:hAnsi="Arial" w:cs="Arial"/>
        </w:rPr>
        <w:t xml:space="preserve">. Cambridge: Cambridge University Press. </w:t>
      </w:r>
    </w:p>
    <w:p w14:paraId="7D1C5AD3" w14:textId="77777777" w:rsidR="00B04941" w:rsidRPr="00B94139" w:rsidRDefault="00B04941" w:rsidP="00B04941">
      <w:pPr>
        <w:autoSpaceDE w:val="0"/>
        <w:autoSpaceDN w:val="0"/>
        <w:adjustRightInd w:val="0"/>
        <w:spacing w:after="0" w:line="360" w:lineRule="auto"/>
        <w:rPr>
          <w:rFonts w:ascii="Arial" w:hAnsi="Arial" w:cs="Arial"/>
        </w:rPr>
      </w:pPr>
    </w:p>
    <w:p w14:paraId="43D54790" w14:textId="77777777" w:rsidR="00B04941" w:rsidRPr="00B94139"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Tripp, D. (1993). </w:t>
      </w:r>
      <w:r w:rsidRPr="00B94139">
        <w:rPr>
          <w:rFonts w:ascii="Arial" w:hAnsi="Arial" w:cs="Arial"/>
          <w:i/>
          <w:iCs/>
        </w:rPr>
        <w:t>Critical incidents in teaching</w:t>
      </w:r>
      <w:r w:rsidRPr="00B94139">
        <w:rPr>
          <w:rFonts w:ascii="Arial" w:hAnsi="Arial" w:cs="Arial"/>
        </w:rPr>
        <w:t>. London: Routledge.</w:t>
      </w:r>
    </w:p>
    <w:p w14:paraId="68274357" w14:textId="77777777" w:rsidR="00B04941" w:rsidRPr="00B94139" w:rsidRDefault="00B04941" w:rsidP="00B04941">
      <w:pPr>
        <w:autoSpaceDE w:val="0"/>
        <w:autoSpaceDN w:val="0"/>
        <w:adjustRightInd w:val="0"/>
        <w:spacing w:after="0" w:line="360" w:lineRule="auto"/>
        <w:rPr>
          <w:rFonts w:ascii="Arial" w:hAnsi="Arial" w:cs="Arial"/>
          <w:color w:val="000000"/>
        </w:rPr>
      </w:pPr>
    </w:p>
    <w:p w14:paraId="0E5378A1" w14:textId="26588E59" w:rsidR="00B04941" w:rsidRDefault="00B04941" w:rsidP="00B04941">
      <w:pPr>
        <w:spacing w:line="360" w:lineRule="auto"/>
        <w:rPr>
          <w:rFonts w:ascii="Arial" w:hAnsi="Arial" w:cs="Arial"/>
        </w:rPr>
      </w:pPr>
      <w:proofErr w:type="spellStart"/>
      <w:r w:rsidRPr="00B94139">
        <w:rPr>
          <w:rFonts w:ascii="Arial" w:hAnsi="Arial" w:cs="Arial"/>
        </w:rPr>
        <w:t>Rosenshine</w:t>
      </w:r>
      <w:proofErr w:type="spellEnd"/>
      <w:r w:rsidRPr="00B94139">
        <w:rPr>
          <w:rFonts w:ascii="Arial" w:hAnsi="Arial" w:cs="Arial"/>
        </w:rPr>
        <w:t>, B. (2012) ‘</w:t>
      </w:r>
      <w:r w:rsidRPr="00B94139">
        <w:rPr>
          <w:rFonts w:ascii="Arial" w:hAnsi="Arial" w:cs="Arial"/>
          <w:iCs/>
        </w:rPr>
        <w:t>Principles of Instruction’</w:t>
      </w:r>
      <w:r w:rsidRPr="00B94139">
        <w:rPr>
          <w:rFonts w:ascii="Arial" w:hAnsi="Arial" w:cs="Arial"/>
        </w:rPr>
        <w:t xml:space="preserve">, </w:t>
      </w:r>
      <w:r w:rsidRPr="00B94139">
        <w:rPr>
          <w:rFonts w:ascii="Arial" w:hAnsi="Arial" w:cs="Arial"/>
          <w:i/>
          <w:iCs/>
        </w:rPr>
        <w:t>American Educator</w:t>
      </w:r>
      <w:r w:rsidRPr="00B94139">
        <w:rPr>
          <w:rFonts w:ascii="Arial" w:hAnsi="Arial" w:cs="Arial"/>
        </w:rPr>
        <w:t>, 31 (1), pp.12-19.</w:t>
      </w:r>
    </w:p>
    <w:p w14:paraId="2E59C546" w14:textId="77777777" w:rsidR="00CB5DAE" w:rsidRDefault="00CB5DAE" w:rsidP="00B04941">
      <w:pPr>
        <w:spacing w:line="360" w:lineRule="auto"/>
        <w:rPr>
          <w:rFonts w:ascii="Arial" w:hAnsi="Arial" w:cs="Arial"/>
        </w:rPr>
      </w:pPr>
    </w:p>
    <w:p w14:paraId="0D26AABC" w14:textId="1B0B6C81" w:rsidR="00CB5DAE" w:rsidRDefault="00250BDB" w:rsidP="00B04941">
      <w:pPr>
        <w:spacing w:line="360" w:lineRule="auto"/>
        <w:rPr>
          <w:rFonts w:ascii="Arial" w:hAnsi="Arial" w:cs="Arial"/>
        </w:rPr>
      </w:pPr>
      <w:proofErr w:type="spellStart"/>
      <w:r w:rsidRPr="00CB5DAE">
        <w:rPr>
          <w:rFonts w:ascii="Arial" w:hAnsi="Arial" w:cs="Arial"/>
        </w:rPr>
        <w:t>Shabani</w:t>
      </w:r>
      <w:proofErr w:type="spellEnd"/>
      <w:r w:rsidRPr="00CB5DAE">
        <w:rPr>
          <w:rFonts w:ascii="Arial" w:hAnsi="Arial" w:cs="Arial"/>
        </w:rPr>
        <w:t xml:space="preserve">, K. (2016), ‘Applications of Vygotsky’s sociocultural approach for teachers’ professional development’, </w:t>
      </w:r>
      <w:r w:rsidR="00CB5DAE" w:rsidRPr="00CB5DAE">
        <w:rPr>
          <w:rFonts w:ascii="Arial" w:hAnsi="Arial" w:cs="Arial"/>
        </w:rPr>
        <w:t xml:space="preserve">by </w:t>
      </w:r>
      <w:r w:rsidRPr="00CB5DAE">
        <w:rPr>
          <w:rFonts w:ascii="Arial" w:hAnsi="Arial" w:cs="Arial"/>
          <w:i/>
          <w:iCs/>
        </w:rPr>
        <w:t>Cogent Education</w:t>
      </w:r>
      <w:r w:rsidRPr="00CB5DAE">
        <w:rPr>
          <w:rFonts w:ascii="Arial" w:hAnsi="Arial" w:cs="Arial"/>
        </w:rPr>
        <w:t>, 3</w:t>
      </w:r>
      <w:r w:rsidR="00CB5DAE" w:rsidRPr="00CB5DAE">
        <w:rPr>
          <w:rFonts w:ascii="Arial" w:hAnsi="Arial" w:cs="Arial"/>
        </w:rPr>
        <w:t xml:space="preserve"> (1). Available at: </w:t>
      </w:r>
      <w:hyperlink r:id="rId13" w:history="1">
        <w:r w:rsidR="00CB5DAE" w:rsidRPr="00CB5DAE">
          <w:rPr>
            <w:rStyle w:val="Hyperlink"/>
            <w:rFonts w:ascii="Arial" w:hAnsi="Arial" w:cs="Arial"/>
          </w:rPr>
          <w:t>https://www.tandfonline.com/doi/pdf/10.1080/2331186X.2016.1252177?needAccess=true</w:t>
        </w:r>
      </w:hyperlink>
      <w:r w:rsidR="00CB5DAE" w:rsidRPr="00CB5DAE">
        <w:rPr>
          <w:rFonts w:ascii="Arial" w:hAnsi="Arial" w:cs="Arial"/>
        </w:rPr>
        <w:t xml:space="preserve">. </w:t>
      </w:r>
    </w:p>
    <w:p w14:paraId="14749BBE" w14:textId="3DA76E35" w:rsidR="0037444E" w:rsidRPr="0037444E" w:rsidRDefault="0037444E" w:rsidP="0037444E">
      <w:pPr>
        <w:spacing w:after="4" w:line="250" w:lineRule="auto"/>
        <w:rPr>
          <w:rFonts w:ascii="Arial" w:hAnsi="Arial" w:cs="Arial"/>
          <w:color w:val="000000"/>
        </w:rPr>
      </w:pPr>
      <w:proofErr w:type="spellStart"/>
      <w:r w:rsidRPr="0037444E">
        <w:rPr>
          <w:rFonts w:ascii="Arial" w:hAnsi="Arial" w:cs="Arial"/>
          <w:color w:val="000000"/>
        </w:rPr>
        <w:lastRenderedPageBreak/>
        <w:t>Shagan</w:t>
      </w:r>
      <w:proofErr w:type="spellEnd"/>
      <w:r w:rsidRPr="0037444E">
        <w:rPr>
          <w:rFonts w:ascii="Arial" w:hAnsi="Arial" w:cs="Arial"/>
          <w:color w:val="000000"/>
        </w:rPr>
        <w:t xml:space="preserve">, E. </w:t>
      </w:r>
      <w:r w:rsidRPr="0037444E">
        <w:rPr>
          <w:rFonts w:ascii="Arial" w:hAnsi="Arial" w:cs="Arial"/>
          <w:color w:val="000000"/>
        </w:rPr>
        <w:t xml:space="preserve"> (2003) </w:t>
      </w:r>
      <w:r w:rsidRPr="0037444E">
        <w:rPr>
          <w:rFonts w:ascii="Arial" w:hAnsi="Arial" w:cs="Arial"/>
          <w:i/>
          <w:iCs/>
          <w:color w:val="000000"/>
        </w:rPr>
        <w:t>Popular Politics and the English Reformation</w:t>
      </w:r>
      <w:r w:rsidRPr="0037444E">
        <w:rPr>
          <w:rFonts w:ascii="Arial" w:hAnsi="Arial" w:cs="Arial"/>
          <w:i/>
          <w:iCs/>
          <w:color w:val="000000"/>
        </w:rPr>
        <w:t xml:space="preserve">. </w:t>
      </w:r>
      <w:r w:rsidRPr="0037444E">
        <w:rPr>
          <w:rFonts w:ascii="Arial" w:hAnsi="Arial" w:cs="Arial"/>
          <w:color w:val="000000"/>
        </w:rPr>
        <w:t xml:space="preserve">New York: Cambridge University Press. </w:t>
      </w:r>
      <w:r w:rsidRPr="0037444E">
        <w:rPr>
          <w:rFonts w:ascii="Arial" w:hAnsi="Arial" w:cs="Arial"/>
          <w:color w:val="000000"/>
        </w:rPr>
        <w:t xml:space="preserve"> </w:t>
      </w:r>
    </w:p>
    <w:p w14:paraId="2D1D98DD" w14:textId="77777777" w:rsidR="00CB5DAE" w:rsidRPr="00CB5DAE" w:rsidRDefault="00CB5DAE" w:rsidP="00B04941">
      <w:pPr>
        <w:spacing w:line="360" w:lineRule="auto"/>
        <w:rPr>
          <w:rFonts w:ascii="Arial" w:hAnsi="Arial" w:cs="Arial"/>
        </w:rPr>
      </w:pPr>
    </w:p>
    <w:p w14:paraId="33476CF0" w14:textId="4C016692" w:rsidR="00B04941" w:rsidRDefault="00B04941" w:rsidP="00B04941">
      <w:pPr>
        <w:pStyle w:val="Default"/>
        <w:spacing w:line="360" w:lineRule="auto"/>
        <w:rPr>
          <w:rFonts w:ascii="Arial" w:hAnsi="Arial" w:cs="Arial"/>
          <w:color w:val="auto"/>
          <w:sz w:val="22"/>
          <w:szCs w:val="22"/>
        </w:rPr>
      </w:pPr>
      <w:r w:rsidRPr="00B94139">
        <w:rPr>
          <w:rFonts w:ascii="Arial" w:hAnsi="Arial" w:cs="Arial"/>
          <w:sz w:val="22"/>
          <w:szCs w:val="22"/>
        </w:rPr>
        <w:t>Shapira-</w:t>
      </w:r>
      <w:proofErr w:type="spellStart"/>
      <w:r w:rsidRPr="00B94139">
        <w:rPr>
          <w:rFonts w:ascii="Arial" w:hAnsi="Arial" w:cs="Arial"/>
          <w:sz w:val="22"/>
          <w:szCs w:val="22"/>
        </w:rPr>
        <w:t>Lishchinsky</w:t>
      </w:r>
      <w:proofErr w:type="spellEnd"/>
      <w:r w:rsidRPr="00B94139">
        <w:rPr>
          <w:rFonts w:ascii="Arial" w:hAnsi="Arial" w:cs="Arial"/>
          <w:sz w:val="22"/>
          <w:szCs w:val="22"/>
        </w:rPr>
        <w:t xml:space="preserve">, O. (2011) ‘Teachers’ Critical Incidents: Ethical Dilemmas in Teaching Practice’, </w:t>
      </w:r>
      <w:r w:rsidRPr="00B94139">
        <w:rPr>
          <w:rFonts w:ascii="Arial" w:hAnsi="Arial" w:cs="Arial"/>
          <w:i/>
          <w:iCs/>
          <w:color w:val="auto"/>
          <w:sz w:val="22"/>
          <w:szCs w:val="22"/>
        </w:rPr>
        <w:t>Teaching and Teacher Education</w:t>
      </w:r>
      <w:r w:rsidRPr="00B94139">
        <w:rPr>
          <w:rFonts w:ascii="Arial" w:hAnsi="Arial" w:cs="Arial"/>
          <w:color w:val="auto"/>
          <w:sz w:val="22"/>
          <w:szCs w:val="22"/>
        </w:rPr>
        <w:t xml:space="preserve">, 27, pp. 648-656. </w:t>
      </w:r>
    </w:p>
    <w:p w14:paraId="6CC8CD4C" w14:textId="6E78C9C7" w:rsidR="00EA6A58" w:rsidRDefault="00EA6A58" w:rsidP="00B04941">
      <w:pPr>
        <w:pStyle w:val="Default"/>
        <w:spacing w:line="360" w:lineRule="auto"/>
        <w:rPr>
          <w:rFonts w:ascii="Arial" w:hAnsi="Arial" w:cs="Arial"/>
          <w:color w:val="auto"/>
          <w:sz w:val="22"/>
          <w:szCs w:val="22"/>
        </w:rPr>
      </w:pPr>
    </w:p>
    <w:p w14:paraId="5D881202" w14:textId="77777777" w:rsidR="00EA6A58" w:rsidRDefault="00EA6A58" w:rsidP="00B04941">
      <w:pPr>
        <w:pStyle w:val="Default"/>
        <w:spacing w:line="360" w:lineRule="auto"/>
        <w:rPr>
          <w:rFonts w:ascii="Arial" w:hAnsi="Arial" w:cs="Arial"/>
          <w:color w:val="auto"/>
          <w:sz w:val="22"/>
          <w:szCs w:val="22"/>
        </w:rPr>
      </w:pPr>
      <w:r>
        <w:rPr>
          <w:rFonts w:ascii="Arial" w:hAnsi="Arial" w:cs="Arial"/>
          <w:color w:val="auto"/>
          <w:sz w:val="22"/>
          <w:szCs w:val="22"/>
        </w:rPr>
        <w:t xml:space="preserve">Skinner, B. (1938) </w:t>
      </w:r>
      <w:r w:rsidRPr="00EA6A58">
        <w:rPr>
          <w:rFonts w:ascii="Arial" w:hAnsi="Arial" w:cs="Arial"/>
          <w:i/>
          <w:iCs/>
          <w:color w:val="auto"/>
          <w:sz w:val="22"/>
          <w:szCs w:val="22"/>
        </w:rPr>
        <w:t xml:space="preserve">The </w:t>
      </w:r>
      <w:proofErr w:type="spellStart"/>
      <w:r w:rsidRPr="00EA6A58">
        <w:rPr>
          <w:rFonts w:ascii="Arial" w:hAnsi="Arial" w:cs="Arial"/>
          <w:i/>
          <w:iCs/>
          <w:color w:val="auto"/>
          <w:sz w:val="22"/>
          <w:szCs w:val="22"/>
        </w:rPr>
        <w:t>Behavior</w:t>
      </w:r>
      <w:proofErr w:type="spellEnd"/>
      <w:r w:rsidRPr="00EA6A58">
        <w:rPr>
          <w:rFonts w:ascii="Arial" w:hAnsi="Arial" w:cs="Arial"/>
          <w:i/>
          <w:iCs/>
          <w:color w:val="auto"/>
          <w:sz w:val="22"/>
          <w:szCs w:val="22"/>
        </w:rPr>
        <w:t xml:space="preserve"> of Organisms: An Experimental Analysis</w:t>
      </w:r>
      <w:r>
        <w:rPr>
          <w:rFonts w:ascii="Arial" w:hAnsi="Arial" w:cs="Arial"/>
          <w:color w:val="auto"/>
          <w:sz w:val="22"/>
          <w:szCs w:val="22"/>
        </w:rPr>
        <w:t xml:space="preserve">. New York: Appleton- Century Crofts. </w:t>
      </w:r>
      <w:r>
        <w:rPr>
          <w:rFonts w:ascii="Arial" w:hAnsi="Arial" w:cs="Arial"/>
          <w:color w:val="auto"/>
          <w:sz w:val="22"/>
          <w:szCs w:val="22"/>
        </w:rPr>
        <w:br/>
        <w:t>Available at:</w:t>
      </w:r>
    </w:p>
    <w:p w14:paraId="2AE1CA29" w14:textId="2CE5B6D6" w:rsidR="00EA6A58" w:rsidRPr="00B94139" w:rsidRDefault="00EA6A58" w:rsidP="00B04941">
      <w:pPr>
        <w:pStyle w:val="Default"/>
        <w:spacing w:line="360" w:lineRule="auto"/>
        <w:rPr>
          <w:rFonts w:ascii="Arial" w:hAnsi="Arial" w:cs="Arial"/>
          <w:color w:val="000066"/>
          <w:sz w:val="22"/>
          <w:szCs w:val="22"/>
        </w:rPr>
      </w:pPr>
      <w:r>
        <w:rPr>
          <w:rFonts w:ascii="Arial" w:hAnsi="Arial" w:cs="Arial"/>
          <w:color w:val="auto"/>
          <w:sz w:val="22"/>
          <w:szCs w:val="22"/>
        </w:rPr>
        <w:t xml:space="preserve"> </w:t>
      </w:r>
      <w:hyperlink r:id="rId14" w:history="1">
        <w:r>
          <w:rPr>
            <w:rStyle w:val="Hyperlink"/>
          </w:rPr>
          <w:t>http://s-f-walker.org.uk/pubsebooks/pdfs/The%20Behavior%20of%20Organisms%20-%20BF%20Skinner.pdf</w:t>
        </w:r>
      </w:hyperlink>
      <w:r>
        <w:t xml:space="preserve"> (accessed 21/10/19). </w:t>
      </w:r>
    </w:p>
    <w:p w14:paraId="562B12B8" w14:textId="77777777" w:rsidR="00B04941" w:rsidRPr="00B94139" w:rsidRDefault="00B04941" w:rsidP="00B04941">
      <w:pPr>
        <w:spacing w:line="360" w:lineRule="auto"/>
        <w:rPr>
          <w:rFonts w:ascii="Arial" w:hAnsi="Arial" w:cs="Arial"/>
        </w:rPr>
      </w:pPr>
    </w:p>
    <w:p w14:paraId="4D7A0D63" w14:textId="6A028634" w:rsidR="00B04941" w:rsidRDefault="00B04941" w:rsidP="00B04941">
      <w:pPr>
        <w:pStyle w:val="Default"/>
        <w:spacing w:line="360" w:lineRule="auto"/>
        <w:rPr>
          <w:rFonts w:ascii="Arial" w:hAnsi="Arial" w:cs="Arial"/>
          <w:sz w:val="22"/>
          <w:szCs w:val="22"/>
        </w:rPr>
      </w:pPr>
      <w:proofErr w:type="spellStart"/>
      <w:proofErr w:type="gramStart"/>
      <w:r w:rsidRPr="00B94139">
        <w:rPr>
          <w:rFonts w:ascii="Arial" w:hAnsi="Arial" w:cs="Arial"/>
          <w:sz w:val="22"/>
          <w:szCs w:val="22"/>
        </w:rPr>
        <w:t>Vygotsky,L</w:t>
      </w:r>
      <w:proofErr w:type="spellEnd"/>
      <w:r w:rsidRPr="00B94139">
        <w:rPr>
          <w:rFonts w:ascii="Arial" w:hAnsi="Arial" w:cs="Arial"/>
          <w:sz w:val="22"/>
          <w:szCs w:val="22"/>
        </w:rPr>
        <w:t>.</w:t>
      </w:r>
      <w:proofErr w:type="gramEnd"/>
      <w:r w:rsidRPr="00B94139">
        <w:rPr>
          <w:rFonts w:ascii="Arial" w:hAnsi="Arial" w:cs="Arial"/>
          <w:sz w:val="22"/>
          <w:szCs w:val="22"/>
        </w:rPr>
        <w:t xml:space="preserve"> S. (1978) </w:t>
      </w:r>
      <w:r w:rsidRPr="00B94139">
        <w:rPr>
          <w:rStyle w:val="Emphasis"/>
          <w:rFonts w:ascii="Arial" w:hAnsi="Arial" w:cs="Arial"/>
          <w:sz w:val="22"/>
          <w:szCs w:val="22"/>
        </w:rPr>
        <w:t>Mind in society: The development of higher psychological processes</w:t>
      </w:r>
      <w:r w:rsidRPr="00B94139">
        <w:rPr>
          <w:rFonts w:ascii="Arial" w:hAnsi="Arial" w:cs="Arial"/>
          <w:sz w:val="22"/>
          <w:szCs w:val="22"/>
        </w:rPr>
        <w:t xml:space="preserve">. London: Harvard University Press. </w:t>
      </w:r>
    </w:p>
    <w:p w14:paraId="7DE37245" w14:textId="19A3CB29" w:rsidR="00490B80" w:rsidRDefault="00490B80" w:rsidP="00B04941">
      <w:pPr>
        <w:pStyle w:val="Default"/>
        <w:spacing w:line="360" w:lineRule="auto"/>
        <w:rPr>
          <w:rFonts w:ascii="Arial" w:hAnsi="Arial" w:cs="Arial"/>
          <w:sz w:val="22"/>
          <w:szCs w:val="22"/>
        </w:rPr>
      </w:pPr>
    </w:p>
    <w:p w14:paraId="3BB5B4BE" w14:textId="2447011B" w:rsidR="00490B80" w:rsidRPr="00490B80" w:rsidRDefault="00490B80" w:rsidP="00B04941">
      <w:pPr>
        <w:pStyle w:val="Default"/>
        <w:spacing w:line="360" w:lineRule="auto"/>
        <w:rPr>
          <w:rFonts w:ascii="Arial" w:hAnsi="Arial" w:cs="Arial"/>
          <w:color w:val="333333"/>
          <w:sz w:val="22"/>
          <w:szCs w:val="22"/>
          <w:shd w:val="clear" w:color="auto" w:fill="FFFFFF"/>
        </w:rPr>
      </w:pPr>
      <w:proofErr w:type="spellStart"/>
      <w:r w:rsidRPr="00490B80">
        <w:rPr>
          <w:rFonts w:ascii="Arial" w:hAnsi="Arial" w:cs="Arial"/>
          <w:sz w:val="22"/>
          <w:szCs w:val="22"/>
        </w:rPr>
        <w:t>Verenikina</w:t>
      </w:r>
      <w:proofErr w:type="spellEnd"/>
      <w:r w:rsidRPr="00490B80">
        <w:rPr>
          <w:rFonts w:ascii="Arial" w:hAnsi="Arial" w:cs="Arial"/>
          <w:sz w:val="22"/>
          <w:szCs w:val="22"/>
        </w:rPr>
        <w:t xml:space="preserve">, I. M. (2003). ‘Vygotsky's Socio-Cultural Theory and the Zone of Proximal Development’, </w:t>
      </w:r>
      <w:proofErr w:type="gramStart"/>
      <w:r w:rsidRPr="00490B80">
        <w:rPr>
          <w:rFonts w:ascii="Arial" w:hAnsi="Arial" w:cs="Arial"/>
          <w:sz w:val="22"/>
          <w:szCs w:val="22"/>
        </w:rPr>
        <w:t>in  H.</w:t>
      </w:r>
      <w:proofErr w:type="gramEnd"/>
      <w:r w:rsidRPr="00490B80">
        <w:rPr>
          <w:rFonts w:ascii="Arial" w:hAnsi="Arial" w:cs="Arial"/>
          <w:sz w:val="22"/>
          <w:szCs w:val="22"/>
        </w:rPr>
        <w:t xml:space="preserve"> M. Hasan, I. M. </w:t>
      </w:r>
      <w:proofErr w:type="spellStart"/>
      <w:r w:rsidRPr="00490B80">
        <w:rPr>
          <w:rFonts w:ascii="Arial" w:hAnsi="Arial" w:cs="Arial"/>
          <w:sz w:val="22"/>
          <w:szCs w:val="22"/>
        </w:rPr>
        <w:t>Verenikina</w:t>
      </w:r>
      <w:proofErr w:type="spellEnd"/>
      <w:r w:rsidRPr="00490B80">
        <w:rPr>
          <w:rFonts w:ascii="Arial" w:hAnsi="Arial" w:cs="Arial"/>
          <w:sz w:val="22"/>
          <w:szCs w:val="22"/>
        </w:rPr>
        <w:t xml:space="preserve"> &amp; E. L. Gould (Eds.), </w:t>
      </w:r>
      <w:r w:rsidRPr="00490B80">
        <w:rPr>
          <w:rFonts w:ascii="Arial" w:hAnsi="Arial" w:cs="Arial"/>
          <w:i/>
          <w:iCs/>
          <w:sz w:val="22"/>
          <w:szCs w:val="22"/>
        </w:rPr>
        <w:t>Expanding the Horizon</w:t>
      </w:r>
      <w:r w:rsidR="00D610F6">
        <w:rPr>
          <w:rFonts w:ascii="Arial" w:hAnsi="Arial" w:cs="Arial"/>
          <w:i/>
          <w:iCs/>
          <w:sz w:val="22"/>
          <w:szCs w:val="22"/>
        </w:rPr>
        <w:t>:</w:t>
      </w:r>
      <w:r w:rsidRPr="00490B80">
        <w:rPr>
          <w:rFonts w:ascii="Arial" w:hAnsi="Arial" w:cs="Arial"/>
          <w:i/>
          <w:iCs/>
          <w:sz w:val="22"/>
          <w:szCs w:val="22"/>
        </w:rPr>
        <w:t xml:space="preserve"> Information Systems and Activity Theory </w:t>
      </w:r>
      <w:r w:rsidRPr="00490B80">
        <w:rPr>
          <w:rFonts w:ascii="Arial" w:hAnsi="Arial" w:cs="Arial"/>
          <w:sz w:val="22"/>
          <w:szCs w:val="22"/>
        </w:rPr>
        <w:t>(pp. 4-14). Wollongong: University of Wollongong Press.</w:t>
      </w:r>
    </w:p>
    <w:p w14:paraId="0FD7B276" w14:textId="7466170B" w:rsidR="00B04941" w:rsidRDefault="00B04941" w:rsidP="00B04941">
      <w:pPr>
        <w:autoSpaceDE w:val="0"/>
        <w:autoSpaceDN w:val="0"/>
        <w:adjustRightInd w:val="0"/>
        <w:spacing w:after="0" w:line="360" w:lineRule="auto"/>
        <w:rPr>
          <w:rFonts w:ascii="Arial" w:hAnsi="Arial" w:cs="Arial"/>
        </w:rPr>
      </w:pPr>
    </w:p>
    <w:p w14:paraId="0B8F07DF" w14:textId="77777777" w:rsidR="005A3943" w:rsidRPr="00B94139" w:rsidRDefault="005A3943" w:rsidP="00B04941">
      <w:pPr>
        <w:autoSpaceDE w:val="0"/>
        <w:autoSpaceDN w:val="0"/>
        <w:adjustRightInd w:val="0"/>
        <w:spacing w:after="0" w:line="360" w:lineRule="auto"/>
        <w:rPr>
          <w:rFonts w:ascii="Arial" w:hAnsi="Arial" w:cs="Arial"/>
        </w:rPr>
      </w:pPr>
    </w:p>
    <w:p w14:paraId="60E6055F" w14:textId="5AAE6373" w:rsidR="00B04941" w:rsidRDefault="00B04941" w:rsidP="00B04941">
      <w:pPr>
        <w:autoSpaceDE w:val="0"/>
        <w:autoSpaceDN w:val="0"/>
        <w:adjustRightInd w:val="0"/>
        <w:spacing w:after="0" w:line="360" w:lineRule="auto"/>
        <w:rPr>
          <w:rFonts w:ascii="Arial" w:hAnsi="Arial" w:cs="Arial"/>
        </w:rPr>
      </w:pPr>
      <w:r w:rsidRPr="00B94139">
        <w:rPr>
          <w:rFonts w:ascii="Arial" w:hAnsi="Arial" w:cs="Arial"/>
        </w:rPr>
        <w:t xml:space="preserve">Welsh Government (2010) </w:t>
      </w:r>
      <w:r w:rsidRPr="00B94139">
        <w:rPr>
          <w:rFonts w:ascii="Arial" w:hAnsi="Arial" w:cs="Arial"/>
          <w:i/>
          <w:iCs/>
        </w:rPr>
        <w:t>How to develop thinking and assessment for learning in the classroom</w:t>
      </w:r>
      <w:r w:rsidRPr="00B94139">
        <w:rPr>
          <w:rFonts w:ascii="Arial" w:hAnsi="Arial" w:cs="Arial"/>
        </w:rPr>
        <w:t xml:space="preserve">. Available at: </w:t>
      </w:r>
      <w:hyperlink r:id="rId15" w:history="1">
        <w:r w:rsidRPr="00B94139">
          <w:rPr>
            <w:rStyle w:val="Hyperlink"/>
            <w:rFonts w:ascii="Arial" w:hAnsi="Arial" w:cs="Arial"/>
          </w:rPr>
          <w:t>https://hwb.gov.wales/curriculum-for-wales-2008/assessment/how-to-develop-thinking-and-assessment-for-learning-in-the-classroom</w:t>
        </w:r>
      </w:hyperlink>
      <w:r w:rsidRPr="00B94139">
        <w:rPr>
          <w:rFonts w:ascii="Arial" w:hAnsi="Arial" w:cs="Arial"/>
        </w:rPr>
        <w:t xml:space="preserve">.  </w:t>
      </w:r>
    </w:p>
    <w:p w14:paraId="6F2A0FD6" w14:textId="3BAE7583" w:rsidR="00E709B3" w:rsidRDefault="00E709B3" w:rsidP="00B04941">
      <w:pPr>
        <w:autoSpaceDE w:val="0"/>
        <w:autoSpaceDN w:val="0"/>
        <w:adjustRightInd w:val="0"/>
        <w:spacing w:after="0" w:line="360" w:lineRule="auto"/>
        <w:rPr>
          <w:rFonts w:ascii="Arial" w:hAnsi="Arial" w:cs="Arial"/>
        </w:rPr>
      </w:pPr>
    </w:p>
    <w:p w14:paraId="2EDEE44E" w14:textId="6814B192" w:rsidR="00E709B3" w:rsidRDefault="00E709B3" w:rsidP="00B04941">
      <w:pPr>
        <w:autoSpaceDE w:val="0"/>
        <w:autoSpaceDN w:val="0"/>
        <w:adjustRightInd w:val="0"/>
        <w:spacing w:after="0" w:line="360" w:lineRule="auto"/>
        <w:rPr>
          <w:rFonts w:ascii="Arial" w:hAnsi="Arial" w:cs="Arial"/>
        </w:rPr>
      </w:pPr>
      <w:r>
        <w:rPr>
          <w:rFonts w:ascii="Arial" w:hAnsi="Arial" w:cs="Arial"/>
        </w:rPr>
        <w:t>Welsh Government (2015) Summary Report of ‘Successful futures</w:t>
      </w:r>
      <w:r w:rsidR="008E3E44">
        <w:rPr>
          <w:rFonts w:ascii="Arial" w:hAnsi="Arial" w:cs="Arial"/>
        </w:rPr>
        <w:t xml:space="preserve">: </w:t>
      </w:r>
      <w:r w:rsidR="008E3E44" w:rsidRPr="00B94139">
        <w:rPr>
          <w:rFonts w:ascii="Arial" w:hAnsi="Arial" w:cs="Arial"/>
        </w:rPr>
        <w:t>Independent review of curriculum and assessment arrangements in Wales</w:t>
      </w:r>
      <w:r w:rsidR="008E3E44">
        <w:rPr>
          <w:rFonts w:ascii="Arial" w:hAnsi="Arial" w:cs="Arial"/>
        </w:rPr>
        <w:t xml:space="preserve">’. Available at: </w:t>
      </w:r>
      <w:hyperlink r:id="rId16" w:history="1">
        <w:r w:rsidR="008E3E44">
          <w:rPr>
            <w:rStyle w:val="Hyperlink"/>
          </w:rPr>
          <w:t>https://gov.wales/sites/default/files/publications/2018-03/succesful-futures-a-summary-of-professor-graham-donaldsons-report.pdf</w:t>
        </w:r>
      </w:hyperlink>
      <w:r w:rsidR="008E3E44">
        <w:t xml:space="preserve">. </w:t>
      </w:r>
    </w:p>
    <w:p w14:paraId="4E786EC9" w14:textId="77777777" w:rsidR="007A0818" w:rsidRDefault="007A0818" w:rsidP="00B04941">
      <w:pPr>
        <w:autoSpaceDE w:val="0"/>
        <w:autoSpaceDN w:val="0"/>
        <w:adjustRightInd w:val="0"/>
        <w:spacing w:after="0" w:line="360" w:lineRule="auto"/>
        <w:rPr>
          <w:rFonts w:ascii="Arial" w:hAnsi="Arial" w:cs="Arial"/>
        </w:rPr>
      </w:pPr>
    </w:p>
    <w:p w14:paraId="1AA851D0" w14:textId="46574C43" w:rsidR="00D41F4D" w:rsidRDefault="00D41F4D" w:rsidP="00B04941">
      <w:pPr>
        <w:autoSpaceDE w:val="0"/>
        <w:autoSpaceDN w:val="0"/>
        <w:adjustRightInd w:val="0"/>
        <w:spacing w:after="0" w:line="360" w:lineRule="auto"/>
        <w:rPr>
          <w:rFonts w:ascii="Arial" w:hAnsi="Arial" w:cs="Arial"/>
        </w:rPr>
      </w:pPr>
    </w:p>
    <w:p w14:paraId="3BCBE066" w14:textId="7D3EFBC8" w:rsidR="00D41F4D" w:rsidRDefault="00D41F4D" w:rsidP="00D41F4D">
      <w:pPr>
        <w:autoSpaceDE w:val="0"/>
        <w:autoSpaceDN w:val="0"/>
        <w:adjustRightInd w:val="0"/>
        <w:spacing w:after="0" w:line="360" w:lineRule="auto"/>
        <w:rPr>
          <w:rFonts w:ascii="Arial" w:hAnsi="Arial" w:cs="Arial"/>
        </w:rPr>
      </w:pPr>
      <w:r w:rsidRPr="00B94139">
        <w:rPr>
          <w:rFonts w:ascii="Arial" w:hAnsi="Arial" w:cs="Arial"/>
        </w:rPr>
        <w:t>Welsh Government (2019</w:t>
      </w:r>
      <w:r w:rsidR="00532737">
        <w:rPr>
          <w:rFonts w:ascii="Arial" w:hAnsi="Arial" w:cs="Arial"/>
        </w:rPr>
        <w:t>a</w:t>
      </w:r>
      <w:r w:rsidRPr="00B94139">
        <w:rPr>
          <w:rFonts w:ascii="Arial" w:hAnsi="Arial" w:cs="Arial"/>
        </w:rPr>
        <w:t xml:space="preserve">) </w:t>
      </w:r>
      <w:r w:rsidRPr="00B94139">
        <w:rPr>
          <w:rFonts w:ascii="Arial" w:hAnsi="Arial" w:cs="Arial"/>
          <w:i/>
          <w:iCs/>
        </w:rPr>
        <w:t xml:space="preserve">Draft Curriculum for Wales 2022: Humanities Area of Learning and Experience. </w:t>
      </w:r>
      <w:r w:rsidRPr="00B94139">
        <w:rPr>
          <w:rFonts w:ascii="Arial" w:hAnsi="Arial" w:cs="Arial"/>
        </w:rPr>
        <w:t xml:space="preserve">Available at: </w:t>
      </w:r>
      <w:hyperlink r:id="rId17" w:history="1">
        <w:r w:rsidRPr="00B94139">
          <w:rPr>
            <w:rStyle w:val="Hyperlink"/>
            <w:rFonts w:ascii="Arial" w:hAnsi="Arial" w:cs="Arial"/>
          </w:rPr>
          <w:t>https://hwb.gov.wales/draft-curriculum-for-wales-2022</w:t>
        </w:r>
      </w:hyperlink>
      <w:r w:rsidRPr="00B94139">
        <w:rPr>
          <w:rFonts w:ascii="Arial" w:hAnsi="Arial" w:cs="Arial"/>
        </w:rPr>
        <w:t xml:space="preserve">. </w:t>
      </w:r>
    </w:p>
    <w:p w14:paraId="744E193F" w14:textId="77777777" w:rsidR="007A0818" w:rsidRDefault="007A0818" w:rsidP="00D41F4D">
      <w:pPr>
        <w:autoSpaceDE w:val="0"/>
        <w:autoSpaceDN w:val="0"/>
        <w:adjustRightInd w:val="0"/>
        <w:spacing w:after="0" w:line="360" w:lineRule="auto"/>
        <w:rPr>
          <w:rFonts w:ascii="Arial" w:hAnsi="Arial" w:cs="Arial"/>
        </w:rPr>
      </w:pPr>
    </w:p>
    <w:p w14:paraId="6291D5AF" w14:textId="4F78FBA4" w:rsidR="00D41F4D" w:rsidRDefault="00D41F4D" w:rsidP="00D41F4D">
      <w:pPr>
        <w:autoSpaceDE w:val="0"/>
        <w:autoSpaceDN w:val="0"/>
        <w:adjustRightInd w:val="0"/>
        <w:spacing w:after="0" w:line="360" w:lineRule="auto"/>
        <w:rPr>
          <w:rFonts w:ascii="Arial" w:hAnsi="Arial" w:cs="Arial"/>
        </w:rPr>
      </w:pPr>
    </w:p>
    <w:p w14:paraId="6F5AAE2C" w14:textId="56E9B103" w:rsidR="005A3943" w:rsidRPr="00A36FB3" w:rsidRDefault="00A36FB3" w:rsidP="00D41F4D">
      <w:pPr>
        <w:autoSpaceDE w:val="0"/>
        <w:autoSpaceDN w:val="0"/>
        <w:adjustRightInd w:val="0"/>
        <w:spacing w:after="0" w:line="360" w:lineRule="auto"/>
        <w:rPr>
          <w:rFonts w:ascii="Arial" w:hAnsi="Arial" w:cs="Arial"/>
        </w:rPr>
      </w:pPr>
      <w:r w:rsidRPr="00A36FB3">
        <w:rPr>
          <w:rFonts w:ascii="Arial" w:hAnsi="Arial" w:cs="Arial"/>
        </w:rPr>
        <w:lastRenderedPageBreak/>
        <w:t xml:space="preserve">Welsh Government (2019b) Draft Curriculum for Wales 2022: A Guide to Curriculum in Wales. Available at: </w:t>
      </w:r>
      <w:hyperlink r:id="rId18" w:history="1">
        <w:r w:rsidRPr="00A36FB3">
          <w:rPr>
            <w:rStyle w:val="Hyperlink"/>
            <w:rFonts w:ascii="Arial" w:hAnsi="Arial" w:cs="Arial"/>
          </w:rPr>
          <w:t>https://hwb.gov.wales/draft-curriculum-for-wales-2022</w:t>
        </w:r>
      </w:hyperlink>
      <w:r w:rsidRPr="00A36FB3">
        <w:rPr>
          <w:rFonts w:ascii="Arial" w:hAnsi="Arial" w:cs="Arial"/>
        </w:rPr>
        <w:t xml:space="preserve">. </w:t>
      </w:r>
    </w:p>
    <w:p w14:paraId="0B79640D" w14:textId="77777777" w:rsidR="005A3943" w:rsidRDefault="005A3943" w:rsidP="00D41F4D">
      <w:pPr>
        <w:autoSpaceDE w:val="0"/>
        <w:autoSpaceDN w:val="0"/>
        <w:adjustRightInd w:val="0"/>
        <w:spacing w:after="0" w:line="360" w:lineRule="auto"/>
        <w:rPr>
          <w:rFonts w:ascii="Arial" w:hAnsi="Arial" w:cs="Arial"/>
        </w:rPr>
      </w:pPr>
    </w:p>
    <w:p w14:paraId="552903F5" w14:textId="40676C31" w:rsidR="00D41F4D" w:rsidRPr="00B94139" w:rsidRDefault="00D41F4D" w:rsidP="00D41F4D">
      <w:pPr>
        <w:autoSpaceDE w:val="0"/>
        <w:autoSpaceDN w:val="0"/>
        <w:adjustRightInd w:val="0"/>
        <w:spacing w:after="0" w:line="360" w:lineRule="auto"/>
        <w:rPr>
          <w:rFonts w:ascii="Arial" w:hAnsi="Arial" w:cs="Arial"/>
        </w:rPr>
      </w:pPr>
      <w:r>
        <w:rPr>
          <w:rFonts w:ascii="Arial" w:hAnsi="Arial" w:cs="Arial"/>
        </w:rPr>
        <w:t>Welsh Government (2019</w:t>
      </w:r>
      <w:r w:rsidR="00A36FB3">
        <w:rPr>
          <w:rFonts w:ascii="Arial" w:hAnsi="Arial" w:cs="Arial"/>
        </w:rPr>
        <w:t>c</w:t>
      </w:r>
      <w:r>
        <w:rPr>
          <w:rFonts w:ascii="Arial" w:hAnsi="Arial" w:cs="Arial"/>
        </w:rPr>
        <w:t xml:space="preserve">), </w:t>
      </w:r>
      <w:r w:rsidRPr="00D41F4D">
        <w:rPr>
          <w:rFonts w:ascii="Arial" w:hAnsi="Arial" w:cs="Arial"/>
          <w:i/>
          <w:iCs/>
        </w:rPr>
        <w:t>Professional standards for teaching and leadership.</w:t>
      </w:r>
      <w:r>
        <w:rPr>
          <w:rFonts w:ascii="Arial" w:hAnsi="Arial" w:cs="Arial"/>
        </w:rPr>
        <w:t xml:space="preserve"> </w:t>
      </w:r>
      <w:r>
        <w:rPr>
          <w:rFonts w:ascii="Arial" w:hAnsi="Arial" w:cs="Arial"/>
        </w:rPr>
        <w:br/>
        <w:t xml:space="preserve">Available at: </w:t>
      </w:r>
      <w:hyperlink r:id="rId19" w:history="1">
        <w:r w:rsidRPr="00EE0D1F">
          <w:rPr>
            <w:rStyle w:val="Hyperlink"/>
          </w:rPr>
          <w:t>https://s3-eu-west-1.amazonaws.com/hwb-live-storage/fc/a7/a4/e2/e348428381e68434ea93f611/professional-standards-for-teaching-and-leadership-interactive-pdf-for-pc.pdf</w:t>
        </w:r>
      </w:hyperlink>
      <w:r>
        <w:t xml:space="preserve">. </w:t>
      </w:r>
    </w:p>
    <w:p w14:paraId="1E158CEB" w14:textId="6A1A92BB" w:rsidR="00D41F4D" w:rsidRDefault="00D41F4D" w:rsidP="00B04941">
      <w:pPr>
        <w:autoSpaceDE w:val="0"/>
        <w:autoSpaceDN w:val="0"/>
        <w:adjustRightInd w:val="0"/>
        <w:spacing w:after="0" w:line="360" w:lineRule="auto"/>
        <w:rPr>
          <w:rFonts w:ascii="Arial" w:hAnsi="Arial" w:cs="Arial"/>
        </w:rPr>
      </w:pPr>
    </w:p>
    <w:p w14:paraId="187C0CC4" w14:textId="39A90AC5" w:rsidR="00490B80" w:rsidRDefault="00490B80" w:rsidP="00B04941">
      <w:pPr>
        <w:autoSpaceDE w:val="0"/>
        <w:autoSpaceDN w:val="0"/>
        <w:adjustRightInd w:val="0"/>
        <w:spacing w:after="0" w:line="360" w:lineRule="auto"/>
        <w:rPr>
          <w:rFonts w:ascii="Arial" w:hAnsi="Arial" w:cs="Arial"/>
        </w:rPr>
      </w:pPr>
    </w:p>
    <w:p w14:paraId="250F0827" w14:textId="4CB878D0" w:rsidR="00062280" w:rsidRDefault="00062280" w:rsidP="00B04941">
      <w:pPr>
        <w:autoSpaceDE w:val="0"/>
        <w:autoSpaceDN w:val="0"/>
        <w:adjustRightInd w:val="0"/>
        <w:spacing w:after="0" w:line="360" w:lineRule="auto"/>
        <w:rPr>
          <w:rFonts w:ascii="Arial" w:hAnsi="Arial" w:cs="Arial"/>
        </w:rPr>
      </w:pPr>
    </w:p>
    <w:p w14:paraId="5BFFA9B0" w14:textId="7A1DB4E1" w:rsidR="00062280" w:rsidRDefault="00062280" w:rsidP="00B04941">
      <w:pPr>
        <w:autoSpaceDE w:val="0"/>
        <w:autoSpaceDN w:val="0"/>
        <w:adjustRightInd w:val="0"/>
        <w:spacing w:after="0" w:line="360" w:lineRule="auto"/>
        <w:rPr>
          <w:rFonts w:ascii="Arial" w:hAnsi="Arial" w:cs="Arial"/>
        </w:rPr>
      </w:pPr>
    </w:p>
    <w:p w14:paraId="60B103D0" w14:textId="01EC27F2" w:rsidR="00062280" w:rsidRDefault="00062280" w:rsidP="00B04941">
      <w:pPr>
        <w:autoSpaceDE w:val="0"/>
        <w:autoSpaceDN w:val="0"/>
        <w:adjustRightInd w:val="0"/>
        <w:spacing w:after="0" w:line="360" w:lineRule="auto"/>
        <w:rPr>
          <w:rFonts w:ascii="Arial" w:hAnsi="Arial" w:cs="Arial"/>
        </w:rPr>
      </w:pPr>
    </w:p>
    <w:p w14:paraId="5BC5192C" w14:textId="336397E9" w:rsidR="00062280" w:rsidRDefault="00062280" w:rsidP="00B04941">
      <w:pPr>
        <w:autoSpaceDE w:val="0"/>
        <w:autoSpaceDN w:val="0"/>
        <w:adjustRightInd w:val="0"/>
        <w:spacing w:after="0" w:line="360" w:lineRule="auto"/>
        <w:rPr>
          <w:rFonts w:ascii="Arial" w:hAnsi="Arial" w:cs="Arial"/>
        </w:rPr>
      </w:pPr>
    </w:p>
    <w:p w14:paraId="0EC797D8" w14:textId="1A18F6EA" w:rsidR="00062280" w:rsidRDefault="00062280" w:rsidP="00B04941">
      <w:pPr>
        <w:autoSpaceDE w:val="0"/>
        <w:autoSpaceDN w:val="0"/>
        <w:adjustRightInd w:val="0"/>
        <w:spacing w:after="0" w:line="360" w:lineRule="auto"/>
        <w:rPr>
          <w:rFonts w:ascii="Arial" w:hAnsi="Arial" w:cs="Arial"/>
        </w:rPr>
      </w:pPr>
    </w:p>
    <w:p w14:paraId="4AC52063" w14:textId="07784458" w:rsidR="00062280" w:rsidRDefault="00062280" w:rsidP="00B04941">
      <w:pPr>
        <w:autoSpaceDE w:val="0"/>
        <w:autoSpaceDN w:val="0"/>
        <w:adjustRightInd w:val="0"/>
        <w:spacing w:after="0" w:line="360" w:lineRule="auto"/>
        <w:rPr>
          <w:rFonts w:ascii="Arial" w:hAnsi="Arial" w:cs="Arial"/>
        </w:rPr>
      </w:pPr>
    </w:p>
    <w:p w14:paraId="2BE2974C" w14:textId="2ED30259" w:rsidR="00062280" w:rsidRDefault="00062280" w:rsidP="00B04941">
      <w:pPr>
        <w:autoSpaceDE w:val="0"/>
        <w:autoSpaceDN w:val="0"/>
        <w:adjustRightInd w:val="0"/>
        <w:spacing w:after="0" w:line="360" w:lineRule="auto"/>
        <w:rPr>
          <w:rFonts w:ascii="Arial" w:hAnsi="Arial" w:cs="Arial"/>
        </w:rPr>
      </w:pPr>
    </w:p>
    <w:p w14:paraId="700DCB99" w14:textId="5C48A06B" w:rsidR="00062280" w:rsidRDefault="00062280" w:rsidP="00B04941">
      <w:pPr>
        <w:autoSpaceDE w:val="0"/>
        <w:autoSpaceDN w:val="0"/>
        <w:adjustRightInd w:val="0"/>
        <w:spacing w:after="0" w:line="360" w:lineRule="auto"/>
        <w:rPr>
          <w:rFonts w:ascii="Arial" w:hAnsi="Arial" w:cs="Arial"/>
        </w:rPr>
      </w:pPr>
    </w:p>
    <w:p w14:paraId="693F222E" w14:textId="360F1B79" w:rsidR="00062280" w:rsidRDefault="00062280" w:rsidP="00B04941">
      <w:pPr>
        <w:autoSpaceDE w:val="0"/>
        <w:autoSpaceDN w:val="0"/>
        <w:adjustRightInd w:val="0"/>
        <w:spacing w:after="0" w:line="360" w:lineRule="auto"/>
        <w:rPr>
          <w:rFonts w:ascii="Arial" w:hAnsi="Arial" w:cs="Arial"/>
        </w:rPr>
      </w:pPr>
    </w:p>
    <w:p w14:paraId="7C9DC5D9" w14:textId="4BBC0E51" w:rsidR="00062280" w:rsidRDefault="00062280" w:rsidP="00B04941">
      <w:pPr>
        <w:autoSpaceDE w:val="0"/>
        <w:autoSpaceDN w:val="0"/>
        <w:adjustRightInd w:val="0"/>
        <w:spacing w:after="0" w:line="360" w:lineRule="auto"/>
        <w:rPr>
          <w:rFonts w:ascii="Arial" w:hAnsi="Arial" w:cs="Arial"/>
        </w:rPr>
      </w:pPr>
    </w:p>
    <w:p w14:paraId="087E1644" w14:textId="6828E433" w:rsidR="00062280" w:rsidRDefault="00062280" w:rsidP="00B04941">
      <w:pPr>
        <w:autoSpaceDE w:val="0"/>
        <w:autoSpaceDN w:val="0"/>
        <w:adjustRightInd w:val="0"/>
        <w:spacing w:after="0" w:line="360" w:lineRule="auto"/>
        <w:rPr>
          <w:rFonts w:ascii="Arial" w:hAnsi="Arial" w:cs="Arial"/>
        </w:rPr>
      </w:pPr>
    </w:p>
    <w:p w14:paraId="03C76CE5" w14:textId="14A9440B" w:rsidR="00062280" w:rsidRDefault="00062280" w:rsidP="00B04941">
      <w:pPr>
        <w:autoSpaceDE w:val="0"/>
        <w:autoSpaceDN w:val="0"/>
        <w:adjustRightInd w:val="0"/>
        <w:spacing w:after="0" w:line="360" w:lineRule="auto"/>
        <w:rPr>
          <w:rFonts w:ascii="Arial" w:hAnsi="Arial" w:cs="Arial"/>
        </w:rPr>
      </w:pPr>
    </w:p>
    <w:p w14:paraId="3CA40BF9" w14:textId="7C6C2F36" w:rsidR="00062280" w:rsidRDefault="00062280" w:rsidP="00B04941">
      <w:pPr>
        <w:autoSpaceDE w:val="0"/>
        <w:autoSpaceDN w:val="0"/>
        <w:adjustRightInd w:val="0"/>
        <w:spacing w:after="0" w:line="360" w:lineRule="auto"/>
        <w:rPr>
          <w:rFonts w:ascii="Arial" w:hAnsi="Arial" w:cs="Arial"/>
        </w:rPr>
      </w:pPr>
    </w:p>
    <w:p w14:paraId="5D5C3010" w14:textId="34ACC2FC" w:rsidR="00062280" w:rsidRDefault="00062280" w:rsidP="00B04941">
      <w:pPr>
        <w:autoSpaceDE w:val="0"/>
        <w:autoSpaceDN w:val="0"/>
        <w:adjustRightInd w:val="0"/>
        <w:spacing w:after="0" w:line="360" w:lineRule="auto"/>
        <w:rPr>
          <w:rFonts w:ascii="Arial" w:hAnsi="Arial" w:cs="Arial"/>
        </w:rPr>
      </w:pPr>
    </w:p>
    <w:p w14:paraId="62C109F9" w14:textId="22A879CA" w:rsidR="00062280" w:rsidRDefault="00062280" w:rsidP="00B04941">
      <w:pPr>
        <w:autoSpaceDE w:val="0"/>
        <w:autoSpaceDN w:val="0"/>
        <w:adjustRightInd w:val="0"/>
        <w:spacing w:after="0" w:line="360" w:lineRule="auto"/>
        <w:rPr>
          <w:rFonts w:ascii="Arial" w:hAnsi="Arial" w:cs="Arial"/>
        </w:rPr>
      </w:pPr>
    </w:p>
    <w:p w14:paraId="3454F62D" w14:textId="3A74F43D" w:rsidR="00062280" w:rsidRDefault="00062280" w:rsidP="00B04941">
      <w:pPr>
        <w:autoSpaceDE w:val="0"/>
        <w:autoSpaceDN w:val="0"/>
        <w:adjustRightInd w:val="0"/>
        <w:spacing w:after="0" w:line="360" w:lineRule="auto"/>
        <w:rPr>
          <w:rFonts w:ascii="Arial" w:hAnsi="Arial" w:cs="Arial"/>
        </w:rPr>
      </w:pPr>
    </w:p>
    <w:p w14:paraId="33CAA479" w14:textId="00148769" w:rsidR="00062280" w:rsidRDefault="00062280" w:rsidP="00B04941">
      <w:pPr>
        <w:autoSpaceDE w:val="0"/>
        <w:autoSpaceDN w:val="0"/>
        <w:adjustRightInd w:val="0"/>
        <w:spacing w:after="0" w:line="360" w:lineRule="auto"/>
        <w:rPr>
          <w:rFonts w:ascii="Arial" w:hAnsi="Arial" w:cs="Arial"/>
        </w:rPr>
      </w:pPr>
    </w:p>
    <w:p w14:paraId="2E9B6544" w14:textId="1A88BC4C" w:rsidR="00062280" w:rsidRDefault="00062280" w:rsidP="00B04941">
      <w:pPr>
        <w:autoSpaceDE w:val="0"/>
        <w:autoSpaceDN w:val="0"/>
        <w:adjustRightInd w:val="0"/>
        <w:spacing w:after="0" w:line="360" w:lineRule="auto"/>
        <w:rPr>
          <w:rFonts w:ascii="Arial" w:hAnsi="Arial" w:cs="Arial"/>
        </w:rPr>
      </w:pPr>
    </w:p>
    <w:p w14:paraId="0AAC6184" w14:textId="1225B762" w:rsidR="00062280" w:rsidRDefault="00062280" w:rsidP="00B04941">
      <w:pPr>
        <w:autoSpaceDE w:val="0"/>
        <w:autoSpaceDN w:val="0"/>
        <w:adjustRightInd w:val="0"/>
        <w:spacing w:after="0" w:line="360" w:lineRule="auto"/>
        <w:rPr>
          <w:rFonts w:ascii="Arial" w:hAnsi="Arial" w:cs="Arial"/>
        </w:rPr>
      </w:pPr>
    </w:p>
    <w:p w14:paraId="4BF8E771" w14:textId="26D3C6C6" w:rsidR="00062280" w:rsidRDefault="00062280" w:rsidP="00B04941">
      <w:pPr>
        <w:autoSpaceDE w:val="0"/>
        <w:autoSpaceDN w:val="0"/>
        <w:adjustRightInd w:val="0"/>
        <w:spacing w:after="0" w:line="360" w:lineRule="auto"/>
        <w:rPr>
          <w:rFonts w:ascii="Arial" w:hAnsi="Arial" w:cs="Arial"/>
        </w:rPr>
      </w:pPr>
    </w:p>
    <w:p w14:paraId="257D62E9" w14:textId="56485B56" w:rsidR="00062280" w:rsidRDefault="00062280" w:rsidP="00B04941">
      <w:pPr>
        <w:autoSpaceDE w:val="0"/>
        <w:autoSpaceDN w:val="0"/>
        <w:adjustRightInd w:val="0"/>
        <w:spacing w:after="0" w:line="360" w:lineRule="auto"/>
        <w:rPr>
          <w:rFonts w:ascii="Arial" w:hAnsi="Arial" w:cs="Arial"/>
        </w:rPr>
      </w:pPr>
    </w:p>
    <w:p w14:paraId="30E4D227" w14:textId="555EE8D3" w:rsidR="00062280" w:rsidRDefault="00062280" w:rsidP="00B04941">
      <w:pPr>
        <w:autoSpaceDE w:val="0"/>
        <w:autoSpaceDN w:val="0"/>
        <w:adjustRightInd w:val="0"/>
        <w:spacing w:after="0" w:line="360" w:lineRule="auto"/>
        <w:rPr>
          <w:rFonts w:ascii="Arial" w:hAnsi="Arial" w:cs="Arial"/>
        </w:rPr>
      </w:pPr>
    </w:p>
    <w:p w14:paraId="3516CB82" w14:textId="468A006F" w:rsidR="00062280" w:rsidRDefault="00062280" w:rsidP="00B04941">
      <w:pPr>
        <w:autoSpaceDE w:val="0"/>
        <w:autoSpaceDN w:val="0"/>
        <w:adjustRightInd w:val="0"/>
        <w:spacing w:after="0" w:line="360" w:lineRule="auto"/>
        <w:rPr>
          <w:rFonts w:ascii="Arial" w:hAnsi="Arial" w:cs="Arial"/>
        </w:rPr>
      </w:pPr>
    </w:p>
    <w:p w14:paraId="373F83BB" w14:textId="1AAD7BDF" w:rsidR="00062280" w:rsidRDefault="00062280" w:rsidP="00B04941">
      <w:pPr>
        <w:autoSpaceDE w:val="0"/>
        <w:autoSpaceDN w:val="0"/>
        <w:adjustRightInd w:val="0"/>
        <w:spacing w:after="0" w:line="360" w:lineRule="auto"/>
        <w:rPr>
          <w:rFonts w:ascii="Arial" w:hAnsi="Arial" w:cs="Arial"/>
        </w:rPr>
      </w:pPr>
    </w:p>
    <w:p w14:paraId="0C75D2D0" w14:textId="1F251CE7" w:rsidR="00062280" w:rsidRDefault="00062280" w:rsidP="00B04941">
      <w:pPr>
        <w:autoSpaceDE w:val="0"/>
        <w:autoSpaceDN w:val="0"/>
        <w:adjustRightInd w:val="0"/>
        <w:spacing w:after="0" w:line="360" w:lineRule="auto"/>
        <w:rPr>
          <w:rFonts w:ascii="Arial" w:hAnsi="Arial" w:cs="Arial"/>
        </w:rPr>
      </w:pPr>
    </w:p>
    <w:p w14:paraId="6DD28B41" w14:textId="41352570" w:rsidR="00062280" w:rsidRDefault="00062280" w:rsidP="00B04941">
      <w:pPr>
        <w:autoSpaceDE w:val="0"/>
        <w:autoSpaceDN w:val="0"/>
        <w:adjustRightInd w:val="0"/>
        <w:spacing w:after="0" w:line="360" w:lineRule="auto"/>
        <w:rPr>
          <w:rFonts w:ascii="Arial" w:hAnsi="Arial" w:cs="Arial"/>
        </w:rPr>
      </w:pPr>
    </w:p>
    <w:p w14:paraId="2EEA1806" w14:textId="65A86BF4" w:rsidR="00062280" w:rsidRDefault="00062280" w:rsidP="00B04941">
      <w:pPr>
        <w:autoSpaceDE w:val="0"/>
        <w:autoSpaceDN w:val="0"/>
        <w:adjustRightInd w:val="0"/>
        <w:spacing w:after="0" w:line="360" w:lineRule="auto"/>
        <w:rPr>
          <w:rFonts w:ascii="Arial" w:hAnsi="Arial" w:cs="Arial"/>
        </w:rPr>
      </w:pPr>
    </w:p>
    <w:p w14:paraId="09425E50" w14:textId="0649F841" w:rsidR="00062280" w:rsidRDefault="00062280" w:rsidP="00B04941">
      <w:pPr>
        <w:autoSpaceDE w:val="0"/>
        <w:autoSpaceDN w:val="0"/>
        <w:adjustRightInd w:val="0"/>
        <w:spacing w:after="0" w:line="360" w:lineRule="auto"/>
        <w:rPr>
          <w:rFonts w:ascii="Arial" w:hAnsi="Arial" w:cs="Arial"/>
        </w:rPr>
      </w:pPr>
      <w:r>
        <w:rPr>
          <w:noProof/>
        </w:rPr>
        <w:lastRenderedPageBreak/>
        <w:drawing>
          <wp:anchor distT="0" distB="0" distL="114300" distR="114300" simplePos="0" relativeHeight="251661312" behindDoc="0" locked="0" layoutInCell="1" allowOverlap="0" wp14:anchorId="02E8FC2B" wp14:editId="404408A3">
            <wp:simplePos x="0" y="0"/>
            <wp:positionH relativeFrom="page">
              <wp:posOffset>209550</wp:posOffset>
            </wp:positionH>
            <wp:positionV relativeFrom="page">
              <wp:posOffset>440690</wp:posOffset>
            </wp:positionV>
            <wp:extent cx="6947540" cy="10375900"/>
            <wp:effectExtent l="0" t="0" r="0" b="0"/>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a:stretch>
                      <a:fillRect/>
                    </a:stretch>
                  </pic:blipFill>
                  <pic:spPr>
                    <a:xfrm>
                      <a:off x="0" y="0"/>
                      <a:ext cx="6947540" cy="10375900"/>
                    </a:xfrm>
                    <a:prstGeom prst="rect">
                      <a:avLst/>
                    </a:prstGeom>
                  </pic:spPr>
                </pic:pic>
              </a:graphicData>
            </a:graphic>
          </wp:anchor>
        </w:drawing>
      </w:r>
    </w:p>
    <w:p w14:paraId="055C0B0E" w14:textId="509B08BB" w:rsidR="00062280" w:rsidRPr="00B94139" w:rsidRDefault="00062280" w:rsidP="00B04941">
      <w:pPr>
        <w:autoSpaceDE w:val="0"/>
        <w:autoSpaceDN w:val="0"/>
        <w:adjustRightInd w:val="0"/>
        <w:spacing w:after="0" w:line="360" w:lineRule="auto"/>
        <w:rPr>
          <w:rFonts w:ascii="Arial" w:hAnsi="Arial" w:cs="Arial"/>
        </w:rPr>
      </w:pPr>
      <w:r>
        <w:rPr>
          <w:noProof/>
        </w:rPr>
        <w:lastRenderedPageBreak/>
        <w:drawing>
          <wp:anchor distT="0" distB="0" distL="114300" distR="114300" simplePos="0" relativeHeight="251663360" behindDoc="0" locked="0" layoutInCell="1" allowOverlap="0" wp14:anchorId="1A9F706E" wp14:editId="1B518727">
            <wp:simplePos x="0" y="0"/>
            <wp:positionH relativeFrom="page">
              <wp:posOffset>276225</wp:posOffset>
            </wp:positionH>
            <wp:positionV relativeFrom="page">
              <wp:align>bottom</wp:align>
            </wp:positionV>
            <wp:extent cx="6766560" cy="10375900"/>
            <wp:effectExtent l="0" t="0" r="0" b="6350"/>
            <wp:wrapTopAndBottom/>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a:stretch>
                      <a:fillRect/>
                    </a:stretch>
                  </pic:blipFill>
                  <pic:spPr>
                    <a:xfrm>
                      <a:off x="0" y="0"/>
                      <a:ext cx="6766560" cy="10375900"/>
                    </a:xfrm>
                    <a:prstGeom prst="rect">
                      <a:avLst/>
                    </a:prstGeom>
                  </pic:spPr>
                </pic:pic>
              </a:graphicData>
            </a:graphic>
          </wp:anchor>
        </w:drawing>
      </w:r>
    </w:p>
    <w:p w14:paraId="736909AA" w14:textId="3CC5DA8F" w:rsidR="00B04941" w:rsidRDefault="00062280" w:rsidP="00B04941">
      <w:pPr>
        <w:pStyle w:val="Default"/>
        <w:spacing w:line="360" w:lineRule="auto"/>
        <w:rPr>
          <w:rFonts w:ascii="Arial" w:hAnsi="Arial" w:cs="Arial"/>
          <w:sz w:val="22"/>
          <w:szCs w:val="22"/>
        </w:rPr>
      </w:pPr>
      <w:r>
        <w:rPr>
          <w:noProof/>
        </w:rPr>
        <w:lastRenderedPageBreak/>
        <w:drawing>
          <wp:anchor distT="0" distB="0" distL="114300" distR="114300" simplePos="0" relativeHeight="251665408" behindDoc="0" locked="0" layoutInCell="1" allowOverlap="0" wp14:anchorId="602DA4A2" wp14:editId="56A45C40">
            <wp:simplePos x="0" y="0"/>
            <wp:positionH relativeFrom="page">
              <wp:posOffset>342900</wp:posOffset>
            </wp:positionH>
            <wp:positionV relativeFrom="page">
              <wp:align>bottom</wp:align>
            </wp:positionV>
            <wp:extent cx="6580364" cy="10375900"/>
            <wp:effectExtent l="0" t="0" r="0" b="6350"/>
            <wp:wrapTopAndBottom/>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a:stretch>
                      <a:fillRect/>
                    </a:stretch>
                  </pic:blipFill>
                  <pic:spPr>
                    <a:xfrm>
                      <a:off x="0" y="0"/>
                      <a:ext cx="6580364" cy="10375900"/>
                    </a:xfrm>
                    <a:prstGeom prst="rect">
                      <a:avLst/>
                    </a:prstGeom>
                  </pic:spPr>
                </pic:pic>
              </a:graphicData>
            </a:graphic>
          </wp:anchor>
        </w:drawing>
      </w:r>
    </w:p>
    <w:p w14:paraId="0D5E784B" w14:textId="7AEACDFF" w:rsidR="00EF7EF8" w:rsidRPr="00B94139" w:rsidRDefault="00EF7EF8" w:rsidP="00B04941">
      <w:pPr>
        <w:pStyle w:val="Default"/>
        <w:spacing w:line="360" w:lineRule="auto"/>
        <w:rPr>
          <w:rFonts w:ascii="Arial" w:hAnsi="Arial" w:cs="Arial"/>
          <w:sz w:val="22"/>
          <w:szCs w:val="22"/>
        </w:rPr>
      </w:pPr>
      <w:r w:rsidRPr="00EF7EF8">
        <w:rPr>
          <w:rFonts w:ascii="Arial" w:hAnsi="Arial" w:cs="Arial"/>
          <w:noProof/>
          <w:sz w:val="22"/>
          <w:szCs w:val="22"/>
        </w:rPr>
        <w:lastRenderedPageBreak/>
        <w:drawing>
          <wp:inline distT="0" distB="0" distL="0" distR="0" wp14:anchorId="4C21937D" wp14:editId="72841C00">
            <wp:extent cx="6232416" cy="984073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38349" cy="9850099"/>
                    </a:xfrm>
                    <a:prstGeom prst="rect">
                      <a:avLst/>
                    </a:prstGeom>
                    <a:noFill/>
                    <a:ln>
                      <a:noFill/>
                    </a:ln>
                  </pic:spPr>
                </pic:pic>
              </a:graphicData>
            </a:graphic>
          </wp:inline>
        </w:drawing>
      </w:r>
    </w:p>
    <w:p w14:paraId="1FA4BE23" w14:textId="461349A1" w:rsidR="00B04941" w:rsidRPr="00B94139" w:rsidRDefault="00B04941" w:rsidP="00B04941">
      <w:pPr>
        <w:pStyle w:val="Default"/>
        <w:spacing w:line="360" w:lineRule="auto"/>
        <w:rPr>
          <w:rFonts w:ascii="Arial" w:hAnsi="Arial" w:cs="Arial"/>
          <w:sz w:val="22"/>
          <w:szCs w:val="22"/>
        </w:rPr>
      </w:pPr>
    </w:p>
    <w:p w14:paraId="0E1F1677" w14:textId="138ED615" w:rsidR="00B04941" w:rsidRPr="00B94139" w:rsidRDefault="00B04941" w:rsidP="00B04941">
      <w:pPr>
        <w:pStyle w:val="Default"/>
        <w:spacing w:line="360" w:lineRule="auto"/>
        <w:rPr>
          <w:rFonts w:ascii="Arial" w:hAnsi="Arial" w:cs="Arial"/>
          <w:sz w:val="22"/>
          <w:szCs w:val="22"/>
        </w:rPr>
      </w:pPr>
    </w:p>
    <w:p w14:paraId="59AD8D39" w14:textId="318F94FE" w:rsidR="00B04941" w:rsidRPr="00B94139" w:rsidRDefault="003D76DC" w:rsidP="00B04941">
      <w:pPr>
        <w:pStyle w:val="Default"/>
        <w:spacing w:line="360" w:lineRule="auto"/>
        <w:rPr>
          <w:rFonts w:ascii="Arial" w:hAnsi="Arial" w:cs="Arial"/>
          <w:sz w:val="22"/>
          <w:szCs w:val="22"/>
        </w:rPr>
      </w:pPr>
      <w:r w:rsidRPr="003D76DC">
        <w:rPr>
          <w:rFonts w:ascii="Arial" w:hAnsi="Arial" w:cs="Arial"/>
          <w:noProof/>
          <w:sz w:val="22"/>
          <w:szCs w:val="22"/>
        </w:rPr>
        <w:lastRenderedPageBreak/>
        <w:drawing>
          <wp:inline distT="0" distB="0" distL="0" distR="0" wp14:anchorId="087734D4" wp14:editId="3477DD2F">
            <wp:extent cx="6493510" cy="8757510"/>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93510" cy="8757510"/>
                    </a:xfrm>
                    <a:prstGeom prst="rect">
                      <a:avLst/>
                    </a:prstGeom>
                    <a:noFill/>
                    <a:ln>
                      <a:noFill/>
                    </a:ln>
                  </pic:spPr>
                </pic:pic>
              </a:graphicData>
            </a:graphic>
          </wp:inline>
        </w:drawing>
      </w:r>
    </w:p>
    <w:p w14:paraId="720FB42C" w14:textId="00EE8343" w:rsidR="00B04941" w:rsidRPr="00B94139" w:rsidRDefault="003D76DC" w:rsidP="00B04941">
      <w:pPr>
        <w:pStyle w:val="Default"/>
        <w:spacing w:line="360" w:lineRule="auto"/>
        <w:rPr>
          <w:rStyle w:val="A4"/>
          <w:rFonts w:ascii="Arial" w:hAnsi="Arial" w:cs="Arial"/>
          <w:sz w:val="22"/>
          <w:szCs w:val="22"/>
        </w:rPr>
      </w:pPr>
      <w:r w:rsidRPr="003D76DC">
        <w:rPr>
          <w:rStyle w:val="A4"/>
          <w:rFonts w:ascii="Arial" w:hAnsi="Arial" w:cs="Arial"/>
          <w:noProof/>
          <w:sz w:val="22"/>
          <w:szCs w:val="22"/>
        </w:rPr>
        <w:lastRenderedPageBreak/>
        <w:drawing>
          <wp:anchor distT="0" distB="0" distL="114300" distR="114300" simplePos="0" relativeHeight="251666432" behindDoc="1" locked="0" layoutInCell="1" allowOverlap="1" wp14:anchorId="2E28213F" wp14:editId="4612DA1D">
            <wp:simplePos x="0" y="0"/>
            <wp:positionH relativeFrom="margin">
              <wp:align>center</wp:align>
            </wp:positionH>
            <wp:positionV relativeFrom="paragraph">
              <wp:posOffset>0</wp:posOffset>
            </wp:positionV>
            <wp:extent cx="6943725" cy="9467066"/>
            <wp:effectExtent l="0" t="0" r="0" b="1270"/>
            <wp:wrapTight wrapText="bothSides">
              <wp:wrapPolygon edited="0">
                <wp:start x="0" y="0"/>
                <wp:lineTo x="0" y="21559"/>
                <wp:lineTo x="21511" y="21559"/>
                <wp:lineTo x="215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43725" cy="9467066"/>
                    </a:xfrm>
                    <a:prstGeom prst="rect">
                      <a:avLst/>
                    </a:prstGeom>
                    <a:noFill/>
                    <a:ln>
                      <a:noFill/>
                    </a:ln>
                  </pic:spPr>
                </pic:pic>
              </a:graphicData>
            </a:graphic>
          </wp:anchor>
        </w:drawing>
      </w:r>
    </w:p>
    <w:p w14:paraId="5F7FEE79" w14:textId="7430F275" w:rsidR="00B04941" w:rsidRPr="00B94139" w:rsidRDefault="00B04941" w:rsidP="00B04941">
      <w:pPr>
        <w:autoSpaceDE w:val="0"/>
        <w:autoSpaceDN w:val="0"/>
        <w:adjustRightInd w:val="0"/>
        <w:spacing w:after="0" w:line="360" w:lineRule="auto"/>
        <w:rPr>
          <w:rFonts w:ascii="Arial" w:hAnsi="Arial" w:cs="Arial"/>
          <w:color w:val="000000"/>
        </w:rPr>
      </w:pPr>
    </w:p>
    <w:p w14:paraId="49EC86C7" w14:textId="0137B157" w:rsidR="00B04941" w:rsidRPr="00B94139" w:rsidRDefault="00B04941" w:rsidP="00B04941">
      <w:pPr>
        <w:autoSpaceDE w:val="0"/>
        <w:autoSpaceDN w:val="0"/>
        <w:adjustRightInd w:val="0"/>
        <w:spacing w:after="0" w:line="360" w:lineRule="auto"/>
        <w:rPr>
          <w:rFonts w:ascii="Arial" w:hAnsi="Arial" w:cs="Arial"/>
          <w:color w:val="000000"/>
        </w:rPr>
      </w:pPr>
    </w:p>
    <w:p w14:paraId="11FB4C93" w14:textId="77777777" w:rsidR="00B04941" w:rsidRPr="00B94139" w:rsidRDefault="00B04941" w:rsidP="00B04941">
      <w:pPr>
        <w:autoSpaceDE w:val="0"/>
        <w:autoSpaceDN w:val="0"/>
        <w:adjustRightInd w:val="0"/>
        <w:spacing w:after="0" w:line="360" w:lineRule="auto"/>
        <w:rPr>
          <w:rFonts w:ascii="Arial" w:hAnsi="Arial" w:cs="Arial"/>
        </w:rPr>
      </w:pPr>
    </w:p>
    <w:p w14:paraId="70B5536E" w14:textId="23BA6A35" w:rsidR="00B04941" w:rsidRPr="00B94139" w:rsidRDefault="003D76DC" w:rsidP="00B04941">
      <w:pPr>
        <w:pStyle w:val="Default"/>
        <w:spacing w:line="360" w:lineRule="auto"/>
        <w:rPr>
          <w:rFonts w:ascii="Arial" w:hAnsi="Arial" w:cs="Arial"/>
          <w:sz w:val="22"/>
          <w:szCs w:val="22"/>
        </w:rPr>
      </w:pPr>
      <w:r w:rsidRPr="003D76DC">
        <w:rPr>
          <w:rFonts w:ascii="Arial" w:hAnsi="Arial" w:cs="Arial"/>
          <w:noProof/>
          <w:sz w:val="22"/>
          <w:szCs w:val="22"/>
        </w:rPr>
        <w:lastRenderedPageBreak/>
        <w:drawing>
          <wp:anchor distT="0" distB="0" distL="114300" distR="114300" simplePos="0" relativeHeight="251667456" behindDoc="1" locked="0" layoutInCell="1" allowOverlap="1" wp14:anchorId="300105CA" wp14:editId="43D301D4">
            <wp:simplePos x="0" y="0"/>
            <wp:positionH relativeFrom="column">
              <wp:posOffset>-657225</wp:posOffset>
            </wp:positionH>
            <wp:positionV relativeFrom="paragraph">
              <wp:posOffset>367</wp:posOffset>
            </wp:positionV>
            <wp:extent cx="6921500" cy="9341459"/>
            <wp:effectExtent l="0" t="0" r="0" b="0"/>
            <wp:wrapTight wrapText="bothSides">
              <wp:wrapPolygon edited="0">
                <wp:start x="0" y="0"/>
                <wp:lineTo x="0" y="21541"/>
                <wp:lineTo x="21521" y="21541"/>
                <wp:lineTo x="215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922408" cy="93426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E8D5B" w14:textId="77777777" w:rsidR="00B04941" w:rsidRPr="00B94139" w:rsidRDefault="00B04941" w:rsidP="00B04941">
      <w:pPr>
        <w:pStyle w:val="Default"/>
        <w:spacing w:line="360" w:lineRule="auto"/>
        <w:rPr>
          <w:rFonts w:ascii="Arial" w:hAnsi="Arial" w:cs="Arial"/>
          <w:sz w:val="22"/>
          <w:szCs w:val="22"/>
        </w:rPr>
      </w:pPr>
    </w:p>
    <w:p w14:paraId="1B91D991" w14:textId="77777777" w:rsidR="00B04941" w:rsidRPr="00B94139" w:rsidRDefault="00B04941" w:rsidP="00B04941">
      <w:pPr>
        <w:pStyle w:val="Default"/>
        <w:spacing w:line="360" w:lineRule="auto"/>
        <w:rPr>
          <w:rFonts w:ascii="Arial" w:hAnsi="Arial" w:cs="Arial"/>
          <w:sz w:val="22"/>
          <w:szCs w:val="22"/>
        </w:rPr>
      </w:pPr>
    </w:p>
    <w:p w14:paraId="45544CBE" w14:textId="77777777" w:rsidR="00B04941" w:rsidRPr="009B46C5" w:rsidRDefault="00B04941" w:rsidP="00B04941">
      <w:pPr>
        <w:autoSpaceDE w:val="0"/>
        <w:autoSpaceDN w:val="0"/>
        <w:adjustRightInd w:val="0"/>
        <w:spacing w:after="0" w:line="360" w:lineRule="auto"/>
        <w:rPr>
          <w:rFonts w:ascii="Arial" w:hAnsi="Arial" w:cs="Arial"/>
          <w:color w:val="000000"/>
        </w:rPr>
      </w:pPr>
    </w:p>
    <w:p w14:paraId="4E10F049" w14:textId="77777777" w:rsidR="00B04941" w:rsidRPr="00B94139" w:rsidRDefault="00B04941" w:rsidP="00B04941">
      <w:pPr>
        <w:pStyle w:val="Default"/>
        <w:spacing w:line="360" w:lineRule="auto"/>
        <w:rPr>
          <w:rFonts w:ascii="Arial" w:hAnsi="Arial" w:cs="Arial"/>
          <w:sz w:val="22"/>
          <w:szCs w:val="22"/>
        </w:rPr>
      </w:pPr>
    </w:p>
    <w:p w14:paraId="7ADF037F" w14:textId="02CC4167" w:rsidR="00B04941" w:rsidRPr="00B94139" w:rsidRDefault="003D76DC" w:rsidP="00B04941">
      <w:pPr>
        <w:pStyle w:val="Default"/>
        <w:spacing w:line="360" w:lineRule="auto"/>
        <w:rPr>
          <w:rFonts w:ascii="Arial" w:hAnsi="Arial" w:cs="Arial"/>
          <w:color w:val="000066"/>
          <w:sz w:val="22"/>
          <w:szCs w:val="22"/>
        </w:rPr>
      </w:pPr>
      <w:r w:rsidRPr="003D76DC">
        <w:rPr>
          <w:rFonts w:ascii="Arial" w:hAnsi="Arial" w:cs="Arial"/>
          <w:noProof/>
          <w:color w:val="000066"/>
          <w:sz w:val="22"/>
          <w:szCs w:val="22"/>
        </w:rPr>
        <w:lastRenderedPageBreak/>
        <w:drawing>
          <wp:inline distT="0" distB="0" distL="0" distR="0" wp14:anchorId="6F2D495D" wp14:editId="0FBA1EBA">
            <wp:extent cx="6490728" cy="9271000"/>
            <wp:effectExtent l="0" t="0" r="571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93270" cy="9274631"/>
                    </a:xfrm>
                    <a:prstGeom prst="rect">
                      <a:avLst/>
                    </a:prstGeom>
                    <a:noFill/>
                    <a:ln>
                      <a:noFill/>
                    </a:ln>
                  </pic:spPr>
                </pic:pic>
              </a:graphicData>
            </a:graphic>
          </wp:inline>
        </w:drawing>
      </w:r>
    </w:p>
    <w:p w14:paraId="58961D51" w14:textId="684F2E4D" w:rsidR="00B04941" w:rsidRPr="00B94139" w:rsidRDefault="003B0803" w:rsidP="00B04941">
      <w:pPr>
        <w:pStyle w:val="Default"/>
        <w:spacing w:line="360" w:lineRule="auto"/>
        <w:rPr>
          <w:rFonts w:ascii="Arial" w:hAnsi="Arial" w:cs="Arial"/>
          <w:color w:val="333333"/>
          <w:sz w:val="22"/>
          <w:szCs w:val="22"/>
          <w:shd w:val="clear" w:color="auto" w:fill="FFFFFF"/>
        </w:rPr>
      </w:pPr>
      <w:bookmarkStart w:id="0" w:name="_GoBack"/>
      <w:r w:rsidRPr="003D76DC">
        <w:rPr>
          <w:rFonts w:ascii="Arial" w:hAnsi="Arial" w:cs="Arial"/>
          <w:noProof/>
          <w:sz w:val="22"/>
          <w:szCs w:val="22"/>
        </w:rPr>
        <w:lastRenderedPageBreak/>
        <w:drawing>
          <wp:anchor distT="0" distB="0" distL="114300" distR="114300" simplePos="0" relativeHeight="251668480" behindDoc="1" locked="0" layoutInCell="1" allowOverlap="1" wp14:anchorId="4629586E" wp14:editId="29609362">
            <wp:simplePos x="0" y="0"/>
            <wp:positionH relativeFrom="column">
              <wp:posOffset>-783590</wp:posOffset>
            </wp:positionH>
            <wp:positionV relativeFrom="paragraph">
              <wp:posOffset>0</wp:posOffset>
            </wp:positionV>
            <wp:extent cx="7007225" cy="9256176"/>
            <wp:effectExtent l="0" t="0" r="3175" b="2540"/>
            <wp:wrapTight wrapText="bothSides">
              <wp:wrapPolygon edited="0">
                <wp:start x="0" y="0"/>
                <wp:lineTo x="0" y="21561"/>
                <wp:lineTo x="21551" y="21561"/>
                <wp:lineTo x="2155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7225" cy="9256176"/>
                    </a:xfrm>
                    <a:prstGeom prst="rect">
                      <a:avLst/>
                    </a:prstGeom>
                    <a:noFill/>
                    <a:ln>
                      <a:noFill/>
                    </a:ln>
                  </pic:spPr>
                </pic:pic>
              </a:graphicData>
            </a:graphic>
          </wp:anchor>
        </w:drawing>
      </w:r>
      <w:bookmarkEnd w:id="0"/>
    </w:p>
    <w:p w14:paraId="11EF81C6" w14:textId="5570ED5F" w:rsidR="00B04941" w:rsidRPr="00B94139" w:rsidRDefault="00B04941" w:rsidP="00B04941">
      <w:pPr>
        <w:pStyle w:val="Default"/>
        <w:spacing w:line="360" w:lineRule="auto"/>
        <w:rPr>
          <w:rFonts w:ascii="Arial" w:hAnsi="Arial" w:cs="Arial"/>
          <w:sz w:val="22"/>
          <w:szCs w:val="22"/>
        </w:rPr>
      </w:pPr>
    </w:p>
    <w:p w14:paraId="2C523823" w14:textId="77777777" w:rsidR="00B04941" w:rsidRPr="00B94139" w:rsidRDefault="00B04941" w:rsidP="00B04941">
      <w:pPr>
        <w:pStyle w:val="Default"/>
        <w:spacing w:line="360" w:lineRule="auto"/>
        <w:rPr>
          <w:rFonts w:ascii="Arial" w:hAnsi="Arial" w:cs="Arial"/>
          <w:color w:val="333333"/>
          <w:sz w:val="22"/>
          <w:szCs w:val="22"/>
          <w:shd w:val="clear" w:color="auto" w:fill="FFFFFF"/>
        </w:rPr>
      </w:pPr>
    </w:p>
    <w:p w14:paraId="5CA26AF2" w14:textId="77777777" w:rsidR="00B04941" w:rsidRPr="00B94139" w:rsidRDefault="00B04941" w:rsidP="00544E7C">
      <w:pPr>
        <w:autoSpaceDE w:val="0"/>
        <w:autoSpaceDN w:val="0"/>
        <w:adjustRightInd w:val="0"/>
        <w:spacing w:after="0" w:line="360" w:lineRule="auto"/>
        <w:rPr>
          <w:rFonts w:cs="Arial"/>
        </w:rPr>
      </w:pPr>
    </w:p>
    <w:p w14:paraId="0C383891" w14:textId="63DED6B5" w:rsidR="00E26578" w:rsidRPr="00B94139" w:rsidRDefault="00E26578" w:rsidP="00544E7C">
      <w:pPr>
        <w:autoSpaceDE w:val="0"/>
        <w:autoSpaceDN w:val="0"/>
        <w:adjustRightInd w:val="0"/>
        <w:spacing w:after="0" w:line="360" w:lineRule="auto"/>
        <w:rPr>
          <w:rFonts w:cs="Arial"/>
        </w:rPr>
      </w:pPr>
    </w:p>
    <w:p w14:paraId="7E9BD495" w14:textId="77777777" w:rsidR="00D6489C" w:rsidRPr="00B94139" w:rsidRDefault="00D6489C" w:rsidP="0019245F">
      <w:pPr>
        <w:pStyle w:val="Default"/>
        <w:spacing w:line="360" w:lineRule="auto"/>
        <w:rPr>
          <w:rFonts w:asciiTheme="minorHAnsi" w:hAnsiTheme="minorHAnsi" w:cs="Arial"/>
          <w:sz w:val="22"/>
          <w:szCs w:val="22"/>
        </w:rPr>
      </w:pPr>
    </w:p>
    <w:p w14:paraId="06453A33" w14:textId="0EA7D355" w:rsidR="002049DC" w:rsidRPr="00B94139" w:rsidRDefault="002F1F80" w:rsidP="00342850">
      <w:pPr>
        <w:pStyle w:val="Default"/>
        <w:spacing w:line="360" w:lineRule="auto"/>
        <w:rPr>
          <w:rFonts w:cs="Arial"/>
          <w:sz w:val="22"/>
          <w:szCs w:val="22"/>
        </w:rPr>
      </w:pPr>
      <w:bookmarkStart w:id="1" w:name="_Hlk20423157"/>
      <w:r w:rsidRPr="00B94139">
        <w:rPr>
          <w:rFonts w:asciiTheme="minorHAnsi" w:hAnsiTheme="minorHAnsi" w:cs="Arial"/>
          <w:sz w:val="22"/>
          <w:szCs w:val="22"/>
        </w:rPr>
        <w:t xml:space="preserve"> </w:t>
      </w:r>
      <w:bookmarkEnd w:id="1"/>
    </w:p>
    <w:p w14:paraId="345399EF" w14:textId="77777777" w:rsidR="002049DC" w:rsidRPr="00B94139" w:rsidRDefault="002049DC" w:rsidP="0019245F">
      <w:pPr>
        <w:pStyle w:val="Default"/>
        <w:spacing w:line="360" w:lineRule="auto"/>
        <w:rPr>
          <w:rFonts w:asciiTheme="minorHAnsi" w:hAnsiTheme="minorHAnsi" w:cs="Arial"/>
          <w:sz w:val="22"/>
          <w:szCs w:val="22"/>
        </w:rPr>
      </w:pPr>
    </w:p>
    <w:sectPr w:rsidR="002049DC" w:rsidRPr="00B9413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0C6EB" w14:textId="77777777" w:rsidR="000448A6" w:rsidRDefault="000448A6" w:rsidP="00B34DB8">
      <w:pPr>
        <w:spacing w:after="0" w:line="240" w:lineRule="auto"/>
      </w:pPr>
      <w:r>
        <w:separator/>
      </w:r>
    </w:p>
  </w:endnote>
  <w:endnote w:type="continuationSeparator" w:id="0">
    <w:p w14:paraId="2978E13E" w14:textId="77777777" w:rsidR="000448A6" w:rsidRDefault="000448A6" w:rsidP="00B34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0239293"/>
      <w:docPartObj>
        <w:docPartGallery w:val="Page Numbers (Bottom of Page)"/>
        <w:docPartUnique/>
      </w:docPartObj>
    </w:sdtPr>
    <w:sdtEndPr>
      <w:rPr>
        <w:noProof/>
      </w:rPr>
    </w:sdtEndPr>
    <w:sdtContent>
      <w:p w14:paraId="42B1709F" w14:textId="546822A9" w:rsidR="0091681A" w:rsidRDefault="009168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26AFF1" w14:textId="77777777" w:rsidR="0091681A" w:rsidRDefault="00916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060DD" w14:textId="77777777" w:rsidR="000448A6" w:rsidRDefault="000448A6" w:rsidP="00B34DB8">
      <w:pPr>
        <w:spacing w:after="0" w:line="240" w:lineRule="auto"/>
      </w:pPr>
      <w:r>
        <w:separator/>
      </w:r>
    </w:p>
  </w:footnote>
  <w:footnote w:type="continuationSeparator" w:id="0">
    <w:p w14:paraId="413EB4F7" w14:textId="77777777" w:rsidR="000448A6" w:rsidRDefault="000448A6" w:rsidP="00B34D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B07CC" w14:textId="08C74EF6" w:rsidR="009746DC" w:rsidRPr="00102857" w:rsidRDefault="009746DC" w:rsidP="00B34DB8">
    <w:pPr>
      <w:pStyle w:val="Header"/>
      <w:jc w:val="right"/>
    </w:pPr>
    <w:r w:rsidRPr="00102857">
      <w:t xml:space="preserve">ECAD6007. </w:t>
    </w:r>
    <w:r w:rsidR="00EB579D" w:rsidRPr="00102857">
      <w:br/>
    </w:r>
    <w:r w:rsidR="00EB579D" w:rsidRPr="00102857">
      <w:rPr>
        <w:b/>
        <w:bCs/>
      </w:rPr>
      <w:t>WORD COUNT: 43</w:t>
    </w:r>
    <w:r w:rsidR="000F4ACF">
      <w:rPr>
        <w:b/>
        <w:bCs/>
      </w:rPr>
      <w:t>8</w:t>
    </w:r>
    <w:r w:rsidR="0019041D">
      <w:rPr>
        <w:b/>
        <w:bCs/>
      </w:rPr>
      <w:t>8</w:t>
    </w:r>
    <w:r w:rsidR="00EB579D" w:rsidRPr="00102857">
      <w:rPr>
        <w:b/>
        <w:bCs/>
      </w:rPr>
      <w:t>.</w:t>
    </w:r>
    <w:r w:rsidR="00EB579D" w:rsidRPr="0010285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21560"/>
    <w:multiLevelType w:val="hybridMultilevel"/>
    <w:tmpl w:val="573E48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4D50DD"/>
    <w:multiLevelType w:val="hybridMultilevel"/>
    <w:tmpl w:val="FDFA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DDD"/>
    <w:multiLevelType w:val="hybridMultilevel"/>
    <w:tmpl w:val="FABEF170"/>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D03DE"/>
    <w:multiLevelType w:val="hybridMultilevel"/>
    <w:tmpl w:val="E4D8F79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C13420E"/>
    <w:multiLevelType w:val="hybridMultilevel"/>
    <w:tmpl w:val="E53A6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F2594"/>
    <w:multiLevelType w:val="hybridMultilevel"/>
    <w:tmpl w:val="9BE4207C"/>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42C15"/>
    <w:multiLevelType w:val="hybridMultilevel"/>
    <w:tmpl w:val="BB4E2AC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27312C1B"/>
    <w:multiLevelType w:val="hybridMultilevel"/>
    <w:tmpl w:val="D26C2532"/>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9597E"/>
    <w:multiLevelType w:val="hybridMultilevel"/>
    <w:tmpl w:val="F072CB30"/>
    <w:lvl w:ilvl="0" w:tplc="6D2214E8">
      <w:start w:val="3"/>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E50213"/>
    <w:multiLevelType w:val="hybridMultilevel"/>
    <w:tmpl w:val="5BA8D16A"/>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D18DD"/>
    <w:multiLevelType w:val="hybridMultilevel"/>
    <w:tmpl w:val="49CE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666CD"/>
    <w:multiLevelType w:val="hybridMultilevel"/>
    <w:tmpl w:val="33BE5246"/>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A54C1"/>
    <w:multiLevelType w:val="hybridMultilevel"/>
    <w:tmpl w:val="79DAFCC6"/>
    <w:lvl w:ilvl="0" w:tplc="9ED015D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C7359"/>
    <w:multiLevelType w:val="hybridMultilevel"/>
    <w:tmpl w:val="F948D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AE790C"/>
    <w:multiLevelType w:val="hybridMultilevel"/>
    <w:tmpl w:val="BED6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E32A12"/>
    <w:multiLevelType w:val="hybridMultilevel"/>
    <w:tmpl w:val="3FB2F7E2"/>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564249"/>
    <w:multiLevelType w:val="hybridMultilevel"/>
    <w:tmpl w:val="92B263E2"/>
    <w:lvl w:ilvl="0" w:tplc="6D2214E8">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43C38"/>
    <w:multiLevelType w:val="hybridMultilevel"/>
    <w:tmpl w:val="EE18C15A"/>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167C7B"/>
    <w:multiLevelType w:val="hybridMultilevel"/>
    <w:tmpl w:val="BE960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3E7EF8"/>
    <w:multiLevelType w:val="hybridMultilevel"/>
    <w:tmpl w:val="996E9376"/>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984806"/>
    <w:multiLevelType w:val="hybridMultilevel"/>
    <w:tmpl w:val="81E6F632"/>
    <w:lvl w:ilvl="0" w:tplc="A7DC4FB6">
      <w:start w:val="1"/>
      <w:numFmt w:val="bullet"/>
      <w:lvlText w:val=""/>
      <w:lvlJc w:val="left"/>
      <w:pPr>
        <w:tabs>
          <w:tab w:val="num" w:pos="720"/>
        </w:tabs>
        <w:ind w:left="720" w:hanging="360"/>
      </w:pPr>
      <w:rPr>
        <w:rFonts w:ascii="Wingdings" w:hAnsi="Wingdings" w:hint="default"/>
      </w:rPr>
    </w:lvl>
    <w:lvl w:ilvl="1" w:tplc="48E86C58" w:tentative="1">
      <w:start w:val="1"/>
      <w:numFmt w:val="bullet"/>
      <w:lvlText w:val=""/>
      <w:lvlJc w:val="left"/>
      <w:pPr>
        <w:tabs>
          <w:tab w:val="num" w:pos="1440"/>
        </w:tabs>
        <w:ind w:left="1440" w:hanging="360"/>
      </w:pPr>
      <w:rPr>
        <w:rFonts w:ascii="Wingdings" w:hAnsi="Wingdings" w:hint="default"/>
      </w:rPr>
    </w:lvl>
    <w:lvl w:ilvl="2" w:tplc="DBB6705E" w:tentative="1">
      <w:start w:val="1"/>
      <w:numFmt w:val="bullet"/>
      <w:lvlText w:val=""/>
      <w:lvlJc w:val="left"/>
      <w:pPr>
        <w:tabs>
          <w:tab w:val="num" w:pos="2160"/>
        </w:tabs>
        <w:ind w:left="2160" w:hanging="360"/>
      </w:pPr>
      <w:rPr>
        <w:rFonts w:ascii="Wingdings" w:hAnsi="Wingdings" w:hint="default"/>
      </w:rPr>
    </w:lvl>
    <w:lvl w:ilvl="3" w:tplc="27E61F3A" w:tentative="1">
      <w:start w:val="1"/>
      <w:numFmt w:val="bullet"/>
      <w:lvlText w:val=""/>
      <w:lvlJc w:val="left"/>
      <w:pPr>
        <w:tabs>
          <w:tab w:val="num" w:pos="2880"/>
        </w:tabs>
        <w:ind w:left="2880" w:hanging="360"/>
      </w:pPr>
      <w:rPr>
        <w:rFonts w:ascii="Wingdings" w:hAnsi="Wingdings" w:hint="default"/>
      </w:rPr>
    </w:lvl>
    <w:lvl w:ilvl="4" w:tplc="34E0C4E4" w:tentative="1">
      <w:start w:val="1"/>
      <w:numFmt w:val="bullet"/>
      <w:lvlText w:val=""/>
      <w:lvlJc w:val="left"/>
      <w:pPr>
        <w:tabs>
          <w:tab w:val="num" w:pos="3600"/>
        </w:tabs>
        <w:ind w:left="3600" w:hanging="360"/>
      </w:pPr>
      <w:rPr>
        <w:rFonts w:ascii="Wingdings" w:hAnsi="Wingdings" w:hint="default"/>
      </w:rPr>
    </w:lvl>
    <w:lvl w:ilvl="5" w:tplc="02720E12" w:tentative="1">
      <w:start w:val="1"/>
      <w:numFmt w:val="bullet"/>
      <w:lvlText w:val=""/>
      <w:lvlJc w:val="left"/>
      <w:pPr>
        <w:tabs>
          <w:tab w:val="num" w:pos="4320"/>
        </w:tabs>
        <w:ind w:left="4320" w:hanging="360"/>
      </w:pPr>
      <w:rPr>
        <w:rFonts w:ascii="Wingdings" w:hAnsi="Wingdings" w:hint="default"/>
      </w:rPr>
    </w:lvl>
    <w:lvl w:ilvl="6" w:tplc="0B88CEBC" w:tentative="1">
      <w:start w:val="1"/>
      <w:numFmt w:val="bullet"/>
      <w:lvlText w:val=""/>
      <w:lvlJc w:val="left"/>
      <w:pPr>
        <w:tabs>
          <w:tab w:val="num" w:pos="5040"/>
        </w:tabs>
        <w:ind w:left="5040" w:hanging="360"/>
      </w:pPr>
      <w:rPr>
        <w:rFonts w:ascii="Wingdings" w:hAnsi="Wingdings" w:hint="default"/>
      </w:rPr>
    </w:lvl>
    <w:lvl w:ilvl="7" w:tplc="8528EC10" w:tentative="1">
      <w:start w:val="1"/>
      <w:numFmt w:val="bullet"/>
      <w:lvlText w:val=""/>
      <w:lvlJc w:val="left"/>
      <w:pPr>
        <w:tabs>
          <w:tab w:val="num" w:pos="5760"/>
        </w:tabs>
        <w:ind w:left="5760" w:hanging="360"/>
      </w:pPr>
      <w:rPr>
        <w:rFonts w:ascii="Wingdings" w:hAnsi="Wingdings" w:hint="default"/>
      </w:rPr>
    </w:lvl>
    <w:lvl w:ilvl="8" w:tplc="DBA6054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665EB"/>
    <w:multiLevelType w:val="hybridMultilevel"/>
    <w:tmpl w:val="8AEC0492"/>
    <w:lvl w:ilvl="0" w:tplc="8A3C8CD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4"/>
  </w:num>
  <w:num w:numId="4">
    <w:abstractNumId w:val="15"/>
  </w:num>
  <w:num w:numId="5">
    <w:abstractNumId w:val="11"/>
  </w:num>
  <w:num w:numId="6">
    <w:abstractNumId w:val="19"/>
  </w:num>
  <w:num w:numId="7">
    <w:abstractNumId w:val="7"/>
  </w:num>
  <w:num w:numId="8">
    <w:abstractNumId w:val="5"/>
  </w:num>
  <w:num w:numId="9">
    <w:abstractNumId w:val="2"/>
  </w:num>
  <w:num w:numId="10">
    <w:abstractNumId w:val="21"/>
  </w:num>
  <w:num w:numId="11">
    <w:abstractNumId w:val="17"/>
  </w:num>
  <w:num w:numId="12">
    <w:abstractNumId w:val="9"/>
  </w:num>
  <w:num w:numId="13">
    <w:abstractNumId w:val="6"/>
  </w:num>
  <w:num w:numId="14">
    <w:abstractNumId w:val="16"/>
  </w:num>
  <w:num w:numId="15">
    <w:abstractNumId w:val="0"/>
  </w:num>
  <w:num w:numId="16">
    <w:abstractNumId w:val="4"/>
  </w:num>
  <w:num w:numId="17">
    <w:abstractNumId w:val="1"/>
  </w:num>
  <w:num w:numId="18">
    <w:abstractNumId w:val="12"/>
  </w:num>
  <w:num w:numId="19">
    <w:abstractNumId w:val="18"/>
  </w:num>
  <w:num w:numId="20">
    <w:abstractNumId w:val="3"/>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DF"/>
    <w:rsid w:val="0000118B"/>
    <w:rsid w:val="00007181"/>
    <w:rsid w:val="000111F8"/>
    <w:rsid w:val="0001178D"/>
    <w:rsid w:val="000163DA"/>
    <w:rsid w:val="00016634"/>
    <w:rsid w:val="0002177F"/>
    <w:rsid w:val="00024677"/>
    <w:rsid w:val="00031959"/>
    <w:rsid w:val="00032BF3"/>
    <w:rsid w:val="000418DA"/>
    <w:rsid w:val="000448A6"/>
    <w:rsid w:val="0004556E"/>
    <w:rsid w:val="00045A78"/>
    <w:rsid w:val="0005556C"/>
    <w:rsid w:val="000609C6"/>
    <w:rsid w:val="00062280"/>
    <w:rsid w:val="00071F5D"/>
    <w:rsid w:val="0007295D"/>
    <w:rsid w:val="0007581D"/>
    <w:rsid w:val="000824AE"/>
    <w:rsid w:val="0009144B"/>
    <w:rsid w:val="00092409"/>
    <w:rsid w:val="000945E8"/>
    <w:rsid w:val="00095134"/>
    <w:rsid w:val="00095463"/>
    <w:rsid w:val="00097A36"/>
    <w:rsid w:val="000A1787"/>
    <w:rsid w:val="000A1EEB"/>
    <w:rsid w:val="000A3263"/>
    <w:rsid w:val="000A730F"/>
    <w:rsid w:val="000B1481"/>
    <w:rsid w:val="000B72BF"/>
    <w:rsid w:val="000C3CBA"/>
    <w:rsid w:val="000C5AC3"/>
    <w:rsid w:val="000E3858"/>
    <w:rsid w:val="000E5A1F"/>
    <w:rsid w:val="000E7489"/>
    <w:rsid w:val="000F3326"/>
    <w:rsid w:val="000F4ACF"/>
    <w:rsid w:val="000F6893"/>
    <w:rsid w:val="00100929"/>
    <w:rsid w:val="001014FE"/>
    <w:rsid w:val="00102857"/>
    <w:rsid w:val="00103085"/>
    <w:rsid w:val="001075EE"/>
    <w:rsid w:val="0012087C"/>
    <w:rsid w:val="0012160E"/>
    <w:rsid w:val="00121695"/>
    <w:rsid w:val="001218BA"/>
    <w:rsid w:val="00121A32"/>
    <w:rsid w:val="00122D17"/>
    <w:rsid w:val="00125D0A"/>
    <w:rsid w:val="001261C4"/>
    <w:rsid w:val="00131070"/>
    <w:rsid w:val="00131C5A"/>
    <w:rsid w:val="00132A2B"/>
    <w:rsid w:val="00132FDF"/>
    <w:rsid w:val="00133905"/>
    <w:rsid w:val="001357C3"/>
    <w:rsid w:val="00136277"/>
    <w:rsid w:val="00136986"/>
    <w:rsid w:val="00143366"/>
    <w:rsid w:val="00143AF2"/>
    <w:rsid w:val="001546DE"/>
    <w:rsid w:val="001579F6"/>
    <w:rsid w:val="00167C27"/>
    <w:rsid w:val="001703B5"/>
    <w:rsid w:val="001718ED"/>
    <w:rsid w:val="00175744"/>
    <w:rsid w:val="0017584A"/>
    <w:rsid w:val="0017634B"/>
    <w:rsid w:val="00177710"/>
    <w:rsid w:val="0018386A"/>
    <w:rsid w:val="001838A6"/>
    <w:rsid w:val="0018504B"/>
    <w:rsid w:val="0019041D"/>
    <w:rsid w:val="0019245F"/>
    <w:rsid w:val="00193F9D"/>
    <w:rsid w:val="001941A6"/>
    <w:rsid w:val="001946F3"/>
    <w:rsid w:val="00195122"/>
    <w:rsid w:val="001A2A98"/>
    <w:rsid w:val="001B6456"/>
    <w:rsid w:val="001C27F3"/>
    <w:rsid w:val="001C7D6E"/>
    <w:rsid w:val="001D2672"/>
    <w:rsid w:val="001D65F0"/>
    <w:rsid w:val="001D6624"/>
    <w:rsid w:val="001E22B2"/>
    <w:rsid w:val="001E27D5"/>
    <w:rsid w:val="001F29A2"/>
    <w:rsid w:val="001F51DD"/>
    <w:rsid w:val="001F6998"/>
    <w:rsid w:val="002001E6"/>
    <w:rsid w:val="002049DC"/>
    <w:rsid w:val="00206C4F"/>
    <w:rsid w:val="002140B7"/>
    <w:rsid w:val="002173DA"/>
    <w:rsid w:val="00224902"/>
    <w:rsid w:val="00225457"/>
    <w:rsid w:val="0023209D"/>
    <w:rsid w:val="0024359A"/>
    <w:rsid w:val="00243F32"/>
    <w:rsid w:val="002451F4"/>
    <w:rsid w:val="00250BDB"/>
    <w:rsid w:val="00251694"/>
    <w:rsid w:val="00252F9F"/>
    <w:rsid w:val="00253BC9"/>
    <w:rsid w:val="00260CE4"/>
    <w:rsid w:val="00262FE1"/>
    <w:rsid w:val="00267023"/>
    <w:rsid w:val="002711AD"/>
    <w:rsid w:val="002744CB"/>
    <w:rsid w:val="002763E4"/>
    <w:rsid w:val="00277DA2"/>
    <w:rsid w:val="00291662"/>
    <w:rsid w:val="002A553F"/>
    <w:rsid w:val="002A5779"/>
    <w:rsid w:val="002A5811"/>
    <w:rsid w:val="002B09F1"/>
    <w:rsid w:val="002B6DCB"/>
    <w:rsid w:val="002C5F42"/>
    <w:rsid w:val="002D2FFD"/>
    <w:rsid w:val="002D5291"/>
    <w:rsid w:val="002D538C"/>
    <w:rsid w:val="002D7D01"/>
    <w:rsid w:val="002F1F80"/>
    <w:rsid w:val="00300C65"/>
    <w:rsid w:val="00301FE9"/>
    <w:rsid w:val="00304E1E"/>
    <w:rsid w:val="0031010C"/>
    <w:rsid w:val="00310309"/>
    <w:rsid w:val="00310CAA"/>
    <w:rsid w:val="003119E3"/>
    <w:rsid w:val="003134C2"/>
    <w:rsid w:val="00313B51"/>
    <w:rsid w:val="0031649B"/>
    <w:rsid w:val="00320A82"/>
    <w:rsid w:val="00330689"/>
    <w:rsid w:val="00333527"/>
    <w:rsid w:val="003377EF"/>
    <w:rsid w:val="00342850"/>
    <w:rsid w:val="00346B9F"/>
    <w:rsid w:val="00346FD3"/>
    <w:rsid w:val="003477DF"/>
    <w:rsid w:val="00351649"/>
    <w:rsid w:val="00352119"/>
    <w:rsid w:val="003548A0"/>
    <w:rsid w:val="00356F17"/>
    <w:rsid w:val="003610B2"/>
    <w:rsid w:val="003644F0"/>
    <w:rsid w:val="003656C4"/>
    <w:rsid w:val="003664B0"/>
    <w:rsid w:val="003667C9"/>
    <w:rsid w:val="00366A92"/>
    <w:rsid w:val="0036793C"/>
    <w:rsid w:val="00371457"/>
    <w:rsid w:val="0037444E"/>
    <w:rsid w:val="003749E6"/>
    <w:rsid w:val="00374C14"/>
    <w:rsid w:val="0038277F"/>
    <w:rsid w:val="0039511E"/>
    <w:rsid w:val="003A4F23"/>
    <w:rsid w:val="003A5FA5"/>
    <w:rsid w:val="003B0013"/>
    <w:rsid w:val="003B02B6"/>
    <w:rsid w:val="003B0803"/>
    <w:rsid w:val="003B234D"/>
    <w:rsid w:val="003B32C5"/>
    <w:rsid w:val="003C37AE"/>
    <w:rsid w:val="003C5E27"/>
    <w:rsid w:val="003C75E7"/>
    <w:rsid w:val="003D1313"/>
    <w:rsid w:val="003D76DC"/>
    <w:rsid w:val="003E68AD"/>
    <w:rsid w:val="004005B6"/>
    <w:rsid w:val="004058B2"/>
    <w:rsid w:val="00406F02"/>
    <w:rsid w:val="00410C73"/>
    <w:rsid w:val="00411861"/>
    <w:rsid w:val="004239EE"/>
    <w:rsid w:val="00425566"/>
    <w:rsid w:val="00425B69"/>
    <w:rsid w:val="00436CA9"/>
    <w:rsid w:val="004413DD"/>
    <w:rsid w:val="0045100A"/>
    <w:rsid w:val="00452C10"/>
    <w:rsid w:val="004540C6"/>
    <w:rsid w:val="00456A31"/>
    <w:rsid w:val="00461F5D"/>
    <w:rsid w:val="00462C94"/>
    <w:rsid w:val="00464AE8"/>
    <w:rsid w:val="00483171"/>
    <w:rsid w:val="00487943"/>
    <w:rsid w:val="00490B80"/>
    <w:rsid w:val="00497790"/>
    <w:rsid w:val="004A1552"/>
    <w:rsid w:val="004B4F4C"/>
    <w:rsid w:val="004B5189"/>
    <w:rsid w:val="004B72F4"/>
    <w:rsid w:val="004C069D"/>
    <w:rsid w:val="004C3B8F"/>
    <w:rsid w:val="004C539F"/>
    <w:rsid w:val="004D0511"/>
    <w:rsid w:val="004D1954"/>
    <w:rsid w:val="004D322F"/>
    <w:rsid w:val="004E28DA"/>
    <w:rsid w:val="004F2D15"/>
    <w:rsid w:val="004F38A8"/>
    <w:rsid w:val="004F5DC8"/>
    <w:rsid w:val="00503B2D"/>
    <w:rsid w:val="00514036"/>
    <w:rsid w:val="005200A0"/>
    <w:rsid w:val="00523951"/>
    <w:rsid w:val="00532737"/>
    <w:rsid w:val="00533815"/>
    <w:rsid w:val="00535246"/>
    <w:rsid w:val="00544E7C"/>
    <w:rsid w:val="00547623"/>
    <w:rsid w:val="00547EC9"/>
    <w:rsid w:val="005508D1"/>
    <w:rsid w:val="00555204"/>
    <w:rsid w:val="0056218D"/>
    <w:rsid w:val="0056309D"/>
    <w:rsid w:val="00565B60"/>
    <w:rsid w:val="005705BD"/>
    <w:rsid w:val="00573A18"/>
    <w:rsid w:val="00582D32"/>
    <w:rsid w:val="00596CF4"/>
    <w:rsid w:val="005A3943"/>
    <w:rsid w:val="005B6D97"/>
    <w:rsid w:val="005C0319"/>
    <w:rsid w:val="005D1E4B"/>
    <w:rsid w:val="005D41F5"/>
    <w:rsid w:val="005E2DE3"/>
    <w:rsid w:val="005E420E"/>
    <w:rsid w:val="005E4643"/>
    <w:rsid w:val="005E671C"/>
    <w:rsid w:val="005F2616"/>
    <w:rsid w:val="005F7716"/>
    <w:rsid w:val="006002E3"/>
    <w:rsid w:val="006079FE"/>
    <w:rsid w:val="00621968"/>
    <w:rsid w:val="00627013"/>
    <w:rsid w:val="006349FE"/>
    <w:rsid w:val="00640AFA"/>
    <w:rsid w:val="0064393B"/>
    <w:rsid w:val="0065767F"/>
    <w:rsid w:val="00661C89"/>
    <w:rsid w:val="006653B1"/>
    <w:rsid w:val="00666D1E"/>
    <w:rsid w:val="0067495F"/>
    <w:rsid w:val="006830AA"/>
    <w:rsid w:val="00693A3C"/>
    <w:rsid w:val="0069692D"/>
    <w:rsid w:val="006A0A73"/>
    <w:rsid w:val="006A7AAE"/>
    <w:rsid w:val="006B5D81"/>
    <w:rsid w:val="006C0E92"/>
    <w:rsid w:val="006C4010"/>
    <w:rsid w:val="006C4A67"/>
    <w:rsid w:val="006C70CA"/>
    <w:rsid w:val="006D1CDF"/>
    <w:rsid w:val="006D382C"/>
    <w:rsid w:val="006D4E76"/>
    <w:rsid w:val="006E0DC8"/>
    <w:rsid w:val="006E13F1"/>
    <w:rsid w:val="006E4466"/>
    <w:rsid w:val="006E45AC"/>
    <w:rsid w:val="006F4C26"/>
    <w:rsid w:val="007037A5"/>
    <w:rsid w:val="00705B4D"/>
    <w:rsid w:val="00711CA3"/>
    <w:rsid w:val="00711F4D"/>
    <w:rsid w:val="00720A97"/>
    <w:rsid w:val="00725068"/>
    <w:rsid w:val="00725DED"/>
    <w:rsid w:val="00727329"/>
    <w:rsid w:val="0073263C"/>
    <w:rsid w:val="00735DEF"/>
    <w:rsid w:val="0073638D"/>
    <w:rsid w:val="007363FD"/>
    <w:rsid w:val="00741443"/>
    <w:rsid w:val="00753D72"/>
    <w:rsid w:val="00760A5F"/>
    <w:rsid w:val="0076702E"/>
    <w:rsid w:val="00782CE1"/>
    <w:rsid w:val="0078384A"/>
    <w:rsid w:val="00784BBC"/>
    <w:rsid w:val="00785FB6"/>
    <w:rsid w:val="00786366"/>
    <w:rsid w:val="00794ACB"/>
    <w:rsid w:val="0079596D"/>
    <w:rsid w:val="007A00D4"/>
    <w:rsid w:val="007A0818"/>
    <w:rsid w:val="007A0A89"/>
    <w:rsid w:val="007A4800"/>
    <w:rsid w:val="007B28BA"/>
    <w:rsid w:val="007B339B"/>
    <w:rsid w:val="007B4364"/>
    <w:rsid w:val="007C053A"/>
    <w:rsid w:val="007C34A4"/>
    <w:rsid w:val="007D43A5"/>
    <w:rsid w:val="007E4959"/>
    <w:rsid w:val="007E546C"/>
    <w:rsid w:val="007E72DC"/>
    <w:rsid w:val="007E76BD"/>
    <w:rsid w:val="007E7E05"/>
    <w:rsid w:val="007F4388"/>
    <w:rsid w:val="007F7AC9"/>
    <w:rsid w:val="008009ED"/>
    <w:rsid w:val="0080205E"/>
    <w:rsid w:val="00803831"/>
    <w:rsid w:val="00807F41"/>
    <w:rsid w:val="00816688"/>
    <w:rsid w:val="008177E7"/>
    <w:rsid w:val="008211D7"/>
    <w:rsid w:val="00821FA0"/>
    <w:rsid w:val="00822C2C"/>
    <w:rsid w:val="008239E9"/>
    <w:rsid w:val="0083242D"/>
    <w:rsid w:val="00842688"/>
    <w:rsid w:val="00842F7A"/>
    <w:rsid w:val="0084398E"/>
    <w:rsid w:val="00854396"/>
    <w:rsid w:val="008556A0"/>
    <w:rsid w:val="00860472"/>
    <w:rsid w:val="0086552B"/>
    <w:rsid w:val="00870102"/>
    <w:rsid w:val="0087361A"/>
    <w:rsid w:val="0087498C"/>
    <w:rsid w:val="00880D60"/>
    <w:rsid w:val="00893E81"/>
    <w:rsid w:val="008B5E1A"/>
    <w:rsid w:val="008B7AC9"/>
    <w:rsid w:val="008C394F"/>
    <w:rsid w:val="008C6C8C"/>
    <w:rsid w:val="008D0287"/>
    <w:rsid w:val="008D3159"/>
    <w:rsid w:val="008D5C14"/>
    <w:rsid w:val="008E0012"/>
    <w:rsid w:val="008E12ED"/>
    <w:rsid w:val="008E3E44"/>
    <w:rsid w:val="008F12C0"/>
    <w:rsid w:val="008F2B0D"/>
    <w:rsid w:val="008F3B0C"/>
    <w:rsid w:val="008F516B"/>
    <w:rsid w:val="00903120"/>
    <w:rsid w:val="00904526"/>
    <w:rsid w:val="00907634"/>
    <w:rsid w:val="0091681A"/>
    <w:rsid w:val="009253B4"/>
    <w:rsid w:val="00933B4C"/>
    <w:rsid w:val="0093469B"/>
    <w:rsid w:val="0094428E"/>
    <w:rsid w:val="0094559B"/>
    <w:rsid w:val="00953CFB"/>
    <w:rsid w:val="00955F78"/>
    <w:rsid w:val="00961ADB"/>
    <w:rsid w:val="00970614"/>
    <w:rsid w:val="009735FD"/>
    <w:rsid w:val="009746DC"/>
    <w:rsid w:val="0097727B"/>
    <w:rsid w:val="00977F16"/>
    <w:rsid w:val="00977F4F"/>
    <w:rsid w:val="00981295"/>
    <w:rsid w:val="0098437F"/>
    <w:rsid w:val="00991624"/>
    <w:rsid w:val="009A3637"/>
    <w:rsid w:val="009B0411"/>
    <w:rsid w:val="009B2866"/>
    <w:rsid w:val="009C529F"/>
    <w:rsid w:val="009C5F12"/>
    <w:rsid w:val="009C67E2"/>
    <w:rsid w:val="009D233A"/>
    <w:rsid w:val="009D3F1D"/>
    <w:rsid w:val="009E2D7F"/>
    <w:rsid w:val="009F126A"/>
    <w:rsid w:val="009F4AE4"/>
    <w:rsid w:val="00A01512"/>
    <w:rsid w:val="00A018BA"/>
    <w:rsid w:val="00A01A81"/>
    <w:rsid w:val="00A21BC6"/>
    <w:rsid w:val="00A23945"/>
    <w:rsid w:val="00A246FF"/>
    <w:rsid w:val="00A31309"/>
    <w:rsid w:val="00A356CF"/>
    <w:rsid w:val="00A36FB3"/>
    <w:rsid w:val="00A371B1"/>
    <w:rsid w:val="00A4058C"/>
    <w:rsid w:val="00A44087"/>
    <w:rsid w:val="00A502A0"/>
    <w:rsid w:val="00A533B5"/>
    <w:rsid w:val="00A5770E"/>
    <w:rsid w:val="00A62182"/>
    <w:rsid w:val="00A62CC2"/>
    <w:rsid w:val="00A71B49"/>
    <w:rsid w:val="00A73209"/>
    <w:rsid w:val="00A814F7"/>
    <w:rsid w:val="00A841CE"/>
    <w:rsid w:val="00A8446B"/>
    <w:rsid w:val="00A84544"/>
    <w:rsid w:val="00A864E0"/>
    <w:rsid w:val="00A87282"/>
    <w:rsid w:val="00A9033A"/>
    <w:rsid w:val="00A971EE"/>
    <w:rsid w:val="00A97863"/>
    <w:rsid w:val="00AA01F6"/>
    <w:rsid w:val="00AA0569"/>
    <w:rsid w:val="00AA12B7"/>
    <w:rsid w:val="00AA3825"/>
    <w:rsid w:val="00AA4B7C"/>
    <w:rsid w:val="00AA56DF"/>
    <w:rsid w:val="00AA67AC"/>
    <w:rsid w:val="00AB1489"/>
    <w:rsid w:val="00AB47AA"/>
    <w:rsid w:val="00AB4FFD"/>
    <w:rsid w:val="00AB6511"/>
    <w:rsid w:val="00AC23C5"/>
    <w:rsid w:val="00AC340D"/>
    <w:rsid w:val="00AD1E75"/>
    <w:rsid w:val="00AD27BD"/>
    <w:rsid w:val="00AD6752"/>
    <w:rsid w:val="00AE1860"/>
    <w:rsid w:val="00AE317F"/>
    <w:rsid w:val="00AE3A0E"/>
    <w:rsid w:val="00AE5B11"/>
    <w:rsid w:val="00AF0567"/>
    <w:rsid w:val="00AF22CB"/>
    <w:rsid w:val="00AF3E1C"/>
    <w:rsid w:val="00AF4A89"/>
    <w:rsid w:val="00B01E66"/>
    <w:rsid w:val="00B02E29"/>
    <w:rsid w:val="00B04941"/>
    <w:rsid w:val="00B063D8"/>
    <w:rsid w:val="00B07CA5"/>
    <w:rsid w:val="00B10DCD"/>
    <w:rsid w:val="00B15226"/>
    <w:rsid w:val="00B22894"/>
    <w:rsid w:val="00B269C4"/>
    <w:rsid w:val="00B34026"/>
    <w:rsid w:val="00B34802"/>
    <w:rsid w:val="00B34DB8"/>
    <w:rsid w:val="00B35E90"/>
    <w:rsid w:val="00B478F9"/>
    <w:rsid w:val="00B60B96"/>
    <w:rsid w:val="00B65F9D"/>
    <w:rsid w:val="00B660A6"/>
    <w:rsid w:val="00B67783"/>
    <w:rsid w:val="00B75AF7"/>
    <w:rsid w:val="00B8361B"/>
    <w:rsid w:val="00B85849"/>
    <w:rsid w:val="00B874BD"/>
    <w:rsid w:val="00B935D8"/>
    <w:rsid w:val="00B94139"/>
    <w:rsid w:val="00B94D5B"/>
    <w:rsid w:val="00B9565B"/>
    <w:rsid w:val="00B96234"/>
    <w:rsid w:val="00B97303"/>
    <w:rsid w:val="00BB045B"/>
    <w:rsid w:val="00BB10B7"/>
    <w:rsid w:val="00BB16C6"/>
    <w:rsid w:val="00BB1A0C"/>
    <w:rsid w:val="00BB55DE"/>
    <w:rsid w:val="00BB5807"/>
    <w:rsid w:val="00BB790E"/>
    <w:rsid w:val="00BC039F"/>
    <w:rsid w:val="00BC7377"/>
    <w:rsid w:val="00BD158E"/>
    <w:rsid w:val="00BD3C76"/>
    <w:rsid w:val="00BE0C62"/>
    <w:rsid w:val="00BE0C90"/>
    <w:rsid w:val="00C053BD"/>
    <w:rsid w:val="00C05671"/>
    <w:rsid w:val="00C13C4B"/>
    <w:rsid w:val="00C170D9"/>
    <w:rsid w:val="00C17916"/>
    <w:rsid w:val="00C236F4"/>
    <w:rsid w:val="00C24EDE"/>
    <w:rsid w:val="00C255DA"/>
    <w:rsid w:val="00C31730"/>
    <w:rsid w:val="00C32E1F"/>
    <w:rsid w:val="00C33889"/>
    <w:rsid w:val="00C37DFF"/>
    <w:rsid w:val="00C41C9A"/>
    <w:rsid w:val="00C53CF5"/>
    <w:rsid w:val="00C55A4C"/>
    <w:rsid w:val="00C55B36"/>
    <w:rsid w:val="00C579CF"/>
    <w:rsid w:val="00C64483"/>
    <w:rsid w:val="00C66CDE"/>
    <w:rsid w:val="00C7303B"/>
    <w:rsid w:val="00C73833"/>
    <w:rsid w:val="00C75127"/>
    <w:rsid w:val="00C77D15"/>
    <w:rsid w:val="00C81DCF"/>
    <w:rsid w:val="00C81E2D"/>
    <w:rsid w:val="00C93CBB"/>
    <w:rsid w:val="00C9557D"/>
    <w:rsid w:val="00CA0841"/>
    <w:rsid w:val="00CA1047"/>
    <w:rsid w:val="00CA289F"/>
    <w:rsid w:val="00CA3782"/>
    <w:rsid w:val="00CA40B9"/>
    <w:rsid w:val="00CA585C"/>
    <w:rsid w:val="00CB13CC"/>
    <w:rsid w:val="00CB559B"/>
    <w:rsid w:val="00CB5DAE"/>
    <w:rsid w:val="00CB60BC"/>
    <w:rsid w:val="00CB6D07"/>
    <w:rsid w:val="00CB75CF"/>
    <w:rsid w:val="00CC503D"/>
    <w:rsid w:val="00CD179A"/>
    <w:rsid w:val="00CE1B54"/>
    <w:rsid w:val="00CE246E"/>
    <w:rsid w:val="00CE2E9B"/>
    <w:rsid w:val="00CF7995"/>
    <w:rsid w:val="00D00E6E"/>
    <w:rsid w:val="00D01A2D"/>
    <w:rsid w:val="00D02D1E"/>
    <w:rsid w:val="00D076B4"/>
    <w:rsid w:val="00D076D5"/>
    <w:rsid w:val="00D16E83"/>
    <w:rsid w:val="00D21275"/>
    <w:rsid w:val="00D247C1"/>
    <w:rsid w:val="00D35835"/>
    <w:rsid w:val="00D41A1D"/>
    <w:rsid w:val="00D41F4D"/>
    <w:rsid w:val="00D46355"/>
    <w:rsid w:val="00D57383"/>
    <w:rsid w:val="00D610F6"/>
    <w:rsid w:val="00D637D5"/>
    <w:rsid w:val="00D6489C"/>
    <w:rsid w:val="00D64A3E"/>
    <w:rsid w:val="00D66AA3"/>
    <w:rsid w:val="00D66C25"/>
    <w:rsid w:val="00D739CB"/>
    <w:rsid w:val="00D8135A"/>
    <w:rsid w:val="00D82729"/>
    <w:rsid w:val="00D864BC"/>
    <w:rsid w:val="00DA3E37"/>
    <w:rsid w:val="00DA3EA2"/>
    <w:rsid w:val="00DB4AC0"/>
    <w:rsid w:val="00DB5121"/>
    <w:rsid w:val="00DD0762"/>
    <w:rsid w:val="00DD235C"/>
    <w:rsid w:val="00DD58A0"/>
    <w:rsid w:val="00DE11D8"/>
    <w:rsid w:val="00DE26F3"/>
    <w:rsid w:val="00DE4D50"/>
    <w:rsid w:val="00DF0903"/>
    <w:rsid w:val="00DF47BB"/>
    <w:rsid w:val="00DF53CD"/>
    <w:rsid w:val="00DF56DE"/>
    <w:rsid w:val="00E0217E"/>
    <w:rsid w:val="00E063E6"/>
    <w:rsid w:val="00E10DB3"/>
    <w:rsid w:val="00E132F3"/>
    <w:rsid w:val="00E20845"/>
    <w:rsid w:val="00E2099C"/>
    <w:rsid w:val="00E22B4C"/>
    <w:rsid w:val="00E2437D"/>
    <w:rsid w:val="00E2631B"/>
    <w:rsid w:val="00E26578"/>
    <w:rsid w:val="00E31D77"/>
    <w:rsid w:val="00E359C2"/>
    <w:rsid w:val="00E35F53"/>
    <w:rsid w:val="00E459C6"/>
    <w:rsid w:val="00E5291E"/>
    <w:rsid w:val="00E56F24"/>
    <w:rsid w:val="00E57877"/>
    <w:rsid w:val="00E6031D"/>
    <w:rsid w:val="00E6037D"/>
    <w:rsid w:val="00E6105F"/>
    <w:rsid w:val="00E612B6"/>
    <w:rsid w:val="00E666E3"/>
    <w:rsid w:val="00E7058D"/>
    <w:rsid w:val="00E709B3"/>
    <w:rsid w:val="00E70FBA"/>
    <w:rsid w:val="00E70FCC"/>
    <w:rsid w:val="00E727AD"/>
    <w:rsid w:val="00E77C4B"/>
    <w:rsid w:val="00E82793"/>
    <w:rsid w:val="00E8705A"/>
    <w:rsid w:val="00E97A65"/>
    <w:rsid w:val="00EA077F"/>
    <w:rsid w:val="00EA6A58"/>
    <w:rsid w:val="00EA7B97"/>
    <w:rsid w:val="00EB4994"/>
    <w:rsid w:val="00EB4A1D"/>
    <w:rsid w:val="00EB516F"/>
    <w:rsid w:val="00EB579D"/>
    <w:rsid w:val="00EC1B10"/>
    <w:rsid w:val="00EC21BA"/>
    <w:rsid w:val="00EC23E1"/>
    <w:rsid w:val="00EC27BA"/>
    <w:rsid w:val="00EC3C43"/>
    <w:rsid w:val="00EC3DE0"/>
    <w:rsid w:val="00EC685D"/>
    <w:rsid w:val="00EC6E06"/>
    <w:rsid w:val="00ED0836"/>
    <w:rsid w:val="00ED1F92"/>
    <w:rsid w:val="00ED2F83"/>
    <w:rsid w:val="00ED36FF"/>
    <w:rsid w:val="00ED39D5"/>
    <w:rsid w:val="00ED3C9D"/>
    <w:rsid w:val="00ED4383"/>
    <w:rsid w:val="00ED4BDF"/>
    <w:rsid w:val="00ED5626"/>
    <w:rsid w:val="00EE46AF"/>
    <w:rsid w:val="00EF153F"/>
    <w:rsid w:val="00EF3ADA"/>
    <w:rsid w:val="00EF5919"/>
    <w:rsid w:val="00EF7EF8"/>
    <w:rsid w:val="00F043C1"/>
    <w:rsid w:val="00F05D25"/>
    <w:rsid w:val="00F0712B"/>
    <w:rsid w:val="00F14855"/>
    <w:rsid w:val="00F205C3"/>
    <w:rsid w:val="00F21E99"/>
    <w:rsid w:val="00F23E9D"/>
    <w:rsid w:val="00F24168"/>
    <w:rsid w:val="00F24D3E"/>
    <w:rsid w:val="00F24DF0"/>
    <w:rsid w:val="00F253DD"/>
    <w:rsid w:val="00F26503"/>
    <w:rsid w:val="00F355B2"/>
    <w:rsid w:val="00F521C9"/>
    <w:rsid w:val="00F6542E"/>
    <w:rsid w:val="00F65AC3"/>
    <w:rsid w:val="00F67B21"/>
    <w:rsid w:val="00F72712"/>
    <w:rsid w:val="00F744D3"/>
    <w:rsid w:val="00F7578F"/>
    <w:rsid w:val="00F762DF"/>
    <w:rsid w:val="00F769FE"/>
    <w:rsid w:val="00F774C1"/>
    <w:rsid w:val="00F8092F"/>
    <w:rsid w:val="00F83C1E"/>
    <w:rsid w:val="00F8651C"/>
    <w:rsid w:val="00F90E98"/>
    <w:rsid w:val="00F94C73"/>
    <w:rsid w:val="00F9525A"/>
    <w:rsid w:val="00F97B93"/>
    <w:rsid w:val="00FA026F"/>
    <w:rsid w:val="00FA2914"/>
    <w:rsid w:val="00FA3FF0"/>
    <w:rsid w:val="00FB101A"/>
    <w:rsid w:val="00FB1403"/>
    <w:rsid w:val="00FC29C3"/>
    <w:rsid w:val="00FC2D35"/>
    <w:rsid w:val="00FC2E1F"/>
    <w:rsid w:val="00FC4336"/>
    <w:rsid w:val="00FC48DD"/>
    <w:rsid w:val="00FC6767"/>
    <w:rsid w:val="00FC6A44"/>
    <w:rsid w:val="00FD4C2D"/>
    <w:rsid w:val="00FD4F60"/>
    <w:rsid w:val="00FD6578"/>
    <w:rsid w:val="00FE661A"/>
    <w:rsid w:val="00FF02F4"/>
    <w:rsid w:val="00FF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61DBA"/>
  <w15:chartTrackingRefBased/>
  <w15:docId w15:val="{5A950265-78F6-4D12-91D4-7DBE229E9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BDF"/>
    <w:pPr>
      <w:ind w:left="720"/>
      <w:contextualSpacing/>
    </w:pPr>
  </w:style>
  <w:style w:type="paragraph" w:customStyle="1" w:styleId="Default">
    <w:name w:val="Default"/>
    <w:rsid w:val="00B07CA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B269C4"/>
    <w:rPr>
      <w:color w:val="0563C1" w:themeColor="hyperlink"/>
      <w:u w:val="single"/>
    </w:rPr>
  </w:style>
  <w:style w:type="character" w:styleId="UnresolvedMention">
    <w:name w:val="Unresolved Mention"/>
    <w:basedOn w:val="DefaultParagraphFont"/>
    <w:uiPriority w:val="99"/>
    <w:semiHidden/>
    <w:unhideWhenUsed/>
    <w:rsid w:val="00B269C4"/>
    <w:rPr>
      <w:color w:val="605E5C"/>
      <w:shd w:val="clear" w:color="auto" w:fill="E1DFDD"/>
    </w:rPr>
  </w:style>
  <w:style w:type="character" w:customStyle="1" w:styleId="updated-short-citation">
    <w:name w:val="updated-short-citation"/>
    <w:basedOn w:val="DefaultParagraphFont"/>
    <w:rsid w:val="00193F9D"/>
  </w:style>
  <w:style w:type="character" w:customStyle="1" w:styleId="normaltextrun">
    <w:name w:val="normaltextrun"/>
    <w:basedOn w:val="DefaultParagraphFont"/>
    <w:rsid w:val="00CA289F"/>
  </w:style>
  <w:style w:type="character" w:styleId="CommentReference">
    <w:name w:val="annotation reference"/>
    <w:basedOn w:val="DefaultParagraphFont"/>
    <w:uiPriority w:val="99"/>
    <w:semiHidden/>
    <w:unhideWhenUsed/>
    <w:rsid w:val="00A841CE"/>
    <w:rPr>
      <w:sz w:val="16"/>
      <w:szCs w:val="16"/>
    </w:rPr>
  </w:style>
  <w:style w:type="paragraph" w:styleId="CommentText">
    <w:name w:val="annotation text"/>
    <w:basedOn w:val="Normal"/>
    <w:link w:val="CommentTextChar"/>
    <w:uiPriority w:val="99"/>
    <w:semiHidden/>
    <w:unhideWhenUsed/>
    <w:rsid w:val="00A841CE"/>
    <w:pPr>
      <w:spacing w:line="240" w:lineRule="auto"/>
    </w:pPr>
    <w:rPr>
      <w:sz w:val="20"/>
      <w:szCs w:val="20"/>
    </w:rPr>
  </w:style>
  <w:style w:type="character" w:customStyle="1" w:styleId="CommentTextChar">
    <w:name w:val="Comment Text Char"/>
    <w:basedOn w:val="DefaultParagraphFont"/>
    <w:link w:val="CommentText"/>
    <w:uiPriority w:val="99"/>
    <w:semiHidden/>
    <w:rsid w:val="00A841CE"/>
    <w:rPr>
      <w:sz w:val="20"/>
      <w:szCs w:val="20"/>
    </w:rPr>
  </w:style>
  <w:style w:type="paragraph" w:styleId="CommentSubject">
    <w:name w:val="annotation subject"/>
    <w:basedOn w:val="CommentText"/>
    <w:next w:val="CommentText"/>
    <w:link w:val="CommentSubjectChar"/>
    <w:uiPriority w:val="99"/>
    <w:semiHidden/>
    <w:unhideWhenUsed/>
    <w:rsid w:val="00A841CE"/>
    <w:rPr>
      <w:b/>
      <w:bCs/>
    </w:rPr>
  </w:style>
  <w:style w:type="character" w:customStyle="1" w:styleId="CommentSubjectChar">
    <w:name w:val="Comment Subject Char"/>
    <w:basedOn w:val="CommentTextChar"/>
    <w:link w:val="CommentSubject"/>
    <w:uiPriority w:val="99"/>
    <w:semiHidden/>
    <w:rsid w:val="00A841CE"/>
    <w:rPr>
      <w:b/>
      <w:bCs/>
      <w:sz w:val="20"/>
      <w:szCs w:val="20"/>
    </w:rPr>
  </w:style>
  <w:style w:type="paragraph" w:styleId="BalloonText">
    <w:name w:val="Balloon Text"/>
    <w:basedOn w:val="Normal"/>
    <w:link w:val="BalloonTextChar"/>
    <w:uiPriority w:val="99"/>
    <w:semiHidden/>
    <w:unhideWhenUsed/>
    <w:rsid w:val="00A84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1CE"/>
    <w:rPr>
      <w:rFonts w:ascii="Segoe UI" w:hAnsi="Segoe UI" w:cs="Segoe UI"/>
      <w:sz w:val="18"/>
      <w:szCs w:val="18"/>
    </w:rPr>
  </w:style>
  <w:style w:type="character" w:customStyle="1" w:styleId="spellingerror">
    <w:name w:val="spellingerror"/>
    <w:basedOn w:val="DefaultParagraphFont"/>
    <w:rsid w:val="00B04941"/>
  </w:style>
  <w:style w:type="character" w:customStyle="1" w:styleId="A4">
    <w:name w:val="A4"/>
    <w:uiPriority w:val="99"/>
    <w:rsid w:val="00B04941"/>
    <w:rPr>
      <w:rFonts w:cs="Avenir LT Std 45 Book"/>
      <w:color w:val="000000"/>
      <w:sz w:val="20"/>
      <w:szCs w:val="20"/>
      <w:u w:val="single"/>
    </w:rPr>
  </w:style>
  <w:style w:type="character" w:styleId="Emphasis">
    <w:name w:val="Emphasis"/>
    <w:basedOn w:val="DefaultParagraphFont"/>
    <w:uiPriority w:val="20"/>
    <w:qFormat/>
    <w:rsid w:val="00B04941"/>
    <w:rPr>
      <w:i/>
      <w:iCs/>
    </w:rPr>
  </w:style>
  <w:style w:type="paragraph" w:styleId="Header">
    <w:name w:val="header"/>
    <w:basedOn w:val="Normal"/>
    <w:link w:val="HeaderChar"/>
    <w:uiPriority w:val="99"/>
    <w:unhideWhenUsed/>
    <w:rsid w:val="00B34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DB8"/>
  </w:style>
  <w:style w:type="paragraph" w:styleId="Footer">
    <w:name w:val="footer"/>
    <w:basedOn w:val="Normal"/>
    <w:link w:val="FooterChar"/>
    <w:uiPriority w:val="99"/>
    <w:unhideWhenUsed/>
    <w:rsid w:val="00B34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DB8"/>
  </w:style>
  <w:style w:type="paragraph" w:styleId="NormalWeb">
    <w:name w:val="Normal (Web)"/>
    <w:basedOn w:val="Normal"/>
    <w:uiPriority w:val="99"/>
    <w:semiHidden/>
    <w:unhideWhenUsed/>
    <w:rsid w:val="00CF79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79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1103">
      <w:bodyDiv w:val="1"/>
      <w:marLeft w:val="0"/>
      <w:marRight w:val="0"/>
      <w:marTop w:val="0"/>
      <w:marBottom w:val="0"/>
      <w:divBdr>
        <w:top w:val="none" w:sz="0" w:space="0" w:color="auto"/>
        <w:left w:val="none" w:sz="0" w:space="0" w:color="auto"/>
        <w:bottom w:val="none" w:sz="0" w:space="0" w:color="auto"/>
        <w:right w:val="none" w:sz="0" w:space="0" w:color="auto"/>
      </w:divBdr>
    </w:div>
    <w:div w:id="594485067">
      <w:bodyDiv w:val="1"/>
      <w:marLeft w:val="0"/>
      <w:marRight w:val="0"/>
      <w:marTop w:val="0"/>
      <w:marBottom w:val="0"/>
      <w:divBdr>
        <w:top w:val="none" w:sz="0" w:space="0" w:color="auto"/>
        <w:left w:val="none" w:sz="0" w:space="0" w:color="auto"/>
        <w:bottom w:val="none" w:sz="0" w:space="0" w:color="auto"/>
        <w:right w:val="none" w:sz="0" w:space="0" w:color="auto"/>
      </w:divBdr>
      <w:divsChild>
        <w:div w:id="355931533">
          <w:marLeft w:val="547"/>
          <w:marRight w:val="0"/>
          <w:marTop w:val="0"/>
          <w:marBottom w:val="0"/>
          <w:divBdr>
            <w:top w:val="none" w:sz="0" w:space="0" w:color="auto"/>
            <w:left w:val="none" w:sz="0" w:space="0" w:color="auto"/>
            <w:bottom w:val="none" w:sz="0" w:space="0" w:color="auto"/>
            <w:right w:val="none" w:sz="0" w:space="0" w:color="auto"/>
          </w:divBdr>
        </w:div>
        <w:div w:id="124085008">
          <w:marLeft w:val="547"/>
          <w:marRight w:val="0"/>
          <w:marTop w:val="0"/>
          <w:marBottom w:val="0"/>
          <w:divBdr>
            <w:top w:val="none" w:sz="0" w:space="0" w:color="auto"/>
            <w:left w:val="none" w:sz="0" w:space="0" w:color="auto"/>
            <w:bottom w:val="none" w:sz="0" w:space="0" w:color="auto"/>
            <w:right w:val="none" w:sz="0" w:space="0" w:color="auto"/>
          </w:divBdr>
        </w:div>
        <w:div w:id="1147941828">
          <w:marLeft w:val="547"/>
          <w:marRight w:val="0"/>
          <w:marTop w:val="0"/>
          <w:marBottom w:val="0"/>
          <w:divBdr>
            <w:top w:val="none" w:sz="0" w:space="0" w:color="auto"/>
            <w:left w:val="none" w:sz="0" w:space="0" w:color="auto"/>
            <w:bottom w:val="none" w:sz="0" w:space="0" w:color="auto"/>
            <w:right w:val="none" w:sz="0" w:space="0" w:color="auto"/>
          </w:divBdr>
        </w:div>
        <w:div w:id="1333146945">
          <w:marLeft w:val="547"/>
          <w:marRight w:val="0"/>
          <w:marTop w:val="0"/>
          <w:marBottom w:val="0"/>
          <w:divBdr>
            <w:top w:val="none" w:sz="0" w:space="0" w:color="auto"/>
            <w:left w:val="none" w:sz="0" w:space="0" w:color="auto"/>
            <w:bottom w:val="none" w:sz="0" w:space="0" w:color="auto"/>
            <w:right w:val="none" w:sz="0" w:space="0" w:color="auto"/>
          </w:divBdr>
        </w:div>
      </w:divsChild>
    </w:div>
    <w:div w:id="1165365181">
      <w:bodyDiv w:val="1"/>
      <w:marLeft w:val="0"/>
      <w:marRight w:val="0"/>
      <w:marTop w:val="0"/>
      <w:marBottom w:val="0"/>
      <w:divBdr>
        <w:top w:val="none" w:sz="0" w:space="0" w:color="auto"/>
        <w:left w:val="none" w:sz="0" w:space="0" w:color="auto"/>
        <w:bottom w:val="none" w:sz="0" w:space="0" w:color="auto"/>
        <w:right w:val="none" w:sz="0" w:space="0" w:color="auto"/>
      </w:divBdr>
      <w:divsChild>
        <w:div w:id="1244560673">
          <w:marLeft w:val="0"/>
          <w:marRight w:val="0"/>
          <w:marTop w:val="0"/>
          <w:marBottom w:val="0"/>
          <w:divBdr>
            <w:top w:val="none" w:sz="0" w:space="0" w:color="auto"/>
            <w:left w:val="none" w:sz="0" w:space="0" w:color="auto"/>
            <w:bottom w:val="none" w:sz="0" w:space="0" w:color="auto"/>
            <w:right w:val="none" w:sz="0" w:space="0" w:color="auto"/>
          </w:divBdr>
        </w:div>
        <w:div w:id="2029721957">
          <w:marLeft w:val="0"/>
          <w:marRight w:val="0"/>
          <w:marTop w:val="0"/>
          <w:marBottom w:val="0"/>
          <w:divBdr>
            <w:top w:val="none" w:sz="0" w:space="0" w:color="auto"/>
            <w:left w:val="none" w:sz="0" w:space="0" w:color="auto"/>
            <w:bottom w:val="none" w:sz="0" w:space="0" w:color="auto"/>
            <w:right w:val="none" w:sz="0" w:space="0" w:color="auto"/>
          </w:divBdr>
        </w:div>
        <w:div w:id="1402213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tandfonline.com/doi/pdf/10.1080/2331186X.2016.1252177?needAccess=true" TargetMode="External"/><Relationship Id="rId18" Type="http://schemas.openxmlformats.org/officeDocument/2006/relationships/hyperlink" Target="https://hwb.gov.wales/draft-curriculum-for-wales-2022" TargetMode="External"/><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endnotes" Target="endnotes.xml"/><Relationship Id="rId12" Type="http://schemas.openxmlformats.org/officeDocument/2006/relationships/hyperlink" Target="http://www.ewc.wales" TargetMode="External"/><Relationship Id="rId17" Type="http://schemas.openxmlformats.org/officeDocument/2006/relationships/hyperlink" Target="https://hwb.gov.wales/draft-curriculum-for-wales-2022" TargetMode="External"/><Relationship Id="rId25"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hyperlink" Target="https://gov.wales/sites/default/files/publications/2018-03/succesful-futures-a-summary-of-professor-graham-donaldsons-report.pdf" TargetMode="External"/><Relationship Id="rId20" Type="http://schemas.openxmlformats.org/officeDocument/2006/relationships/image" Target="media/image1.jp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provider/fitzalan-high-school" TargetMode="External"/><Relationship Id="rId24" Type="http://schemas.openxmlformats.org/officeDocument/2006/relationships/image" Target="media/image5.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wb.gov.wales/curriculum-for-wales-2008/assessment/how-to-develop-thinking-and-assessment-for-learning-in-the-classroom" TargetMode="External"/><Relationship Id="rId23" Type="http://schemas.openxmlformats.org/officeDocument/2006/relationships/image" Target="media/image4.emf"/><Relationship Id="rId28" Type="http://schemas.openxmlformats.org/officeDocument/2006/relationships/image" Target="media/image9.emf"/><Relationship Id="rId10" Type="http://schemas.openxmlformats.org/officeDocument/2006/relationships/hyperlink" Target="https://repository.cardiffmet.ac.uk/bitstream/handle/10369/10438/Report.pdf?sequence=1&amp;isAllowed=y" TargetMode="External"/><Relationship Id="rId19" Type="http://schemas.openxmlformats.org/officeDocument/2006/relationships/hyperlink" Target="https://s3-eu-west-1.amazonaws.com/hwb-live-storage/fc/a7/a4/e2/e348428381e68434ea93f611/professional-standards-for-teaching-and-leadership-interactive-pdf-for-pc.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ov.wales/docs/dcells/publications/150225-successful-futures-en.pdf" TargetMode="External"/><Relationship Id="rId14" Type="http://schemas.openxmlformats.org/officeDocument/2006/relationships/hyperlink" Target="http://s-f-walker.org.uk/pubsebooks/pdfs/The%20Behavior%20of%20Organisms%20-%20BF%20Skinner.pdf" TargetMode="External"/><Relationship Id="rId22" Type="http://schemas.openxmlformats.org/officeDocument/2006/relationships/image" Target="media/image3.jpg"/><Relationship Id="rId27" Type="http://schemas.openxmlformats.org/officeDocument/2006/relationships/image" Target="media/image8.emf"/><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F6BD1-4CF9-4997-B941-8D4F610D2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5924</Words>
  <Characters>33768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Trezise</dc:creator>
  <cp:keywords/>
  <dc:description/>
  <cp:lastModifiedBy>Hannah Trezise</cp:lastModifiedBy>
  <cp:revision>2</cp:revision>
  <cp:lastPrinted>2019-10-21T19:04:00Z</cp:lastPrinted>
  <dcterms:created xsi:type="dcterms:W3CDTF">2019-10-21T19:09:00Z</dcterms:created>
  <dcterms:modified xsi:type="dcterms:W3CDTF">2019-10-21T19:09:00Z</dcterms:modified>
</cp:coreProperties>
</file>