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53498198" w:displacedByCustomXml="next"/>
    <w:sdt>
      <w:sdtPr>
        <w:rPr>
          <w:rFonts w:ascii="Times" w:eastAsiaTheme="minorHAnsi" w:hAnsi="Times" w:cs="Arial"/>
          <w:sz w:val="2"/>
        </w:rPr>
        <w:id w:val="1045791792"/>
        <w:docPartObj>
          <w:docPartGallery w:val="Cover Pages"/>
          <w:docPartUnique/>
        </w:docPartObj>
      </w:sdtPr>
      <w:sdtEndPr>
        <w:rPr>
          <w:sz w:val="22"/>
        </w:rPr>
      </w:sdtEndPr>
      <w:sdtContent>
        <w:p w14:paraId="0F6785AC" w14:textId="77777777" w:rsidR="00770E48" w:rsidRPr="00EA539A" w:rsidRDefault="00770E48" w:rsidP="00FB2C48">
          <w:pPr>
            <w:pStyle w:val="NoSpacing"/>
            <w:spacing w:line="360" w:lineRule="auto"/>
            <w:rPr>
              <w:rFonts w:ascii="Times" w:hAnsi="Times" w:cs="Arial"/>
              <w:sz w:val="2"/>
            </w:rPr>
          </w:pPr>
        </w:p>
        <w:p w14:paraId="59E51D85" w14:textId="77777777" w:rsidR="009C1634" w:rsidRDefault="009C1634" w:rsidP="009C3333">
          <w:pPr>
            <w:spacing w:line="360" w:lineRule="auto"/>
            <w:jc w:val="center"/>
            <w:rPr>
              <w:rFonts w:ascii="Times" w:hAnsi="Times" w:cs="Arial"/>
              <w:b/>
            </w:rPr>
          </w:pPr>
        </w:p>
        <w:p w14:paraId="32AA7530" w14:textId="77777777" w:rsidR="009C1634" w:rsidRDefault="009C1634" w:rsidP="009C3333">
          <w:pPr>
            <w:spacing w:line="360" w:lineRule="auto"/>
            <w:jc w:val="center"/>
            <w:rPr>
              <w:rFonts w:ascii="Times" w:hAnsi="Times" w:cs="Arial"/>
              <w:b/>
            </w:rPr>
          </w:pPr>
        </w:p>
        <w:p w14:paraId="4A6F10DF" w14:textId="45AA55CD" w:rsidR="00335B9F" w:rsidRPr="009C1634" w:rsidRDefault="009C3333" w:rsidP="009C3333">
          <w:pPr>
            <w:spacing w:line="360" w:lineRule="auto"/>
            <w:jc w:val="center"/>
            <w:rPr>
              <w:rFonts w:ascii="Times" w:hAnsi="Times" w:cs="Arial"/>
              <w:b/>
            </w:rPr>
          </w:pPr>
          <w:r w:rsidRPr="009C1634">
            <w:rPr>
              <w:rFonts w:ascii="Times" w:hAnsi="Times" w:cs="Arial"/>
              <w:b/>
              <w:noProof/>
            </w:rPr>
            <w:drawing>
              <wp:anchor distT="0" distB="0" distL="114300" distR="114300" simplePos="0" relativeHeight="251658240" behindDoc="0" locked="0" layoutInCell="1" allowOverlap="1" wp14:anchorId="7A51B7F5" wp14:editId="76B4E94A">
                <wp:simplePos x="2293620" y="1664970"/>
                <wp:positionH relativeFrom="margin">
                  <wp:align>center</wp:align>
                </wp:positionH>
                <wp:positionV relativeFrom="margin">
                  <wp:align>top</wp:align>
                </wp:positionV>
                <wp:extent cx="2964180" cy="981273"/>
                <wp:effectExtent l="0" t="0" r="762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1024x33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64180" cy="981273"/>
                        </a:xfrm>
                        <a:prstGeom prst="rect">
                          <a:avLst/>
                        </a:prstGeom>
                      </pic:spPr>
                    </pic:pic>
                  </a:graphicData>
                </a:graphic>
              </wp:anchor>
            </w:drawing>
          </w:r>
        </w:p>
        <w:p w14:paraId="7B84896F" w14:textId="77777777" w:rsidR="009C1634" w:rsidRDefault="009C1634" w:rsidP="009C1634">
          <w:pPr>
            <w:spacing w:line="276" w:lineRule="auto"/>
            <w:jc w:val="center"/>
            <w:rPr>
              <w:rFonts w:ascii="Times" w:hAnsi="Times" w:cs="Arial"/>
              <w:b/>
            </w:rPr>
          </w:pPr>
        </w:p>
        <w:p w14:paraId="16788C39" w14:textId="77777777" w:rsidR="009C1634" w:rsidRDefault="009C1634" w:rsidP="009C1634">
          <w:pPr>
            <w:spacing w:line="276" w:lineRule="auto"/>
            <w:jc w:val="center"/>
            <w:rPr>
              <w:rFonts w:ascii="Times" w:hAnsi="Times" w:cs="Arial"/>
              <w:b/>
            </w:rPr>
          </w:pPr>
        </w:p>
        <w:p w14:paraId="7CAA7028" w14:textId="00F37267" w:rsidR="009C3333" w:rsidRPr="009C1634" w:rsidRDefault="009C3333" w:rsidP="009C1634">
          <w:pPr>
            <w:spacing w:line="276" w:lineRule="auto"/>
            <w:jc w:val="center"/>
            <w:rPr>
              <w:rFonts w:ascii="Times" w:hAnsi="Times" w:cs="Arial"/>
              <w:b/>
            </w:rPr>
          </w:pPr>
          <w:r w:rsidRPr="009C1634">
            <w:rPr>
              <w:rFonts w:ascii="Times" w:hAnsi="Times" w:cs="Arial"/>
              <w:b/>
            </w:rPr>
            <w:t>MASTERS OF BUSINESS ADMINISTRATION (MBA)</w:t>
          </w:r>
        </w:p>
        <w:p w14:paraId="3E920B99" w14:textId="740C83E7" w:rsidR="009C3333" w:rsidRPr="009C1634" w:rsidRDefault="009C3333" w:rsidP="009C1634">
          <w:pPr>
            <w:spacing w:line="276" w:lineRule="auto"/>
            <w:jc w:val="center"/>
            <w:rPr>
              <w:rFonts w:ascii="Times" w:hAnsi="Times" w:cs="Arial"/>
              <w:b/>
              <w:sz w:val="56"/>
            </w:rPr>
          </w:pPr>
          <w:r w:rsidRPr="009C1634">
            <w:rPr>
              <w:rFonts w:ascii="Times" w:hAnsi="Times" w:cs="Arial"/>
              <w:b/>
              <w:sz w:val="56"/>
            </w:rPr>
            <w:t xml:space="preserve">FINANCIAL MANAGEMENT </w:t>
          </w:r>
        </w:p>
        <w:p w14:paraId="1F2D3559" w14:textId="110F10D0" w:rsidR="009C3333" w:rsidRPr="009C1634" w:rsidRDefault="009C3333" w:rsidP="009C1634">
          <w:pPr>
            <w:spacing w:line="276" w:lineRule="auto"/>
            <w:jc w:val="center"/>
            <w:rPr>
              <w:rFonts w:ascii="Times" w:hAnsi="Times" w:cs="Arial"/>
              <w:b/>
            </w:rPr>
          </w:pPr>
          <w:r w:rsidRPr="009C1634">
            <w:rPr>
              <w:rFonts w:ascii="Times" w:hAnsi="Times" w:cs="Arial"/>
              <w:b/>
            </w:rPr>
            <w:t>MODULE CODE – LCMB7002</w:t>
          </w:r>
        </w:p>
        <w:p w14:paraId="0A04ABE5" w14:textId="0C1F1A58" w:rsidR="009C3333" w:rsidRPr="009C1634" w:rsidRDefault="009C3333" w:rsidP="009C1634">
          <w:pPr>
            <w:spacing w:line="276" w:lineRule="auto"/>
            <w:jc w:val="center"/>
            <w:rPr>
              <w:rFonts w:ascii="Times" w:hAnsi="Times" w:cs="Arial"/>
              <w:b/>
            </w:rPr>
          </w:pPr>
          <w:r w:rsidRPr="009C1634">
            <w:rPr>
              <w:rFonts w:ascii="Times" w:hAnsi="Times" w:cs="Arial"/>
              <w:b/>
            </w:rPr>
            <w:t xml:space="preserve">LECTURER – SHENGFENG MEI </w:t>
          </w:r>
        </w:p>
        <w:p w14:paraId="204267F4" w14:textId="3FEBA355" w:rsidR="009C3333" w:rsidRPr="009C1634" w:rsidRDefault="009C3333" w:rsidP="009C1634">
          <w:pPr>
            <w:spacing w:line="276" w:lineRule="auto"/>
            <w:jc w:val="center"/>
            <w:rPr>
              <w:rFonts w:ascii="Times" w:hAnsi="Times" w:cs="Arial"/>
              <w:b/>
            </w:rPr>
          </w:pPr>
          <w:r w:rsidRPr="009C1634">
            <w:rPr>
              <w:rFonts w:ascii="Times" w:hAnsi="Times" w:cs="Arial"/>
              <w:b/>
            </w:rPr>
            <w:t xml:space="preserve">INDIVIDUAL ASSIGNMENT </w:t>
          </w:r>
        </w:p>
        <w:p w14:paraId="4DE5C10E" w14:textId="4F9713B5" w:rsidR="009C3333" w:rsidRPr="009C1634" w:rsidRDefault="009C3333" w:rsidP="009C1634">
          <w:pPr>
            <w:spacing w:line="276" w:lineRule="auto"/>
            <w:jc w:val="center"/>
            <w:rPr>
              <w:rFonts w:ascii="Times" w:hAnsi="Times" w:cs="Arial"/>
              <w:b/>
            </w:rPr>
          </w:pPr>
          <w:r w:rsidRPr="009C1634">
            <w:rPr>
              <w:rFonts w:ascii="Times" w:hAnsi="Times" w:cs="Arial"/>
              <w:b/>
            </w:rPr>
            <w:t>_____________________________________</w:t>
          </w:r>
          <w:r w:rsidRPr="009C1634">
            <w:rPr>
              <w:rFonts w:ascii="Times" w:hAnsi="Times" w:cs="Arial"/>
              <w:b/>
            </w:rPr>
            <w:br/>
          </w:r>
        </w:p>
        <w:p w14:paraId="71DBE6A9" w14:textId="38F20B03" w:rsidR="009C3333" w:rsidRPr="009C1634" w:rsidRDefault="009C3333" w:rsidP="009C1634">
          <w:pPr>
            <w:spacing w:line="276" w:lineRule="auto"/>
            <w:jc w:val="center"/>
            <w:rPr>
              <w:rFonts w:ascii="Times" w:hAnsi="Times" w:cs="Arial"/>
              <w:b/>
            </w:rPr>
          </w:pPr>
          <w:r w:rsidRPr="009C1634">
            <w:rPr>
              <w:rFonts w:ascii="Times" w:hAnsi="Times" w:cs="Arial"/>
              <w:b/>
            </w:rPr>
            <w:t xml:space="preserve">SUBMITTED </w:t>
          </w:r>
        </w:p>
        <w:p w14:paraId="389D4676" w14:textId="09BB462A" w:rsidR="009C3333" w:rsidRPr="009C1634" w:rsidRDefault="009C3333" w:rsidP="009C1634">
          <w:pPr>
            <w:spacing w:line="276" w:lineRule="auto"/>
            <w:jc w:val="center"/>
            <w:rPr>
              <w:rFonts w:ascii="Times" w:hAnsi="Times" w:cs="Arial"/>
              <w:b/>
            </w:rPr>
          </w:pPr>
          <w:r w:rsidRPr="009C1634">
            <w:rPr>
              <w:rFonts w:ascii="Times" w:hAnsi="Times" w:cs="Arial"/>
              <w:b/>
            </w:rPr>
            <w:t xml:space="preserve">BY </w:t>
          </w:r>
        </w:p>
        <w:p w14:paraId="707F7C9E" w14:textId="6FD91985" w:rsidR="009C3333" w:rsidRPr="009C1634" w:rsidRDefault="00CC34E7" w:rsidP="009C1634">
          <w:pPr>
            <w:spacing w:line="276" w:lineRule="auto"/>
            <w:jc w:val="center"/>
            <w:rPr>
              <w:rFonts w:ascii="Times" w:hAnsi="Times" w:cs="Arial"/>
              <w:b/>
            </w:rPr>
          </w:pPr>
          <w:r>
            <w:rPr>
              <w:rFonts w:ascii="Times" w:hAnsi="Times" w:cs="Arial"/>
              <w:b/>
            </w:rPr>
            <w:t xml:space="preserve">STUDENT </w:t>
          </w:r>
          <w:proofErr w:type="gramStart"/>
          <w:r>
            <w:rPr>
              <w:rFonts w:ascii="Times" w:hAnsi="Times" w:cs="Arial"/>
              <w:b/>
            </w:rPr>
            <w:t>NAME:-</w:t>
          </w:r>
          <w:proofErr w:type="gramEnd"/>
          <w:r>
            <w:rPr>
              <w:rFonts w:ascii="Times" w:hAnsi="Times" w:cs="Arial"/>
              <w:b/>
            </w:rPr>
            <w:t xml:space="preserve"> Neel Manishbhai Korat</w:t>
          </w:r>
          <w:r w:rsidR="009C3333" w:rsidRPr="009C1634">
            <w:rPr>
              <w:rFonts w:ascii="Times" w:hAnsi="Times" w:cs="Arial"/>
              <w:b/>
            </w:rPr>
            <w:br/>
            <w:t>STUDENT ID –</w:t>
          </w:r>
          <w:r>
            <w:rPr>
              <w:rFonts w:ascii="Times" w:hAnsi="Times" w:cs="Arial"/>
              <w:b/>
            </w:rPr>
            <w:t xml:space="preserve"> 2523741</w:t>
          </w:r>
        </w:p>
        <w:p w14:paraId="21E712D4" w14:textId="77777777" w:rsidR="0081277C" w:rsidRPr="00EA539A" w:rsidRDefault="0081277C" w:rsidP="00FB2C48">
          <w:pPr>
            <w:spacing w:line="360" w:lineRule="auto"/>
            <w:jc w:val="center"/>
            <w:rPr>
              <w:rFonts w:ascii="Times" w:hAnsi="Times" w:cs="Arial"/>
              <w:b/>
              <w:sz w:val="28"/>
            </w:rPr>
          </w:pPr>
        </w:p>
        <w:p w14:paraId="38CA245C" w14:textId="77777777" w:rsidR="0081277C" w:rsidRPr="00EA539A" w:rsidRDefault="0081277C" w:rsidP="00FB2C48">
          <w:pPr>
            <w:spacing w:line="360" w:lineRule="auto"/>
            <w:jc w:val="left"/>
            <w:rPr>
              <w:rFonts w:ascii="Times" w:hAnsi="Times" w:cs="Arial"/>
              <w:b/>
              <w:sz w:val="28"/>
            </w:rPr>
          </w:pPr>
        </w:p>
        <w:p w14:paraId="3DE1B2FE" w14:textId="77777777" w:rsidR="0081277C" w:rsidRPr="00EA539A" w:rsidRDefault="0081277C" w:rsidP="00FB2C48">
          <w:pPr>
            <w:spacing w:line="360" w:lineRule="auto"/>
            <w:jc w:val="center"/>
            <w:rPr>
              <w:rFonts w:ascii="Times" w:hAnsi="Times" w:cs="Arial"/>
              <w:b/>
              <w:sz w:val="28"/>
            </w:rPr>
          </w:pPr>
        </w:p>
        <w:p w14:paraId="169C7E63" w14:textId="77777777" w:rsidR="001C6F7E" w:rsidRPr="00EA539A" w:rsidRDefault="001C6F7E" w:rsidP="00FB2C48">
          <w:pPr>
            <w:spacing w:line="360" w:lineRule="auto"/>
            <w:jc w:val="center"/>
            <w:rPr>
              <w:rFonts w:ascii="Times" w:hAnsi="Times" w:cs="Arial"/>
              <w:b/>
              <w:sz w:val="28"/>
            </w:rPr>
          </w:pPr>
        </w:p>
        <w:p w14:paraId="0CA953B7" w14:textId="77777777" w:rsidR="001C6F7E" w:rsidRPr="00EA539A" w:rsidRDefault="001C6F7E" w:rsidP="00FB2C48">
          <w:pPr>
            <w:spacing w:line="360" w:lineRule="auto"/>
            <w:jc w:val="center"/>
            <w:rPr>
              <w:rFonts w:ascii="Times" w:hAnsi="Times" w:cs="Arial"/>
              <w:b/>
              <w:sz w:val="28"/>
            </w:rPr>
          </w:pPr>
        </w:p>
        <w:p w14:paraId="56FD4C5A" w14:textId="77777777" w:rsidR="001C6F7E" w:rsidRDefault="001C6F7E" w:rsidP="00FB2C48">
          <w:pPr>
            <w:spacing w:line="360" w:lineRule="auto"/>
            <w:jc w:val="center"/>
            <w:rPr>
              <w:rFonts w:ascii="Times" w:hAnsi="Times" w:cs="Arial"/>
              <w:b/>
              <w:sz w:val="28"/>
            </w:rPr>
          </w:pPr>
        </w:p>
        <w:p w14:paraId="4E66ED5D" w14:textId="77777777" w:rsidR="007D0D4E" w:rsidRDefault="007D0D4E" w:rsidP="00FB2C48">
          <w:pPr>
            <w:spacing w:line="360" w:lineRule="auto"/>
            <w:jc w:val="center"/>
            <w:rPr>
              <w:rFonts w:ascii="Times" w:hAnsi="Times" w:cs="Arial"/>
              <w:b/>
              <w:sz w:val="28"/>
            </w:rPr>
          </w:pPr>
        </w:p>
        <w:p w14:paraId="5DACEC5D" w14:textId="77777777" w:rsidR="007D0D4E" w:rsidRDefault="007D0D4E" w:rsidP="00FB2C48">
          <w:pPr>
            <w:spacing w:line="360" w:lineRule="auto"/>
            <w:jc w:val="center"/>
            <w:rPr>
              <w:rFonts w:ascii="Times" w:hAnsi="Times" w:cs="Arial"/>
              <w:b/>
              <w:sz w:val="28"/>
            </w:rPr>
          </w:pPr>
        </w:p>
        <w:p w14:paraId="79853CF7" w14:textId="38610095" w:rsidR="00432D32" w:rsidRPr="00EA539A" w:rsidRDefault="00432D32" w:rsidP="00FB2C48">
          <w:pPr>
            <w:spacing w:line="360" w:lineRule="auto"/>
            <w:jc w:val="left"/>
            <w:rPr>
              <w:rFonts w:ascii="Times" w:hAnsi="Times" w:cs="Arial"/>
              <w:sz w:val="22"/>
            </w:rPr>
          </w:pPr>
        </w:p>
        <w:sdt>
          <w:sdtPr>
            <w:rPr>
              <w:rFonts w:ascii="Times" w:eastAsiaTheme="minorHAnsi" w:hAnsi="Times" w:cs="Arial"/>
              <w:color w:val="auto"/>
              <w:sz w:val="24"/>
              <w:szCs w:val="22"/>
            </w:rPr>
            <w:id w:val="1774204955"/>
            <w:docPartObj>
              <w:docPartGallery w:val="Table of Contents"/>
              <w:docPartUnique/>
            </w:docPartObj>
          </w:sdtPr>
          <w:sdtEndPr>
            <w:rPr>
              <w:b/>
              <w:bCs/>
              <w:noProof/>
            </w:rPr>
          </w:sdtEndPr>
          <w:sdtContent>
            <w:p w14:paraId="0780BDF4" w14:textId="77777777" w:rsidR="00432D32" w:rsidRPr="00EA539A" w:rsidRDefault="00732348" w:rsidP="00FB2C48">
              <w:pPr>
                <w:pStyle w:val="TOCHeading"/>
                <w:spacing w:line="360" w:lineRule="auto"/>
                <w:rPr>
                  <w:rFonts w:ascii="Times" w:hAnsi="Times" w:cs="Arial"/>
                  <w:b/>
                </w:rPr>
              </w:pPr>
              <w:r w:rsidRPr="00EA539A">
                <w:rPr>
                  <w:rFonts w:ascii="Times" w:hAnsi="Times" w:cs="Arial"/>
                  <w:b/>
                </w:rPr>
                <w:t>CONTENTS</w:t>
              </w:r>
            </w:p>
            <w:p w14:paraId="7103F49B" w14:textId="28DE6386" w:rsidR="000F1678" w:rsidRDefault="00732348" w:rsidP="009C3333">
              <w:pPr>
                <w:pStyle w:val="TOC2"/>
                <w:tabs>
                  <w:tab w:val="right" w:leader="dot" w:pos="9016"/>
                </w:tabs>
                <w:spacing w:line="276" w:lineRule="auto"/>
                <w:rPr>
                  <w:rFonts w:asciiTheme="minorHAnsi" w:eastAsiaTheme="minorEastAsia" w:hAnsiTheme="minorHAnsi"/>
                  <w:noProof/>
                  <w:kern w:val="2"/>
                  <w:szCs w:val="24"/>
                  <w:lang w:val="" w:eastAsia=""/>
                  <w14:ligatures w14:val="standardContextual"/>
                </w:rPr>
              </w:pPr>
              <w:r w:rsidRPr="00EA539A">
                <w:rPr>
                  <w:rFonts w:ascii="Times" w:hAnsi="Times" w:cs="Arial"/>
                </w:rPr>
                <w:fldChar w:fldCharType="begin"/>
              </w:r>
              <w:r w:rsidRPr="00EA539A">
                <w:rPr>
                  <w:rFonts w:ascii="Times" w:hAnsi="Times" w:cs="Arial"/>
                </w:rPr>
                <w:instrText xml:space="preserve"> TOC \o "1-3" \h \z \u </w:instrText>
              </w:r>
              <w:r w:rsidRPr="00EA539A">
                <w:rPr>
                  <w:rFonts w:ascii="Times" w:hAnsi="Times" w:cs="Arial"/>
                </w:rPr>
                <w:fldChar w:fldCharType="separate"/>
              </w:r>
              <w:hyperlink w:anchor="_Toc224784036" w:history="1">
                <w:r w:rsidR="000F1678" w:rsidRPr="002F78A1">
                  <w:rPr>
                    <w:rStyle w:val="Hyperlink"/>
                    <w:rFonts w:ascii="Times" w:hAnsi="Times" w:cs="Arial"/>
                    <w:noProof/>
                  </w:rPr>
                  <w:t>Introduction</w:t>
                </w:r>
                <w:r w:rsidR="000F1678">
                  <w:rPr>
                    <w:noProof/>
                    <w:webHidden/>
                  </w:rPr>
                  <w:tab/>
                </w:r>
                <w:r w:rsidR="000F1678">
                  <w:rPr>
                    <w:noProof/>
                    <w:webHidden/>
                  </w:rPr>
                  <w:fldChar w:fldCharType="begin"/>
                </w:r>
                <w:r w:rsidR="000F1678">
                  <w:rPr>
                    <w:noProof/>
                    <w:webHidden/>
                  </w:rPr>
                  <w:instrText xml:space="preserve"> PAGEREF _Toc224784036 \h </w:instrText>
                </w:r>
                <w:r w:rsidR="000F1678">
                  <w:rPr>
                    <w:noProof/>
                    <w:webHidden/>
                  </w:rPr>
                </w:r>
                <w:r w:rsidR="000F1678">
                  <w:rPr>
                    <w:noProof/>
                    <w:webHidden/>
                  </w:rPr>
                  <w:fldChar w:fldCharType="separate"/>
                </w:r>
                <w:r w:rsidR="009C1634">
                  <w:rPr>
                    <w:noProof/>
                    <w:webHidden/>
                  </w:rPr>
                  <w:t>2</w:t>
                </w:r>
                <w:r w:rsidR="000F1678">
                  <w:rPr>
                    <w:noProof/>
                    <w:webHidden/>
                  </w:rPr>
                  <w:fldChar w:fldCharType="end"/>
                </w:r>
              </w:hyperlink>
            </w:p>
            <w:p w14:paraId="3FCBDCA3" w14:textId="7940F1F7"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37" w:history="1">
                <w:r w:rsidRPr="002F78A1">
                  <w:rPr>
                    <w:rStyle w:val="Hyperlink"/>
                    <w:rFonts w:ascii="Times" w:hAnsi="Times" w:cs="Arial"/>
                    <w:noProof/>
                  </w:rPr>
                  <w:t>1-</w:t>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Financial health check</w:t>
                </w:r>
                <w:r>
                  <w:rPr>
                    <w:noProof/>
                    <w:webHidden/>
                  </w:rPr>
                  <w:tab/>
                </w:r>
                <w:r>
                  <w:rPr>
                    <w:noProof/>
                    <w:webHidden/>
                  </w:rPr>
                  <w:fldChar w:fldCharType="begin"/>
                </w:r>
                <w:r>
                  <w:rPr>
                    <w:noProof/>
                    <w:webHidden/>
                  </w:rPr>
                  <w:instrText xml:space="preserve"> PAGEREF _Toc224784037 \h </w:instrText>
                </w:r>
                <w:r>
                  <w:rPr>
                    <w:noProof/>
                    <w:webHidden/>
                  </w:rPr>
                </w:r>
                <w:r>
                  <w:rPr>
                    <w:noProof/>
                    <w:webHidden/>
                  </w:rPr>
                  <w:fldChar w:fldCharType="separate"/>
                </w:r>
                <w:r w:rsidR="009C1634">
                  <w:rPr>
                    <w:noProof/>
                    <w:webHidden/>
                  </w:rPr>
                  <w:t>2</w:t>
                </w:r>
                <w:r>
                  <w:rPr>
                    <w:noProof/>
                    <w:webHidden/>
                  </w:rPr>
                  <w:fldChar w:fldCharType="end"/>
                </w:r>
              </w:hyperlink>
            </w:p>
            <w:p w14:paraId="0ADC3CA6" w14:textId="5A2B9B70"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38"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Analysis of the past five-year financial statement</w:t>
                </w:r>
                <w:r>
                  <w:rPr>
                    <w:noProof/>
                    <w:webHidden/>
                  </w:rPr>
                  <w:tab/>
                </w:r>
                <w:r>
                  <w:rPr>
                    <w:noProof/>
                    <w:webHidden/>
                  </w:rPr>
                  <w:fldChar w:fldCharType="begin"/>
                </w:r>
                <w:r>
                  <w:rPr>
                    <w:noProof/>
                    <w:webHidden/>
                  </w:rPr>
                  <w:instrText xml:space="preserve"> PAGEREF _Toc224784038 \h </w:instrText>
                </w:r>
                <w:r>
                  <w:rPr>
                    <w:noProof/>
                    <w:webHidden/>
                  </w:rPr>
                </w:r>
                <w:r>
                  <w:rPr>
                    <w:noProof/>
                    <w:webHidden/>
                  </w:rPr>
                  <w:fldChar w:fldCharType="separate"/>
                </w:r>
                <w:r w:rsidR="009C1634">
                  <w:rPr>
                    <w:noProof/>
                    <w:webHidden/>
                  </w:rPr>
                  <w:t>2</w:t>
                </w:r>
                <w:r>
                  <w:rPr>
                    <w:noProof/>
                    <w:webHidden/>
                  </w:rPr>
                  <w:fldChar w:fldCharType="end"/>
                </w:r>
              </w:hyperlink>
            </w:p>
            <w:p w14:paraId="3E0F6134" w14:textId="7E463215"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39"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Ratio analysis</w:t>
                </w:r>
                <w:r>
                  <w:rPr>
                    <w:noProof/>
                    <w:webHidden/>
                  </w:rPr>
                  <w:tab/>
                </w:r>
                <w:r>
                  <w:rPr>
                    <w:noProof/>
                    <w:webHidden/>
                  </w:rPr>
                  <w:fldChar w:fldCharType="begin"/>
                </w:r>
                <w:r>
                  <w:rPr>
                    <w:noProof/>
                    <w:webHidden/>
                  </w:rPr>
                  <w:instrText xml:space="preserve"> PAGEREF _Toc224784039 \h </w:instrText>
                </w:r>
                <w:r>
                  <w:rPr>
                    <w:noProof/>
                    <w:webHidden/>
                  </w:rPr>
                </w:r>
                <w:r>
                  <w:rPr>
                    <w:noProof/>
                    <w:webHidden/>
                  </w:rPr>
                  <w:fldChar w:fldCharType="separate"/>
                </w:r>
                <w:r w:rsidR="009C1634">
                  <w:rPr>
                    <w:noProof/>
                    <w:webHidden/>
                  </w:rPr>
                  <w:t>6</w:t>
                </w:r>
                <w:r>
                  <w:rPr>
                    <w:noProof/>
                    <w:webHidden/>
                  </w:rPr>
                  <w:fldChar w:fldCharType="end"/>
                </w:r>
              </w:hyperlink>
            </w:p>
            <w:p w14:paraId="6F10EADE" w14:textId="198CE734"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0"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Trends, Strengths, and Weaknesses</w:t>
                </w:r>
                <w:r>
                  <w:rPr>
                    <w:noProof/>
                    <w:webHidden/>
                  </w:rPr>
                  <w:tab/>
                </w:r>
                <w:r>
                  <w:rPr>
                    <w:noProof/>
                    <w:webHidden/>
                  </w:rPr>
                  <w:fldChar w:fldCharType="begin"/>
                </w:r>
                <w:r>
                  <w:rPr>
                    <w:noProof/>
                    <w:webHidden/>
                  </w:rPr>
                  <w:instrText xml:space="preserve"> PAGEREF _Toc224784040 \h </w:instrText>
                </w:r>
                <w:r>
                  <w:rPr>
                    <w:noProof/>
                    <w:webHidden/>
                  </w:rPr>
                </w:r>
                <w:r>
                  <w:rPr>
                    <w:noProof/>
                    <w:webHidden/>
                  </w:rPr>
                  <w:fldChar w:fldCharType="separate"/>
                </w:r>
                <w:r w:rsidR="009C1634">
                  <w:rPr>
                    <w:noProof/>
                    <w:webHidden/>
                  </w:rPr>
                  <w:t>8</w:t>
                </w:r>
                <w:r>
                  <w:rPr>
                    <w:noProof/>
                    <w:webHidden/>
                  </w:rPr>
                  <w:fldChar w:fldCharType="end"/>
                </w:r>
              </w:hyperlink>
            </w:p>
            <w:p w14:paraId="770F44D3" w14:textId="6CAC1E76"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1" w:history="1">
                <w:r w:rsidRPr="002F78A1">
                  <w:rPr>
                    <w:rStyle w:val="Hyperlink"/>
                    <w:rFonts w:ascii="Times" w:hAnsi="Times" w:cs="Arial"/>
                    <w:noProof/>
                  </w:rPr>
                  <w:t>2-</w:t>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Working capital management Analysis</w:t>
                </w:r>
                <w:r>
                  <w:rPr>
                    <w:noProof/>
                    <w:webHidden/>
                  </w:rPr>
                  <w:tab/>
                </w:r>
                <w:r>
                  <w:rPr>
                    <w:noProof/>
                    <w:webHidden/>
                  </w:rPr>
                  <w:fldChar w:fldCharType="begin"/>
                </w:r>
                <w:r>
                  <w:rPr>
                    <w:noProof/>
                    <w:webHidden/>
                  </w:rPr>
                  <w:instrText xml:space="preserve"> PAGEREF _Toc224784041 \h </w:instrText>
                </w:r>
                <w:r>
                  <w:rPr>
                    <w:noProof/>
                    <w:webHidden/>
                  </w:rPr>
                </w:r>
                <w:r>
                  <w:rPr>
                    <w:noProof/>
                    <w:webHidden/>
                  </w:rPr>
                  <w:fldChar w:fldCharType="separate"/>
                </w:r>
                <w:r w:rsidR="009C1634">
                  <w:rPr>
                    <w:noProof/>
                    <w:webHidden/>
                  </w:rPr>
                  <w:t>9</w:t>
                </w:r>
                <w:r>
                  <w:rPr>
                    <w:noProof/>
                    <w:webHidden/>
                  </w:rPr>
                  <w:fldChar w:fldCharType="end"/>
                </w:r>
              </w:hyperlink>
            </w:p>
            <w:p w14:paraId="1FD04E5C" w14:textId="4AD780F1"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2"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Cash Operating cycle</w:t>
                </w:r>
                <w:r>
                  <w:rPr>
                    <w:noProof/>
                    <w:webHidden/>
                  </w:rPr>
                  <w:tab/>
                </w:r>
                <w:r>
                  <w:rPr>
                    <w:noProof/>
                    <w:webHidden/>
                  </w:rPr>
                  <w:fldChar w:fldCharType="begin"/>
                </w:r>
                <w:r>
                  <w:rPr>
                    <w:noProof/>
                    <w:webHidden/>
                  </w:rPr>
                  <w:instrText xml:space="preserve"> PAGEREF _Toc224784042 \h </w:instrText>
                </w:r>
                <w:r>
                  <w:rPr>
                    <w:noProof/>
                    <w:webHidden/>
                  </w:rPr>
                </w:r>
                <w:r>
                  <w:rPr>
                    <w:noProof/>
                    <w:webHidden/>
                  </w:rPr>
                  <w:fldChar w:fldCharType="separate"/>
                </w:r>
                <w:r w:rsidR="009C1634">
                  <w:rPr>
                    <w:noProof/>
                    <w:webHidden/>
                  </w:rPr>
                  <w:t>9</w:t>
                </w:r>
                <w:r>
                  <w:rPr>
                    <w:noProof/>
                    <w:webHidden/>
                  </w:rPr>
                  <w:fldChar w:fldCharType="end"/>
                </w:r>
              </w:hyperlink>
            </w:p>
            <w:p w14:paraId="155AF511" w14:textId="1FCF8BA5"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3"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Recommendation</w:t>
                </w:r>
                <w:r>
                  <w:rPr>
                    <w:noProof/>
                    <w:webHidden/>
                  </w:rPr>
                  <w:tab/>
                </w:r>
                <w:r>
                  <w:rPr>
                    <w:noProof/>
                    <w:webHidden/>
                  </w:rPr>
                  <w:fldChar w:fldCharType="begin"/>
                </w:r>
                <w:r>
                  <w:rPr>
                    <w:noProof/>
                    <w:webHidden/>
                  </w:rPr>
                  <w:instrText xml:space="preserve"> PAGEREF _Toc224784043 \h </w:instrText>
                </w:r>
                <w:r>
                  <w:rPr>
                    <w:noProof/>
                    <w:webHidden/>
                  </w:rPr>
                </w:r>
                <w:r>
                  <w:rPr>
                    <w:noProof/>
                    <w:webHidden/>
                  </w:rPr>
                  <w:fldChar w:fldCharType="separate"/>
                </w:r>
                <w:r w:rsidR="009C1634">
                  <w:rPr>
                    <w:noProof/>
                    <w:webHidden/>
                  </w:rPr>
                  <w:t>10</w:t>
                </w:r>
                <w:r>
                  <w:rPr>
                    <w:noProof/>
                    <w:webHidden/>
                  </w:rPr>
                  <w:fldChar w:fldCharType="end"/>
                </w:r>
              </w:hyperlink>
            </w:p>
            <w:p w14:paraId="5D785841" w14:textId="71EECE94"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4"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Short-term vs Long-term financing options</w:t>
                </w:r>
                <w:r>
                  <w:rPr>
                    <w:noProof/>
                    <w:webHidden/>
                  </w:rPr>
                  <w:tab/>
                </w:r>
                <w:r>
                  <w:rPr>
                    <w:noProof/>
                    <w:webHidden/>
                  </w:rPr>
                  <w:fldChar w:fldCharType="begin"/>
                </w:r>
                <w:r>
                  <w:rPr>
                    <w:noProof/>
                    <w:webHidden/>
                  </w:rPr>
                  <w:instrText xml:space="preserve"> PAGEREF _Toc224784044 \h </w:instrText>
                </w:r>
                <w:r>
                  <w:rPr>
                    <w:noProof/>
                    <w:webHidden/>
                  </w:rPr>
                </w:r>
                <w:r>
                  <w:rPr>
                    <w:noProof/>
                    <w:webHidden/>
                  </w:rPr>
                  <w:fldChar w:fldCharType="separate"/>
                </w:r>
                <w:r w:rsidR="009C1634">
                  <w:rPr>
                    <w:noProof/>
                    <w:webHidden/>
                  </w:rPr>
                  <w:t>10</w:t>
                </w:r>
                <w:r>
                  <w:rPr>
                    <w:noProof/>
                    <w:webHidden/>
                  </w:rPr>
                  <w:fldChar w:fldCharType="end"/>
                </w:r>
              </w:hyperlink>
            </w:p>
            <w:p w14:paraId="6CDE8F9A" w14:textId="2312204B"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5" w:history="1">
                <w:r w:rsidRPr="002F78A1">
                  <w:rPr>
                    <w:rStyle w:val="Hyperlink"/>
                    <w:rFonts w:ascii="Times" w:hAnsi="Times" w:cs="Arial"/>
                    <w:noProof/>
                  </w:rPr>
                  <w:t>3-</w:t>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Strategic Financial Restructuring Plan</w:t>
                </w:r>
                <w:r>
                  <w:rPr>
                    <w:noProof/>
                    <w:webHidden/>
                  </w:rPr>
                  <w:tab/>
                </w:r>
                <w:r>
                  <w:rPr>
                    <w:noProof/>
                    <w:webHidden/>
                  </w:rPr>
                  <w:fldChar w:fldCharType="begin"/>
                </w:r>
                <w:r>
                  <w:rPr>
                    <w:noProof/>
                    <w:webHidden/>
                  </w:rPr>
                  <w:instrText xml:space="preserve"> PAGEREF _Toc224784045 \h </w:instrText>
                </w:r>
                <w:r>
                  <w:rPr>
                    <w:noProof/>
                    <w:webHidden/>
                  </w:rPr>
                </w:r>
                <w:r>
                  <w:rPr>
                    <w:noProof/>
                    <w:webHidden/>
                  </w:rPr>
                  <w:fldChar w:fldCharType="separate"/>
                </w:r>
                <w:r w:rsidR="009C1634">
                  <w:rPr>
                    <w:noProof/>
                    <w:webHidden/>
                  </w:rPr>
                  <w:t>11</w:t>
                </w:r>
                <w:r>
                  <w:rPr>
                    <w:noProof/>
                    <w:webHidden/>
                  </w:rPr>
                  <w:fldChar w:fldCharType="end"/>
                </w:r>
              </w:hyperlink>
            </w:p>
            <w:p w14:paraId="3137E68E" w14:textId="4D4FC41E"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6"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Recommendation for financial restructuring option</w:t>
                </w:r>
                <w:r>
                  <w:rPr>
                    <w:noProof/>
                    <w:webHidden/>
                  </w:rPr>
                  <w:tab/>
                </w:r>
                <w:r>
                  <w:rPr>
                    <w:noProof/>
                    <w:webHidden/>
                  </w:rPr>
                  <w:fldChar w:fldCharType="begin"/>
                </w:r>
                <w:r>
                  <w:rPr>
                    <w:noProof/>
                    <w:webHidden/>
                  </w:rPr>
                  <w:instrText xml:space="preserve"> PAGEREF _Toc224784046 \h </w:instrText>
                </w:r>
                <w:r>
                  <w:rPr>
                    <w:noProof/>
                    <w:webHidden/>
                  </w:rPr>
                </w:r>
                <w:r>
                  <w:rPr>
                    <w:noProof/>
                    <w:webHidden/>
                  </w:rPr>
                  <w:fldChar w:fldCharType="separate"/>
                </w:r>
                <w:r w:rsidR="009C1634">
                  <w:rPr>
                    <w:noProof/>
                    <w:webHidden/>
                  </w:rPr>
                  <w:t>11</w:t>
                </w:r>
                <w:r>
                  <w:rPr>
                    <w:noProof/>
                    <w:webHidden/>
                  </w:rPr>
                  <w:fldChar w:fldCharType="end"/>
                </w:r>
              </w:hyperlink>
            </w:p>
            <w:p w14:paraId="4894A6BC" w14:textId="5753BAE6"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7"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Evaluation of impact on shareholders' value, debt structure, and operational flexibility</w:t>
                </w:r>
                <w:r>
                  <w:rPr>
                    <w:noProof/>
                    <w:webHidden/>
                  </w:rPr>
                  <w:tab/>
                </w:r>
                <w:r>
                  <w:rPr>
                    <w:noProof/>
                    <w:webHidden/>
                  </w:rPr>
                  <w:fldChar w:fldCharType="begin"/>
                </w:r>
                <w:r>
                  <w:rPr>
                    <w:noProof/>
                    <w:webHidden/>
                  </w:rPr>
                  <w:instrText xml:space="preserve"> PAGEREF _Toc224784047 \h </w:instrText>
                </w:r>
                <w:r>
                  <w:rPr>
                    <w:noProof/>
                    <w:webHidden/>
                  </w:rPr>
                </w:r>
                <w:r>
                  <w:rPr>
                    <w:noProof/>
                    <w:webHidden/>
                  </w:rPr>
                  <w:fldChar w:fldCharType="separate"/>
                </w:r>
                <w:r w:rsidR="009C1634">
                  <w:rPr>
                    <w:noProof/>
                    <w:webHidden/>
                  </w:rPr>
                  <w:t>12</w:t>
                </w:r>
                <w:r>
                  <w:rPr>
                    <w:noProof/>
                    <w:webHidden/>
                  </w:rPr>
                  <w:fldChar w:fldCharType="end"/>
                </w:r>
              </w:hyperlink>
            </w:p>
            <w:p w14:paraId="09CD4946" w14:textId="2B1ECBCF"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8"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International and Ethical consideration</w:t>
                </w:r>
                <w:r>
                  <w:rPr>
                    <w:noProof/>
                    <w:webHidden/>
                  </w:rPr>
                  <w:tab/>
                </w:r>
                <w:r>
                  <w:rPr>
                    <w:noProof/>
                    <w:webHidden/>
                  </w:rPr>
                  <w:fldChar w:fldCharType="begin"/>
                </w:r>
                <w:r>
                  <w:rPr>
                    <w:noProof/>
                    <w:webHidden/>
                  </w:rPr>
                  <w:instrText xml:space="preserve"> PAGEREF _Toc224784048 \h </w:instrText>
                </w:r>
                <w:r>
                  <w:rPr>
                    <w:noProof/>
                    <w:webHidden/>
                  </w:rPr>
                </w:r>
                <w:r>
                  <w:rPr>
                    <w:noProof/>
                    <w:webHidden/>
                  </w:rPr>
                  <w:fldChar w:fldCharType="separate"/>
                </w:r>
                <w:r w:rsidR="009C1634">
                  <w:rPr>
                    <w:noProof/>
                    <w:webHidden/>
                  </w:rPr>
                  <w:t>13</w:t>
                </w:r>
                <w:r>
                  <w:rPr>
                    <w:noProof/>
                    <w:webHidden/>
                  </w:rPr>
                  <w:fldChar w:fldCharType="end"/>
                </w:r>
              </w:hyperlink>
            </w:p>
            <w:p w14:paraId="2380C724" w14:textId="07DD060D"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49" w:history="1">
                <w:r w:rsidRPr="002F78A1">
                  <w:rPr>
                    <w:rStyle w:val="Hyperlink"/>
                    <w:rFonts w:ascii="Times" w:hAnsi="Times" w:cs="Arial"/>
                    <w:noProof/>
                  </w:rPr>
                  <w:t>4-</w:t>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Investment Appraisal and Capital Budgeting</w:t>
                </w:r>
                <w:r>
                  <w:rPr>
                    <w:noProof/>
                    <w:webHidden/>
                  </w:rPr>
                  <w:tab/>
                </w:r>
                <w:r>
                  <w:rPr>
                    <w:noProof/>
                    <w:webHidden/>
                  </w:rPr>
                  <w:fldChar w:fldCharType="begin"/>
                </w:r>
                <w:r>
                  <w:rPr>
                    <w:noProof/>
                    <w:webHidden/>
                  </w:rPr>
                  <w:instrText xml:space="preserve"> PAGEREF _Toc224784049 \h </w:instrText>
                </w:r>
                <w:r>
                  <w:rPr>
                    <w:noProof/>
                    <w:webHidden/>
                  </w:rPr>
                </w:r>
                <w:r>
                  <w:rPr>
                    <w:noProof/>
                    <w:webHidden/>
                  </w:rPr>
                  <w:fldChar w:fldCharType="separate"/>
                </w:r>
                <w:r w:rsidR="009C1634">
                  <w:rPr>
                    <w:noProof/>
                    <w:webHidden/>
                  </w:rPr>
                  <w:t>14</w:t>
                </w:r>
                <w:r>
                  <w:rPr>
                    <w:noProof/>
                    <w:webHidden/>
                  </w:rPr>
                  <w:fldChar w:fldCharType="end"/>
                </w:r>
              </w:hyperlink>
            </w:p>
            <w:p w14:paraId="1E647936" w14:textId="715B6AAD"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50"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Calculation of PBP, ARR, NPV, PI, and IRR</w:t>
                </w:r>
                <w:r>
                  <w:rPr>
                    <w:noProof/>
                    <w:webHidden/>
                  </w:rPr>
                  <w:tab/>
                </w:r>
                <w:r>
                  <w:rPr>
                    <w:noProof/>
                    <w:webHidden/>
                  </w:rPr>
                  <w:fldChar w:fldCharType="begin"/>
                </w:r>
                <w:r>
                  <w:rPr>
                    <w:noProof/>
                    <w:webHidden/>
                  </w:rPr>
                  <w:instrText xml:space="preserve"> PAGEREF _Toc224784050 \h </w:instrText>
                </w:r>
                <w:r>
                  <w:rPr>
                    <w:noProof/>
                    <w:webHidden/>
                  </w:rPr>
                </w:r>
                <w:r>
                  <w:rPr>
                    <w:noProof/>
                    <w:webHidden/>
                  </w:rPr>
                  <w:fldChar w:fldCharType="separate"/>
                </w:r>
                <w:r w:rsidR="009C1634">
                  <w:rPr>
                    <w:noProof/>
                    <w:webHidden/>
                  </w:rPr>
                  <w:t>14</w:t>
                </w:r>
                <w:r>
                  <w:rPr>
                    <w:noProof/>
                    <w:webHidden/>
                  </w:rPr>
                  <w:fldChar w:fldCharType="end"/>
                </w:r>
              </w:hyperlink>
            </w:p>
            <w:p w14:paraId="0F8ACAE3" w14:textId="53F8D101"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51"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Recommendation</w:t>
                </w:r>
                <w:r>
                  <w:rPr>
                    <w:noProof/>
                    <w:webHidden/>
                  </w:rPr>
                  <w:tab/>
                </w:r>
                <w:r>
                  <w:rPr>
                    <w:noProof/>
                    <w:webHidden/>
                  </w:rPr>
                  <w:fldChar w:fldCharType="begin"/>
                </w:r>
                <w:r>
                  <w:rPr>
                    <w:noProof/>
                    <w:webHidden/>
                  </w:rPr>
                  <w:instrText xml:space="preserve"> PAGEREF _Toc224784051 \h </w:instrText>
                </w:r>
                <w:r>
                  <w:rPr>
                    <w:noProof/>
                    <w:webHidden/>
                  </w:rPr>
                </w:r>
                <w:r>
                  <w:rPr>
                    <w:noProof/>
                    <w:webHidden/>
                  </w:rPr>
                  <w:fldChar w:fldCharType="separate"/>
                </w:r>
                <w:r w:rsidR="009C1634">
                  <w:rPr>
                    <w:noProof/>
                    <w:webHidden/>
                  </w:rPr>
                  <w:t>19</w:t>
                </w:r>
                <w:r>
                  <w:rPr>
                    <w:noProof/>
                    <w:webHidden/>
                  </w:rPr>
                  <w:fldChar w:fldCharType="end"/>
                </w:r>
              </w:hyperlink>
            </w:p>
            <w:p w14:paraId="5A9617C4" w14:textId="6B4EA2E1" w:rsidR="000F1678" w:rsidRDefault="000F1678" w:rsidP="009C3333">
              <w:pPr>
                <w:pStyle w:val="TOC2"/>
                <w:tabs>
                  <w:tab w:val="left" w:pos="720"/>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52" w:history="1">
                <w:r w:rsidRPr="002F78A1">
                  <w:rPr>
                    <w:rStyle w:val="Hyperlink"/>
                    <w:rFonts w:ascii="Symbol" w:hAnsi="Symbol" w:cs="Arial"/>
                    <w:noProof/>
                  </w:rPr>
                  <w:sym w:font="Symbol" w:char="F0B7"/>
                </w:r>
                <w:r>
                  <w:rPr>
                    <w:rFonts w:asciiTheme="minorHAnsi" w:eastAsiaTheme="minorEastAsia" w:hAnsiTheme="minorHAnsi"/>
                    <w:noProof/>
                    <w:kern w:val="2"/>
                    <w:szCs w:val="24"/>
                    <w:lang w:val="" w:eastAsia=""/>
                    <w14:ligatures w14:val="standardContextual"/>
                  </w:rPr>
                  <w:tab/>
                </w:r>
                <w:r w:rsidRPr="002F78A1">
                  <w:rPr>
                    <w:rStyle w:val="Hyperlink"/>
                    <w:rFonts w:ascii="Times" w:hAnsi="Times" w:cs="Arial"/>
                    <w:noProof/>
                  </w:rPr>
                  <w:t>Combination of projects using capital rationing</w:t>
                </w:r>
                <w:r>
                  <w:rPr>
                    <w:noProof/>
                    <w:webHidden/>
                  </w:rPr>
                  <w:tab/>
                </w:r>
                <w:r>
                  <w:rPr>
                    <w:noProof/>
                    <w:webHidden/>
                  </w:rPr>
                  <w:fldChar w:fldCharType="begin"/>
                </w:r>
                <w:r>
                  <w:rPr>
                    <w:noProof/>
                    <w:webHidden/>
                  </w:rPr>
                  <w:instrText xml:space="preserve"> PAGEREF _Toc224784052 \h </w:instrText>
                </w:r>
                <w:r>
                  <w:rPr>
                    <w:noProof/>
                    <w:webHidden/>
                  </w:rPr>
                </w:r>
                <w:r>
                  <w:rPr>
                    <w:noProof/>
                    <w:webHidden/>
                  </w:rPr>
                  <w:fldChar w:fldCharType="separate"/>
                </w:r>
                <w:r w:rsidR="009C1634">
                  <w:rPr>
                    <w:noProof/>
                    <w:webHidden/>
                  </w:rPr>
                  <w:t>20</w:t>
                </w:r>
                <w:r>
                  <w:rPr>
                    <w:noProof/>
                    <w:webHidden/>
                  </w:rPr>
                  <w:fldChar w:fldCharType="end"/>
                </w:r>
              </w:hyperlink>
            </w:p>
            <w:p w14:paraId="4B1AA7F9" w14:textId="16F838E2" w:rsidR="000F1678" w:rsidRDefault="000F1678" w:rsidP="009C3333">
              <w:pPr>
                <w:pStyle w:val="TOC2"/>
                <w:tabs>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53" w:history="1">
                <w:r w:rsidRPr="002F78A1">
                  <w:rPr>
                    <w:rStyle w:val="Hyperlink"/>
                    <w:rFonts w:ascii="Times" w:hAnsi="Times" w:cs="Arial"/>
                    <w:noProof/>
                  </w:rPr>
                  <w:t>Conclusion</w:t>
                </w:r>
                <w:r>
                  <w:rPr>
                    <w:noProof/>
                    <w:webHidden/>
                  </w:rPr>
                  <w:tab/>
                </w:r>
                <w:r>
                  <w:rPr>
                    <w:noProof/>
                    <w:webHidden/>
                  </w:rPr>
                  <w:fldChar w:fldCharType="begin"/>
                </w:r>
                <w:r>
                  <w:rPr>
                    <w:noProof/>
                    <w:webHidden/>
                  </w:rPr>
                  <w:instrText xml:space="preserve"> PAGEREF _Toc224784053 \h </w:instrText>
                </w:r>
                <w:r>
                  <w:rPr>
                    <w:noProof/>
                    <w:webHidden/>
                  </w:rPr>
                </w:r>
                <w:r>
                  <w:rPr>
                    <w:noProof/>
                    <w:webHidden/>
                  </w:rPr>
                  <w:fldChar w:fldCharType="separate"/>
                </w:r>
                <w:r w:rsidR="009C1634">
                  <w:rPr>
                    <w:noProof/>
                    <w:webHidden/>
                  </w:rPr>
                  <w:t>22</w:t>
                </w:r>
                <w:r>
                  <w:rPr>
                    <w:noProof/>
                    <w:webHidden/>
                  </w:rPr>
                  <w:fldChar w:fldCharType="end"/>
                </w:r>
              </w:hyperlink>
            </w:p>
            <w:p w14:paraId="58AAD944" w14:textId="7967A68F" w:rsidR="000F1678" w:rsidRDefault="000F1678" w:rsidP="009C3333">
              <w:pPr>
                <w:pStyle w:val="TOC2"/>
                <w:tabs>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54" w:history="1">
                <w:r w:rsidRPr="002F78A1">
                  <w:rPr>
                    <w:rStyle w:val="Hyperlink"/>
                    <w:rFonts w:ascii="Times" w:hAnsi="Times" w:cs="Arial"/>
                    <w:noProof/>
                  </w:rPr>
                  <w:t>References</w:t>
                </w:r>
                <w:r>
                  <w:rPr>
                    <w:noProof/>
                    <w:webHidden/>
                  </w:rPr>
                  <w:tab/>
                </w:r>
                <w:r>
                  <w:rPr>
                    <w:noProof/>
                    <w:webHidden/>
                  </w:rPr>
                  <w:fldChar w:fldCharType="begin"/>
                </w:r>
                <w:r>
                  <w:rPr>
                    <w:noProof/>
                    <w:webHidden/>
                  </w:rPr>
                  <w:instrText xml:space="preserve"> PAGEREF _Toc224784054 \h </w:instrText>
                </w:r>
                <w:r>
                  <w:rPr>
                    <w:noProof/>
                    <w:webHidden/>
                  </w:rPr>
                </w:r>
                <w:r>
                  <w:rPr>
                    <w:noProof/>
                    <w:webHidden/>
                  </w:rPr>
                  <w:fldChar w:fldCharType="separate"/>
                </w:r>
                <w:r w:rsidR="009C1634">
                  <w:rPr>
                    <w:noProof/>
                    <w:webHidden/>
                  </w:rPr>
                  <w:t>23</w:t>
                </w:r>
                <w:r>
                  <w:rPr>
                    <w:noProof/>
                    <w:webHidden/>
                  </w:rPr>
                  <w:fldChar w:fldCharType="end"/>
                </w:r>
              </w:hyperlink>
            </w:p>
            <w:p w14:paraId="2D5DEF6E" w14:textId="45D7CA54" w:rsidR="000F1678" w:rsidRDefault="000F1678" w:rsidP="009C3333">
              <w:pPr>
                <w:pStyle w:val="TOC2"/>
                <w:tabs>
                  <w:tab w:val="right" w:leader="dot" w:pos="9016"/>
                </w:tabs>
                <w:spacing w:line="276" w:lineRule="auto"/>
                <w:rPr>
                  <w:rFonts w:asciiTheme="minorHAnsi" w:eastAsiaTheme="minorEastAsia" w:hAnsiTheme="minorHAnsi"/>
                  <w:noProof/>
                  <w:kern w:val="2"/>
                  <w:szCs w:val="24"/>
                  <w:lang w:val="" w:eastAsia=""/>
                  <w14:ligatures w14:val="standardContextual"/>
                </w:rPr>
              </w:pPr>
              <w:hyperlink w:anchor="_Toc224784055" w:history="1">
                <w:r w:rsidRPr="002F78A1">
                  <w:rPr>
                    <w:rStyle w:val="Hyperlink"/>
                    <w:rFonts w:ascii="Times" w:hAnsi="Times" w:cs="Arial"/>
                    <w:noProof/>
                  </w:rPr>
                  <w:t>Appendices</w:t>
                </w:r>
                <w:r>
                  <w:rPr>
                    <w:noProof/>
                    <w:webHidden/>
                  </w:rPr>
                  <w:tab/>
                </w:r>
                <w:r>
                  <w:rPr>
                    <w:noProof/>
                    <w:webHidden/>
                  </w:rPr>
                  <w:fldChar w:fldCharType="begin"/>
                </w:r>
                <w:r>
                  <w:rPr>
                    <w:noProof/>
                    <w:webHidden/>
                  </w:rPr>
                  <w:instrText xml:space="preserve"> PAGEREF _Toc224784055 \h </w:instrText>
                </w:r>
                <w:r>
                  <w:rPr>
                    <w:noProof/>
                    <w:webHidden/>
                  </w:rPr>
                </w:r>
                <w:r>
                  <w:rPr>
                    <w:noProof/>
                    <w:webHidden/>
                  </w:rPr>
                  <w:fldChar w:fldCharType="separate"/>
                </w:r>
                <w:r w:rsidR="009C1634">
                  <w:rPr>
                    <w:noProof/>
                    <w:webHidden/>
                  </w:rPr>
                  <w:t>29</w:t>
                </w:r>
                <w:r>
                  <w:rPr>
                    <w:noProof/>
                    <w:webHidden/>
                  </w:rPr>
                  <w:fldChar w:fldCharType="end"/>
                </w:r>
              </w:hyperlink>
            </w:p>
            <w:p w14:paraId="07B70DC1" w14:textId="343A6805" w:rsidR="00A00C18" w:rsidRDefault="00732348" w:rsidP="00A00C18">
              <w:pPr>
                <w:spacing w:line="360" w:lineRule="auto"/>
                <w:rPr>
                  <w:rFonts w:ascii="Times" w:hAnsi="Times" w:cs="Arial"/>
                </w:rPr>
              </w:pPr>
              <w:r w:rsidRPr="00EA539A">
                <w:rPr>
                  <w:rFonts w:ascii="Times" w:hAnsi="Times" w:cs="Arial"/>
                  <w:b/>
                  <w:bCs/>
                  <w:noProof/>
                </w:rPr>
                <w:fldChar w:fldCharType="end"/>
              </w:r>
            </w:p>
            <w:p w14:paraId="149760D6" w14:textId="77777777" w:rsidR="00F668C8" w:rsidRDefault="00000000" w:rsidP="00A00C18">
              <w:pPr>
                <w:spacing w:line="360" w:lineRule="auto"/>
                <w:rPr>
                  <w:rFonts w:ascii="Times" w:hAnsi="Times" w:cs="Arial"/>
                </w:rPr>
              </w:pPr>
            </w:p>
          </w:sdtContent>
        </w:sdt>
      </w:sdtContent>
    </w:sdt>
    <w:bookmarkEnd w:id="0" w:displacedByCustomXml="prev"/>
    <w:p w14:paraId="468C691A" w14:textId="77777777" w:rsidR="009C3333" w:rsidRDefault="009C3333" w:rsidP="00F7702E">
      <w:pPr>
        <w:pStyle w:val="Heading2"/>
        <w:spacing w:line="360" w:lineRule="auto"/>
        <w:rPr>
          <w:rFonts w:ascii="Times" w:hAnsi="Times" w:cs="Arial"/>
        </w:rPr>
      </w:pPr>
      <w:bookmarkStart w:id="1" w:name="_Toc224784036"/>
    </w:p>
    <w:p w14:paraId="064DC781" w14:textId="48264DD9" w:rsidR="009C3333" w:rsidRDefault="009C3333" w:rsidP="00F7702E">
      <w:pPr>
        <w:pStyle w:val="Heading2"/>
        <w:spacing w:line="360" w:lineRule="auto"/>
        <w:rPr>
          <w:rFonts w:ascii="Times" w:hAnsi="Times" w:cs="Arial"/>
        </w:rPr>
      </w:pPr>
    </w:p>
    <w:p w14:paraId="00855A39" w14:textId="16E2EEC3" w:rsidR="009C3333" w:rsidRDefault="009C3333" w:rsidP="009C3333"/>
    <w:p w14:paraId="1AEE6F35" w14:textId="77777777" w:rsidR="009C3333" w:rsidRPr="009C3333" w:rsidRDefault="009C3333" w:rsidP="009C3333"/>
    <w:p w14:paraId="0E6A9C4E" w14:textId="2657831D" w:rsidR="00870E17" w:rsidRDefault="00732348" w:rsidP="00F7702E">
      <w:pPr>
        <w:pStyle w:val="Heading2"/>
        <w:spacing w:line="360" w:lineRule="auto"/>
        <w:rPr>
          <w:rFonts w:ascii="Times" w:hAnsi="Times" w:cs="Arial"/>
        </w:rPr>
      </w:pPr>
      <w:r w:rsidRPr="00EA539A">
        <w:rPr>
          <w:rFonts w:ascii="Times" w:hAnsi="Times" w:cs="Arial"/>
        </w:rPr>
        <w:lastRenderedPageBreak/>
        <w:t>Introduction</w:t>
      </w:r>
      <w:bookmarkEnd w:id="1"/>
    </w:p>
    <w:p w14:paraId="2AFB1668" w14:textId="77777777" w:rsidR="00635EFF" w:rsidRDefault="00732348" w:rsidP="007D3699">
      <w:pPr>
        <w:spacing w:line="360" w:lineRule="auto"/>
      </w:pPr>
      <w:r>
        <w:t xml:space="preserve">The objective of this report is to provide the financial analysis of Tesla, </w:t>
      </w:r>
      <w:r w:rsidR="007D3699">
        <w:t>which is a leading and well-known US-based organization manufacturing electric cars and promoting solutions for clean energy. Tesla came into being in 2003 and is involved in the process of designing, manufacturing, and selling EVs. Further, it also provides products like solar energy and a storage system for batteries. The market position of Tesla is strong and has a high market share.</w:t>
      </w:r>
      <w:r w:rsidR="0010453A">
        <w:t xml:space="preserve"> The report will provide an analysis of the financial health using ratio analysis for five years, an analysis of working capital management, which will also follow the recommendations for strategies for improvement in liquidity position.</w:t>
      </w:r>
      <w:r w:rsidR="00E15BFC">
        <w:t xml:space="preserve"> The discussion will also be done about the plan for financial restructuring, whereas, as per the provided scenario, capital budgeting and investment appraisal for Tesla will be </w:t>
      </w:r>
      <w:r w:rsidR="0097662F">
        <w:t>evaluated.</w:t>
      </w:r>
    </w:p>
    <w:p w14:paraId="7D9764DA" w14:textId="77777777" w:rsidR="00877B64" w:rsidRPr="005E37B9" w:rsidRDefault="00732348" w:rsidP="00732348">
      <w:pPr>
        <w:pStyle w:val="Heading2"/>
        <w:numPr>
          <w:ilvl w:val="0"/>
          <w:numId w:val="3"/>
        </w:numPr>
        <w:spacing w:line="360" w:lineRule="auto"/>
        <w:rPr>
          <w:rFonts w:ascii="Times" w:hAnsi="Times" w:cs="Arial"/>
        </w:rPr>
      </w:pPr>
      <w:bookmarkStart w:id="2" w:name="_Toc224784037"/>
      <w:r w:rsidRPr="005E37B9">
        <w:rPr>
          <w:rFonts w:ascii="Times" w:hAnsi="Times" w:cs="Arial"/>
        </w:rPr>
        <w:t>Financial health check</w:t>
      </w:r>
      <w:bookmarkEnd w:id="2"/>
      <w:r w:rsidRPr="005E37B9">
        <w:rPr>
          <w:rFonts w:ascii="Times" w:hAnsi="Times" w:cs="Arial"/>
        </w:rPr>
        <w:t xml:space="preserve"> </w:t>
      </w:r>
    </w:p>
    <w:p w14:paraId="3404ED91" w14:textId="77777777" w:rsidR="00F030D9" w:rsidRPr="00D53CC5" w:rsidRDefault="00732348" w:rsidP="00732348">
      <w:pPr>
        <w:pStyle w:val="Heading2"/>
        <w:numPr>
          <w:ilvl w:val="0"/>
          <w:numId w:val="4"/>
        </w:numPr>
        <w:spacing w:line="360" w:lineRule="auto"/>
        <w:rPr>
          <w:rFonts w:ascii="Times" w:hAnsi="Times" w:cs="Arial"/>
        </w:rPr>
      </w:pPr>
      <w:bookmarkStart w:id="3" w:name="_Toc224784038"/>
      <w:r w:rsidRPr="00D53CC5">
        <w:rPr>
          <w:rFonts w:ascii="Times" w:hAnsi="Times" w:cs="Arial"/>
        </w:rPr>
        <w:t xml:space="preserve">Analysis of the past </w:t>
      </w:r>
      <w:r w:rsidR="00E26F0F" w:rsidRPr="00D53CC5">
        <w:rPr>
          <w:rFonts w:ascii="Times" w:hAnsi="Times" w:cs="Arial"/>
        </w:rPr>
        <w:t>five-year</w:t>
      </w:r>
      <w:r w:rsidRPr="00D53CC5">
        <w:rPr>
          <w:rFonts w:ascii="Times" w:hAnsi="Times" w:cs="Arial"/>
        </w:rPr>
        <w:t xml:space="preserve"> financial statement</w:t>
      </w:r>
      <w:bookmarkEnd w:id="3"/>
      <w:r w:rsidRPr="00D53CC5">
        <w:rPr>
          <w:rFonts w:ascii="Times" w:hAnsi="Times" w:cs="Arial"/>
        </w:rPr>
        <w:t xml:space="preserve">s </w:t>
      </w:r>
    </w:p>
    <w:tbl>
      <w:tblPr>
        <w:tblW w:w="7420" w:type="dxa"/>
        <w:jc w:val="center"/>
        <w:tblLook w:val="04A0" w:firstRow="1" w:lastRow="0" w:firstColumn="1" w:lastColumn="0" w:noHBand="0" w:noVBand="1"/>
      </w:tblPr>
      <w:tblGrid>
        <w:gridCol w:w="1540"/>
        <w:gridCol w:w="1120"/>
        <w:gridCol w:w="1280"/>
        <w:gridCol w:w="1120"/>
        <w:gridCol w:w="1120"/>
        <w:gridCol w:w="1240"/>
      </w:tblGrid>
      <w:tr w:rsidR="00D30489" w14:paraId="64AB973A" w14:textId="77777777" w:rsidTr="00D73F97">
        <w:trPr>
          <w:trHeight w:val="300"/>
          <w:jc w:val="center"/>
        </w:trPr>
        <w:tc>
          <w:tcPr>
            <w:tcW w:w="1540" w:type="dxa"/>
            <w:tcBorders>
              <w:top w:val="single" w:sz="4" w:space="0" w:color="auto"/>
              <w:left w:val="single" w:sz="4" w:space="0" w:color="auto"/>
              <w:bottom w:val="single" w:sz="4" w:space="0" w:color="auto"/>
              <w:right w:val="single" w:sz="4" w:space="0" w:color="auto"/>
            </w:tcBorders>
            <w:noWrap/>
            <w:vAlign w:val="bottom"/>
            <w:hideMark/>
          </w:tcPr>
          <w:p w14:paraId="3C1A9C95"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Year</w:t>
            </w:r>
          </w:p>
        </w:tc>
        <w:tc>
          <w:tcPr>
            <w:tcW w:w="1120" w:type="dxa"/>
            <w:tcBorders>
              <w:top w:val="single" w:sz="4" w:space="0" w:color="auto"/>
              <w:left w:val="nil"/>
              <w:bottom w:val="single" w:sz="4" w:space="0" w:color="auto"/>
              <w:right w:val="single" w:sz="4" w:space="0" w:color="auto"/>
            </w:tcBorders>
            <w:noWrap/>
            <w:vAlign w:val="bottom"/>
            <w:hideMark/>
          </w:tcPr>
          <w:p w14:paraId="63F5CFDA"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2025</w:t>
            </w:r>
          </w:p>
        </w:tc>
        <w:tc>
          <w:tcPr>
            <w:tcW w:w="1280" w:type="dxa"/>
            <w:tcBorders>
              <w:top w:val="single" w:sz="4" w:space="0" w:color="auto"/>
              <w:left w:val="nil"/>
              <w:bottom w:val="single" w:sz="4" w:space="0" w:color="auto"/>
              <w:right w:val="single" w:sz="4" w:space="0" w:color="auto"/>
            </w:tcBorders>
            <w:noWrap/>
            <w:vAlign w:val="bottom"/>
            <w:hideMark/>
          </w:tcPr>
          <w:p w14:paraId="6833C239"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2024</w:t>
            </w:r>
          </w:p>
        </w:tc>
        <w:tc>
          <w:tcPr>
            <w:tcW w:w="1120" w:type="dxa"/>
            <w:tcBorders>
              <w:top w:val="single" w:sz="4" w:space="0" w:color="auto"/>
              <w:left w:val="nil"/>
              <w:bottom w:val="single" w:sz="4" w:space="0" w:color="auto"/>
              <w:right w:val="single" w:sz="4" w:space="0" w:color="auto"/>
            </w:tcBorders>
            <w:noWrap/>
            <w:vAlign w:val="bottom"/>
            <w:hideMark/>
          </w:tcPr>
          <w:p w14:paraId="24AEF15B"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2023</w:t>
            </w:r>
          </w:p>
        </w:tc>
        <w:tc>
          <w:tcPr>
            <w:tcW w:w="1120" w:type="dxa"/>
            <w:tcBorders>
              <w:top w:val="single" w:sz="4" w:space="0" w:color="auto"/>
              <w:left w:val="nil"/>
              <w:bottom w:val="single" w:sz="4" w:space="0" w:color="auto"/>
              <w:right w:val="single" w:sz="4" w:space="0" w:color="auto"/>
            </w:tcBorders>
            <w:noWrap/>
            <w:vAlign w:val="bottom"/>
            <w:hideMark/>
          </w:tcPr>
          <w:p w14:paraId="666DF212"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2022</w:t>
            </w:r>
          </w:p>
        </w:tc>
        <w:tc>
          <w:tcPr>
            <w:tcW w:w="1240" w:type="dxa"/>
            <w:tcBorders>
              <w:top w:val="single" w:sz="4" w:space="0" w:color="auto"/>
              <w:left w:val="nil"/>
              <w:bottom w:val="single" w:sz="4" w:space="0" w:color="auto"/>
              <w:right w:val="single" w:sz="4" w:space="0" w:color="auto"/>
            </w:tcBorders>
            <w:noWrap/>
            <w:vAlign w:val="bottom"/>
            <w:hideMark/>
          </w:tcPr>
          <w:p w14:paraId="22EC775B"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2021</w:t>
            </w:r>
          </w:p>
        </w:tc>
      </w:tr>
      <w:tr w:rsidR="00D30489" w14:paraId="0C13BACE"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25D57C9D"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Revenue</w:t>
            </w:r>
          </w:p>
        </w:tc>
        <w:tc>
          <w:tcPr>
            <w:tcW w:w="1120" w:type="dxa"/>
            <w:tcBorders>
              <w:top w:val="nil"/>
              <w:left w:val="nil"/>
              <w:bottom w:val="single" w:sz="4" w:space="0" w:color="auto"/>
              <w:right w:val="single" w:sz="4" w:space="0" w:color="auto"/>
            </w:tcBorders>
            <w:noWrap/>
            <w:vAlign w:val="bottom"/>
            <w:hideMark/>
          </w:tcPr>
          <w:p w14:paraId="0A1A6622"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94,827 </w:t>
            </w:r>
          </w:p>
        </w:tc>
        <w:tc>
          <w:tcPr>
            <w:tcW w:w="1280" w:type="dxa"/>
            <w:tcBorders>
              <w:top w:val="nil"/>
              <w:left w:val="nil"/>
              <w:bottom w:val="single" w:sz="4" w:space="0" w:color="auto"/>
              <w:right w:val="single" w:sz="4" w:space="0" w:color="auto"/>
            </w:tcBorders>
            <w:noWrap/>
            <w:vAlign w:val="bottom"/>
            <w:hideMark/>
          </w:tcPr>
          <w:p w14:paraId="31CCEAB0"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97,690 </w:t>
            </w:r>
          </w:p>
        </w:tc>
        <w:tc>
          <w:tcPr>
            <w:tcW w:w="1120" w:type="dxa"/>
            <w:tcBorders>
              <w:top w:val="nil"/>
              <w:left w:val="nil"/>
              <w:bottom w:val="single" w:sz="4" w:space="0" w:color="auto"/>
              <w:right w:val="single" w:sz="4" w:space="0" w:color="auto"/>
            </w:tcBorders>
            <w:noWrap/>
            <w:vAlign w:val="bottom"/>
            <w:hideMark/>
          </w:tcPr>
          <w:p w14:paraId="1D542E97"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96,773 </w:t>
            </w:r>
          </w:p>
        </w:tc>
        <w:tc>
          <w:tcPr>
            <w:tcW w:w="1120" w:type="dxa"/>
            <w:tcBorders>
              <w:top w:val="nil"/>
              <w:left w:val="nil"/>
              <w:bottom w:val="single" w:sz="4" w:space="0" w:color="auto"/>
              <w:right w:val="single" w:sz="4" w:space="0" w:color="auto"/>
            </w:tcBorders>
            <w:noWrap/>
            <w:vAlign w:val="bottom"/>
            <w:hideMark/>
          </w:tcPr>
          <w:p w14:paraId="418C29BA"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81,462 </w:t>
            </w:r>
          </w:p>
        </w:tc>
        <w:tc>
          <w:tcPr>
            <w:tcW w:w="1240" w:type="dxa"/>
            <w:tcBorders>
              <w:top w:val="nil"/>
              <w:left w:val="nil"/>
              <w:bottom w:val="single" w:sz="4" w:space="0" w:color="auto"/>
              <w:right w:val="single" w:sz="4" w:space="0" w:color="auto"/>
            </w:tcBorders>
            <w:noWrap/>
            <w:vAlign w:val="bottom"/>
            <w:hideMark/>
          </w:tcPr>
          <w:p w14:paraId="39299A5D"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53,823 </w:t>
            </w:r>
          </w:p>
        </w:tc>
      </w:tr>
      <w:tr w:rsidR="00D30489" w14:paraId="0E97060D"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6BF21C38"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Change (%)</w:t>
            </w:r>
          </w:p>
        </w:tc>
        <w:tc>
          <w:tcPr>
            <w:tcW w:w="1120" w:type="dxa"/>
            <w:tcBorders>
              <w:top w:val="nil"/>
              <w:left w:val="nil"/>
              <w:bottom w:val="single" w:sz="4" w:space="0" w:color="auto"/>
              <w:right w:val="single" w:sz="4" w:space="0" w:color="auto"/>
            </w:tcBorders>
            <w:noWrap/>
            <w:vAlign w:val="bottom"/>
            <w:hideMark/>
          </w:tcPr>
          <w:p w14:paraId="423170B4" w14:textId="77777777" w:rsidR="00D73F97" w:rsidRPr="00D73F97" w:rsidRDefault="00732348" w:rsidP="00D73F97">
            <w:pPr>
              <w:spacing w:after="0" w:line="240" w:lineRule="auto"/>
              <w:jc w:val="center"/>
              <w:rPr>
                <w:rFonts w:ascii="Times" w:eastAsia="Times New Roman" w:hAnsi="Times" w:cs="Times"/>
                <w:color w:val="FF0000"/>
                <w:szCs w:val="24"/>
                <w:lang w:val="" w:eastAsia=""/>
              </w:rPr>
            </w:pPr>
            <w:r w:rsidRPr="00D73F97">
              <w:rPr>
                <w:rFonts w:ascii="Times" w:eastAsia="Times New Roman" w:hAnsi="Times" w:cs="Times"/>
                <w:color w:val="FF0000"/>
                <w:szCs w:val="24"/>
                <w:lang w:val="" w:eastAsia=""/>
              </w:rPr>
              <w:t>-2.9%</w:t>
            </w:r>
          </w:p>
        </w:tc>
        <w:tc>
          <w:tcPr>
            <w:tcW w:w="1280" w:type="dxa"/>
            <w:tcBorders>
              <w:top w:val="nil"/>
              <w:left w:val="nil"/>
              <w:bottom w:val="single" w:sz="4" w:space="0" w:color="auto"/>
              <w:right w:val="single" w:sz="4" w:space="0" w:color="auto"/>
            </w:tcBorders>
            <w:noWrap/>
            <w:vAlign w:val="bottom"/>
            <w:hideMark/>
          </w:tcPr>
          <w:p w14:paraId="7DBD73A4"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0.9%</w:t>
            </w:r>
          </w:p>
        </w:tc>
        <w:tc>
          <w:tcPr>
            <w:tcW w:w="1120" w:type="dxa"/>
            <w:tcBorders>
              <w:top w:val="nil"/>
              <w:left w:val="nil"/>
              <w:bottom w:val="single" w:sz="4" w:space="0" w:color="auto"/>
              <w:right w:val="single" w:sz="4" w:space="0" w:color="auto"/>
            </w:tcBorders>
            <w:noWrap/>
            <w:vAlign w:val="bottom"/>
            <w:hideMark/>
          </w:tcPr>
          <w:p w14:paraId="680A5B01"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18.8%</w:t>
            </w:r>
          </w:p>
        </w:tc>
        <w:tc>
          <w:tcPr>
            <w:tcW w:w="1120" w:type="dxa"/>
            <w:tcBorders>
              <w:top w:val="nil"/>
              <w:left w:val="nil"/>
              <w:bottom w:val="single" w:sz="4" w:space="0" w:color="auto"/>
              <w:right w:val="single" w:sz="4" w:space="0" w:color="auto"/>
            </w:tcBorders>
            <w:noWrap/>
            <w:vAlign w:val="bottom"/>
            <w:hideMark/>
          </w:tcPr>
          <w:p w14:paraId="70521C16"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51.4%</w:t>
            </w:r>
          </w:p>
        </w:tc>
        <w:tc>
          <w:tcPr>
            <w:tcW w:w="1240" w:type="dxa"/>
            <w:tcBorders>
              <w:top w:val="nil"/>
              <w:left w:val="nil"/>
              <w:bottom w:val="single" w:sz="4" w:space="0" w:color="auto"/>
              <w:right w:val="single" w:sz="4" w:space="0" w:color="auto"/>
            </w:tcBorders>
            <w:noWrap/>
            <w:vAlign w:val="bottom"/>
            <w:hideMark/>
          </w:tcPr>
          <w:p w14:paraId="190C7952"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105.6%</w:t>
            </w:r>
          </w:p>
        </w:tc>
      </w:tr>
    </w:tbl>
    <w:p w14:paraId="52CFCA3B" w14:textId="77777777" w:rsidR="00D73F97" w:rsidRDefault="00D73F97" w:rsidP="00D73F97">
      <w:pPr>
        <w:spacing w:line="360" w:lineRule="auto"/>
        <w:rPr>
          <w:rFonts w:ascii="Times" w:hAnsi="Times" w:cs="Arial"/>
          <w:b/>
          <w:bCs/>
        </w:rPr>
      </w:pPr>
    </w:p>
    <w:p w14:paraId="088E2B67" w14:textId="3559468A" w:rsidR="00D73F97" w:rsidRDefault="00732348" w:rsidP="00D73F97">
      <w:pPr>
        <w:spacing w:line="360" w:lineRule="auto"/>
        <w:rPr>
          <w:rFonts w:ascii="Times" w:hAnsi="Times" w:cs="Arial"/>
        </w:rPr>
      </w:pPr>
      <w:r w:rsidRPr="00AB6665">
        <w:rPr>
          <w:rFonts w:ascii="Times" w:hAnsi="Times" w:cs="Arial"/>
        </w:rPr>
        <w:t>There has been strong growth in the revenue seen from 2021 to 2023, which shows that Tesla is working towards expansion and meeting high market demand</w:t>
      </w:r>
      <w:r w:rsidR="001D78D4">
        <w:rPr>
          <w:rFonts w:ascii="Times" w:hAnsi="Times" w:cs="Arial"/>
        </w:rPr>
        <w:t xml:space="preserve"> </w:t>
      </w:r>
      <w:r w:rsidR="001D78D4" w:rsidRPr="00280E65">
        <w:rPr>
          <w:rFonts w:ascii="Times" w:hAnsi="Times" w:cs="Times"/>
          <w:szCs w:val="24"/>
        </w:rPr>
        <w:t>(Li, 2025).</w:t>
      </w:r>
      <w:r w:rsidR="00AB6665">
        <w:rPr>
          <w:rFonts w:ascii="Times" w:hAnsi="Times" w:cs="Arial"/>
        </w:rPr>
        <w:t xml:space="preserve"> The growth percentage reduced in 2024 and further dropped in 2025, which could be because of the pressure from competitors.</w:t>
      </w:r>
      <w:r w:rsidR="00E14C80">
        <w:rPr>
          <w:rFonts w:ascii="Times" w:hAnsi="Times" w:cs="Arial"/>
        </w:rPr>
        <w:t xml:space="preserve"> 2024 and 2025 raise questions about the sustainability of growth in previous years, or this could be due to the mature phase of Tesla</w:t>
      </w:r>
      <w:r w:rsidR="009E0D3B">
        <w:rPr>
          <w:rFonts w:ascii="Times" w:hAnsi="Times" w:cs="Arial"/>
        </w:rPr>
        <w:t>.</w:t>
      </w:r>
    </w:p>
    <w:p w14:paraId="5123CC75" w14:textId="77777777" w:rsidR="009D6F16" w:rsidRPr="00AB6665" w:rsidRDefault="00732348" w:rsidP="009D6F16">
      <w:pPr>
        <w:spacing w:line="360" w:lineRule="auto"/>
        <w:jc w:val="center"/>
        <w:rPr>
          <w:rFonts w:ascii="Times" w:hAnsi="Times" w:cs="Arial"/>
        </w:rPr>
      </w:pPr>
      <w:r>
        <w:rPr>
          <w:noProof/>
        </w:rPr>
        <w:drawing>
          <wp:inline distT="0" distB="0" distL="0" distR="0" wp14:anchorId="00DBCE6B" wp14:editId="0B8A938D">
            <wp:extent cx="3810000" cy="2400300"/>
            <wp:effectExtent l="0" t="0" r="0" b="0"/>
            <wp:docPr id="1941623877" name="Chart 1">
              <a:extLst xmlns:a="http://schemas.openxmlformats.org/drawingml/2006/main">
                <a:ext uri="{FF2B5EF4-FFF2-40B4-BE49-F238E27FC236}">
                  <a16:creationId xmlns:a16="http://schemas.microsoft.com/office/drawing/2014/main" id="{1EE38772-32B8-A4A5-05B3-64F3516FAE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W w:w="7420" w:type="dxa"/>
        <w:jc w:val="center"/>
        <w:tblLook w:val="04A0" w:firstRow="1" w:lastRow="0" w:firstColumn="1" w:lastColumn="0" w:noHBand="0" w:noVBand="1"/>
      </w:tblPr>
      <w:tblGrid>
        <w:gridCol w:w="1540"/>
        <w:gridCol w:w="1120"/>
        <w:gridCol w:w="1280"/>
        <w:gridCol w:w="1120"/>
        <w:gridCol w:w="1120"/>
        <w:gridCol w:w="1240"/>
      </w:tblGrid>
      <w:tr w:rsidR="00D30489" w14:paraId="01D6FE5A" w14:textId="77777777" w:rsidTr="00D73F97">
        <w:trPr>
          <w:trHeight w:val="300"/>
          <w:jc w:val="center"/>
        </w:trPr>
        <w:tc>
          <w:tcPr>
            <w:tcW w:w="1540" w:type="dxa"/>
            <w:tcBorders>
              <w:top w:val="single" w:sz="4" w:space="0" w:color="auto"/>
              <w:left w:val="single" w:sz="4" w:space="0" w:color="auto"/>
              <w:bottom w:val="single" w:sz="4" w:space="0" w:color="auto"/>
              <w:right w:val="single" w:sz="4" w:space="0" w:color="auto"/>
            </w:tcBorders>
            <w:noWrap/>
            <w:vAlign w:val="bottom"/>
            <w:hideMark/>
          </w:tcPr>
          <w:p w14:paraId="65678DA0"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lastRenderedPageBreak/>
              <w:t>Year</w:t>
            </w:r>
          </w:p>
        </w:tc>
        <w:tc>
          <w:tcPr>
            <w:tcW w:w="1120" w:type="dxa"/>
            <w:tcBorders>
              <w:top w:val="single" w:sz="4" w:space="0" w:color="auto"/>
              <w:left w:val="nil"/>
              <w:bottom w:val="single" w:sz="4" w:space="0" w:color="auto"/>
              <w:right w:val="single" w:sz="4" w:space="0" w:color="auto"/>
            </w:tcBorders>
            <w:noWrap/>
            <w:vAlign w:val="bottom"/>
            <w:hideMark/>
          </w:tcPr>
          <w:p w14:paraId="50B12D42"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2025</w:t>
            </w:r>
          </w:p>
        </w:tc>
        <w:tc>
          <w:tcPr>
            <w:tcW w:w="1280" w:type="dxa"/>
            <w:tcBorders>
              <w:top w:val="single" w:sz="4" w:space="0" w:color="auto"/>
              <w:left w:val="nil"/>
              <w:bottom w:val="single" w:sz="4" w:space="0" w:color="auto"/>
              <w:right w:val="single" w:sz="4" w:space="0" w:color="auto"/>
            </w:tcBorders>
            <w:noWrap/>
            <w:vAlign w:val="bottom"/>
            <w:hideMark/>
          </w:tcPr>
          <w:p w14:paraId="382219AA"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2024</w:t>
            </w:r>
          </w:p>
        </w:tc>
        <w:tc>
          <w:tcPr>
            <w:tcW w:w="1120" w:type="dxa"/>
            <w:tcBorders>
              <w:top w:val="single" w:sz="4" w:space="0" w:color="auto"/>
              <w:left w:val="nil"/>
              <w:bottom w:val="single" w:sz="4" w:space="0" w:color="auto"/>
              <w:right w:val="single" w:sz="4" w:space="0" w:color="auto"/>
            </w:tcBorders>
            <w:noWrap/>
            <w:vAlign w:val="bottom"/>
            <w:hideMark/>
          </w:tcPr>
          <w:p w14:paraId="0F3F5CB0"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2023</w:t>
            </w:r>
          </w:p>
        </w:tc>
        <w:tc>
          <w:tcPr>
            <w:tcW w:w="1120" w:type="dxa"/>
            <w:tcBorders>
              <w:top w:val="single" w:sz="4" w:space="0" w:color="auto"/>
              <w:left w:val="nil"/>
              <w:bottom w:val="single" w:sz="4" w:space="0" w:color="auto"/>
              <w:right w:val="single" w:sz="4" w:space="0" w:color="auto"/>
            </w:tcBorders>
            <w:noWrap/>
            <w:vAlign w:val="bottom"/>
            <w:hideMark/>
          </w:tcPr>
          <w:p w14:paraId="0CD37BD2"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2022</w:t>
            </w:r>
          </w:p>
        </w:tc>
        <w:tc>
          <w:tcPr>
            <w:tcW w:w="1240" w:type="dxa"/>
            <w:tcBorders>
              <w:top w:val="single" w:sz="4" w:space="0" w:color="auto"/>
              <w:left w:val="nil"/>
              <w:bottom w:val="single" w:sz="4" w:space="0" w:color="auto"/>
              <w:right w:val="single" w:sz="4" w:space="0" w:color="auto"/>
            </w:tcBorders>
            <w:noWrap/>
            <w:vAlign w:val="bottom"/>
            <w:hideMark/>
          </w:tcPr>
          <w:p w14:paraId="2841DD64"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2021</w:t>
            </w:r>
          </w:p>
        </w:tc>
      </w:tr>
      <w:tr w:rsidR="00D30489" w14:paraId="61C46AE5"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2FE87EF0"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Cost of Sales</w:t>
            </w:r>
          </w:p>
        </w:tc>
        <w:tc>
          <w:tcPr>
            <w:tcW w:w="1120" w:type="dxa"/>
            <w:tcBorders>
              <w:top w:val="nil"/>
              <w:left w:val="nil"/>
              <w:bottom w:val="single" w:sz="4" w:space="0" w:color="auto"/>
              <w:right w:val="single" w:sz="4" w:space="0" w:color="auto"/>
            </w:tcBorders>
            <w:noWrap/>
            <w:vAlign w:val="bottom"/>
            <w:hideMark/>
          </w:tcPr>
          <w:p w14:paraId="055A9888"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77,733 </w:t>
            </w:r>
          </w:p>
        </w:tc>
        <w:tc>
          <w:tcPr>
            <w:tcW w:w="1280" w:type="dxa"/>
            <w:tcBorders>
              <w:top w:val="nil"/>
              <w:left w:val="nil"/>
              <w:bottom w:val="single" w:sz="4" w:space="0" w:color="auto"/>
              <w:right w:val="single" w:sz="4" w:space="0" w:color="auto"/>
            </w:tcBorders>
            <w:noWrap/>
            <w:vAlign w:val="bottom"/>
            <w:hideMark/>
          </w:tcPr>
          <w:p w14:paraId="7F9A4DA1"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80,240 </w:t>
            </w:r>
          </w:p>
        </w:tc>
        <w:tc>
          <w:tcPr>
            <w:tcW w:w="1120" w:type="dxa"/>
            <w:tcBorders>
              <w:top w:val="nil"/>
              <w:left w:val="nil"/>
              <w:bottom w:val="single" w:sz="4" w:space="0" w:color="auto"/>
              <w:right w:val="single" w:sz="4" w:space="0" w:color="auto"/>
            </w:tcBorders>
            <w:noWrap/>
            <w:vAlign w:val="bottom"/>
            <w:hideMark/>
          </w:tcPr>
          <w:p w14:paraId="5DA10A7B"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79,113 </w:t>
            </w:r>
          </w:p>
        </w:tc>
        <w:tc>
          <w:tcPr>
            <w:tcW w:w="1120" w:type="dxa"/>
            <w:tcBorders>
              <w:top w:val="nil"/>
              <w:left w:val="nil"/>
              <w:bottom w:val="single" w:sz="4" w:space="0" w:color="auto"/>
              <w:right w:val="single" w:sz="4" w:space="0" w:color="auto"/>
            </w:tcBorders>
            <w:noWrap/>
            <w:vAlign w:val="bottom"/>
            <w:hideMark/>
          </w:tcPr>
          <w:p w14:paraId="061BE73B"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60,609 </w:t>
            </w:r>
          </w:p>
        </w:tc>
        <w:tc>
          <w:tcPr>
            <w:tcW w:w="1240" w:type="dxa"/>
            <w:tcBorders>
              <w:top w:val="nil"/>
              <w:left w:val="nil"/>
              <w:bottom w:val="single" w:sz="4" w:space="0" w:color="auto"/>
              <w:right w:val="single" w:sz="4" w:space="0" w:color="auto"/>
            </w:tcBorders>
            <w:noWrap/>
            <w:vAlign w:val="bottom"/>
            <w:hideMark/>
          </w:tcPr>
          <w:p w14:paraId="77826E0A"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40,217 </w:t>
            </w:r>
          </w:p>
        </w:tc>
      </w:tr>
      <w:tr w:rsidR="00D30489" w14:paraId="391EB6FF"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4745B75F"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Change (%)</w:t>
            </w:r>
          </w:p>
        </w:tc>
        <w:tc>
          <w:tcPr>
            <w:tcW w:w="1120" w:type="dxa"/>
            <w:tcBorders>
              <w:top w:val="nil"/>
              <w:left w:val="nil"/>
              <w:bottom w:val="single" w:sz="4" w:space="0" w:color="auto"/>
              <w:right w:val="single" w:sz="4" w:space="0" w:color="auto"/>
            </w:tcBorders>
            <w:noWrap/>
            <w:vAlign w:val="bottom"/>
            <w:hideMark/>
          </w:tcPr>
          <w:p w14:paraId="58988BBB" w14:textId="77777777" w:rsidR="00D73F97" w:rsidRPr="00D73F97" w:rsidRDefault="00732348" w:rsidP="00D73F97">
            <w:pPr>
              <w:spacing w:after="0" w:line="240" w:lineRule="auto"/>
              <w:jc w:val="center"/>
              <w:rPr>
                <w:rFonts w:ascii="Times" w:eastAsia="Times New Roman" w:hAnsi="Times" w:cs="Times"/>
                <w:color w:val="FF0000"/>
                <w:szCs w:val="24"/>
                <w:lang w:val="" w:eastAsia=""/>
              </w:rPr>
            </w:pPr>
            <w:r w:rsidRPr="00D73F97">
              <w:rPr>
                <w:rFonts w:ascii="Times" w:eastAsia="Times New Roman" w:hAnsi="Times" w:cs="Times"/>
                <w:color w:val="FF0000"/>
                <w:szCs w:val="24"/>
                <w:lang w:val="" w:eastAsia=""/>
              </w:rPr>
              <w:t>-3.1%</w:t>
            </w:r>
          </w:p>
        </w:tc>
        <w:tc>
          <w:tcPr>
            <w:tcW w:w="1280" w:type="dxa"/>
            <w:tcBorders>
              <w:top w:val="nil"/>
              <w:left w:val="nil"/>
              <w:bottom w:val="single" w:sz="4" w:space="0" w:color="auto"/>
              <w:right w:val="single" w:sz="4" w:space="0" w:color="auto"/>
            </w:tcBorders>
            <w:noWrap/>
            <w:vAlign w:val="bottom"/>
            <w:hideMark/>
          </w:tcPr>
          <w:p w14:paraId="6F356510"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1.4%</w:t>
            </w:r>
          </w:p>
        </w:tc>
        <w:tc>
          <w:tcPr>
            <w:tcW w:w="1120" w:type="dxa"/>
            <w:tcBorders>
              <w:top w:val="nil"/>
              <w:left w:val="nil"/>
              <w:bottom w:val="single" w:sz="4" w:space="0" w:color="auto"/>
              <w:right w:val="single" w:sz="4" w:space="0" w:color="auto"/>
            </w:tcBorders>
            <w:noWrap/>
            <w:vAlign w:val="bottom"/>
            <w:hideMark/>
          </w:tcPr>
          <w:p w14:paraId="6E7318BC"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30.5%</w:t>
            </w:r>
          </w:p>
        </w:tc>
        <w:tc>
          <w:tcPr>
            <w:tcW w:w="1120" w:type="dxa"/>
            <w:tcBorders>
              <w:top w:val="nil"/>
              <w:left w:val="nil"/>
              <w:bottom w:val="single" w:sz="4" w:space="0" w:color="auto"/>
              <w:right w:val="single" w:sz="4" w:space="0" w:color="auto"/>
            </w:tcBorders>
            <w:noWrap/>
            <w:vAlign w:val="bottom"/>
            <w:hideMark/>
          </w:tcPr>
          <w:p w14:paraId="5088E34D"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50.7%</w:t>
            </w:r>
          </w:p>
        </w:tc>
        <w:tc>
          <w:tcPr>
            <w:tcW w:w="1240" w:type="dxa"/>
            <w:tcBorders>
              <w:top w:val="nil"/>
              <w:left w:val="nil"/>
              <w:bottom w:val="single" w:sz="4" w:space="0" w:color="auto"/>
              <w:right w:val="single" w:sz="4" w:space="0" w:color="auto"/>
            </w:tcBorders>
            <w:noWrap/>
            <w:vAlign w:val="bottom"/>
            <w:hideMark/>
          </w:tcPr>
          <w:p w14:paraId="2E84D651"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61.5%</w:t>
            </w:r>
          </w:p>
        </w:tc>
      </w:tr>
    </w:tbl>
    <w:p w14:paraId="6A5F18BF" w14:textId="77777777" w:rsidR="00D73F97" w:rsidRDefault="00D73F97" w:rsidP="00D73F97">
      <w:pPr>
        <w:spacing w:line="360" w:lineRule="auto"/>
        <w:rPr>
          <w:rFonts w:ascii="Times" w:hAnsi="Times" w:cs="Arial"/>
          <w:b/>
          <w:bCs/>
        </w:rPr>
      </w:pPr>
    </w:p>
    <w:p w14:paraId="5D45357F" w14:textId="3BB7083B" w:rsidR="009D6F16" w:rsidRDefault="00732348" w:rsidP="00D73F97">
      <w:pPr>
        <w:spacing w:line="360" w:lineRule="auto"/>
        <w:rPr>
          <w:rFonts w:ascii="Times" w:hAnsi="Times" w:cs="Arial"/>
        </w:rPr>
      </w:pPr>
      <w:r w:rsidRPr="008F72D0">
        <w:rPr>
          <w:rFonts w:ascii="Times" w:hAnsi="Times" w:cs="Arial"/>
        </w:rPr>
        <w:t>There has been a sharp increase in the cost of sales in the years 2021, 2022, and 2023, which is due to the increase in revenue</w:t>
      </w:r>
      <w:r w:rsidR="001D78D4">
        <w:rPr>
          <w:rFonts w:ascii="Times" w:hAnsi="Times" w:cs="Arial"/>
        </w:rPr>
        <w:t xml:space="preserve"> </w:t>
      </w:r>
      <w:r w:rsidR="001D78D4" w:rsidRPr="00280E65">
        <w:rPr>
          <w:rFonts w:ascii="Times" w:hAnsi="Times" w:cs="Times"/>
          <w:szCs w:val="24"/>
        </w:rPr>
        <w:t>(Wang, 2023).</w:t>
      </w:r>
      <w:r w:rsidR="008F72D0">
        <w:rPr>
          <w:rFonts w:ascii="Times" w:hAnsi="Times" w:cs="Arial"/>
        </w:rPr>
        <w:t xml:space="preserve"> Although there was slow growth in 2024 and a decline in sales in 2025, the cost </w:t>
      </w:r>
      <w:r w:rsidR="00164D67">
        <w:rPr>
          <w:rFonts w:ascii="Times" w:hAnsi="Times" w:cs="Arial"/>
        </w:rPr>
        <w:t>gr</w:t>
      </w:r>
      <w:r w:rsidR="008F72D0">
        <w:rPr>
          <w:rFonts w:ascii="Times" w:hAnsi="Times" w:cs="Arial"/>
        </w:rPr>
        <w:t>ew at a high pace in 2024, which means that there are inefficiencies in the management of cost.</w:t>
      </w:r>
    </w:p>
    <w:p w14:paraId="4322285F" w14:textId="77777777" w:rsidR="00102F32" w:rsidRPr="008F72D0" w:rsidRDefault="00732348" w:rsidP="00102F32">
      <w:pPr>
        <w:spacing w:line="360" w:lineRule="auto"/>
        <w:jc w:val="center"/>
        <w:rPr>
          <w:rFonts w:ascii="Times" w:hAnsi="Times" w:cs="Arial"/>
        </w:rPr>
      </w:pPr>
      <w:r>
        <w:rPr>
          <w:noProof/>
        </w:rPr>
        <w:drawing>
          <wp:inline distT="0" distB="0" distL="0" distR="0" wp14:anchorId="5E4B2FEF" wp14:editId="057AD382">
            <wp:extent cx="3810000" cy="2219325"/>
            <wp:effectExtent l="0" t="0" r="0" b="9525"/>
            <wp:docPr id="1866546403" name="Chart 1">
              <a:extLst xmlns:a="http://schemas.openxmlformats.org/drawingml/2006/main">
                <a:ext uri="{FF2B5EF4-FFF2-40B4-BE49-F238E27FC236}">
                  <a16:creationId xmlns:a16="http://schemas.microsoft.com/office/drawing/2014/main" id="{3C19F9FA-E05A-6C3B-F135-50E1EAD455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W w:w="7420" w:type="dxa"/>
        <w:jc w:val="center"/>
        <w:tblLook w:val="04A0" w:firstRow="1" w:lastRow="0" w:firstColumn="1" w:lastColumn="0" w:noHBand="0" w:noVBand="1"/>
      </w:tblPr>
      <w:tblGrid>
        <w:gridCol w:w="1540"/>
        <w:gridCol w:w="1120"/>
        <w:gridCol w:w="1280"/>
        <w:gridCol w:w="1120"/>
        <w:gridCol w:w="1120"/>
        <w:gridCol w:w="1240"/>
      </w:tblGrid>
      <w:tr w:rsidR="00D30489" w14:paraId="07F0D461" w14:textId="77777777" w:rsidTr="00D73F97">
        <w:trPr>
          <w:trHeight w:val="300"/>
          <w:jc w:val="center"/>
        </w:trPr>
        <w:tc>
          <w:tcPr>
            <w:tcW w:w="1540" w:type="dxa"/>
            <w:tcBorders>
              <w:top w:val="single" w:sz="4" w:space="0" w:color="auto"/>
              <w:left w:val="single" w:sz="4" w:space="0" w:color="auto"/>
              <w:bottom w:val="single" w:sz="4" w:space="0" w:color="auto"/>
              <w:right w:val="single" w:sz="4" w:space="0" w:color="auto"/>
            </w:tcBorders>
            <w:noWrap/>
            <w:vAlign w:val="bottom"/>
            <w:hideMark/>
          </w:tcPr>
          <w:p w14:paraId="1073992F"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Year</w:t>
            </w:r>
          </w:p>
        </w:tc>
        <w:tc>
          <w:tcPr>
            <w:tcW w:w="1120" w:type="dxa"/>
            <w:tcBorders>
              <w:top w:val="single" w:sz="4" w:space="0" w:color="auto"/>
              <w:left w:val="nil"/>
              <w:bottom w:val="single" w:sz="4" w:space="0" w:color="auto"/>
              <w:right w:val="single" w:sz="4" w:space="0" w:color="auto"/>
            </w:tcBorders>
            <w:noWrap/>
            <w:vAlign w:val="bottom"/>
            <w:hideMark/>
          </w:tcPr>
          <w:p w14:paraId="3DC85D4B"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2025</w:t>
            </w:r>
          </w:p>
        </w:tc>
        <w:tc>
          <w:tcPr>
            <w:tcW w:w="1280" w:type="dxa"/>
            <w:tcBorders>
              <w:top w:val="single" w:sz="4" w:space="0" w:color="auto"/>
              <w:left w:val="nil"/>
              <w:bottom w:val="single" w:sz="4" w:space="0" w:color="auto"/>
              <w:right w:val="single" w:sz="4" w:space="0" w:color="auto"/>
            </w:tcBorders>
            <w:noWrap/>
            <w:vAlign w:val="bottom"/>
            <w:hideMark/>
          </w:tcPr>
          <w:p w14:paraId="4AAFC915"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2024</w:t>
            </w:r>
          </w:p>
        </w:tc>
        <w:tc>
          <w:tcPr>
            <w:tcW w:w="1120" w:type="dxa"/>
            <w:tcBorders>
              <w:top w:val="single" w:sz="4" w:space="0" w:color="auto"/>
              <w:left w:val="nil"/>
              <w:bottom w:val="single" w:sz="4" w:space="0" w:color="auto"/>
              <w:right w:val="single" w:sz="4" w:space="0" w:color="auto"/>
            </w:tcBorders>
            <w:noWrap/>
            <w:vAlign w:val="bottom"/>
            <w:hideMark/>
          </w:tcPr>
          <w:p w14:paraId="54C2055E"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2023</w:t>
            </w:r>
          </w:p>
        </w:tc>
        <w:tc>
          <w:tcPr>
            <w:tcW w:w="1120" w:type="dxa"/>
            <w:tcBorders>
              <w:top w:val="single" w:sz="4" w:space="0" w:color="auto"/>
              <w:left w:val="nil"/>
              <w:bottom w:val="single" w:sz="4" w:space="0" w:color="auto"/>
              <w:right w:val="single" w:sz="4" w:space="0" w:color="auto"/>
            </w:tcBorders>
            <w:noWrap/>
            <w:vAlign w:val="bottom"/>
            <w:hideMark/>
          </w:tcPr>
          <w:p w14:paraId="3254BFB7"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2022</w:t>
            </w:r>
          </w:p>
        </w:tc>
        <w:tc>
          <w:tcPr>
            <w:tcW w:w="1240" w:type="dxa"/>
            <w:tcBorders>
              <w:top w:val="single" w:sz="4" w:space="0" w:color="auto"/>
              <w:left w:val="nil"/>
              <w:bottom w:val="single" w:sz="4" w:space="0" w:color="auto"/>
              <w:right w:val="single" w:sz="4" w:space="0" w:color="auto"/>
            </w:tcBorders>
            <w:noWrap/>
            <w:vAlign w:val="bottom"/>
            <w:hideMark/>
          </w:tcPr>
          <w:p w14:paraId="784B9DC7"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2021</w:t>
            </w:r>
          </w:p>
        </w:tc>
      </w:tr>
      <w:tr w:rsidR="00D30489" w14:paraId="101D3422"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3D105518"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Net Profit </w:t>
            </w:r>
          </w:p>
        </w:tc>
        <w:tc>
          <w:tcPr>
            <w:tcW w:w="1120" w:type="dxa"/>
            <w:tcBorders>
              <w:top w:val="nil"/>
              <w:left w:val="nil"/>
              <w:bottom w:val="single" w:sz="4" w:space="0" w:color="auto"/>
              <w:right w:val="single" w:sz="4" w:space="0" w:color="auto"/>
            </w:tcBorders>
            <w:noWrap/>
            <w:vAlign w:val="bottom"/>
            <w:hideMark/>
          </w:tcPr>
          <w:p w14:paraId="369D5AFA"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3,855 </w:t>
            </w:r>
          </w:p>
        </w:tc>
        <w:tc>
          <w:tcPr>
            <w:tcW w:w="1280" w:type="dxa"/>
            <w:tcBorders>
              <w:top w:val="nil"/>
              <w:left w:val="nil"/>
              <w:bottom w:val="single" w:sz="4" w:space="0" w:color="auto"/>
              <w:right w:val="single" w:sz="4" w:space="0" w:color="auto"/>
            </w:tcBorders>
            <w:noWrap/>
            <w:vAlign w:val="bottom"/>
            <w:hideMark/>
          </w:tcPr>
          <w:p w14:paraId="4DB7F9D1"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7,153 </w:t>
            </w:r>
          </w:p>
        </w:tc>
        <w:tc>
          <w:tcPr>
            <w:tcW w:w="1120" w:type="dxa"/>
            <w:tcBorders>
              <w:top w:val="nil"/>
              <w:left w:val="nil"/>
              <w:bottom w:val="single" w:sz="4" w:space="0" w:color="auto"/>
              <w:right w:val="single" w:sz="4" w:space="0" w:color="auto"/>
            </w:tcBorders>
            <w:noWrap/>
            <w:vAlign w:val="bottom"/>
            <w:hideMark/>
          </w:tcPr>
          <w:p w14:paraId="25F7AE54"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14,974 </w:t>
            </w:r>
          </w:p>
        </w:tc>
        <w:tc>
          <w:tcPr>
            <w:tcW w:w="1120" w:type="dxa"/>
            <w:tcBorders>
              <w:top w:val="nil"/>
              <w:left w:val="nil"/>
              <w:bottom w:val="single" w:sz="4" w:space="0" w:color="auto"/>
              <w:right w:val="single" w:sz="4" w:space="0" w:color="auto"/>
            </w:tcBorders>
            <w:noWrap/>
            <w:vAlign w:val="bottom"/>
            <w:hideMark/>
          </w:tcPr>
          <w:p w14:paraId="29E79978"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12,587 </w:t>
            </w:r>
          </w:p>
        </w:tc>
        <w:tc>
          <w:tcPr>
            <w:tcW w:w="1240" w:type="dxa"/>
            <w:tcBorders>
              <w:top w:val="nil"/>
              <w:left w:val="nil"/>
              <w:bottom w:val="single" w:sz="4" w:space="0" w:color="auto"/>
              <w:right w:val="single" w:sz="4" w:space="0" w:color="auto"/>
            </w:tcBorders>
            <w:noWrap/>
            <w:vAlign w:val="bottom"/>
            <w:hideMark/>
          </w:tcPr>
          <w:p w14:paraId="34F758FA"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5,644 </w:t>
            </w:r>
          </w:p>
        </w:tc>
      </w:tr>
      <w:tr w:rsidR="00D30489" w14:paraId="447C3557"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4B65B080"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Change (%)</w:t>
            </w:r>
          </w:p>
        </w:tc>
        <w:tc>
          <w:tcPr>
            <w:tcW w:w="1120" w:type="dxa"/>
            <w:tcBorders>
              <w:top w:val="nil"/>
              <w:left w:val="nil"/>
              <w:bottom w:val="single" w:sz="4" w:space="0" w:color="auto"/>
              <w:right w:val="single" w:sz="4" w:space="0" w:color="auto"/>
            </w:tcBorders>
            <w:noWrap/>
            <w:vAlign w:val="bottom"/>
            <w:hideMark/>
          </w:tcPr>
          <w:p w14:paraId="17310887" w14:textId="77777777" w:rsidR="00D73F97" w:rsidRPr="00D73F97" w:rsidRDefault="00732348" w:rsidP="00D73F97">
            <w:pPr>
              <w:spacing w:after="0" w:line="240" w:lineRule="auto"/>
              <w:jc w:val="center"/>
              <w:rPr>
                <w:rFonts w:ascii="Times" w:eastAsia="Times New Roman" w:hAnsi="Times" w:cs="Times"/>
                <w:color w:val="FF0000"/>
                <w:szCs w:val="24"/>
                <w:lang w:val="" w:eastAsia=""/>
              </w:rPr>
            </w:pPr>
            <w:r w:rsidRPr="00D73F97">
              <w:rPr>
                <w:rFonts w:ascii="Times" w:eastAsia="Times New Roman" w:hAnsi="Times" w:cs="Times"/>
                <w:color w:val="FF0000"/>
                <w:szCs w:val="24"/>
                <w:lang w:val="" w:eastAsia=""/>
              </w:rPr>
              <w:t>-46.1%</w:t>
            </w:r>
          </w:p>
        </w:tc>
        <w:tc>
          <w:tcPr>
            <w:tcW w:w="1280" w:type="dxa"/>
            <w:tcBorders>
              <w:top w:val="nil"/>
              <w:left w:val="nil"/>
              <w:bottom w:val="single" w:sz="4" w:space="0" w:color="auto"/>
              <w:right w:val="single" w:sz="4" w:space="0" w:color="auto"/>
            </w:tcBorders>
            <w:noWrap/>
            <w:vAlign w:val="bottom"/>
            <w:hideMark/>
          </w:tcPr>
          <w:p w14:paraId="4F20D758" w14:textId="77777777" w:rsidR="00D73F97" w:rsidRPr="00D73F97" w:rsidRDefault="00732348" w:rsidP="00D73F97">
            <w:pPr>
              <w:spacing w:after="0" w:line="240" w:lineRule="auto"/>
              <w:jc w:val="center"/>
              <w:rPr>
                <w:rFonts w:ascii="Times" w:eastAsia="Times New Roman" w:hAnsi="Times" w:cs="Times"/>
                <w:color w:val="FF0000"/>
                <w:szCs w:val="24"/>
                <w:lang w:val="" w:eastAsia=""/>
              </w:rPr>
            </w:pPr>
            <w:r w:rsidRPr="00D73F97">
              <w:rPr>
                <w:rFonts w:ascii="Times" w:eastAsia="Times New Roman" w:hAnsi="Times" w:cs="Times"/>
                <w:color w:val="FF0000"/>
                <w:szCs w:val="24"/>
                <w:lang w:val="" w:eastAsia=""/>
              </w:rPr>
              <w:t>-52.2%</w:t>
            </w:r>
          </w:p>
        </w:tc>
        <w:tc>
          <w:tcPr>
            <w:tcW w:w="1120" w:type="dxa"/>
            <w:tcBorders>
              <w:top w:val="nil"/>
              <w:left w:val="nil"/>
              <w:bottom w:val="single" w:sz="4" w:space="0" w:color="auto"/>
              <w:right w:val="single" w:sz="4" w:space="0" w:color="auto"/>
            </w:tcBorders>
            <w:noWrap/>
            <w:vAlign w:val="bottom"/>
            <w:hideMark/>
          </w:tcPr>
          <w:p w14:paraId="39F21C91"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19.0%</w:t>
            </w:r>
          </w:p>
        </w:tc>
        <w:tc>
          <w:tcPr>
            <w:tcW w:w="1120" w:type="dxa"/>
            <w:tcBorders>
              <w:top w:val="nil"/>
              <w:left w:val="nil"/>
              <w:bottom w:val="single" w:sz="4" w:space="0" w:color="auto"/>
              <w:right w:val="single" w:sz="4" w:space="0" w:color="auto"/>
            </w:tcBorders>
            <w:noWrap/>
            <w:vAlign w:val="bottom"/>
            <w:hideMark/>
          </w:tcPr>
          <w:p w14:paraId="183EB91A"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123.0%</w:t>
            </w:r>
          </w:p>
        </w:tc>
        <w:tc>
          <w:tcPr>
            <w:tcW w:w="1240" w:type="dxa"/>
            <w:tcBorders>
              <w:top w:val="nil"/>
              <w:left w:val="nil"/>
              <w:bottom w:val="single" w:sz="4" w:space="0" w:color="auto"/>
              <w:right w:val="single" w:sz="4" w:space="0" w:color="auto"/>
            </w:tcBorders>
            <w:noWrap/>
            <w:vAlign w:val="bottom"/>
            <w:hideMark/>
          </w:tcPr>
          <w:p w14:paraId="394FC66E"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554.8%</w:t>
            </w:r>
          </w:p>
        </w:tc>
      </w:tr>
    </w:tbl>
    <w:p w14:paraId="6C171A1A" w14:textId="77777777" w:rsidR="00D73F97" w:rsidRDefault="00D73F97" w:rsidP="00D73F97">
      <w:pPr>
        <w:spacing w:line="360" w:lineRule="auto"/>
        <w:rPr>
          <w:rFonts w:ascii="Times" w:hAnsi="Times" w:cs="Arial"/>
          <w:b/>
          <w:bCs/>
        </w:rPr>
      </w:pPr>
    </w:p>
    <w:p w14:paraId="4D514CEF" w14:textId="46C42834" w:rsidR="00164D67" w:rsidRDefault="00732348" w:rsidP="00D73F97">
      <w:pPr>
        <w:spacing w:line="360" w:lineRule="auto"/>
        <w:rPr>
          <w:rFonts w:ascii="Times" w:hAnsi="Times" w:cs="Arial"/>
        </w:rPr>
      </w:pPr>
      <w:r w:rsidRPr="00102F32">
        <w:rPr>
          <w:rFonts w:ascii="Times" w:hAnsi="Times" w:cs="Arial"/>
        </w:rPr>
        <w:t xml:space="preserve">There is volatility observed in the net profit of Tesla </w:t>
      </w:r>
      <w:r w:rsidR="00360440" w:rsidRPr="00102F32">
        <w:rPr>
          <w:rFonts w:ascii="Times" w:hAnsi="Times" w:cs="Arial"/>
        </w:rPr>
        <w:t>over 5 years. There has been good growth in the net profit in 2021 and 2022, which starts declining in the coming years, where net profit declined by 52% in 2024 and 46% in 2025. This decline might be because of increased expenses and cost of sales, which reduced the profit margins</w:t>
      </w:r>
      <w:r w:rsidR="00DA75A9">
        <w:rPr>
          <w:rFonts w:ascii="Times" w:hAnsi="Times" w:cs="Arial"/>
        </w:rPr>
        <w:t xml:space="preserve"> </w:t>
      </w:r>
      <w:r w:rsidR="00DA75A9" w:rsidRPr="00280E65">
        <w:rPr>
          <w:rFonts w:ascii="Times" w:hAnsi="Times" w:cs="Times"/>
          <w:szCs w:val="24"/>
        </w:rPr>
        <w:t>(Song, 2022).</w:t>
      </w:r>
    </w:p>
    <w:p w14:paraId="43013F78" w14:textId="77777777" w:rsidR="00102F32" w:rsidRPr="00102F32" w:rsidRDefault="00732348" w:rsidP="00102F32">
      <w:pPr>
        <w:spacing w:line="360" w:lineRule="auto"/>
        <w:jc w:val="center"/>
        <w:rPr>
          <w:rFonts w:ascii="Times" w:hAnsi="Times" w:cs="Arial"/>
        </w:rPr>
      </w:pPr>
      <w:r>
        <w:rPr>
          <w:noProof/>
        </w:rPr>
        <w:lastRenderedPageBreak/>
        <w:drawing>
          <wp:inline distT="0" distB="0" distL="0" distR="0" wp14:anchorId="5410DEC5" wp14:editId="263EFC6A">
            <wp:extent cx="4257675" cy="2657475"/>
            <wp:effectExtent l="0" t="0" r="9525" b="9525"/>
            <wp:docPr id="1908009661" name="Chart 1">
              <a:extLst xmlns:a="http://schemas.openxmlformats.org/drawingml/2006/main">
                <a:ext uri="{FF2B5EF4-FFF2-40B4-BE49-F238E27FC236}">
                  <a16:creationId xmlns:a16="http://schemas.microsoft.com/office/drawing/2014/main" id="{B4062853-4C4B-38A0-8B72-2203ABDA92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W w:w="7420" w:type="dxa"/>
        <w:jc w:val="center"/>
        <w:tblLook w:val="04A0" w:firstRow="1" w:lastRow="0" w:firstColumn="1" w:lastColumn="0" w:noHBand="0" w:noVBand="1"/>
      </w:tblPr>
      <w:tblGrid>
        <w:gridCol w:w="1540"/>
        <w:gridCol w:w="1120"/>
        <w:gridCol w:w="1280"/>
        <w:gridCol w:w="1120"/>
        <w:gridCol w:w="1120"/>
        <w:gridCol w:w="1240"/>
      </w:tblGrid>
      <w:tr w:rsidR="00D30489" w14:paraId="26FE567A" w14:textId="77777777" w:rsidTr="00D73F97">
        <w:trPr>
          <w:trHeight w:val="300"/>
          <w:jc w:val="center"/>
        </w:trPr>
        <w:tc>
          <w:tcPr>
            <w:tcW w:w="1540" w:type="dxa"/>
            <w:tcBorders>
              <w:top w:val="single" w:sz="4" w:space="0" w:color="auto"/>
              <w:left w:val="single" w:sz="4" w:space="0" w:color="auto"/>
              <w:bottom w:val="single" w:sz="4" w:space="0" w:color="auto"/>
              <w:right w:val="single" w:sz="4" w:space="0" w:color="auto"/>
            </w:tcBorders>
            <w:noWrap/>
            <w:vAlign w:val="bottom"/>
            <w:hideMark/>
          </w:tcPr>
          <w:p w14:paraId="21ECC5D9"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Year</w:t>
            </w:r>
          </w:p>
        </w:tc>
        <w:tc>
          <w:tcPr>
            <w:tcW w:w="1120" w:type="dxa"/>
            <w:tcBorders>
              <w:top w:val="single" w:sz="4" w:space="0" w:color="auto"/>
              <w:left w:val="nil"/>
              <w:bottom w:val="single" w:sz="4" w:space="0" w:color="auto"/>
              <w:right w:val="single" w:sz="4" w:space="0" w:color="auto"/>
            </w:tcBorders>
            <w:noWrap/>
            <w:vAlign w:val="bottom"/>
            <w:hideMark/>
          </w:tcPr>
          <w:p w14:paraId="136ED4DA"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2025</w:t>
            </w:r>
          </w:p>
        </w:tc>
        <w:tc>
          <w:tcPr>
            <w:tcW w:w="1280" w:type="dxa"/>
            <w:tcBorders>
              <w:top w:val="single" w:sz="4" w:space="0" w:color="auto"/>
              <w:left w:val="nil"/>
              <w:bottom w:val="single" w:sz="4" w:space="0" w:color="auto"/>
              <w:right w:val="single" w:sz="4" w:space="0" w:color="auto"/>
            </w:tcBorders>
            <w:noWrap/>
            <w:vAlign w:val="bottom"/>
            <w:hideMark/>
          </w:tcPr>
          <w:p w14:paraId="1DE85975"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2024</w:t>
            </w:r>
          </w:p>
        </w:tc>
        <w:tc>
          <w:tcPr>
            <w:tcW w:w="1120" w:type="dxa"/>
            <w:tcBorders>
              <w:top w:val="single" w:sz="4" w:space="0" w:color="auto"/>
              <w:left w:val="nil"/>
              <w:bottom w:val="single" w:sz="4" w:space="0" w:color="auto"/>
              <w:right w:val="single" w:sz="4" w:space="0" w:color="auto"/>
            </w:tcBorders>
            <w:noWrap/>
            <w:vAlign w:val="bottom"/>
            <w:hideMark/>
          </w:tcPr>
          <w:p w14:paraId="75BCA20F"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2023</w:t>
            </w:r>
          </w:p>
        </w:tc>
        <w:tc>
          <w:tcPr>
            <w:tcW w:w="1120" w:type="dxa"/>
            <w:tcBorders>
              <w:top w:val="single" w:sz="4" w:space="0" w:color="auto"/>
              <w:left w:val="nil"/>
              <w:bottom w:val="single" w:sz="4" w:space="0" w:color="auto"/>
              <w:right w:val="single" w:sz="4" w:space="0" w:color="auto"/>
            </w:tcBorders>
            <w:noWrap/>
            <w:vAlign w:val="bottom"/>
            <w:hideMark/>
          </w:tcPr>
          <w:p w14:paraId="60A2215E"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2022</w:t>
            </w:r>
          </w:p>
        </w:tc>
        <w:tc>
          <w:tcPr>
            <w:tcW w:w="1240" w:type="dxa"/>
            <w:tcBorders>
              <w:top w:val="single" w:sz="4" w:space="0" w:color="auto"/>
              <w:left w:val="nil"/>
              <w:bottom w:val="single" w:sz="4" w:space="0" w:color="auto"/>
              <w:right w:val="single" w:sz="4" w:space="0" w:color="auto"/>
            </w:tcBorders>
            <w:noWrap/>
            <w:vAlign w:val="bottom"/>
            <w:hideMark/>
          </w:tcPr>
          <w:p w14:paraId="46E7002B"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2021</w:t>
            </w:r>
          </w:p>
        </w:tc>
      </w:tr>
      <w:tr w:rsidR="00D30489" w14:paraId="411613C8"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06484C88"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Total Asset</w:t>
            </w:r>
          </w:p>
        </w:tc>
        <w:tc>
          <w:tcPr>
            <w:tcW w:w="1120" w:type="dxa"/>
            <w:tcBorders>
              <w:top w:val="nil"/>
              <w:left w:val="nil"/>
              <w:bottom w:val="single" w:sz="4" w:space="0" w:color="auto"/>
              <w:right w:val="single" w:sz="4" w:space="0" w:color="auto"/>
            </w:tcBorders>
            <w:noWrap/>
            <w:vAlign w:val="bottom"/>
            <w:hideMark/>
          </w:tcPr>
          <w:p w14:paraId="1EACB874"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137,806 </w:t>
            </w:r>
          </w:p>
        </w:tc>
        <w:tc>
          <w:tcPr>
            <w:tcW w:w="1280" w:type="dxa"/>
            <w:tcBorders>
              <w:top w:val="nil"/>
              <w:left w:val="nil"/>
              <w:bottom w:val="single" w:sz="4" w:space="0" w:color="auto"/>
              <w:right w:val="single" w:sz="4" w:space="0" w:color="auto"/>
            </w:tcBorders>
            <w:noWrap/>
            <w:vAlign w:val="bottom"/>
            <w:hideMark/>
          </w:tcPr>
          <w:p w14:paraId="632CF2B6"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122,070 </w:t>
            </w:r>
          </w:p>
        </w:tc>
        <w:tc>
          <w:tcPr>
            <w:tcW w:w="1120" w:type="dxa"/>
            <w:tcBorders>
              <w:top w:val="nil"/>
              <w:left w:val="nil"/>
              <w:bottom w:val="single" w:sz="4" w:space="0" w:color="auto"/>
              <w:right w:val="single" w:sz="4" w:space="0" w:color="auto"/>
            </w:tcBorders>
            <w:noWrap/>
            <w:vAlign w:val="bottom"/>
            <w:hideMark/>
          </w:tcPr>
          <w:p w14:paraId="4E680F47"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106,618 </w:t>
            </w:r>
          </w:p>
        </w:tc>
        <w:tc>
          <w:tcPr>
            <w:tcW w:w="1120" w:type="dxa"/>
            <w:tcBorders>
              <w:top w:val="nil"/>
              <w:left w:val="nil"/>
              <w:bottom w:val="single" w:sz="4" w:space="0" w:color="auto"/>
              <w:right w:val="single" w:sz="4" w:space="0" w:color="auto"/>
            </w:tcBorders>
            <w:noWrap/>
            <w:vAlign w:val="bottom"/>
            <w:hideMark/>
          </w:tcPr>
          <w:p w14:paraId="091EE47F"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82,338 </w:t>
            </w:r>
          </w:p>
        </w:tc>
        <w:tc>
          <w:tcPr>
            <w:tcW w:w="1240" w:type="dxa"/>
            <w:tcBorders>
              <w:top w:val="nil"/>
              <w:left w:val="nil"/>
              <w:bottom w:val="single" w:sz="4" w:space="0" w:color="auto"/>
              <w:right w:val="single" w:sz="4" w:space="0" w:color="auto"/>
            </w:tcBorders>
            <w:noWrap/>
            <w:vAlign w:val="bottom"/>
            <w:hideMark/>
          </w:tcPr>
          <w:p w14:paraId="01309D7A"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62,131 </w:t>
            </w:r>
          </w:p>
        </w:tc>
      </w:tr>
      <w:tr w:rsidR="00D30489" w14:paraId="77969B71"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0701BDEC"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Change (%)</w:t>
            </w:r>
          </w:p>
        </w:tc>
        <w:tc>
          <w:tcPr>
            <w:tcW w:w="1120" w:type="dxa"/>
            <w:tcBorders>
              <w:top w:val="nil"/>
              <w:left w:val="nil"/>
              <w:bottom w:val="single" w:sz="4" w:space="0" w:color="auto"/>
              <w:right w:val="single" w:sz="4" w:space="0" w:color="auto"/>
            </w:tcBorders>
            <w:noWrap/>
            <w:vAlign w:val="bottom"/>
            <w:hideMark/>
          </w:tcPr>
          <w:p w14:paraId="68DFB2A4" w14:textId="77777777" w:rsidR="00D73F97" w:rsidRPr="00D73F97" w:rsidRDefault="00732348" w:rsidP="00D73F97">
            <w:pPr>
              <w:spacing w:after="0" w:line="240" w:lineRule="auto"/>
              <w:jc w:val="center"/>
              <w:rPr>
                <w:rFonts w:ascii="Times" w:eastAsia="Times New Roman" w:hAnsi="Times" w:cs="Times"/>
                <w:szCs w:val="24"/>
                <w:lang w:val="" w:eastAsia=""/>
              </w:rPr>
            </w:pPr>
            <w:r w:rsidRPr="00D73F97">
              <w:rPr>
                <w:rFonts w:ascii="Times" w:eastAsia="Times New Roman" w:hAnsi="Times" w:cs="Times"/>
                <w:szCs w:val="24"/>
                <w:lang w:val="" w:eastAsia=""/>
              </w:rPr>
              <w:t>12.9%</w:t>
            </w:r>
          </w:p>
        </w:tc>
        <w:tc>
          <w:tcPr>
            <w:tcW w:w="1280" w:type="dxa"/>
            <w:tcBorders>
              <w:top w:val="nil"/>
              <w:left w:val="nil"/>
              <w:bottom w:val="single" w:sz="4" w:space="0" w:color="auto"/>
              <w:right w:val="single" w:sz="4" w:space="0" w:color="auto"/>
            </w:tcBorders>
            <w:noWrap/>
            <w:vAlign w:val="bottom"/>
            <w:hideMark/>
          </w:tcPr>
          <w:p w14:paraId="68D52859" w14:textId="77777777" w:rsidR="00D73F97" w:rsidRPr="00D73F97" w:rsidRDefault="00732348" w:rsidP="00D73F97">
            <w:pPr>
              <w:spacing w:after="0" w:line="240" w:lineRule="auto"/>
              <w:jc w:val="center"/>
              <w:rPr>
                <w:rFonts w:ascii="Times" w:eastAsia="Times New Roman" w:hAnsi="Times" w:cs="Times"/>
                <w:szCs w:val="24"/>
                <w:lang w:val="" w:eastAsia=""/>
              </w:rPr>
            </w:pPr>
            <w:r w:rsidRPr="00D73F97">
              <w:rPr>
                <w:rFonts w:ascii="Times" w:eastAsia="Times New Roman" w:hAnsi="Times" w:cs="Times"/>
                <w:szCs w:val="24"/>
                <w:lang w:val="" w:eastAsia=""/>
              </w:rPr>
              <w:t>14.5%</w:t>
            </w:r>
          </w:p>
        </w:tc>
        <w:tc>
          <w:tcPr>
            <w:tcW w:w="1120" w:type="dxa"/>
            <w:tcBorders>
              <w:top w:val="nil"/>
              <w:left w:val="nil"/>
              <w:bottom w:val="single" w:sz="4" w:space="0" w:color="auto"/>
              <w:right w:val="single" w:sz="4" w:space="0" w:color="auto"/>
            </w:tcBorders>
            <w:noWrap/>
            <w:vAlign w:val="bottom"/>
            <w:hideMark/>
          </w:tcPr>
          <w:p w14:paraId="5479D850"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29.5%</w:t>
            </w:r>
          </w:p>
        </w:tc>
        <w:tc>
          <w:tcPr>
            <w:tcW w:w="1120" w:type="dxa"/>
            <w:tcBorders>
              <w:top w:val="nil"/>
              <w:left w:val="nil"/>
              <w:bottom w:val="single" w:sz="4" w:space="0" w:color="auto"/>
              <w:right w:val="single" w:sz="4" w:space="0" w:color="auto"/>
            </w:tcBorders>
            <w:noWrap/>
            <w:vAlign w:val="bottom"/>
            <w:hideMark/>
          </w:tcPr>
          <w:p w14:paraId="616C6A2C"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32.5%</w:t>
            </w:r>
          </w:p>
        </w:tc>
        <w:tc>
          <w:tcPr>
            <w:tcW w:w="1240" w:type="dxa"/>
            <w:tcBorders>
              <w:top w:val="nil"/>
              <w:left w:val="nil"/>
              <w:bottom w:val="single" w:sz="4" w:space="0" w:color="auto"/>
              <w:right w:val="single" w:sz="4" w:space="0" w:color="auto"/>
            </w:tcBorders>
            <w:noWrap/>
            <w:vAlign w:val="bottom"/>
            <w:hideMark/>
          </w:tcPr>
          <w:p w14:paraId="17321685"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19.1%</w:t>
            </w:r>
          </w:p>
        </w:tc>
      </w:tr>
    </w:tbl>
    <w:p w14:paraId="67D647EB" w14:textId="77777777" w:rsidR="00D73F97" w:rsidRDefault="00D73F97" w:rsidP="00D73F97">
      <w:pPr>
        <w:spacing w:line="360" w:lineRule="auto"/>
        <w:rPr>
          <w:rFonts w:ascii="Times" w:hAnsi="Times" w:cs="Arial"/>
          <w:b/>
          <w:bCs/>
        </w:rPr>
      </w:pPr>
    </w:p>
    <w:p w14:paraId="2291E49B" w14:textId="5451F314" w:rsidR="0013165B" w:rsidRDefault="00732348" w:rsidP="00D73F97">
      <w:pPr>
        <w:spacing w:line="360" w:lineRule="auto"/>
        <w:rPr>
          <w:rFonts w:ascii="Times" w:hAnsi="Times" w:cs="Arial"/>
        </w:rPr>
      </w:pPr>
      <w:r w:rsidRPr="00D85CFD">
        <w:rPr>
          <w:rFonts w:ascii="Times" w:hAnsi="Times" w:cs="Arial"/>
        </w:rPr>
        <w:t>There has been a consistent increase in the total assets of Tesla, which means that the company is making regular investments and expansions. The capacity for the long-term is well supported by the increase in assets</w:t>
      </w:r>
      <w:r w:rsidR="00DA75A9">
        <w:rPr>
          <w:rFonts w:ascii="Times" w:hAnsi="Times" w:cs="Arial"/>
        </w:rPr>
        <w:t xml:space="preserve"> </w:t>
      </w:r>
      <w:r w:rsidR="00DA75A9" w:rsidRPr="00280E65">
        <w:rPr>
          <w:rFonts w:ascii="Times" w:hAnsi="Times" w:cs="Times"/>
          <w:szCs w:val="24"/>
        </w:rPr>
        <w:t>(Bhadkamar and Bhattacharya, 2022).</w:t>
      </w:r>
      <w:r w:rsidRPr="00D85CFD">
        <w:rPr>
          <w:rFonts w:ascii="Times" w:hAnsi="Times" w:cs="Arial"/>
        </w:rPr>
        <w:t xml:space="preserve"> Between 2021 and 2023, total assets increased by a good margin, questioning whether these investments are generating healthy returns.</w:t>
      </w:r>
    </w:p>
    <w:p w14:paraId="51FBC6CE" w14:textId="77777777" w:rsidR="00A01488" w:rsidRPr="00D85CFD" w:rsidRDefault="00732348" w:rsidP="00A01488">
      <w:pPr>
        <w:spacing w:line="360" w:lineRule="auto"/>
        <w:jc w:val="center"/>
        <w:rPr>
          <w:rFonts w:ascii="Times" w:hAnsi="Times" w:cs="Arial"/>
        </w:rPr>
      </w:pPr>
      <w:r>
        <w:rPr>
          <w:noProof/>
        </w:rPr>
        <w:drawing>
          <wp:inline distT="0" distB="0" distL="0" distR="0" wp14:anchorId="596647F9" wp14:editId="43E3F0A7">
            <wp:extent cx="4152900" cy="2505075"/>
            <wp:effectExtent l="0" t="0" r="0" b="9525"/>
            <wp:docPr id="313964534" name="Chart 1">
              <a:extLst xmlns:a="http://schemas.openxmlformats.org/drawingml/2006/main">
                <a:ext uri="{FF2B5EF4-FFF2-40B4-BE49-F238E27FC236}">
                  <a16:creationId xmlns:a16="http://schemas.microsoft.com/office/drawing/2014/main" id="{CDB4E3C7-F199-2AC8-84C3-B3902B2A18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W w:w="7450" w:type="dxa"/>
        <w:jc w:val="center"/>
        <w:tblLook w:val="04A0" w:firstRow="1" w:lastRow="0" w:firstColumn="1" w:lastColumn="0" w:noHBand="0" w:noVBand="1"/>
      </w:tblPr>
      <w:tblGrid>
        <w:gridCol w:w="1570"/>
        <w:gridCol w:w="1120"/>
        <w:gridCol w:w="1280"/>
        <w:gridCol w:w="1120"/>
        <w:gridCol w:w="1120"/>
        <w:gridCol w:w="1240"/>
      </w:tblGrid>
      <w:tr w:rsidR="00D30489" w14:paraId="024AABF3" w14:textId="77777777" w:rsidTr="00D73F97">
        <w:trPr>
          <w:trHeight w:val="300"/>
          <w:jc w:val="center"/>
        </w:trPr>
        <w:tc>
          <w:tcPr>
            <w:tcW w:w="1570" w:type="dxa"/>
            <w:tcBorders>
              <w:top w:val="single" w:sz="4" w:space="0" w:color="auto"/>
              <w:left w:val="single" w:sz="4" w:space="0" w:color="auto"/>
              <w:bottom w:val="single" w:sz="4" w:space="0" w:color="auto"/>
              <w:right w:val="single" w:sz="4" w:space="0" w:color="auto"/>
            </w:tcBorders>
            <w:noWrap/>
            <w:vAlign w:val="bottom"/>
            <w:hideMark/>
          </w:tcPr>
          <w:p w14:paraId="4306A507"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Year</w:t>
            </w:r>
          </w:p>
        </w:tc>
        <w:tc>
          <w:tcPr>
            <w:tcW w:w="1120" w:type="dxa"/>
            <w:tcBorders>
              <w:top w:val="single" w:sz="4" w:space="0" w:color="auto"/>
              <w:left w:val="nil"/>
              <w:bottom w:val="single" w:sz="4" w:space="0" w:color="auto"/>
              <w:right w:val="single" w:sz="4" w:space="0" w:color="auto"/>
            </w:tcBorders>
            <w:noWrap/>
            <w:vAlign w:val="bottom"/>
            <w:hideMark/>
          </w:tcPr>
          <w:p w14:paraId="70F5CF5D"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2025</w:t>
            </w:r>
          </w:p>
        </w:tc>
        <w:tc>
          <w:tcPr>
            <w:tcW w:w="1280" w:type="dxa"/>
            <w:tcBorders>
              <w:top w:val="single" w:sz="4" w:space="0" w:color="auto"/>
              <w:left w:val="nil"/>
              <w:bottom w:val="single" w:sz="4" w:space="0" w:color="auto"/>
              <w:right w:val="single" w:sz="4" w:space="0" w:color="auto"/>
            </w:tcBorders>
            <w:noWrap/>
            <w:vAlign w:val="bottom"/>
            <w:hideMark/>
          </w:tcPr>
          <w:p w14:paraId="21210A1D"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2024</w:t>
            </w:r>
          </w:p>
        </w:tc>
        <w:tc>
          <w:tcPr>
            <w:tcW w:w="1120" w:type="dxa"/>
            <w:tcBorders>
              <w:top w:val="single" w:sz="4" w:space="0" w:color="auto"/>
              <w:left w:val="nil"/>
              <w:bottom w:val="single" w:sz="4" w:space="0" w:color="auto"/>
              <w:right w:val="single" w:sz="4" w:space="0" w:color="auto"/>
            </w:tcBorders>
            <w:noWrap/>
            <w:vAlign w:val="bottom"/>
            <w:hideMark/>
          </w:tcPr>
          <w:p w14:paraId="0B8DC099"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2023</w:t>
            </w:r>
          </w:p>
        </w:tc>
        <w:tc>
          <w:tcPr>
            <w:tcW w:w="1120" w:type="dxa"/>
            <w:tcBorders>
              <w:top w:val="single" w:sz="4" w:space="0" w:color="auto"/>
              <w:left w:val="nil"/>
              <w:bottom w:val="single" w:sz="4" w:space="0" w:color="auto"/>
              <w:right w:val="single" w:sz="4" w:space="0" w:color="auto"/>
            </w:tcBorders>
            <w:noWrap/>
            <w:vAlign w:val="bottom"/>
            <w:hideMark/>
          </w:tcPr>
          <w:p w14:paraId="58225AB0"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2022</w:t>
            </w:r>
          </w:p>
        </w:tc>
        <w:tc>
          <w:tcPr>
            <w:tcW w:w="1240" w:type="dxa"/>
            <w:tcBorders>
              <w:top w:val="single" w:sz="4" w:space="0" w:color="auto"/>
              <w:left w:val="nil"/>
              <w:bottom w:val="single" w:sz="4" w:space="0" w:color="auto"/>
              <w:right w:val="single" w:sz="4" w:space="0" w:color="auto"/>
            </w:tcBorders>
            <w:noWrap/>
            <w:vAlign w:val="bottom"/>
            <w:hideMark/>
          </w:tcPr>
          <w:p w14:paraId="38FDF91D"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2021</w:t>
            </w:r>
          </w:p>
        </w:tc>
      </w:tr>
      <w:tr w:rsidR="00D30489" w14:paraId="158AB3C5" w14:textId="77777777" w:rsidTr="00D73F97">
        <w:trPr>
          <w:trHeight w:val="300"/>
          <w:jc w:val="center"/>
        </w:trPr>
        <w:tc>
          <w:tcPr>
            <w:tcW w:w="1570" w:type="dxa"/>
            <w:tcBorders>
              <w:top w:val="nil"/>
              <w:left w:val="single" w:sz="4" w:space="0" w:color="auto"/>
              <w:bottom w:val="single" w:sz="4" w:space="0" w:color="auto"/>
              <w:right w:val="single" w:sz="4" w:space="0" w:color="auto"/>
            </w:tcBorders>
            <w:noWrap/>
            <w:vAlign w:val="bottom"/>
            <w:hideMark/>
          </w:tcPr>
          <w:p w14:paraId="05B337A9"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Total Liabilities</w:t>
            </w:r>
          </w:p>
        </w:tc>
        <w:tc>
          <w:tcPr>
            <w:tcW w:w="1120" w:type="dxa"/>
            <w:tcBorders>
              <w:top w:val="nil"/>
              <w:left w:val="nil"/>
              <w:bottom w:val="single" w:sz="4" w:space="0" w:color="auto"/>
              <w:right w:val="single" w:sz="4" w:space="0" w:color="auto"/>
            </w:tcBorders>
            <w:noWrap/>
            <w:vAlign w:val="bottom"/>
            <w:hideMark/>
          </w:tcPr>
          <w:p w14:paraId="476B1295"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54,941 </w:t>
            </w:r>
          </w:p>
        </w:tc>
        <w:tc>
          <w:tcPr>
            <w:tcW w:w="1280" w:type="dxa"/>
            <w:tcBorders>
              <w:top w:val="nil"/>
              <w:left w:val="nil"/>
              <w:bottom w:val="single" w:sz="4" w:space="0" w:color="auto"/>
              <w:right w:val="single" w:sz="4" w:space="0" w:color="auto"/>
            </w:tcBorders>
            <w:noWrap/>
            <w:vAlign w:val="bottom"/>
            <w:hideMark/>
          </w:tcPr>
          <w:p w14:paraId="71B4B3D6"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48,390 </w:t>
            </w:r>
          </w:p>
        </w:tc>
        <w:tc>
          <w:tcPr>
            <w:tcW w:w="1120" w:type="dxa"/>
            <w:tcBorders>
              <w:top w:val="nil"/>
              <w:left w:val="nil"/>
              <w:bottom w:val="single" w:sz="4" w:space="0" w:color="auto"/>
              <w:right w:val="single" w:sz="4" w:space="0" w:color="auto"/>
            </w:tcBorders>
            <w:noWrap/>
            <w:vAlign w:val="bottom"/>
            <w:hideMark/>
          </w:tcPr>
          <w:p w14:paraId="3C6401DE"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43,009 </w:t>
            </w:r>
          </w:p>
        </w:tc>
        <w:tc>
          <w:tcPr>
            <w:tcW w:w="1120" w:type="dxa"/>
            <w:tcBorders>
              <w:top w:val="nil"/>
              <w:left w:val="nil"/>
              <w:bottom w:val="single" w:sz="4" w:space="0" w:color="auto"/>
              <w:right w:val="single" w:sz="4" w:space="0" w:color="auto"/>
            </w:tcBorders>
            <w:noWrap/>
            <w:vAlign w:val="bottom"/>
            <w:hideMark/>
          </w:tcPr>
          <w:p w14:paraId="63A8757E"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36,440 </w:t>
            </w:r>
          </w:p>
        </w:tc>
        <w:tc>
          <w:tcPr>
            <w:tcW w:w="1240" w:type="dxa"/>
            <w:tcBorders>
              <w:top w:val="nil"/>
              <w:left w:val="nil"/>
              <w:bottom w:val="single" w:sz="4" w:space="0" w:color="auto"/>
              <w:right w:val="single" w:sz="4" w:space="0" w:color="auto"/>
            </w:tcBorders>
            <w:noWrap/>
            <w:vAlign w:val="bottom"/>
            <w:hideMark/>
          </w:tcPr>
          <w:p w14:paraId="50B0466D"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30,548 </w:t>
            </w:r>
          </w:p>
        </w:tc>
      </w:tr>
      <w:tr w:rsidR="00D30489" w14:paraId="6D23F2AD" w14:textId="77777777" w:rsidTr="00D73F97">
        <w:trPr>
          <w:trHeight w:val="300"/>
          <w:jc w:val="center"/>
        </w:trPr>
        <w:tc>
          <w:tcPr>
            <w:tcW w:w="1570" w:type="dxa"/>
            <w:tcBorders>
              <w:top w:val="nil"/>
              <w:left w:val="single" w:sz="4" w:space="0" w:color="auto"/>
              <w:bottom w:val="single" w:sz="4" w:space="0" w:color="auto"/>
              <w:right w:val="single" w:sz="4" w:space="0" w:color="auto"/>
            </w:tcBorders>
            <w:noWrap/>
            <w:vAlign w:val="bottom"/>
            <w:hideMark/>
          </w:tcPr>
          <w:p w14:paraId="051F3CD3"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Change (%)</w:t>
            </w:r>
          </w:p>
        </w:tc>
        <w:tc>
          <w:tcPr>
            <w:tcW w:w="1120" w:type="dxa"/>
            <w:tcBorders>
              <w:top w:val="nil"/>
              <w:left w:val="nil"/>
              <w:bottom w:val="single" w:sz="4" w:space="0" w:color="auto"/>
              <w:right w:val="single" w:sz="4" w:space="0" w:color="auto"/>
            </w:tcBorders>
            <w:noWrap/>
            <w:vAlign w:val="bottom"/>
            <w:hideMark/>
          </w:tcPr>
          <w:p w14:paraId="1A6D1D3B" w14:textId="77777777" w:rsidR="00D73F97" w:rsidRPr="00D73F97" w:rsidRDefault="00732348" w:rsidP="00D73F97">
            <w:pPr>
              <w:spacing w:after="0" w:line="240" w:lineRule="auto"/>
              <w:jc w:val="center"/>
              <w:rPr>
                <w:rFonts w:ascii="Times" w:eastAsia="Times New Roman" w:hAnsi="Times" w:cs="Times"/>
                <w:szCs w:val="24"/>
                <w:lang w:val="" w:eastAsia=""/>
              </w:rPr>
            </w:pPr>
            <w:r w:rsidRPr="00D73F97">
              <w:rPr>
                <w:rFonts w:ascii="Times" w:eastAsia="Times New Roman" w:hAnsi="Times" w:cs="Times"/>
                <w:szCs w:val="24"/>
                <w:lang w:val="" w:eastAsia=""/>
              </w:rPr>
              <w:t>13.5%</w:t>
            </w:r>
          </w:p>
        </w:tc>
        <w:tc>
          <w:tcPr>
            <w:tcW w:w="1280" w:type="dxa"/>
            <w:tcBorders>
              <w:top w:val="nil"/>
              <w:left w:val="nil"/>
              <w:bottom w:val="single" w:sz="4" w:space="0" w:color="auto"/>
              <w:right w:val="single" w:sz="4" w:space="0" w:color="auto"/>
            </w:tcBorders>
            <w:noWrap/>
            <w:vAlign w:val="bottom"/>
            <w:hideMark/>
          </w:tcPr>
          <w:p w14:paraId="67072B36" w14:textId="77777777" w:rsidR="00D73F97" w:rsidRPr="00D73F97" w:rsidRDefault="00732348" w:rsidP="00D73F97">
            <w:pPr>
              <w:spacing w:after="0" w:line="240" w:lineRule="auto"/>
              <w:jc w:val="center"/>
              <w:rPr>
                <w:rFonts w:ascii="Times" w:eastAsia="Times New Roman" w:hAnsi="Times" w:cs="Times"/>
                <w:szCs w:val="24"/>
                <w:lang w:val="" w:eastAsia=""/>
              </w:rPr>
            </w:pPr>
            <w:r w:rsidRPr="00D73F97">
              <w:rPr>
                <w:rFonts w:ascii="Times" w:eastAsia="Times New Roman" w:hAnsi="Times" w:cs="Times"/>
                <w:szCs w:val="24"/>
                <w:lang w:val="" w:eastAsia=""/>
              </w:rPr>
              <w:t>12.5%</w:t>
            </w:r>
          </w:p>
        </w:tc>
        <w:tc>
          <w:tcPr>
            <w:tcW w:w="1120" w:type="dxa"/>
            <w:tcBorders>
              <w:top w:val="nil"/>
              <w:left w:val="nil"/>
              <w:bottom w:val="single" w:sz="4" w:space="0" w:color="auto"/>
              <w:right w:val="single" w:sz="4" w:space="0" w:color="auto"/>
            </w:tcBorders>
            <w:noWrap/>
            <w:vAlign w:val="bottom"/>
            <w:hideMark/>
          </w:tcPr>
          <w:p w14:paraId="19119B19"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18.0%</w:t>
            </w:r>
          </w:p>
        </w:tc>
        <w:tc>
          <w:tcPr>
            <w:tcW w:w="1120" w:type="dxa"/>
            <w:tcBorders>
              <w:top w:val="nil"/>
              <w:left w:val="nil"/>
              <w:bottom w:val="single" w:sz="4" w:space="0" w:color="auto"/>
              <w:right w:val="single" w:sz="4" w:space="0" w:color="auto"/>
            </w:tcBorders>
            <w:noWrap/>
            <w:vAlign w:val="bottom"/>
            <w:hideMark/>
          </w:tcPr>
          <w:p w14:paraId="5377D7D0"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19.3%</w:t>
            </w:r>
          </w:p>
        </w:tc>
        <w:tc>
          <w:tcPr>
            <w:tcW w:w="1240" w:type="dxa"/>
            <w:tcBorders>
              <w:top w:val="nil"/>
              <w:left w:val="nil"/>
              <w:bottom w:val="single" w:sz="4" w:space="0" w:color="auto"/>
              <w:right w:val="single" w:sz="4" w:space="0" w:color="auto"/>
            </w:tcBorders>
            <w:noWrap/>
            <w:vAlign w:val="bottom"/>
            <w:hideMark/>
          </w:tcPr>
          <w:p w14:paraId="379F1636"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7.5%</w:t>
            </w:r>
          </w:p>
        </w:tc>
      </w:tr>
    </w:tbl>
    <w:p w14:paraId="1721C79E" w14:textId="77777777" w:rsidR="00D73F97" w:rsidRDefault="00D73F97" w:rsidP="00D73F97">
      <w:pPr>
        <w:spacing w:line="360" w:lineRule="auto"/>
        <w:rPr>
          <w:rFonts w:ascii="Times" w:hAnsi="Times" w:cs="Arial"/>
          <w:b/>
          <w:bCs/>
        </w:rPr>
      </w:pPr>
    </w:p>
    <w:p w14:paraId="05F3BA1D" w14:textId="00433293" w:rsidR="00D85CFD" w:rsidRPr="00AE1568" w:rsidRDefault="00732348" w:rsidP="00D73F97">
      <w:pPr>
        <w:spacing w:line="360" w:lineRule="auto"/>
        <w:rPr>
          <w:rFonts w:ascii="Times" w:hAnsi="Times" w:cs="Arial"/>
        </w:rPr>
      </w:pPr>
      <w:r w:rsidRPr="00AE1568">
        <w:rPr>
          <w:rFonts w:ascii="Times" w:hAnsi="Times" w:cs="Arial"/>
        </w:rPr>
        <w:t>There has been a steady increase in the total liabilities, which shows that expansion and growth are connected with the external debt. There is a moderate rate of growth, and a decline in profits can be due to a rise in financial risk</w:t>
      </w:r>
      <w:r w:rsidR="00DA75A9">
        <w:rPr>
          <w:rFonts w:ascii="Times" w:hAnsi="Times" w:cs="Arial"/>
        </w:rPr>
        <w:t xml:space="preserve"> </w:t>
      </w:r>
      <w:r w:rsidR="00DA75A9" w:rsidRPr="00280E65">
        <w:rPr>
          <w:rFonts w:ascii="Times" w:hAnsi="Times" w:cs="Times"/>
          <w:szCs w:val="24"/>
        </w:rPr>
        <w:t>(Chiu, 2026).</w:t>
      </w:r>
      <w:r w:rsidRPr="00AE1568">
        <w:rPr>
          <w:rFonts w:ascii="Times" w:hAnsi="Times" w:cs="Arial"/>
        </w:rPr>
        <w:t xml:space="preserve"> If the strength of the earnings </w:t>
      </w:r>
      <w:r w:rsidR="00AE1568" w:rsidRPr="00AE1568">
        <w:rPr>
          <w:rFonts w:ascii="Times" w:hAnsi="Times" w:cs="Arial"/>
        </w:rPr>
        <w:t>continues</w:t>
      </w:r>
      <w:r w:rsidRPr="00AE1568">
        <w:rPr>
          <w:rFonts w:ascii="Times" w:hAnsi="Times" w:cs="Arial"/>
        </w:rPr>
        <w:t xml:space="preserve"> to decline, this will put pressure on Tesla to repay its debt.</w:t>
      </w:r>
    </w:p>
    <w:p w14:paraId="7237A979" w14:textId="77777777" w:rsidR="00AE1568" w:rsidRDefault="00732348" w:rsidP="00AE1568">
      <w:pPr>
        <w:spacing w:line="360" w:lineRule="auto"/>
        <w:jc w:val="center"/>
        <w:rPr>
          <w:rFonts w:ascii="Times" w:hAnsi="Times" w:cs="Arial"/>
          <w:b/>
          <w:bCs/>
        </w:rPr>
      </w:pPr>
      <w:r>
        <w:rPr>
          <w:noProof/>
        </w:rPr>
        <w:drawing>
          <wp:inline distT="0" distB="0" distL="0" distR="0" wp14:anchorId="1A93FE4D" wp14:editId="3A8F9C53">
            <wp:extent cx="3514725" cy="2514600"/>
            <wp:effectExtent l="0" t="0" r="9525" b="0"/>
            <wp:docPr id="1988536114" name="Chart 1">
              <a:extLst xmlns:a="http://schemas.openxmlformats.org/drawingml/2006/main">
                <a:ext uri="{FF2B5EF4-FFF2-40B4-BE49-F238E27FC236}">
                  <a16:creationId xmlns:a16="http://schemas.microsoft.com/office/drawing/2014/main" id="{5372B4D3-1CAB-C89B-A841-6702EBD4F9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W w:w="7420" w:type="dxa"/>
        <w:jc w:val="center"/>
        <w:tblLook w:val="04A0" w:firstRow="1" w:lastRow="0" w:firstColumn="1" w:lastColumn="0" w:noHBand="0" w:noVBand="1"/>
      </w:tblPr>
      <w:tblGrid>
        <w:gridCol w:w="1540"/>
        <w:gridCol w:w="1120"/>
        <w:gridCol w:w="1280"/>
        <w:gridCol w:w="1120"/>
        <w:gridCol w:w="1120"/>
        <w:gridCol w:w="1240"/>
      </w:tblGrid>
      <w:tr w:rsidR="00D30489" w14:paraId="0A204D34" w14:textId="77777777" w:rsidTr="00D73F97">
        <w:trPr>
          <w:trHeight w:val="300"/>
          <w:jc w:val="center"/>
        </w:trPr>
        <w:tc>
          <w:tcPr>
            <w:tcW w:w="1540" w:type="dxa"/>
            <w:tcBorders>
              <w:top w:val="single" w:sz="4" w:space="0" w:color="auto"/>
              <w:left w:val="single" w:sz="4" w:space="0" w:color="auto"/>
              <w:bottom w:val="single" w:sz="4" w:space="0" w:color="auto"/>
              <w:right w:val="single" w:sz="4" w:space="0" w:color="auto"/>
            </w:tcBorders>
            <w:noWrap/>
            <w:vAlign w:val="bottom"/>
            <w:hideMark/>
          </w:tcPr>
          <w:p w14:paraId="5C6D76F9"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Year</w:t>
            </w:r>
          </w:p>
        </w:tc>
        <w:tc>
          <w:tcPr>
            <w:tcW w:w="1120" w:type="dxa"/>
            <w:tcBorders>
              <w:top w:val="single" w:sz="4" w:space="0" w:color="auto"/>
              <w:left w:val="nil"/>
              <w:bottom w:val="single" w:sz="4" w:space="0" w:color="auto"/>
              <w:right w:val="single" w:sz="4" w:space="0" w:color="auto"/>
            </w:tcBorders>
            <w:noWrap/>
            <w:vAlign w:val="bottom"/>
            <w:hideMark/>
          </w:tcPr>
          <w:p w14:paraId="6E7A1D93"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2025</w:t>
            </w:r>
          </w:p>
        </w:tc>
        <w:tc>
          <w:tcPr>
            <w:tcW w:w="1280" w:type="dxa"/>
            <w:tcBorders>
              <w:top w:val="single" w:sz="4" w:space="0" w:color="auto"/>
              <w:left w:val="nil"/>
              <w:bottom w:val="single" w:sz="4" w:space="0" w:color="auto"/>
              <w:right w:val="single" w:sz="4" w:space="0" w:color="auto"/>
            </w:tcBorders>
            <w:noWrap/>
            <w:vAlign w:val="bottom"/>
            <w:hideMark/>
          </w:tcPr>
          <w:p w14:paraId="5DCD788D"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2024</w:t>
            </w:r>
          </w:p>
        </w:tc>
        <w:tc>
          <w:tcPr>
            <w:tcW w:w="1120" w:type="dxa"/>
            <w:tcBorders>
              <w:top w:val="single" w:sz="4" w:space="0" w:color="auto"/>
              <w:left w:val="nil"/>
              <w:bottom w:val="single" w:sz="4" w:space="0" w:color="auto"/>
              <w:right w:val="single" w:sz="4" w:space="0" w:color="auto"/>
            </w:tcBorders>
            <w:noWrap/>
            <w:vAlign w:val="bottom"/>
            <w:hideMark/>
          </w:tcPr>
          <w:p w14:paraId="2E96A5A5"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2023</w:t>
            </w:r>
          </w:p>
        </w:tc>
        <w:tc>
          <w:tcPr>
            <w:tcW w:w="1120" w:type="dxa"/>
            <w:tcBorders>
              <w:top w:val="single" w:sz="4" w:space="0" w:color="auto"/>
              <w:left w:val="nil"/>
              <w:bottom w:val="single" w:sz="4" w:space="0" w:color="auto"/>
              <w:right w:val="single" w:sz="4" w:space="0" w:color="auto"/>
            </w:tcBorders>
            <w:noWrap/>
            <w:vAlign w:val="bottom"/>
            <w:hideMark/>
          </w:tcPr>
          <w:p w14:paraId="645D7E69"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2022</w:t>
            </w:r>
          </w:p>
        </w:tc>
        <w:tc>
          <w:tcPr>
            <w:tcW w:w="1240" w:type="dxa"/>
            <w:tcBorders>
              <w:top w:val="single" w:sz="4" w:space="0" w:color="auto"/>
              <w:left w:val="nil"/>
              <w:bottom w:val="single" w:sz="4" w:space="0" w:color="auto"/>
              <w:right w:val="single" w:sz="4" w:space="0" w:color="auto"/>
            </w:tcBorders>
            <w:noWrap/>
            <w:vAlign w:val="bottom"/>
            <w:hideMark/>
          </w:tcPr>
          <w:p w14:paraId="71C76951" w14:textId="77777777" w:rsidR="00D73F97" w:rsidRPr="00D73F97" w:rsidRDefault="00732348" w:rsidP="00D73F97">
            <w:pPr>
              <w:spacing w:after="0" w:line="240" w:lineRule="auto"/>
              <w:jc w:val="center"/>
              <w:rPr>
                <w:rFonts w:ascii="Times" w:eastAsia="Times New Roman" w:hAnsi="Times" w:cs="Times"/>
                <w:b/>
                <w:bCs/>
                <w:color w:val="000000"/>
                <w:szCs w:val="24"/>
                <w:lang w:val="" w:eastAsia=""/>
              </w:rPr>
            </w:pPr>
            <w:r w:rsidRPr="00D73F97">
              <w:rPr>
                <w:rFonts w:ascii="Times" w:eastAsia="Times New Roman" w:hAnsi="Times" w:cs="Times"/>
                <w:b/>
                <w:bCs/>
                <w:color w:val="000000"/>
                <w:szCs w:val="24"/>
                <w:lang w:val="" w:eastAsia=""/>
              </w:rPr>
              <w:t>2021</w:t>
            </w:r>
          </w:p>
        </w:tc>
      </w:tr>
      <w:tr w:rsidR="00D30489" w14:paraId="213EE5DF"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143E7246"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Total Equities</w:t>
            </w:r>
          </w:p>
        </w:tc>
        <w:tc>
          <w:tcPr>
            <w:tcW w:w="1120" w:type="dxa"/>
            <w:tcBorders>
              <w:top w:val="nil"/>
              <w:left w:val="nil"/>
              <w:bottom w:val="single" w:sz="4" w:space="0" w:color="auto"/>
              <w:right w:val="single" w:sz="4" w:space="0" w:color="auto"/>
            </w:tcBorders>
            <w:noWrap/>
            <w:vAlign w:val="bottom"/>
            <w:hideMark/>
          </w:tcPr>
          <w:p w14:paraId="3AB2AB9D"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82,137 </w:t>
            </w:r>
          </w:p>
        </w:tc>
        <w:tc>
          <w:tcPr>
            <w:tcW w:w="1280" w:type="dxa"/>
            <w:tcBorders>
              <w:top w:val="nil"/>
              <w:left w:val="nil"/>
              <w:bottom w:val="single" w:sz="4" w:space="0" w:color="auto"/>
              <w:right w:val="single" w:sz="4" w:space="0" w:color="auto"/>
            </w:tcBorders>
            <w:noWrap/>
            <w:vAlign w:val="bottom"/>
            <w:hideMark/>
          </w:tcPr>
          <w:p w14:paraId="736E8B1C"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72,913 </w:t>
            </w:r>
          </w:p>
        </w:tc>
        <w:tc>
          <w:tcPr>
            <w:tcW w:w="1120" w:type="dxa"/>
            <w:tcBorders>
              <w:top w:val="nil"/>
              <w:left w:val="nil"/>
              <w:bottom w:val="single" w:sz="4" w:space="0" w:color="auto"/>
              <w:right w:val="single" w:sz="4" w:space="0" w:color="auto"/>
            </w:tcBorders>
            <w:noWrap/>
            <w:vAlign w:val="bottom"/>
            <w:hideMark/>
          </w:tcPr>
          <w:p w14:paraId="72DBB2A5"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62,634 </w:t>
            </w:r>
          </w:p>
        </w:tc>
        <w:tc>
          <w:tcPr>
            <w:tcW w:w="1120" w:type="dxa"/>
            <w:tcBorders>
              <w:top w:val="nil"/>
              <w:left w:val="nil"/>
              <w:bottom w:val="single" w:sz="4" w:space="0" w:color="auto"/>
              <w:right w:val="single" w:sz="4" w:space="0" w:color="auto"/>
            </w:tcBorders>
            <w:noWrap/>
            <w:vAlign w:val="bottom"/>
            <w:hideMark/>
          </w:tcPr>
          <w:p w14:paraId="71615F58"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44,704 </w:t>
            </w:r>
          </w:p>
        </w:tc>
        <w:tc>
          <w:tcPr>
            <w:tcW w:w="1240" w:type="dxa"/>
            <w:tcBorders>
              <w:top w:val="nil"/>
              <w:left w:val="nil"/>
              <w:bottom w:val="single" w:sz="4" w:space="0" w:color="auto"/>
              <w:right w:val="single" w:sz="4" w:space="0" w:color="auto"/>
            </w:tcBorders>
            <w:noWrap/>
            <w:vAlign w:val="bottom"/>
            <w:hideMark/>
          </w:tcPr>
          <w:p w14:paraId="3F93B977"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 xml:space="preserve">       30,189 </w:t>
            </w:r>
          </w:p>
        </w:tc>
      </w:tr>
      <w:tr w:rsidR="00D30489" w14:paraId="70F866C7" w14:textId="77777777" w:rsidTr="00D73F97">
        <w:trPr>
          <w:trHeight w:val="300"/>
          <w:jc w:val="center"/>
        </w:trPr>
        <w:tc>
          <w:tcPr>
            <w:tcW w:w="1540" w:type="dxa"/>
            <w:tcBorders>
              <w:top w:val="nil"/>
              <w:left w:val="single" w:sz="4" w:space="0" w:color="auto"/>
              <w:bottom w:val="single" w:sz="4" w:space="0" w:color="auto"/>
              <w:right w:val="single" w:sz="4" w:space="0" w:color="auto"/>
            </w:tcBorders>
            <w:noWrap/>
            <w:vAlign w:val="bottom"/>
            <w:hideMark/>
          </w:tcPr>
          <w:p w14:paraId="0505551C"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Change (%)</w:t>
            </w:r>
          </w:p>
        </w:tc>
        <w:tc>
          <w:tcPr>
            <w:tcW w:w="1120" w:type="dxa"/>
            <w:tcBorders>
              <w:top w:val="nil"/>
              <w:left w:val="nil"/>
              <w:bottom w:val="single" w:sz="4" w:space="0" w:color="auto"/>
              <w:right w:val="single" w:sz="4" w:space="0" w:color="auto"/>
            </w:tcBorders>
            <w:noWrap/>
            <w:vAlign w:val="bottom"/>
            <w:hideMark/>
          </w:tcPr>
          <w:p w14:paraId="389ED662" w14:textId="77777777" w:rsidR="00D73F97" w:rsidRPr="00D73F97" w:rsidRDefault="00732348" w:rsidP="00D73F97">
            <w:pPr>
              <w:spacing w:after="0" w:line="240" w:lineRule="auto"/>
              <w:jc w:val="center"/>
              <w:rPr>
                <w:rFonts w:ascii="Times" w:eastAsia="Times New Roman" w:hAnsi="Times" w:cs="Times"/>
                <w:szCs w:val="24"/>
                <w:lang w:val="" w:eastAsia=""/>
              </w:rPr>
            </w:pPr>
            <w:r w:rsidRPr="00D73F97">
              <w:rPr>
                <w:rFonts w:ascii="Times" w:eastAsia="Times New Roman" w:hAnsi="Times" w:cs="Times"/>
                <w:szCs w:val="24"/>
                <w:lang w:val="" w:eastAsia=""/>
              </w:rPr>
              <w:t>12.7%</w:t>
            </w:r>
          </w:p>
        </w:tc>
        <w:tc>
          <w:tcPr>
            <w:tcW w:w="1280" w:type="dxa"/>
            <w:tcBorders>
              <w:top w:val="nil"/>
              <w:left w:val="nil"/>
              <w:bottom w:val="single" w:sz="4" w:space="0" w:color="auto"/>
              <w:right w:val="single" w:sz="4" w:space="0" w:color="auto"/>
            </w:tcBorders>
            <w:noWrap/>
            <w:vAlign w:val="bottom"/>
            <w:hideMark/>
          </w:tcPr>
          <w:p w14:paraId="409344D2" w14:textId="77777777" w:rsidR="00D73F97" w:rsidRPr="00D73F97" w:rsidRDefault="00732348" w:rsidP="00D73F97">
            <w:pPr>
              <w:spacing w:after="0" w:line="240" w:lineRule="auto"/>
              <w:jc w:val="center"/>
              <w:rPr>
                <w:rFonts w:ascii="Times" w:eastAsia="Times New Roman" w:hAnsi="Times" w:cs="Times"/>
                <w:szCs w:val="24"/>
                <w:lang w:val="" w:eastAsia=""/>
              </w:rPr>
            </w:pPr>
            <w:r w:rsidRPr="00D73F97">
              <w:rPr>
                <w:rFonts w:ascii="Times" w:eastAsia="Times New Roman" w:hAnsi="Times" w:cs="Times"/>
                <w:szCs w:val="24"/>
                <w:lang w:val="" w:eastAsia=""/>
              </w:rPr>
              <w:t>16.4%</w:t>
            </w:r>
          </w:p>
        </w:tc>
        <w:tc>
          <w:tcPr>
            <w:tcW w:w="1120" w:type="dxa"/>
            <w:tcBorders>
              <w:top w:val="nil"/>
              <w:left w:val="nil"/>
              <w:bottom w:val="single" w:sz="4" w:space="0" w:color="auto"/>
              <w:right w:val="single" w:sz="4" w:space="0" w:color="auto"/>
            </w:tcBorders>
            <w:noWrap/>
            <w:vAlign w:val="bottom"/>
            <w:hideMark/>
          </w:tcPr>
          <w:p w14:paraId="6CC3F03F"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40.1%</w:t>
            </w:r>
          </w:p>
        </w:tc>
        <w:tc>
          <w:tcPr>
            <w:tcW w:w="1120" w:type="dxa"/>
            <w:tcBorders>
              <w:top w:val="nil"/>
              <w:left w:val="nil"/>
              <w:bottom w:val="single" w:sz="4" w:space="0" w:color="auto"/>
              <w:right w:val="single" w:sz="4" w:space="0" w:color="auto"/>
            </w:tcBorders>
            <w:noWrap/>
            <w:vAlign w:val="bottom"/>
            <w:hideMark/>
          </w:tcPr>
          <w:p w14:paraId="33E4976D"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48.1%</w:t>
            </w:r>
          </w:p>
        </w:tc>
        <w:tc>
          <w:tcPr>
            <w:tcW w:w="1240" w:type="dxa"/>
            <w:tcBorders>
              <w:top w:val="nil"/>
              <w:left w:val="nil"/>
              <w:bottom w:val="single" w:sz="4" w:space="0" w:color="auto"/>
              <w:right w:val="single" w:sz="4" w:space="0" w:color="auto"/>
            </w:tcBorders>
            <w:noWrap/>
            <w:vAlign w:val="bottom"/>
            <w:hideMark/>
          </w:tcPr>
          <w:p w14:paraId="6391F1DC" w14:textId="77777777" w:rsidR="00D73F97" w:rsidRPr="00D73F97" w:rsidRDefault="00732348" w:rsidP="00D73F97">
            <w:pPr>
              <w:spacing w:after="0" w:line="240" w:lineRule="auto"/>
              <w:jc w:val="center"/>
              <w:rPr>
                <w:rFonts w:ascii="Times" w:eastAsia="Times New Roman" w:hAnsi="Times" w:cs="Times"/>
                <w:color w:val="000000"/>
                <w:szCs w:val="24"/>
                <w:lang w:val="" w:eastAsia=""/>
              </w:rPr>
            </w:pPr>
            <w:r w:rsidRPr="00D73F97">
              <w:rPr>
                <w:rFonts w:ascii="Times" w:eastAsia="Times New Roman" w:hAnsi="Times" w:cs="Times"/>
                <w:color w:val="000000"/>
                <w:szCs w:val="24"/>
                <w:lang w:val="" w:eastAsia=""/>
              </w:rPr>
              <w:t>35.8%</w:t>
            </w:r>
          </w:p>
        </w:tc>
      </w:tr>
    </w:tbl>
    <w:p w14:paraId="048BC2AE" w14:textId="77777777" w:rsidR="00D73F97" w:rsidRDefault="00D73F97" w:rsidP="00D73F97">
      <w:pPr>
        <w:spacing w:line="360" w:lineRule="auto"/>
        <w:rPr>
          <w:rFonts w:ascii="Times" w:hAnsi="Times" w:cs="Arial"/>
          <w:b/>
          <w:bCs/>
        </w:rPr>
      </w:pPr>
    </w:p>
    <w:p w14:paraId="00B82D5C" w14:textId="03CE9281" w:rsidR="00AE1568" w:rsidRDefault="00732348" w:rsidP="00D73F97">
      <w:pPr>
        <w:spacing w:line="360" w:lineRule="auto"/>
        <w:rPr>
          <w:rFonts w:ascii="Times" w:hAnsi="Times" w:cs="Arial"/>
        </w:rPr>
      </w:pPr>
      <w:r w:rsidRPr="00CF1D3A">
        <w:rPr>
          <w:rFonts w:ascii="Times" w:hAnsi="Times" w:cs="Arial"/>
        </w:rPr>
        <w:t>There has been a significant increase in the equity, which shows that capital is growing strongly, whereas retained earnings also grow at the same time when the company is making good profits</w:t>
      </w:r>
      <w:r w:rsidR="00DA75A9">
        <w:rPr>
          <w:rFonts w:ascii="Times" w:hAnsi="Times" w:cs="Arial"/>
        </w:rPr>
        <w:t xml:space="preserve"> </w:t>
      </w:r>
      <w:r w:rsidR="00DA75A9" w:rsidRPr="00280E65">
        <w:rPr>
          <w:rFonts w:ascii="Times" w:hAnsi="Times" w:cs="Times"/>
          <w:szCs w:val="24"/>
        </w:rPr>
        <w:t>(Olesia and Zhou, 2023).</w:t>
      </w:r>
      <w:r w:rsidRPr="00CF1D3A">
        <w:rPr>
          <w:rFonts w:ascii="Times" w:hAnsi="Times" w:cs="Arial"/>
        </w:rPr>
        <w:t xml:space="preserve"> The equity growth for the long term may slow down due to a decline in profitability in recent years.</w:t>
      </w:r>
    </w:p>
    <w:p w14:paraId="34B0D2FA" w14:textId="77777777" w:rsidR="00CF1D3A" w:rsidRDefault="00732348" w:rsidP="00CF1D3A">
      <w:pPr>
        <w:spacing w:line="360" w:lineRule="auto"/>
        <w:jc w:val="center"/>
        <w:rPr>
          <w:rFonts w:ascii="Times" w:hAnsi="Times" w:cs="Arial"/>
        </w:rPr>
      </w:pPr>
      <w:r>
        <w:rPr>
          <w:noProof/>
        </w:rPr>
        <w:lastRenderedPageBreak/>
        <w:drawing>
          <wp:inline distT="0" distB="0" distL="0" distR="0" wp14:anchorId="326CF984" wp14:editId="19ACFCDF">
            <wp:extent cx="3314700" cy="2371725"/>
            <wp:effectExtent l="0" t="0" r="0" b="9525"/>
            <wp:docPr id="321790896" name="Chart 1">
              <a:extLst xmlns:a="http://schemas.openxmlformats.org/drawingml/2006/main">
                <a:ext uri="{FF2B5EF4-FFF2-40B4-BE49-F238E27FC236}">
                  <a16:creationId xmlns:a16="http://schemas.microsoft.com/office/drawing/2014/main" id="{F035AAE7-F7A4-070E-9D62-3305731A7D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9A8F45" w14:textId="77777777" w:rsidR="00076A0E" w:rsidRPr="00CF1D3A" w:rsidRDefault="00076A0E" w:rsidP="00CF1D3A">
      <w:pPr>
        <w:spacing w:line="360" w:lineRule="auto"/>
        <w:jc w:val="center"/>
        <w:rPr>
          <w:rFonts w:ascii="Times" w:hAnsi="Times" w:cs="Arial"/>
        </w:rPr>
      </w:pPr>
    </w:p>
    <w:p w14:paraId="0A77363B" w14:textId="77777777" w:rsidR="00E26F0F" w:rsidRPr="00D53CC5" w:rsidRDefault="00732348" w:rsidP="00732348">
      <w:pPr>
        <w:pStyle w:val="Heading2"/>
        <w:numPr>
          <w:ilvl w:val="0"/>
          <w:numId w:val="4"/>
        </w:numPr>
        <w:spacing w:line="360" w:lineRule="auto"/>
        <w:rPr>
          <w:rFonts w:ascii="Times" w:hAnsi="Times" w:cs="Arial"/>
        </w:rPr>
      </w:pPr>
      <w:bookmarkStart w:id="4" w:name="_Toc224784039"/>
      <w:r w:rsidRPr="00D53CC5">
        <w:rPr>
          <w:rFonts w:ascii="Times" w:hAnsi="Times" w:cs="Arial"/>
        </w:rPr>
        <w:t>Ratio analysis</w:t>
      </w:r>
      <w:bookmarkEnd w:id="4"/>
      <w:r w:rsidRPr="00D53CC5">
        <w:rPr>
          <w:rFonts w:ascii="Times" w:hAnsi="Times" w:cs="Arial"/>
        </w:rPr>
        <w:t xml:space="preserve"> </w:t>
      </w:r>
    </w:p>
    <w:p w14:paraId="1A681D5F" w14:textId="77777777" w:rsidR="00EF5A7A" w:rsidRDefault="00732348" w:rsidP="00732348">
      <w:pPr>
        <w:pStyle w:val="ListParagraph"/>
        <w:numPr>
          <w:ilvl w:val="0"/>
          <w:numId w:val="2"/>
        </w:numPr>
        <w:spacing w:line="360" w:lineRule="auto"/>
        <w:rPr>
          <w:rFonts w:ascii="Times" w:hAnsi="Times" w:cs="Arial"/>
          <w:b/>
          <w:bCs/>
        </w:rPr>
      </w:pPr>
      <w:r>
        <w:rPr>
          <w:rFonts w:ascii="Times" w:hAnsi="Times" w:cs="Arial"/>
          <w:b/>
          <w:bCs/>
        </w:rPr>
        <w:t>Profitability Ratio</w:t>
      </w:r>
    </w:p>
    <w:p w14:paraId="273B983C" w14:textId="04664FCD" w:rsidR="00567D31" w:rsidRPr="00425EFA" w:rsidRDefault="00732348" w:rsidP="00567D31">
      <w:pPr>
        <w:spacing w:line="360" w:lineRule="auto"/>
        <w:rPr>
          <w:rFonts w:ascii="Times" w:hAnsi="Times" w:cs="Arial"/>
        </w:rPr>
      </w:pPr>
      <w:r w:rsidRPr="00425EFA">
        <w:rPr>
          <w:rFonts w:ascii="Times" w:hAnsi="Times" w:cs="Arial"/>
        </w:rPr>
        <w:t xml:space="preserve">As per the calculation provided in the appendices, </w:t>
      </w:r>
      <w:r w:rsidR="00394E2E" w:rsidRPr="00425EFA">
        <w:rPr>
          <w:rFonts w:ascii="Times" w:hAnsi="Times" w:cs="Arial"/>
        </w:rPr>
        <w:t>the earning performance of Tesla has been declining</w:t>
      </w:r>
      <w:r w:rsidR="00994A6A" w:rsidRPr="00425EFA">
        <w:rPr>
          <w:rFonts w:ascii="Times" w:hAnsi="Times" w:cs="Arial"/>
        </w:rPr>
        <w:t xml:space="preserve"> in 2024 and 2025 after showing good results in 2021-2023</w:t>
      </w:r>
      <w:r w:rsidR="00425EFA">
        <w:rPr>
          <w:rFonts w:ascii="Times" w:hAnsi="Times" w:cs="Arial"/>
        </w:rPr>
        <w:t>, which shows that in that phase, the demand for electric vehicles was high, whereas efficiency was also high for production</w:t>
      </w:r>
      <w:r w:rsidR="00DA75A9">
        <w:rPr>
          <w:rFonts w:ascii="Times" w:hAnsi="Times" w:cs="Arial"/>
        </w:rPr>
        <w:t xml:space="preserve"> </w:t>
      </w:r>
      <w:r w:rsidR="00DA75A9" w:rsidRPr="00280E65">
        <w:rPr>
          <w:rFonts w:ascii="Times" w:hAnsi="Times" w:cs="Times"/>
          <w:szCs w:val="24"/>
        </w:rPr>
        <w:t>(Okanga, 2022).</w:t>
      </w:r>
      <w:r w:rsidR="00E40B67">
        <w:rPr>
          <w:rFonts w:ascii="Times" w:hAnsi="Times" w:cs="Arial"/>
        </w:rPr>
        <w:t xml:space="preserve"> The decline in the profitability ratio in 2024 and 2025 was due to an increase in the cost of sales, high inflation, and an increase in production costs. Tesla was also reducing the prices of its products to maintain the price of its shares.</w:t>
      </w:r>
      <w:r w:rsidR="00681B47">
        <w:rPr>
          <w:rFonts w:ascii="Times" w:hAnsi="Times" w:cs="Arial"/>
        </w:rPr>
        <w:t xml:space="preserve"> The high competition of electric vehicles also causes companies to keep prices lower. All the profitability ratios </w:t>
      </w:r>
      <w:r w:rsidR="008733A7">
        <w:rPr>
          <w:rFonts w:ascii="Times" w:hAnsi="Times" w:cs="Arial"/>
        </w:rPr>
        <w:t>show</w:t>
      </w:r>
      <w:r w:rsidR="00681B47">
        <w:rPr>
          <w:rFonts w:ascii="Times" w:hAnsi="Times" w:cs="Arial"/>
        </w:rPr>
        <w:t xml:space="preserve"> a similar kind of trend, like good results in 2021-2023 and declining performance in 2024 and 2025</w:t>
      </w:r>
      <w:r w:rsidR="00DA75A9">
        <w:rPr>
          <w:rFonts w:ascii="Times" w:hAnsi="Times" w:cs="Arial"/>
        </w:rPr>
        <w:t xml:space="preserve"> </w:t>
      </w:r>
      <w:r w:rsidR="00DA75A9" w:rsidRPr="00280E65">
        <w:rPr>
          <w:rFonts w:ascii="Times" w:hAnsi="Times" w:cs="Times"/>
          <w:szCs w:val="24"/>
        </w:rPr>
        <w:t>(Vuković et al., 2022).</w:t>
      </w:r>
      <w:r w:rsidR="00681B47">
        <w:rPr>
          <w:rFonts w:ascii="Times" w:hAnsi="Times" w:cs="Arial"/>
        </w:rPr>
        <w:t xml:space="preserve"> Decline in ROA shows that although Tesla is making investments in increasing assets, it is not providing them with sufficient returns.</w:t>
      </w:r>
      <w:r w:rsidR="008733A7">
        <w:rPr>
          <w:rFonts w:ascii="Times" w:hAnsi="Times" w:cs="Arial"/>
        </w:rPr>
        <w:t xml:space="preserve"> There is also an increase in cost pressure.</w:t>
      </w:r>
    </w:p>
    <w:p w14:paraId="344BFDA7" w14:textId="77777777" w:rsidR="00EF5A7A" w:rsidRDefault="00732348" w:rsidP="00732348">
      <w:pPr>
        <w:pStyle w:val="ListParagraph"/>
        <w:numPr>
          <w:ilvl w:val="0"/>
          <w:numId w:val="2"/>
        </w:numPr>
        <w:spacing w:line="360" w:lineRule="auto"/>
        <w:rPr>
          <w:rFonts w:ascii="Times" w:hAnsi="Times" w:cs="Arial"/>
          <w:b/>
          <w:bCs/>
        </w:rPr>
      </w:pPr>
      <w:r>
        <w:rPr>
          <w:rFonts w:ascii="Times" w:hAnsi="Times" w:cs="Arial"/>
          <w:b/>
          <w:bCs/>
        </w:rPr>
        <w:t>Liquidity Ratio</w:t>
      </w:r>
    </w:p>
    <w:p w14:paraId="624ED0EC" w14:textId="1C6EC7F2" w:rsidR="0078425F" w:rsidRPr="00843B41" w:rsidRDefault="00732348" w:rsidP="0078425F">
      <w:pPr>
        <w:spacing w:line="360" w:lineRule="auto"/>
        <w:rPr>
          <w:rFonts w:ascii="Times" w:hAnsi="Times" w:cs="Arial"/>
        </w:rPr>
      </w:pPr>
      <w:r w:rsidRPr="00843B41">
        <w:rPr>
          <w:rFonts w:ascii="Times" w:hAnsi="Times" w:cs="Arial"/>
        </w:rPr>
        <w:t>There has been consistent growth observed in the liquidity position of Tesla, including both the current and quick ratios.</w:t>
      </w:r>
      <w:r w:rsidR="00691305" w:rsidRPr="00843B41">
        <w:rPr>
          <w:rFonts w:ascii="Times" w:hAnsi="Times" w:cs="Arial"/>
        </w:rPr>
        <w:t xml:space="preserve"> It has been analyzed that the current ratio was 1.37 in 2021, which increased to 2.16 in 2025, which shows that more current assets are held by the company in 2025 compared to current liabilities</w:t>
      </w:r>
      <w:r w:rsidR="00DA75A9">
        <w:rPr>
          <w:rFonts w:ascii="Times" w:hAnsi="Times" w:cs="Arial"/>
        </w:rPr>
        <w:t xml:space="preserve"> </w:t>
      </w:r>
      <w:r w:rsidR="00DA75A9" w:rsidRPr="00280E65">
        <w:rPr>
          <w:rFonts w:ascii="Times" w:hAnsi="Times" w:cs="Times"/>
          <w:szCs w:val="24"/>
        </w:rPr>
        <w:t>(Olayinka, 2022).</w:t>
      </w:r>
      <w:r w:rsidR="00843B41">
        <w:rPr>
          <w:rFonts w:ascii="Times" w:hAnsi="Times" w:cs="Arial"/>
        </w:rPr>
        <w:t xml:space="preserve"> The quick ratio grows from 1.08 in 2021 to 1.77 in 2025, which means that there are sufficient liquid assets available with Tesla to cover short-term obligations</w:t>
      </w:r>
      <w:r w:rsidR="00AE7F25">
        <w:rPr>
          <w:rFonts w:ascii="Times" w:hAnsi="Times" w:cs="Arial"/>
        </w:rPr>
        <w:t xml:space="preserve"> without any dependency on inventory</w:t>
      </w:r>
      <w:r w:rsidR="00DA75A9">
        <w:rPr>
          <w:rFonts w:ascii="Times" w:hAnsi="Times" w:cs="Arial"/>
        </w:rPr>
        <w:t xml:space="preserve"> </w:t>
      </w:r>
      <w:r w:rsidR="00DA75A9" w:rsidRPr="00280E65">
        <w:rPr>
          <w:rFonts w:ascii="Times" w:hAnsi="Times" w:cs="Times"/>
          <w:szCs w:val="24"/>
        </w:rPr>
        <w:t>(Li et al., 2023).</w:t>
      </w:r>
      <w:r w:rsidR="00AE7F25">
        <w:rPr>
          <w:rFonts w:ascii="Times" w:hAnsi="Times" w:cs="Arial"/>
        </w:rPr>
        <w:t xml:space="preserve"> Tesla also maintained the strategy of keeping a higher cash balance, which shows better management of </w:t>
      </w:r>
      <w:r w:rsidR="00AE7F25">
        <w:rPr>
          <w:rFonts w:ascii="Times" w:hAnsi="Times" w:cs="Arial"/>
        </w:rPr>
        <w:lastRenderedPageBreak/>
        <w:t>working capital by the company</w:t>
      </w:r>
      <w:r w:rsidR="00CA6668">
        <w:rPr>
          <w:rFonts w:ascii="Times" w:hAnsi="Times" w:cs="Arial"/>
        </w:rPr>
        <w:t>. The cash inflows are also significant in the early years when Tesla was making a good profit</w:t>
      </w:r>
      <w:r w:rsidR="00DA75A9">
        <w:rPr>
          <w:rFonts w:ascii="Times" w:hAnsi="Times" w:cs="Arial"/>
        </w:rPr>
        <w:t xml:space="preserve"> </w:t>
      </w:r>
      <w:r w:rsidR="00DA75A9" w:rsidRPr="00280E65">
        <w:rPr>
          <w:rFonts w:ascii="Times" w:hAnsi="Times" w:cs="Times"/>
          <w:szCs w:val="24"/>
        </w:rPr>
        <w:t>(Xiuguo and Shengyong, 2022).</w:t>
      </w:r>
      <w:r w:rsidR="00CA6668">
        <w:rPr>
          <w:rFonts w:ascii="Times" w:hAnsi="Times" w:cs="Arial"/>
        </w:rPr>
        <w:t xml:space="preserve"> The good liquidity position helps the company to reduce financial risk.</w:t>
      </w:r>
      <w:r w:rsidR="003546AA">
        <w:rPr>
          <w:rFonts w:ascii="Times" w:hAnsi="Times" w:cs="Arial"/>
        </w:rPr>
        <w:t xml:space="preserve"> In 2025, the current ratio of Tesla is almost double the benchmark 1, which indicates that some of the resources are not allocated well. </w:t>
      </w:r>
    </w:p>
    <w:p w14:paraId="04B1E519" w14:textId="77777777" w:rsidR="00EF5A7A" w:rsidRDefault="00732348" w:rsidP="00732348">
      <w:pPr>
        <w:pStyle w:val="ListParagraph"/>
        <w:numPr>
          <w:ilvl w:val="0"/>
          <w:numId w:val="2"/>
        </w:numPr>
        <w:spacing w:line="360" w:lineRule="auto"/>
        <w:rPr>
          <w:rFonts w:ascii="Times" w:hAnsi="Times" w:cs="Arial"/>
          <w:b/>
          <w:bCs/>
        </w:rPr>
      </w:pPr>
      <w:r>
        <w:rPr>
          <w:rFonts w:ascii="Times" w:hAnsi="Times" w:cs="Arial"/>
          <w:b/>
          <w:bCs/>
        </w:rPr>
        <w:t>Efficiency Ratio</w:t>
      </w:r>
    </w:p>
    <w:p w14:paraId="37AEB11F" w14:textId="00F13156" w:rsidR="003546AA" w:rsidRPr="005E2133" w:rsidRDefault="00732348" w:rsidP="00441319">
      <w:pPr>
        <w:spacing w:line="360" w:lineRule="auto"/>
        <w:rPr>
          <w:rFonts w:ascii="Times" w:hAnsi="Times" w:cs="Arial"/>
        </w:rPr>
      </w:pPr>
      <w:r w:rsidRPr="005E2133">
        <w:rPr>
          <w:rFonts w:ascii="Times" w:hAnsi="Times" w:cs="Arial"/>
        </w:rPr>
        <w:t>The management of working capital with respect to the efficiency ratio shows mixed performance considering operational efficiency.</w:t>
      </w:r>
      <w:r w:rsidR="00B45B93" w:rsidRPr="005E2133">
        <w:rPr>
          <w:rFonts w:ascii="Times" w:hAnsi="Times" w:cs="Arial"/>
        </w:rPr>
        <w:t xml:space="preserve"> The receivable days were consistent at 13 days from 2021 to 2023, which increased to 18 days in 2025, which means that customers are taking more time to settle the credit, and it hurts the working capital of Tesla</w:t>
      </w:r>
      <w:r w:rsidR="00DA75A9">
        <w:rPr>
          <w:rFonts w:ascii="Times" w:hAnsi="Times" w:cs="Arial"/>
        </w:rPr>
        <w:t xml:space="preserve"> </w:t>
      </w:r>
      <w:r w:rsidR="00DA75A9" w:rsidRPr="00280E65">
        <w:rPr>
          <w:rFonts w:ascii="Times" w:hAnsi="Times" w:cs="Times"/>
          <w:szCs w:val="24"/>
        </w:rPr>
        <w:t>(Alwan and Risman, 2023).</w:t>
      </w:r>
      <w:r w:rsidR="005E2133">
        <w:rPr>
          <w:rFonts w:ascii="Times" w:hAnsi="Times" w:cs="Arial"/>
        </w:rPr>
        <w:t xml:space="preserve"> The reason for increased receivable days might be because of an increase in the credit days, or the company has achieved growth in global sales, </w:t>
      </w:r>
      <w:r w:rsidR="00CB2965">
        <w:rPr>
          <w:rFonts w:ascii="Times" w:hAnsi="Times" w:cs="Arial"/>
        </w:rPr>
        <w:t xml:space="preserve">or it might also be the case where the company was dependent on the financing structure for the purchase of </w:t>
      </w:r>
      <w:r w:rsidR="00601943">
        <w:rPr>
          <w:rFonts w:ascii="Times" w:hAnsi="Times" w:cs="Arial"/>
        </w:rPr>
        <w:t>vehicles</w:t>
      </w:r>
      <w:r w:rsidR="00DA75A9">
        <w:rPr>
          <w:rFonts w:ascii="Times" w:hAnsi="Times" w:cs="Arial"/>
        </w:rPr>
        <w:t xml:space="preserve"> </w:t>
      </w:r>
      <w:r w:rsidR="00DA75A9" w:rsidRPr="00280E65">
        <w:rPr>
          <w:rFonts w:ascii="Times" w:hAnsi="Times" w:cs="Times"/>
          <w:szCs w:val="24"/>
        </w:rPr>
        <w:t>(Wang and Yu, 2022).</w:t>
      </w:r>
      <w:r w:rsidR="00601943">
        <w:rPr>
          <w:rFonts w:ascii="Times" w:hAnsi="Times" w:cs="Arial"/>
        </w:rPr>
        <w:t xml:space="preserve"> There was improvement seen in the inventory turnover, which rose to 77 days in 2022 but was brought down to 58 days in 2025, reflecting </w:t>
      </w:r>
      <w:r w:rsidR="004F340A">
        <w:rPr>
          <w:rFonts w:ascii="Times" w:hAnsi="Times" w:cs="Arial"/>
        </w:rPr>
        <w:t>improvement</w:t>
      </w:r>
      <w:r w:rsidR="00601943">
        <w:rPr>
          <w:rFonts w:ascii="Times" w:hAnsi="Times" w:cs="Arial"/>
        </w:rPr>
        <w:t xml:space="preserve"> in the </w:t>
      </w:r>
      <w:r w:rsidR="004F340A">
        <w:rPr>
          <w:rFonts w:ascii="Times" w:hAnsi="Times" w:cs="Arial"/>
        </w:rPr>
        <w:t>efficiency</w:t>
      </w:r>
      <w:r w:rsidR="00601943">
        <w:rPr>
          <w:rFonts w:ascii="Times" w:hAnsi="Times" w:cs="Arial"/>
        </w:rPr>
        <w:t xml:space="preserve"> of production and significant management of inventory</w:t>
      </w:r>
      <w:r w:rsidR="00DA75A9">
        <w:rPr>
          <w:rFonts w:ascii="Times" w:hAnsi="Times" w:cs="Arial"/>
        </w:rPr>
        <w:t xml:space="preserve"> </w:t>
      </w:r>
      <w:r w:rsidR="00DA75A9" w:rsidRPr="00280E65">
        <w:rPr>
          <w:rFonts w:ascii="Times" w:hAnsi="Times" w:cs="Times"/>
          <w:szCs w:val="24"/>
        </w:rPr>
        <w:t>(Coelho et al., 2023).</w:t>
      </w:r>
      <w:r w:rsidR="004F340A">
        <w:rPr>
          <w:rFonts w:ascii="Times" w:hAnsi="Times" w:cs="Arial"/>
        </w:rPr>
        <w:t xml:space="preserve"> In 2022 and 2023, the increase in inventory turnover days was due to low vehicle sales due to COVID-19.</w:t>
      </w:r>
    </w:p>
    <w:p w14:paraId="43CDBF37" w14:textId="77777777" w:rsidR="00EF5A7A" w:rsidRDefault="00732348" w:rsidP="00732348">
      <w:pPr>
        <w:pStyle w:val="ListParagraph"/>
        <w:numPr>
          <w:ilvl w:val="0"/>
          <w:numId w:val="2"/>
        </w:numPr>
        <w:spacing w:line="360" w:lineRule="auto"/>
        <w:rPr>
          <w:rFonts w:ascii="Times" w:hAnsi="Times" w:cs="Arial"/>
          <w:b/>
          <w:bCs/>
        </w:rPr>
      </w:pPr>
      <w:r>
        <w:rPr>
          <w:rFonts w:ascii="Times" w:hAnsi="Times" w:cs="Arial"/>
          <w:b/>
          <w:bCs/>
        </w:rPr>
        <w:t>Gearing Ratio</w:t>
      </w:r>
    </w:p>
    <w:p w14:paraId="472D695C" w14:textId="577BE016" w:rsidR="00BB65DA" w:rsidRPr="00B0651A" w:rsidRDefault="00732348" w:rsidP="00BB65DA">
      <w:pPr>
        <w:spacing w:line="360" w:lineRule="auto"/>
        <w:rPr>
          <w:rFonts w:ascii="Times" w:hAnsi="Times" w:cs="Arial"/>
        </w:rPr>
      </w:pPr>
      <w:r w:rsidRPr="00B0651A">
        <w:rPr>
          <w:rFonts w:ascii="Times" w:hAnsi="Times" w:cs="Arial"/>
        </w:rPr>
        <w:t>The gearing ratio of Tesla was higher in 2021 and 2022, as the company works towards progressive reduction in the reliance on long-term debt to overcome its financial leverage.</w:t>
      </w:r>
      <w:r w:rsidR="00B0651A">
        <w:rPr>
          <w:rFonts w:ascii="Times" w:hAnsi="Times" w:cs="Arial"/>
        </w:rPr>
        <w:t xml:space="preserve"> The debt-to-equity ratio drops from 101% to 67% in 2025, which means that Tesla is now increasing equity in its capital structure to overcome its financial risk</w:t>
      </w:r>
      <w:r w:rsidR="00DA75A9">
        <w:rPr>
          <w:rFonts w:ascii="Times" w:hAnsi="Times" w:cs="Arial"/>
        </w:rPr>
        <w:t xml:space="preserve"> </w:t>
      </w:r>
      <w:r w:rsidR="00DA75A9" w:rsidRPr="00280E65">
        <w:rPr>
          <w:rFonts w:ascii="Times" w:hAnsi="Times" w:cs="Times"/>
          <w:szCs w:val="24"/>
        </w:rPr>
        <w:t>(Wang, 2023).</w:t>
      </w:r>
      <w:r w:rsidR="007F4A6C">
        <w:rPr>
          <w:rFonts w:ascii="Times" w:hAnsi="Times" w:cs="Arial"/>
        </w:rPr>
        <w:t xml:space="preserve"> This reduction is a sign of the company dealing positively with the fluctuation in economic conditions</w:t>
      </w:r>
      <w:r w:rsidR="001C0454">
        <w:rPr>
          <w:rFonts w:ascii="Times" w:hAnsi="Times" w:cs="Arial"/>
        </w:rPr>
        <w:t>. Moreover, the interest coverage ratio is declining in 2025 to 12.88 times, which was 71.5 times in 2022 due to high operating profits</w:t>
      </w:r>
      <w:r w:rsidR="00DA75A9">
        <w:rPr>
          <w:rFonts w:ascii="Times" w:hAnsi="Times" w:cs="Arial"/>
        </w:rPr>
        <w:t xml:space="preserve"> </w:t>
      </w:r>
      <w:r w:rsidR="00DA75A9" w:rsidRPr="00280E65">
        <w:rPr>
          <w:rFonts w:ascii="Times" w:hAnsi="Times" w:cs="Times"/>
          <w:szCs w:val="24"/>
        </w:rPr>
        <w:t>(Li, 2025).</w:t>
      </w:r>
      <w:r w:rsidR="00193278">
        <w:rPr>
          <w:rFonts w:ascii="Times" w:hAnsi="Times" w:cs="Arial"/>
        </w:rPr>
        <w:t xml:space="preserve"> The current ratio is also under the main levels in 2025, but the decline is not due to an increase in interest expense but due to high operating expenses, which reduce operating profits.</w:t>
      </w:r>
      <w:r w:rsidR="00166F03">
        <w:rPr>
          <w:rFonts w:ascii="Times" w:hAnsi="Times" w:cs="Arial"/>
        </w:rPr>
        <w:t xml:space="preserve"> There is stability in the leverage position of Tesla</w:t>
      </w:r>
      <w:r w:rsidR="00460DAE">
        <w:rPr>
          <w:rFonts w:ascii="Times" w:hAnsi="Times" w:cs="Arial"/>
        </w:rPr>
        <w:t>, but with lower profits, the company may struggle to settle its long-term debt.</w:t>
      </w:r>
    </w:p>
    <w:p w14:paraId="342FDA18" w14:textId="77777777" w:rsidR="00EF5A7A" w:rsidRDefault="00732348" w:rsidP="00732348">
      <w:pPr>
        <w:pStyle w:val="ListParagraph"/>
        <w:numPr>
          <w:ilvl w:val="0"/>
          <w:numId w:val="2"/>
        </w:numPr>
        <w:spacing w:line="360" w:lineRule="auto"/>
        <w:rPr>
          <w:rFonts w:ascii="Times" w:hAnsi="Times" w:cs="Arial"/>
          <w:b/>
          <w:bCs/>
        </w:rPr>
      </w:pPr>
      <w:r>
        <w:rPr>
          <w:rFonts w:ascii="Times" w:hAnsi="Times" w:cs="Arial"/>
          <w:b/>
          <w:bCs/>
        </w:rPr>
        <w:t>Investment Ratio</w:t>
      </w:r>
    </w:p>
    <w:p w14:paraId="2ACEA53C" w14:textId="38D66D01" w:rsidR="008B1A8F" w:rsidRPr="00F64D97" w:rsidRDefault="00732348" w:rsidP="008B1A8F">
      <w:pPr>
        <w:spacing w:line="360" w:lineRule="auto"/>
        <w:rPr>
          <w:rFonts w:ascii="Times" w:hAnsi="Times" w:cs="Arial"/>
        </w:rPr>
      </w:pPr>
      <w:r w:rsidRPr="00F64D97">
        <w:rPr>
          <w:rFonts w:ascii="Times" w:hAnsi="Times" w:cs="Arial"/>
        </w:rPr>
        <w:t>There has been a reduction in the shareholders' return examined from the investment ratio of Tesla, although the share prices show stability</w:t>
      </w:r>
      <w:r w:rsidR="00DA75A9">
        <w:rPr>
          <w:rFonts w:ascii="Times" w:hAnsi="Times" w:cs="Arial"/>
        </w:rPr>
        <w:t xml:space="preserve"> </w:t>
      </w:r>
      <w:r w:rsidR="00DA75A9" w:rsidRPr="00280E65">
        <w:rPr>
          <w:rFonts w:ascii="Times" w:hAnsi="Times" w:cs="Times"/>
          <w:szCs w:val="24"/>
        </w:rPr>
        <w:t>(Song, 2022).</w:t>
      </w:r>
      <w:r w:rsidR="00F64D97">
        <w:rPr>
          <w:rFonts w:ascii="Times" w:hAnsi="Times" w:cs="Arial"/>
        </w:rPr>
        <w:t xml:space="preserve"> There was a good rise in EPS of Tesla between 2021 and 2023, which was due to better expansion strategies and good profits. </w:t>
      </w:r>
      <w:r w:rsidR="00F64D97">
        <w:rPr>
          <w:rFonts w:ascii="Times" w:hAnsi="Times" w:cs="Arial"/>
        </w:rPr>
        <w:lastRenderedPageBreak/>
        <w:t>There was a sharp drop in EPS in 2024, which became 2.24, and a further drop to 1.2 in 2025, showing the worst position</w:t>
      </w:r>
      <w:r w:rsidR="001D63B7">
        <w:rPr>
          <w:rFonts w:ascii="Times" w:hAnsi="Times" w:cs="Arial"/>
        </w:rPr>
        <w:t xml:space="preserve"> due to a reduction in profitability.</w:t>
      </w:r>
      <w:r w:rsidR="0080244A">
        <w:rPr>
          <w:rFonts w:ascii="Times" w:hAnsi="Times" w:cs="Arial"/>
        </w:rPr>
        <w:t xml:space="preserve"> There is a significant increase seen in the price-to-earnings ratio, which becomes 209 in 2025, which is because of an increase in the expectations of investors related to the growth of the company in the future</w:t>
      </w:r>
      <w:r w:rsidR="006E1E4D">
        <w:rPr>
          <w:rFonts w:ascii="Times" w:hAnsi="Times" w:cs="Arial"/>
        </w:rPr>
        <w:t>, but in the case of Tesla, the share prices are on the higher side despite a reduction in profitability</w:t>
      </w:r>
      <w:r w:rsidR="00DA75A9">
        <w:rPr>
          <w:rFonts w:ascii="Times" w:hAnsi="Times" w:cs="Arial"/>
        </w:rPr>
        <w:t xml:space="preserve"> </w:t>
      </w:r>
      <w:r w:rsidR="00DA75A9" w:rsidRPr="00280E65">
        <w:rPr>
          <w:rFonts w:ascii="Times" w:hAnsi="Times" w:cs="Times"/>
          <w:szCs w:val="24"/>
        </w:rPr>
        <w:t>(Bhadkamar and Bhattacharya, 2022).</w:t>
      </w:r>
      <w:r w:rsidR="00942184">
        <w:rPr>
          <w:rFonts w:ascii="Times" w:hAnsi="Times" w:cs="Arial"/>
        </w:rPr>
        <w:t xml:space="preserve"> The pricing of Tesla's shares is based on the potential of the company to grow in the future.</w:t>
      </w:r>
    </w:p>
    <w:p w14:paraId="54A5B275" w14:textId="77777777" w:rsidR="006F5D78" w:rsidRPr="006F5D78" w:rsidRDefault="00732348" w:rsidP="00732348">
      <w:pPr>
        <w:pStyle w:val="ListParagraph"/>
        <w:numPr>
          <w:ilvl w:val="0"/>
          <w:numId w:val="2"/>
        </w:numPr>
        <w:spacing w:line="360" w:lineRule="auto"/>
        <w:rPr>
          <w:rFonts w:ascii="Times" w:hAnsi="Times" w:cs="Arial"/>
          <w:b/>
          <w:bCs/>
        </w:rPr>
      </w:pPr>
      <w:r>
        <w:rPr>
          <w:rFonts w:ascii="Times" w:hAnsi="Times" w:cs="Arial"/>
          <w:b/>
          <w:bCs/>
        </w:rPr>
        <w:t>Cash Flow Ratio</w:t>
      </w:r>
    </w:p>
    <w:p w14:paraId="73BC0D2A" w14:textId="12B6EAAF" w:rsidR="005A0139" w:rsidRPr="001C548C" w:rsidRDefault="00732348" w:rsidP="006C1A08">
      <w:pPr>
        <w:spacing w:line="360" w:lineRule="auto"/>
        <w:rPr>
          <w:rFonts w:ascii="Times" w:hAnsi="Times" w:cs="Arial"/>
        </w:rPr>
      </w:pPr>
      <w:r w:rsidRPr="001C548C">
        <w:rPr>
          <w:rFonts w:ascii="Times" w:hAnsi="Times" w:cs="Arial"/>
        </w:rPr>
        <w:t xml:space="preserve">The efficiency of Tesla to generate cash is weakened, but still, the </w:t>
      </w:r>
      <w:r w:rsidR="006F5D78" w:rsidRPr="001C548C">
        <w:rPr>
          <w:rFonts w:ascii="Times" w:hAnsi="Times" w:cs="Arial"/>
        </w:rPr>
        <w:t>cash flow generated from operating activities is positive. The ratio for operating cash flow was 58% in 2021, which reduced to 46% which is, because less cash was collected from credit customers and more payments were made by the company during the year</w:t>
      </w:r>
      <w:r w:rsidR="00DA75A9">
        <w:rPr>
          <w:rFonts w:ascii="Times" w:hAnsi="Times" w:cs="Arial"/>
        </w:rPr>
        <w:t xml:space="preserve"> </w:t>
      </w:r>
      <w:r w:rsidR="00DA75A9" w:rsidRPr="00280E65">
        <w:rPr>
          <w:rFonts w:ascii="Times" w:hAnsi="Times" w:cs="Times"/>
          <w:szCs w:val="24"/>
        </w:rPr>
        <w:t>(Chiu, 2026).</w:t>
      </w:r>
      <w:r w:rsidR="001C548C">
        <w:rPr>
          <w:rFonts w:ascii="Times" w:hAnsi="Times" w:cs="Arial"/>
        </w:rPr>
        <w:t xml:space="preserve"> The cash generated from operating activities is not a large enough portion to cover the current debt. The reduction in the operating cash flow is due to the increased requirements of working capital and lower growth in profitability</w:t>
      </w:r>
      <w:r w:rsidR="00DA75A9">
        <w:rPr>
          <w:rFonts w:ascii="Times" w:hAnsi="Times" w:cs="Arial"/>
        </w:rPr>
        <w:t xml:space="preserve"> </w:t>
      </w:r>
      <w:r w:rsidR="00DA75A9" w:rsidRPr="00280E65">
        <w:rPr>
          <w:rFonts w:ascii="Times" w:hAnsi="Times" w:cs="Times"/>
          <w:szCs w:val="24"/>
        </w:rPr>
        <w:t>(Olesia and Zhou, 2023).</w:t>
      </w:r>
      <w:r w:rsidR="00922F82">
        <w:rPr>
          <w:rFonts w:ascii="Times" w:hAnsi="Times" w:cs="Arial"/>
        </w:rPr>
        <w:t xml:space="preserve"> </w:t>
      </w:r>
      <w:r w:rsidR="00E811E5">
        <w:rPr>
          <w:rFonts w:ascii="Times" w:hAnsi="Times" w:cs="Arial"/>
        </w:rPr>
        <w:t>Likewise,</w:t>
      </w:r>
      <w:r w:rsidR="00922F82">
        <w:rPr>
          <w:rFonts w:ascii="Times" w:hAnsi="Times" w:cs="Arial"/>
        </w:rPr>
        <w:t xml:space="preserve"> the cash flow margin ratio dropped from 21% in 2021 to 16% in 2025, showing low cash generated from operating activities compared to the sales.</w:t>
      </w:r>
      <w:r w:rsidR="00E811E5">
        <w:rPr>
          <w:rFonts w:ascii="Times" w:hAnsi="Times" w:cs="Arial"/>
        </w:rPr>
        <w:t xml:space="preserve"> The reduction is because of the increased cost of production and low prices of sales, whereas operational expenses also increased.</w:t>
      </w:r>
    </w:p>
    <w:p w14:paraId="1051FC39" w14:textId="77777777" w:rsidR="00E26F0F" w:rsidRPr="003C0032" w:rsidRDefault="00732348" w:rsidP="00732348">
      <w:pPr>
        <w:pStyle w:val="Heading2"/>
        <w:numPr>
          <w:ilvl w:val="0"/>
          <w:numId w:val="4"/>
        </w:numPr>
        <w:spacing w:line="360" w:lineRule="auto"/>
        <w:rPr>
          <w:rFonts w:ascii="Times" w:hAnsi="Times" w:cs="Arial"/>
        </w:rPr>
      </w:pPr>
      <w:bookmarkStart w:id="5" w:name="_Toc224784040"/>
      <w:r w:rsidRPr="003C0032">
        <w:rPr>
          <w:rFonts w:ascii="Times" w:hAnsi="Times" w:cs="Arial"/>
        </w:rPr>
        <w:t xml:space="preserve">Trends, Strength and </w:t>
      </w:r>
      <w:r w:rsidR="00716C2F" w:rsidRPr="003C0032">
        <w:rPr>
          <w:rFonts w:ascii="Times" w:hAnsi="Times" w:cs="Arial"/>
        </w:rPr>
        <w:t>Weakness</w:t>
      </w:r>
      <w:bookmarkEnd w:id="5"/>
      <w:r w:rsidR="00716C2F" w:rsidRPr="003C0032">
        <w:rPr>
          <w:rFonts w:ascii="Times" w:hAnsi="Times" w:cs="Arial"/>
        </w:rPr>
        <w:t xml:space="preserve"> </w:t>
      </w:r>
    </w:p>
    <w:p w14:paraId="3445C2D7" w14:textId="40EE332D" w:rsidR="001C0FCB" w:rsidRDefault="00732348" w:rsidP="005C010F">
      <w:pPr>
        <w:spacing w:line="360" w:lineRule="auto"/>
        <w:rPr>
          <w:rFonts w:ascii="Times" w:hAnsi="Times" w:cs="Arial"/>
        </w:rPr>
      </w:pPr>
      <w:r w:rsidRPr="00A63E58">
        <w:rPr>
          <w:rFonts w:ascii="Times" w:hAnsi="Times" w:cs="Arial"/>
        </w:rPr>
        <w:t xml:space="preserve">The trend is showing mixed performance for Tesla over the past 5 years. </w:t>
      </w:r>
      <w:r w:rsidR="00D35CC8" w:rsidRPr="00A63E58">
        <w:rPr>
          <w:rFonts w:ascii="Times" w:hAnsi="Times" w:cs="Arial"/>
        </w:rPr>
        <w:t xml:space="preserve">At the start of 2021, the growth and expansion </w:t>
      </w:r>
      <w:r w:rsidR="00A63E58">
        <w:rPr>
          <w:rFonts w:ascii="Times" w:hAnsi="Times" w:cs="Arial"/>
        </w:rPr>
        <w:t>were</w:t>
      </w:r>
      <w:r w:rsidR="00D35CC8" w:rsidRPr="00A63E58">
        <w:rPr>
          <w:rFonts w:ascii="Times" w:hAnsi="Times" w:cs="Arial"/>
        </w:rPr>
        <w:t xml:space="preserve"> strong for the company related to revenue and profitability</w:t>
      </w:r>
      <w:r w:rsidR="00126F3F" w:rsidRPr="00A63E58">
        <w:rPr>
          <w:rFonts w:ascii="Times" w:hAnsi="Times" w:cs="Arial"/>
        </w:rPr>
        <w:t xml:space="preserve"> because there was high demand for electric vehicles, and Tesla also maintained better operational efficiency.</w:t>
      </w:r>
      <w:r w:rsidR="00A63E58">
        <w:rPr>
          <w:rFonts w:ascii="Times" w:hAnsi="Times" w:cs="Arial"/>
        </w:rPr>
        <w:t xml:space="preserve"> From 2024, there was a major decline in profits. ROE and ROA also reduced, even though revenue showed growth</w:t>
      </w:r>
      <w:r w:rsidR="00E87668">
        <w:rPr>
          <w:rFonts w:ascii="Times" w:hAnsi="Times" w:cs="Arial"/>
        </w:rPr>
        <w:t xml:space="preserve"> and the company was making consistent investments in assets</w:t>
      </w:r>
      <w:r w:rsidR="00100E3E">
        <w:rPr>
          <w:rFonts w:ascii="Times" w:hAnsi="Times" w:cs="Arial"/>
        </w:rPr>
        <w:t xml:space="preserve"> </w:t>
      </w:r>
      <w:r w:rsidR="00100E3E" w:rsidRPr="00280E65">
        <w:rPr>
          <w:rFonts w:ascii="Times" w:hAnsi="Times" w:cs="Times"/>
          <w:szCs w:val="24"/>
        </w:rPr>
        <w:t>(Okanga, 2022).</w:t>
      </w:r>
      <w:r w:rsidR="00E87668">
        <w:rPr>
          <w:rFonts w:ascii="Times" w:hAnsi="Times" w:cs="Arial"/>
        </w:rPr>
        <w:t xml:space="preserve"> This shows that growth is not converting into better earnings, showing declining margins and increased pressure from costs. The major strength of Tesla is dependent on the improvement in liquidity and financial stability.</w:t>
      </w:r>
      <w:r w:rsidR="00B54D6E">
        <w:rPr>
          <w:rFonts w:ascii="Times" w:hAnsi="Times" w:cs="Arial"/>
        </w:rPr>
        <w:t xml:space="preserve"> Another positive sign was a reduction in the reliance on debt; however, liquidity for Tesla was also strong</w:t>
      </w:r>
      <w:r w:rsidR="00147B0B">
        <w:rPr>
          <w:rFonts w:ascii="Times" w:hAnsi="Times" w:cs="Arial"/>
        </w:rPr>
        <w:t>, and operating cash flow is positive</w:t>
      </w:r>
      <w:r w:rsidR="00100E3E">
        <w:rPr>
          <w:rFonts w:ascii="Times" w:hAnsi="Times" w:cs="Arial"/>
        </w:rPr>
        <w:t xml:space="preserve"> </w:t>
      </w:r>
      <w:r w:rsidR="00100E3E" w:rsidRPr="00280E65">
        <w:rPr>
          <w:rFonts w:ascii="Times" w:hAnsi="Times" w:cs="Times"/>
          <w:szCs w:val="24"/>
        </w:rPr>
        <w:t>(Vuković et al., 2022).</w:t>
      </w:r>
      <w:r w:rsidR="00147B0B">
        <w:rPr>
          <w:rFonts w:ascii="Times" w:hAnsi="Times" w:cs="Arial"/>
        </w:rPr>
        <w:t xml:space="preserve"> The weakness was the reduction in profits and EPS. This was because of the aggressive strategies for prices and increased market competition.</w:t>
      </w:r>
    </w:p>
    <w:p w14:paraId="73508B6B" w14:textId="77777777" w:rsidR="001C0FCB" w:rsidRPr="003C0032" w:rsidRDefault="00732348" w:rsidP="00732348">
      <w:pPr>
        <w:pStyle w:val="Heading2"/>
        <w:numPr>
          <w:ilvl w:val="0"/>
          <w:numId w:val="3"/>
        </w:numPr>
        <w:spacing w:line="360" w:lineRule="auto"/>
        <w:rPr>
          <w:rFonts w:ascii="Times" w:hAnsi="Times" w:cs="Arial"/>
        </w:rPr>
      </w:pPr>
      <w:bookmarkStart w:id="6" w:name="_Toc224784041"/>
      <w:r w:rsidRPr="003C0032">
        <w:rPr>
          <w:rFonts w:ascii="Times" w:hAnsi="Times" w:cs="Arial"/>
        </w:rPr>
        <w:lastRenderedPageBreak/>
        <w:t>Working Capital Management Analysis</w:t>
      </w:r>
      <w:bookmarkEnd w:id="6"/>
      <w:r w:rsidRPr="003C0032">
        <w:rPr>
          <w:rFonts w:ascii="Times" w:hAnsi="Times" w:cs="Arial"/>
        </w:rPr>
        <w:t xml:space="preserve"> </w:t>
      </w:r>
    </w:p>
    <w:p w14:paraId="7401757D" w14:textId="77777777" w:rsidR="005C010F" w:rsidRPr="003C0032" w:rsidRDefault="00732348" w:rsidP="00732348">
      <w:pPr>
        <w:pStyle w:val="Heading2"/>
        <w:numPr>
          <w:ilvl w:val="0"/>
          <w:numId w:val="4"/>
        </w:numPr>
        <w:spacing w:line="360" w:lineRule="auto"/>
        <w:rPr>
          <w:rFonts w:ascii="Times" w:hAnsi="Times" w:cs="Arial"/>
          <w:sz w:val="24"/>
          <w:szCs w:val="24"/>
        </w:rPr>
      </w:pPr>
      <w:bookmarkStart w:id="7" w:name="_Toc224784042"/>
      <w:r w:rsidRPr="003C0032">
        <w:rPr>
          <w:rFonts w:ascii="Times" w:hAnsi="Times" w:cs="Arial"/>
          <w:sz w:val="24"/>
          <w:szCs w:val="24"/>
        </w:rPr>
        <w:t>Cash Operating Cycle</w:t>
      </w:r>
      <w:bookmarkEnd w:id="7"/>
    </w:p>
    <w:tbl>
      <w:tblPr>
        <w:tblW w:w="10140" w:type="dxa"/>
        <w:jc w:val="center"/>
        <w:tblLook w:val="04A0" w:firstRow="1" w:lastRow="0" w:firstColumn="1" w:lastColumn="0" w:noHBand="0" w:noVBand="1"/>
      </w:tblPr>
      <w:tblGrid>
        <w:gridCol w:w="1660"/>
        <w:gridCol w:w="2200"/>
        <w:gridCol w:w="1180"/>
        <w:gridCol w:w="1160"/>
        <w:gridCol w:w="1360"/>
        <w:gridCol w:w="1360"/>
        <w:gridCol w:w="1220"/>
      </w:tblGrid>
      <w:tr w:rsidR="00D30489" w14:paraId="3DF8727F" w14:textId="77777777" w:rsidTr="00BF38A9">
        <w:trPr>
          <w:trHeight w:val="960"/>
          <w:jc w:val="center"/>
        </w:trPr>
        <w:tc>
          <w:tcPr>
            <w:tcW w:w="1660" w:type="dxa"/>
            <w:tcBorders>
              <w:top w:val="single" w:sz="8" w:space="0" w:color="auto"/>
              <w:left w:val="single" w:sz="8" w:space="0" w:color="auto"/>
              <w:bottom w:val="single" w:sz="8" w:space="0" w:color="auto"/>
              <w:right w:val="single" w:sz="8" w:space="0" w:color="auto"/>
            </w:tcBorders>
            <w:vAlign w:val="bottom"/>
            <w:hideMark/>
          </w:tcPr>
          <w:p w14:paraId="770532B8" w14:textId="77777777" w:rsidR="00BF38A9" w:rsidRPr="00BF38A9" w:rsidRDefault="00732348" w:rsidP="00BF38A9">
            <w:pPr>
              <w:spacing w:after="0" w:line="240" w:lineRule="auto"/>
              <w:jc w:val="center"/>
              <w:rPr>
                <w:rFonts w:ascii="Arial" w:eastAsia="Times New Roman" w:hAnsi="Arial" w:cs="Arial"/>
                <w:b/>
                <w:bCs/>
                <w:color w:val="000000"/>
                <w:szCs w:val="24"/>
                <w:lang w:val="" w:eastAsia=""/>
              </w:rPr>
            </w:pPr>
            <w:r w:rsidRPr="00BF38A9">
              <w:rPr>
                <w:rFonts w:ascii="Arial" w:eastAsia="Times New Roman" w:hAnsi="Arial" w:cs="Arial"/>
                <w:b/>
                <w:bCs/>
                <w:color w:val="000000"/>
                <w:szCs w:val="24"/>
                <w:lang w:val="" w:eastAsia=""/>
              </w:rPr>
              <w:t>Cash Operating Cycle</w:t>
            </w:r>
          </w:p>
        </w:tc>
        <w:tc>
          <w:tcPr>
            <w:tcW w:w="2200" w:type="dxa"/>
            <w:tcBorders>
              <w:top w:val="single" w:sz="8" w:space="0" w:color="auto"/>
              <w:left w:val="nil"/>
              <w:bottom w:val="single" w:sz="8" w:space="0" w:color="auto"/>
              <w:right w:val="single" w:sz="8" w:space="0" w:color="auto"/>
            </w:tcBorders>
            <w:vAlign w:val="bottom"/>
            <w:hideMark/>
          </w:tcPr>
          <w:p w14:paraId="1D77B5DB" w14:textId="77777777" w:rsidR="00BF38A9" w:rsidRPr="00BF38A9" w:rsidRDefault="00732348" w:rsidP="00BF38A9">
            <w:pPr>
              <w:spacing w:after="0" w:line="240" w:lineRule="auto"/>
              <w:jc w:val="center"/>
              <w:rPr>
                <w:rFonts w:ascii="Arial" w:eastAsia="Times New Roman" w:hAnsi="Arial" w:cs="Arial"/>
                <w:b/>
                <w:bCs/>
                <w:color w:val="000000"/>
                <w:szCs w:val="24"/>
                <w:lang w:val="" w:eastAsia=""/>
              </w:rPr>
            </w:pPr>
            <w:r w:rsidRPr="00BF38A9">
              <w:rPr>
                <w:rFonts w:ascii="Arial" w:eastAsia="Times New Roman" w:hAnsi="Arial" w:cs="Arial"/>
                <w:b/>
                <w:bCs/>
                <w:color w:val="000000"/>
                <w:szCs w:val="24"/>
                <w:lang w:val="" w:eastAsia=""/>
              </w:rPr>
              <w:t>Formula</w:t>
            </w:r>
          </w:p>
        </w:tc>
        <w:tc>
          <w:tcPr>
            <w:tcW w:w="1180" w:type="dxa"/>
            <w:tcBorders>
              <w:top w:val="single" w:sz="8" w:space="0" w:color="auto"/>
              <w:left w:val="nil"/>
              <w:bottom w:val="single" w:sz="8" w:space="0" w:color="auto"/>
              <w:right w:val="single" w:sz="8" w:space="0" w:color="auto"/>
            </w:tcBorders>
            <w:vAlign w:val="bottom"/>
            <w:hideMark/>
          </w:tcPr>
          <w:p w14:paraId="14885386" w14:textId="77777777" w:rsidR="00BF38A9" w:rsidRPr="00BF38A9" w:rsidRDefault="00732348" w:rsidP="00BF38A9">
            <w:pPr>
              <w:spacing w:after="0" w:line="240" w:lineRule="auto"/>
              <w:jc w:val="center"/>
              <w:rPr>
                <w:rFonts w:ascii="Arial" w:eastAsia="Times New Roman" w:hAnsi="Arial" w:cs="Arial"/>
                <w:b/>
                <w:bCs/>
                <w:color w:val="000000"/>
                <w:szCs w:val="24"/>
                <w:lang w:val="" w:eastAsia=""/>
              </w:rPr>
            </w:pPr>
            <w:r w:rsidRPr="00BF38A9">
              <w:rPr>
                <w:rFonts w:ascii="Arial" w:eastAsia="Times New Roman" w:hAnsi="Arial" w:cs="Arial"/>
                <w:b/>
                <w:bCs/>
                <w:color w:val="000000"/>
                <w:szCs w:val="24"/>
                <w:lang w:val="" w:eastAsia=""/>
              </w:rPr>
              <w:t>2025</w:t>
            </w:r>
          </w:p>
        </w:tc>
        <w:tc>
          <w:tcPr>
            <w:tcW w:w="1160" w:type="dxa"/>
            <w:tcBorders>
              <w:top w:val="single" w:sz="8" w:space="0" w:color="auto"/>
              <w:left w:val="nil"/>
              <w:bottom w:val="single" w:sz="8" w:space="0" w:color="auto"/>
              <w:right w:val="single" w:sz="8" w:space="0" w:color="auto"/>
            </w:tcBorders>
            <w:vAlign w:val="bottom"/>
            <w:hideMark/>
          </w:tcPr>
          <w:p w14:paraId="4CF901AA" w14:textId="77777777" w:rsidR="00BF38A9" w:rsidRPr="00BF38A9" w:rsidRDefault="00732348" w:rsidP="00BF38A9">
            <w:pPr>
              <w:spacing w:after="0" w:line="240" w:lineRule="auto"/>
              <w:jc w:val="center"/>
              <w:rPr>
                <w:rFonts w:ascii="Arial" w:eastAsia="Times New Roman" w:hAnsi="Arial" w:cs="Arial"/>
                <w:b/>
                <w:bCs/>
                <w:color w:val="000000"/>
                <w:szCs w:val="24"/>
                <w:lang w:val="" w:eastAsia=""/>
              </w:rPr>
            </w:pPr>
            <w:r w:rsidRPr="00BF38A9">
              <w:rPr>
                <w:rFonts w:ascii="Arial" w:eastAsia="Times New Roman" w:hAnsi="Arial" w:cs="Arial"/>
                <w:b/>
                <w:bCs/>
                <w:color w:val="000000"/>
                <w:szCs w:val="24"/>
                <w:lang w:val="" w:eastAsia=""/>
              </w:rPr>
              <w:t>2024</w:t>
            </w:r>
          </w:p>
        </w:tc>
        <w:tc>
          <w:tcPr>
            <w:tcW w:w="1360" w:type="dxa"/>
            <w:tcBorders>
              <w:top w:val="single" w:sz="8" w:space="0" w:color="auto"/>
              <w:left w:val="nil"/>
              <w:bottom w:val="single" w:sz="8" w:space="0" w:color="auto"/>
              <w:right w:val="single" w:sz="8" w:space="0" w:color="auto"/>
            </w:tcBorders>
            <w:vAlign w:val="bottom"/>
            <w:hideMark/>
          </w:tcPr>
          <w:p w14:paraId="07C1A343" w14:textId="77777777" w:rsidR="00BF38A9" w:rsidRPr="00BF38A9" w:rsidRDefault="00732348" w:rsidP="00BF38A9">
            <w:pPr>
              <w:spacing w:after="0" w:line="240" w:lineRule="auto"/>
              <w:jc w:val="center"/>
              <w:rPr>
                <w:rFonts w:ascii="Arial" w:eastAsia="Times New Roman" w:hAnsi="Arial" w:cs="Arial"/>
                <w:b/>
                <w:bCs/>
                <w:color w:val="000000"/>
                <w:szCs w:val="24"/>
                <w:lang w:val="" w:eastAsia=""/>
              </w:rPr>
            </w:pPr>
            <w:r w:rsidRPr="00BF38A9">
              <w:rPr>
                <w:rFonts w:ascii="Arial" w:eastAsia="Times New Roman" w:hAnsi="Arial" w:cs="Arial"/>
                <w:b/>
                <w:bCs/>
                <w:color w:val="000000"/>
                <w:szCs w:val="24"/>
                <w:lang w:val="" w:eastAsia=""/>
              </w:rPr>
              <w:t>2023</w:t>
            </w:r>
          </w:p>
        </w:tc>
        <w:tc>
          <w:tcPr>
            <w:tcW w:w="1360" w:type="dxa"/>
            <w:tcBorders>
              <w:top w:val="single" w:sz="8" w:space="0" w:color="auto"/>
              <w:left w:val="nil"/>
              <w:bottom w:val="single" w:sz="8" w:space="0" w:color="auto"/>
              <w:right w:val="single" w:sz="8" w:space="0" w:color="auto"/>
            </w:tcBorders>
            <w:noWrap/>
            <w:vAlign w:val="bottom"/>
            <w:hideMark/>
          </w:tcPr>
          <w:p w14:paraId="2AA10647" w14:textId="77777777" w:rsidR="00BF38A9" w:rsidRPr="00BF38A9" w:rsidRDefault="00732348" w:rsidP="00BF38A9">
            <w:pPr>
              <w:spacing w:after="0" w:line="240" w:lineRule="auto"/>
              <w:jc w:val="center"/>
              <w:rPr>
                <w:rFonts w:ascii="Arial" w:eastAsia="Times New Roman" w:hAnsi="Arial" w:cs="Arial"/>
                <w:b/>
                <w:bCs/>
                <w:color w:val="000000"/>
                <w:szCs w:val="24"/>
                <w:lang w:val="" w:eastAsia=""/>
              </w:rPr>
            </w:pPr>
            <w:r w:rsidRPr="00BF38A9">
              <w:rPr>
                <w:rFonts w:ascii="Arial" w:eastAsia="Times New Roman" w:hAnsi="Arial" w:cs="Arial"/>
                <w:b/>
                <w:bCs/>
                <w:color w:val="000000"/>
                <w:szCs w:val="24"/>
                <w:lang w:val="" w:eastAsia=""/>
              </w:rPr>
              <w:t>2022</w:t>
            </w:r>
          </w:p>
        </w:tc>
        <w:tc>
          <w:tcPr>
            <w:tcW w:w="1220" w:type="dxa"/>
            <w:tcBorders>
              <w:top w:val="single" w:sz="8" w:space="0" w:color="auto"/>
              <w:left w:val="nil"/>
              <w:bottom w:val="single" w:sz="8" w:space="0" w:color="auto"/>
              <w:right w:val="single" w:sz="8" w:space="0" w:color="auto"/>
            </w:tcBorders>
            <w:noWrap/>
            <w:vAlign w:val="bottom"/>
            <w:hideMark/>
          </w:tcPr>
          <w:p w14:paraId="7E7A8976" w14:textId="77777777" w:rsidR="00BF38A9" w:rsidRPr="00BF38A9" w:rsidRDefault="00732348" w:rsidP="00BF38A9">
            <w:pPr>
              <w:spacing w:after="0" w:line="240" w:lineRule="auto"/>
              <w:jc w:val="center"/>
              <w:rPr>
                <w:rFonts w:ascii="Arial" w:eastAsia="Times New Roman" w:hAnsi="Arial" w:cs="Arial"/>
                <w:b/>
                <w:bCs/>
                <w:color w:val="000000"/>
                <w:szCs w:val="24"/>
                <w:lang w:val="" w:eastAsia=""/>
              </w:rPr>
            </w:pPr>
            <w:r w:rsidRPr="00BF38A9">
              <w:rPr>
                <w:rFonts w:ascii="Arial" w:eastAsia="Times New Roman" w:hAnsi="Arial" w:cs="Arial"/>
                <w:b/>
                <w:bCs/>
                <w:color w:val="000000"/>
                <w:szCs w:val="24"/>
                <w:lang w:val="" w:eastAsia=""/>
              </w:rPr>
              <w:t>2021</w:t>
            </w:r>
          </w:p>
        </w:tc>
      </w:tr>
      <w:tr w:rsidR="00D30489" w14:paraId="38C9F9A6" w14:textId="77777777" w:rsidTr="00BF38A9">
        <w:trPr>
          <w:trHeight w:val="1200"/>
          <w:jc w:val="center"/>
        </w:trPr>
        <w:tc>
          <w:tcPr>
            <w:tcW w:w="1660" w:type="dxa"/>
            <w:tcBorders>
              <w:top w:val="nil"/>
              <w:left w:val="single" w:sz="4" w:space="0" w:color="auto"/>
              <w:bottom w:val="single" w:sz="4" w:space="0" w:color="auto"/>
              <w:right w:val="single" w:sz="4" w:space="0" w:color="auto"/>
            </w:tcBorders>
            <w:vAlign w:val="center"/>
            <w:hideMark/>
          </w:tcPr>
          <w:p w14:paraId="7F4D4B13"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Receivable turnover (Days)</w:t>
            </w:r>
          </w:p>
        </w:tc>
        <w:tc>
          <w:tcPr>
            <w:tcW w:w="2200" w:type="dxa"/>
            <w:tcBorders>
              <w:top w:val="nil"/>
              <w:left w:val="nil"/>
              <w:bottom w:val="single" w:sz="4" w:space="0" w:color="auto"/>
              <w:right w:val="single" w:sz="4" w:space="0" w:color="auto"/>
            </w:tcBorders>
            <w:vAlign w:val="center"/>
            <w:hideMark/>
          </w:tcPr>
          <w:p w14:paraId="5346090B"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(Receivable / Sales )*365</w:t>
            </w:r>
          </w:p>
        </w:tc>
        <w:tc>
          <w:tcPr>
            <w:tcW w:w="1180" w:type="dxa"/>
            <w:tcBorders>
              <w:top w:val="nil"/>
              <w:left w:val="nil"/>
              <w:bottom w:val="single" w:sz="4" w:space="0" w:color="auto"/>
              <w:right w:val="single" w:sz="4" w:space="0" w:color="auto"/>
            </w:tcBorders>
            <w:vAlign w:val="bottom"/>
            <w:hideMark/>
          </w:tcPr>
          <w:p w14:paraId="40D5CFA0"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(4576 / 94827)*  365 = 18 Days</w:t>
            </w:r>
          </w:p>
        </w:tc>
        <w:tc>
          <w:tcPr>
            <w:tcW w:w="1160" w:type="dxa"/>
            <w:tcBorders>
              <w:top w:val="nil"/>
              <w:left w:val="nil"/>
              <w:bottom w:val="single" w:sz="4" w:space="0" w:color="auto"/>
              <w:right w:val="single" w:sz="4" w:space="0" w:color="auto"/>
            </w:tcBorders>
            <w:vAlign w:val="bottom"/>
            <w:hideMark/>
          </w:tcPr>
          <w:p w14:paraId="658B04CA"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(4418 / 97690)* 365 = 17 Days</w:t>
            </w:r>
          </w:p>
        </w:tc>
        <w:tc>
          <w:tcPr>
            <w:tcW w:w="1360" w:type="dxa"/>
            <w:tcBorders>
              <w:top w:val="nil"/>
              <w:left w:val="nil"/>
              <w:bottom w:val="single" w:sz="4" w:space="0" w:color="auto"/>
              <w:right w:val="single" w:sz="4" w:space="0" w:color="auto"/>
            </w:tcBorders>
            <w:vAlign w:val="bottom"/>
            <w:hideMark/>
          </w:tcPr>
          <w:p w14:paraId="2143A728"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(3508 / 96773)* 365 = 13 Days </w:t>
            </w:r>
          </w:p>
        </w:tc>
        <w:tc>
          <w:tcPr>
            <w:tcW w:w="1360" w:type="dxa"/>
            <w:tcBorders>
              <w:top w:val="nil"/>
              <w:left w:val="nil"/>
              <w:bottom w:val="single" w:sz="4" w:space="0" w:color="auto"/>
              <w:right w:val="single" w:sz="4" w:space="0" w:color="auto"/>
            </w:tcBorders>
            <w:vAlign w:val="bottom"/>
            <w:hideMark/>
          </w:tcPr>
          <w:p w14:paraId="3B7060FB"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(2952 / 81462)* 365 = 13 Days </w:t>
            </w:r>
          </w:p>
        </w:tc>
        <w:tc>
          <w:tcPr>
            <w:tcW w:w="1220" w:type="dxa"/>
            <w:tcBorders>
              <w:top w:val="nil"/>
              <w:left w:val="nil"/>
              <w:bottom w:val="single" w:sz="4" w:space="0" w:color="auto"/>
              <w:right w:val="single" w:sz="4" w:space="0" w:color="auto"/>
            </w:tcBorders>
            <w:vAlign w:val="bottom"/>
            <w:hideMark/>
          </w:tcPr>
          <w:p w14:paraId="6145408B"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(1913 / 53823)* 365 = 13 Days </w:t>
            </w:r>
          </w:p>
        </w:tc>
      </w:tr>
      <w:tr w:rsidR="00D30489" w14:paraId="2AD3C3FC" w14:textId="77777777" w:rsidTr="00BF38A9">
        <w:trPr>
          <w:trHeight w:val="1200"/>
          <w:jc w:val="center"/>
        </w:trPr>
        <w:tc>
          <w:tcPr>
            <w:tcW w:w="1660" w:type="dxa"/>
            <w:tcBorders>
              <w:top w:val="nil"/>
              <w:left w:val="single" w:sz="4" w:space="0" w:color="auto"/>
              <w:bottom w:val="single" w:sz="4" w:space="0" w:color="auto"/>
              <w:right w:val="single" w:sz="4" w:space="0" w:color="auto"/>
            </w:tcBorders>
            <w:vAlign w:val="center"/>
            <w:hideMark/>
          </w:tcPr>
          <w:p w14:paraId="377B3763"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Inventory Turnover (in days)</w:t>
            </w:r>
          </w:p>
        </w:tc>
        <w:tc>
          <w:tcPr>
            <w:tcW w:w="2200" w:type="dxa"/>
            <w:tcBorders>
              <w:top w:val="nil"/>
              <w:left w:val="nil"/>
              <w:bottom w:val="single" w:sz="4" w:space="0" w:color="auto"/>
              <w:right w:val="single" w:sz="4" w:space="0" w:color="auto"/>
            </w:tcBorders>
            <w:vAlign w:val="center"/>
            <w:hideMark/>
          </w:tcPr>
          <w:p w14:paraId="0D08A1E4"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(Inventory / COGS ) 365</w:t>
            </w:r>
          </w:p>
        </w:tc>
        <w:tc>
          <w:tcPr>
            <w:tcW w:w="1180" w:type="dxa"/>
            <w:tcBorders>
              <w:top w:val="nil"/>
              <w:left w:val="nil"/>
              <w:bottom w:val="single" w:sz="4" w:space="0" w:color="auto"/>
              <w:right w:val="single" w:sz="4" w:space="0" w:color="auto"/>
            </w:tcBorders>
            <w:vAlign w:val="bottom"/>
            <w:hideMark/>
          </w:tcPr>
          <w:p w14:paraId="1F3761E6"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(12392 / 77733)* 365 = 58 Days</w:t>
            </w:r>
          </w:p>
        </w:tc>
        <w:tc>
          <w:tcPr>
            <w:tcW w:w="1160" w:type="dxa"/>
            <w:tcBorders>
              <w:top w:val="nil"/>
              <w:left w:val="nil"/>
              <w:bottom w:val="single" w:sz="4" w:space="0" w:color="auto"/>
              <w:right w:val="single" w:sz="4" w:space="0" w:color="auto"/>
            </w:tcBorders>
            <w:vAlign w:val="bottom"/>
            <w:hideMark/>
          </w:tcPr>
          <w:p w14:paraId="2AB385A1"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(12017 / 80240)* 365 = 55 Days</w:t>
            </w:r>
          </w:p>
        </w:tc>
        <w:tc>
          <w:tcPr>
            <w:tcW w:w="1360" w:type="dxa"/>
            <w:tcBorders>
              <w:top w:val="nil"/>
              <w:left w:val="nil"/>
              <w:bottom w:val="single" w:sz="4" w:space="0" w:color="auto"/>
              <w:right w:val="single" w:sz="4" w:space="0" w:color="auto"/>
            </w:tcBorders>
            <w:vAlign w:val="bottom"/>
            <w:hideMark/>
          </w:tcPr>
          <w:p w14:paraId="441A397F"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(13626 / 79113) * 365 = 63 Days </w:t>
            </w:r>
          </w:p>
        </w:tc>
        <w:tc>
          <w:tcPr>
            <w:tcW w:w="1360" w:type="dxa"/>
            <w:tcBorders>
              <w:top w:val="nil"/>
              <w:left w:val="nil"/>
              <w:bottom w:val="single" w:sz="4" w:space="0" w:color="auto"/>
              <w:right w:val="single" w:sz="4" w:space="0" w:color="auto"/>
            </w:tcBorders>
            <w:vAlign w:val="bottom"/>
            <w:hideMark/>
          </w:tcPr>
          <w:p w14:paraId="3D1C85F8"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(12839 / 60609) * 365 = 77 Days </w:t>
            </w:r>
          </w:p>
        </w:tc>
        <w:tc>
          <w:tcPr>
            <w:tcW w:w="1220" w:type="dxa"/>
            <w:tcBorders>
              <w:top w:val="nil"/>
              <w:left w:val="nil"/>
              <w:bottom w:val="single" w:sz="4" w:space="0" w:color="auto"/>
              <w:right w:val="single" w:sz="4" w:space="0" w:color="auto"/>
            </w:tcBorders>
            <w:vAlign w:val="bottom"/>
            <w:hideMark/>
          </w:tcPr>
          <w:p w14:paraId="0A4C43DA"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(5757 / 40217) * 365 = 52 Days </w:t>
            </w:r>
          </w:p>
        </w:tc>
      </w:tr>
      <w:tr w:rsidR="00D30489" w14:paraId="2F35705A" w14:textId="77777777" w:rsidTr="00BF38A9">
        <w:trPr>
          <w:trHeight w:val="1200"/>
          <w:jc w:val="center"/>
        </w:trPr>
        <w:tc>
          <w:tcPr>
            <w:tcW w:w="1660" w:type="dxa"/>
            <w:tcBorders>
              <w:top w:val="nil"/>
              <w:left w:val="single" w:sz="4" w:space="0" w:color="auto"/>
              <w:bottom w:val="single" w:sz="4" w:space="0" w:color="auto"/>
              <w:right w:val="single" w:sz="4" w:space="0" w:color="auto"/>
            </w:tcBorders>
            <w:vAlign w:val="center"/>
            <w:hideMark/>
          </w:tcPr>
          <w:p w14:paraId="19126075"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Payable Turnover (in days)</w:t>
            </w:r>
          </w:p>
        </w:tc>
        <w:tc>
          <w:tcPr>
            <w:tcW w:w="2200" w:type="dxa"/>
            <w:tcBorders>
              <w:top w:val="nil"/>
              <w:left w:val="nil"/>
              <w:bottom w:val="single" w:sz="4" w:space="0" w:color="auto"/>
              <w:right w:val="single" w:sz="4" w:space="0" w:color="auto"/>
            </w:tcBorders>
            <w:vAlign w:val="center"/>
            <w:hideMark/>
          </w:tcPr>
          <w:p w14:paraId="710B2E09"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(Trade Payable / COGS ) 365</w:t>
            </w:r>
          </w:p>
        </w:tc>
        <w:tc>
          <w:tcPr>
            <w:tcW w:w="1180" w:type="dxa"/>
            <w:tcBorders>
              <w:top w:val="nil"/>
              <w:left w:val="nil"/>
              <w:bottom w:val="single" w:sz="4" w:space="0" w:color="auto"/>
              <w:right w:val="single" w:sz="4" w:space="0" w:color="auto"/>
            </w:tcBorders>
            <w:vAlign w:val="bottom"/>
            <w:hideMark/>
          </w:tcPr>
          <w:p w14:paraId="54F1FEB0"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(13371 / 77733)* 365 = 63 Days</w:t>
            </w:r>
          </w:p>
        </w:tc>
        <w:tc>
          <w:tcPr>
            <w:tcW w:w="1160" w:type="dxa"/>
            <w:tcBorders>
              <w:top w:val="nil"/>
              <w:left w:val="nil"/>
              <w:bottom w:val="single" w:sz="4" w:space="0" w:color="auto"/>
              <w:right w:val="single" w:sz="4" w:space="0" w:color="auto"/>
            </w:tcBorders>
            <w:vAlign w:val="bottom"/>
            <w:hideMark/>
          </w:tcPr>
          <w:p w14:paraId="62C483AC"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(12474 / 80240)* 365 = 57 Days</w:t>
            </w:r>
          </w:p>
        </w:tc>
        <w:tc>
          <w:tcPr>
            <w:tcW w:w="1360" w:type="dxa"/>
            <w:tcBorders>
              <w:top w:val="nil"/>
              <w:left w:val="nil"/>
              <w:bottom w:val="single" w:sz="4" w:space="0" w:color="auto"/>
              <w:right w:val="single" w:sz="4" w:space="0" w:color="auto"/>
            </w:tcBorders>
            <w:vAlign w:val="bottom"/>
            <w:hideMark/>
          </w:tcPr>
          <w:p w14:paraId="27FC403E"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(14431 / 79113) * 365 = 67 Days </w:t>
            </w:r>
          </w:p>
        </w:tc>
        <w:tc>
          <w:tcPr>
            <w:tcW w:w="1360" w:type="dxa"/>
            <w:tcBorders>
              <w:top w:val="nil"/>
              <w:left w:val="nil"/>
              <w:bottom w:val="single" w:sz="4" w:space="0" w:color="auto"/>
              <w:right w:val="single" w:sz="4" w:space="0" w:color="auto"/>
            </w:tcBorders>
            <w:vAlign w:val="bottom"/>
            <w:hideMark/>
          </w:tcPr>
          <w:p w14:paraId="13394D70"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(15255 / 60609) * 365 = 92 Days </w:t>
            </w:r>
          </w:p>
        </w:tc>
        <w:tc>
          <w:tcPr>
            <w:tcW w:w="1220" w:type="dxa"/>
            <w:tcBorders>
              <w:top w:val="nil"/>
              <w:left w:val="nil"/>
              <w:bottom w:val="single" w:sz="4" w:space="0" w:color="auto"/>
              <w:right w:val="single" w:sz="4" w:space="0" w:color="auto"/>
            </w:tcBorders>
            <w:vAlign w:val="bottom"/>
            <w:hideMark/>
          </w:tcPr>
          <w:p w14:paraId="185C7D09"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(10025 / 40217) * 365 = 91 Days </w:t>
            </w:r>
          </w:p>
        </w:tc>
      </w:tr>
      <w:tr w:rsidR="00D30489" w14:paraId="704C380B" w14:textId="77777777" w:rsidTr="00BF38A9">
        <w:trPr>
          <w:trHeight w:val="900"/>
          <w:jc w:val="center"/>
        </w:trPr>
        <w:tc>
          <w:tcPr>
            <w:tcW w:w="1660" w:type="dxa"/>
            <w:tcBorders>
              <w:top w:val="nil"/>
              <w:left w:val="single" w:sz="4" w:space="0" w:color="auto"/>
              <w:bottom w:val="single" w:sz="4" w:space="0" w:color="auto"/>
              <w:right w:val="single" w:sz="4" w:space="0" w:color="auto"/>
            </w:tcBorders>
            <w:vAlign w:val="center"/>
            <w:hideMark/>
          </w:tcPr>
          <w:p w14:paraId="3023FB5F"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Cash Operating Cycle</w:t>
            </w:r>
          </w:p>
        </w:tc>
        <w:tc>
          <w:tcPr>
            <w:tcW w:w="2200" w:type="dxa"/>
            <w:tcBorders>
              <w:top w:val="nil"/>
              <w:left w:val="nil"/>
              <w:bottom w:val="single" w:sz="4" w:space="0" w:color="auto"/>
              <w:right w:val="single" w:sz="4" w:space="0" w:color="auto"/>
            </w:tcBorders>
            <w:vAlign w:val="center"/>
            <w:hideMark/>
          </w:tcPr>
          <w:p w14:paraId="6F6F3AB5"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Receivable days + Inventory days - Payable days</w:t>
            </w:r>
          </w:p>
        </w:tc>
        <w:tc>
          <w:tcPr>
            <w:tcW w:w="1180" w:type="dxa"/>
            <w:tcBorders>
              <w:top w:val="nil"/>
              <w:left w:val="nil"/>
              <w:bottom w:val="single" w:sz="4" w:space="0" w:color="auto"/>
              <w:right w:val="single" w:sz="4" w:space="0" w:color="auto"/>
            </w:tcBorders>
            <w:vAlign w:val="bottom"/>
            <w:hideMark/>
          </w:tcPr>
          <w:p w14:paraId="192C31BC"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18+58-63 = 13 Days</w:t>
            </w:r>
          </w:p>
        </w:tc>
        <w:tc>
          <w:tcPr>
            <w:tcW w:w="1160" w:type="dxa"/>
            <w:tcBorders>
              <w:top w:val="nil"/>
              <w:left w:val="nil"/>
              <w:bottom w:val="single" w:sz="4" w:space="0" w:color="auto"/>
              <w:right w:val="single" w:sz="4" w:space="0" w:color="auto"/>
            </w:tcBorders>
            <w:vAlign w:val="bottom"/>
            <w:hideMark/>
          </w:tcPr>
          <w:p w14:paraId="4F7CB610"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17+55-57 = 15 Days</w:t>
            </w:r>
          </w:p>
        </w:tc>
        <w:tc>
          <w:tcPr>
            <w:tcW w:w="1360" w:type="dxa"/>
            <w:tcBorders>
              <w:top w:val="nil"/>
              <w:left w:val="nil"/>
              <w:bottom w:val="single" w:sz="4" w:space="0" w:color="auto"/>
              <w:right w:val="single" w:sz="4" w:space="0" w:color="auto"/>
            </w:tcBorders>
            <w:vAlign w:val="bottom"/>
            <w:hideMark/>
          </w:tcPr>
          <w:p w14:paraId="7E616990"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13+63-67 = 9 Days </w:t>
            </w:r>
          </w:p>
        </w:tc>
        <w:tc>
          <w:tcPr>
            <w:tcW w:w="1360" w:type="dxa"/>
            <w:tcBorders>
              <w:top w:val="nil"/>
              <w:left w:val="nil"/>
              <w:bottom w:val="single" w:sz="4" w:space="0" w:color="auto"/>
              <w:right w:val="single" w:sz="4" w:space="0" w:color="auto"/>
            </w:tcBorders>
            <w:vAlign w:val="bottom"/>
            <w:hideMark/>
          </w:tcPr>
          <w:p w14:paraId="7A1BACC6"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13+77-92 = (2) Days </w:t>
            </w:r>
          </w:p>
        </w:tc>
        <w:tc>
          <w:tcPr>
            <w:tcW w:w="1220" w:type="dxa"/>
            <w:tcBorders>
              <w:top w:val="nil"/>
              <w:left w:val="nil"/>
              <w:bottom w:val="single" w:sz="4" w:space="0" w:color="auto"/>
              <w:right w:val="single" w:sz="4" w:space="0" w:color="auto"/>
            </w:tcBorders>
            <w:vAlign w:val="bottom"/>
            <w:hideMark/>
          </w:tcPr>
          <w:p w14:paraId="12C024B0" w14:textId="77777777" w:rsidR="00BF38A9" w:rsidRPr="00BF38A9" w:rsidRDefault="00732348" w:rsidP="00BF38A9">
            <w:pPr>
              <w:spacing w:after="0" w:line="240" w:lineRule="auto"/>
              <w:jc w:val="center"/>
              <w:rPr>
                <w:rFonts w:ascii="Arial" w:eastAsia="Times New Roman" w:hAnsi="Arial" w:cs="Arial"/>
                <w:color w:val="000000"/>
                <w:szCs w:val="24"/>
                <w:lang w:val="" w:eastAsia=""/>
              </w:rPr>
            </w:pPr>
            <w:r w:rsidRPr="00BF38A9">
              <w:rPr>
                <w:rFonts w:ascii="Arial" w:eastAsia="Times New Roman" w:hAnsi="Arial" w:cs="Arial"/>
                <w:color w:val="000000"/>
                <w:szCs w:val="24"/>
                <w:lang w:val="" w:eastAsia=""/>
              </w:rPr>
              <w:t xml:space="preserve">  13+52-91 = (26) Days) </w:t>
            </w:r>
          </w:p>
        </w:tc>
      </w:tr>
    </w:tbl>
    <w:p w14:paraId="370F0278" w14:textId="77777777" w:rsidR="005A09E0" w:rsidRDefault="005A09E0" w:rsidP="00BF38A9">
      <w:pPr>
        <w:spacing w:line="360" w:lineRule="auto"/>
        <w:rPr>
          <w:rFonts w:ascii="Times" w:hAnsi="Times" w:cs="Arial"/>
          <w:b/>
          <w:bCs/>
        </w:rPr>
      </w:pPr>
    </w:p>
    <w:p w14:paraId="55DE94D4" w14:textId="29966FC3" w:rsidR="00373D8D" w:rsidRDefault="00732348" w:rsidP="00BF38A9">
      <w:pPr>
        <w:spacing w:line="360" w:lineRule="auto"/>
        <w:rPr>
          <w:rFonts w:ascii="Times" w:hAnsi="Times" w:cs="Arial"/>
        </w:rPr>
      </w:pPr>
      <w:r w:rsidRPr="00AF0F5F">
        <w:rPr>
          <w:rFonts w:ascii="Times" w:hAnsi="Times" w:cs="Arial"/>
        </w:rPr>
        <w:t xml:space="preserve">The analysis for the cash operating cycle of Tesla shows the unfavorable </w:t>
      </w:r>
      <w:r w:rsidR="00AF0F5F" w:rsidRPr="00AF0F5F">
        <w:rPr>
          <w:rFonts w:ascii="Times" w:hAnsi="Times" w:cs="Arial"/>
        </w:rPr>
        <w:t>position in</w:t>
      </w:r>
      <w:r w:rsidRPr="00AF0F5F">
        <w:rPr>
          <w:rFonts w:ascii="Times" w:hAnsi="Times" w:cs="Arial"/>
        </w:rPr>
        <w:t xml:space="preserve"> 2024 and 2025, which was due to effective working capital management; the cash operating cycle was efficient</w:t>
      </w:r>
      <w:r w:rsidR="00780E64">
        <w:rPr>
          <w:rFonts w:ascii="Times" w:hAnsi="Times" w:cs="Arial"/>
        </w:rPr>
        <w:t xml:space="preserve"> </w:t>
      </w:r>
      <w:r w:rsidR="00780E64" w:rsidRPr="00D34F86">
        <w:rPr>
          <w:rFonts w:ascii="Times" w:hAnsi="Times" w:cs="Times"/>
          <w:szCs w:val="24"/>
        </w:rPr>
        <w:t>(Habib, 2022).</w:t>
      </w:r>
      <w:r w:rsidR="00AF0F5F">
        <w:rPr>
          <w:rFonts w:ascii="Times" w:hAnsi="Times" w:cs="Arial"/>
        </w:rPr>
        <w:t xml:space="preserve"> The net cash operating cycle days were negative in 2021 and 2022, which means that the company is only paying its vendors/ suppliers once the cash is received from customers. This shows a better relationship with the suppliers to get extended credit terms, which can not </w:t>
      </w:r>
      <w:r w:rsidR="008B5156">
        <w:rPr>
          <w:rFonts w:ascii="Times" w:hAnsi="Times" w:cs="Arial"/>
        </w:rPr>
        <w:t>affect</w:t>
      </w:r>
      <w:r w:rsidR="00AF0F5F">
        <w:rPr>
          <w:rFonts w:ascii="Times" w:hAnsi="Times" w:cs="Arial"/>
        </w:rPr>
        <w:t xml:space="preserve"> the cash flow position</w:t>
      </w:r>
      <w:r w:rsidR="003F540F">
        <w:rPr>
          <w:rFonts w:ascii="Times" w:hAnsi="Times" w:cs="Arial"/>
        </w:rPr>
        <w:t xml:space="preserve"> negatively, and the bargaining power of Tesla over its suppliers was high</w:t>
      </w:r>
      <w:r w:rsidR="00780E64">
        <w:rPr>
          <w:rFonts w:ascii="Times" w:hAnsi="Times" w:cs="Arial"/>
        </w:rPr>
        <w:t xml:space="preserve"> </w:t>
      </w:r>
      <w:r w:rsidR="00780E64" w:rsidRPr="00D34F86">
        <w:rPr>
          <w:rFonts w:ascii="Times" w:hAnsi="Times" w:cs="Times"/>
          <w:szCs w:val="24"/>
        </w:rPr>
        <w:t>(Zheng et al., 2022).</w:t>
      </w:r>
      <w:r w:rsidR="00B812A4">
        <w:rPr>
          <w:rFonts w:ascii="Times" w:hAnsi="Times" w:cs="Arial"/>
        </w:rPr>
        <w:t xml:space="preserve"> In 2021 and 2022, the inventory and receivable management was effective.</w:t>
      </w:r>
    </w:p>
    <w:p w14:paraId="57005DAF" w14:textId="59EC51B6" w:rsidR="008B5156" w:rsidRPr="00AF0F5F" w:rsidRDefault="00732348" w:rsidP="00BF38A9">
      <w:pPr>
        <w:spacing w:line="360" w:lineRule="auto"/>
        <w:rPr>
          <w:rFonts w:ascii="Times" w:hAnsi="Times" w:cs="Arial"/>
        </w:rPr>
      </w:pPr>
      <w:r>
        <w:rPr>
          <w:rFonts w:ascii="Times" w:hAnsi="Times" w:cs="Arial"/>
        </w:rPr>
        <w:t>There was a positive cash operating cycle from 2023 to 2025. This shows that inventory and receivables are taking more time, and payable days are reduced compared to the performance in previous years</w:t>
      </w:r>
      <w:r w:rsidR="00780E64">
        <w:rPr>
          <w:rFonts w:ascii="Times" w:hAnsi="Times" w:cs="Arial"/>
        </w:rPr>
        <w:t xml:space="preserve"> </w:t>
      </w:r>
      <w:r w:rsidR="00780E64" w:rsidRPr="00D34F86">
        <w:rPr>
          <w:rFonts w:ascii="Times" w:hAnsi="Times" w:cs="Times"/>
          <w:szCs w:val="24"/>
        </w:rPr>
        <w:t>(Aldubhani et al., 2022).</w:t>
      </w:r>
      <w:r>
        <w:rPr>
          <w:rFonts w:ascii="Times" w:hAnsi="Times" w:cs="Arial"/>
        </w:rPr>
        <w:t xml:space="preserve"> This shows that vendors </w:t>
      </w:r>
      <w:r w:rsidR="00DD6DBF">
        <w:rPr>
          <w:rFonts w:ascii="Times" w:hAnsi="Times" w:cs="Arial"/>
        </w:rPr>
        <w:t>have</w:t>
      </w:r>
      <w:r>
        <w:rPr>
          <w:rFonts w:ascii="Times" w:hAnsi="Times" w:cs="Arial"/>
        </w:rPr>
        <w:t xml:space="preserve"> reduced their credit days and made adjustments in the payment terms.</w:t>
      </w:r>
      <w:r w:rsidR="00DD6DBF">
        <w:rPr>
          <w:rFonts w:ascii="Times" w:hAnsi="Times" w:cs="Arial"/>
        </w:rPr>
        <w:t xml:space="preserve"> Although the cash operating cycle shows 15 days in 2024, it is also efficient in comparison to the standards of the industry. The declining position from negative to positive cash operating cycle of Tesla shows a reduction in the efficiency of working capital management</w:t>
      </w:r>
      <w:r w:rsidR="00780E64">
        <w:rPr>
          <w:rFonts w:ascii="Times" w:hAnsi="Times" w:cs="Arial"/>
        </w:rPr>
        <w:t xml:space="preserve"> </w:t>
      </w:r>
      <w:r w:rsidR="00780E64" w:rsidRPr="00D34F86">
        <w:rPr>
          <w:rFonts w:ascii="Times" w:hAnsi="Times" w:cs="Times"/>
          <w:szCs w:val="24"/>
        </w:rPr>
        <w:t>(Mandipa and Sibindi, 2022).</w:t>
      </w:r>
      <w:r w:rsidR="00DD6DBF">
        <w:rPr>
          <w:rFonts w:ascii="Times" w:hAnsi="Times" w:cs="Arial"/>
        </w:rPr>
        <w:t xml:space="preserve"> This is due to a reduction in demand and expansion into global markets.</w:t>
      </w:r>
    </w:p>
    <w:p w14:paraId="4416E627" w14:textId="77777777" w:rsidR="001C0FCB" w:rsidRPr="003C0032" w:rsidRDefault="00732348" w:rsidP="00732348">
      <w:pPr>
        <w:pStyle w:val="Heading2"/>
        <w:numPr>
          <w:ilvl w:val="0"/>
          <w:numId w:val="4"/>
        </w:numPr>
        <w:spacing w:line="360" w:lineRule="auto"/>
        <w:rPr>
          <w:rFonts w:ascii="Times" w:hAnsi="Times" w:cs="Arial"/>
          <w:sz w:val="24"/>
          <w:szCs w:val="24"/>
        </w:rPr>
      </w:pPr>
      <w:bookmarkStart w:id="8" w:name="_Toc224784043"/>
      <w:r w:rsidRPr="003C0032">
        <w:rPr>
          <w:rFonts w:ascii="Times" w:hAnsi="Times" w:cs="Arial"/>
          <w:sz w:val="24"/>
          <w:szCs w:val="24"/>
        </w:rPr>
        <w:lastRenderedPageBreak/>
        <w:t>Recommendation</w:t>
      </w:r>
      <w:bookmarkEnd w:id="8"/>
      <w:r w:rsidRPr="003C0032">
        <w:rPr>
          <w:rFonts w:ascii="Times" w:hAnsi="Times" w:cs="Arial"/>
          <w:sz w:val="24"/>
          <w:szCs w:val="24"/>
        </w:rPr>
        <w:t xml:space="preserve"> </w:t>
      </w:r>
    </w:p>
    <w:p w14:paraId="3D884F5E" w14:textId="42ED1D3F" w:rsidR="00D26222" w:rsidRDefault="00732348" w:rsidP="00D26222">
      <w:pPr>
        <w:spacing w:line="360" w:lineRule="auto"/>
        <w:rPr>
          <w:rFonts w:ascii="Times" w:hAnsi="Times" w:cs="Arial"/>
        </w:rPr>
      </w:pPr>
      <w:r w:rsidRPr="00645FFD">
        <w:rPr>
          <w:rFonts w:ascii="Times" w:hAnsi="Times" w:cs="Arial"/>
        </w:rPr>
        <w:t>Tesla can work towards improvement in its liquidity position through reforms of working capital, which are targeted.</w:t>
      </w:r>
      <w:r w:rsidR="00645FFD">
        <w:rPr>
          <w:rFonts w:ascii="Times" w:hAnsi="Times" w:cs="Arial"/>
        </w:rPr>
        <w:t xml:space="preserve"> The main focus of the company should be on effective management of receivables, payables, and inventory</w:t>
      </w:r>
      <w:r w:rsidR="00780E64">
        <w:rPr>
          <w:rFonts w:ascii="Times" w:hAnsi="Times" w:cs="Arial"/>
        </w:rPr>
        <w:t xml:space="preserve"> </w:t>
      </w:r>
      <w:r w:rsidR="00780E64" w:rsidRPr="00D34F86">
        <w:rPr>
          <w:rFonts w:ascii="Times" w:hAnsi="Times" w:cs="Times"/>
          <w:szCs w:val="24"/>
        </w:rPr>
        <w:t>(Ahmad et al., 2022).</w:t>
      </w:r>
      <w:r w:rsidR="00645FFD">
        <w:rPr>
          <w:rFonts w:ascii="Times" w:hAnsi="Times" w:cs="Arial"/>
        </w:rPr>
        <w:t xml:space="preserve"> The liquidity position of Tesla is comparatively strong throughout the period, but the decline in cash operating cycle shows that the strategies for cash conversion need to be improved and become more efficient.</w:t>
      </w:r>
      <w:r w:rsidR="0042446F">
        <w:rPr>
          <w:rFonts w:ascii="Times" w:hAnsi="Times" w:cs="Arial"/>
        </w:rPr>
        <w:t xml:space="preserve"> </w:t>
      </w:r>
      <w:r w:rsidR="00D80528">
        <w:rPr>
          <w:rFonts w:ascii="Times" w:hAnsi="Times" w:cs="Arial"/>
        </w:rPr>
        <w:t>Firstly,</w:t>
      </w:r>
      <w:r w:rsidR="0042446F">
        <w:rPr>
          <w:rFonts w:ascii="Times" w:hAnsi="Times" w:cs="Arial"/>
        </w:rPr>
        <w:t xml:space="preserve"> for making improvements in the management of receivables, this can be done through a reduction in the credit days offered to the customers, as this will increase the cash collection and conversion of credit sales into cash quickly</w:t>
      </w:r>
      <w:r w:rsidR="00780E64">
        <w:rPr>
          <w:rFonts w:ascii="Times" w:hAnsi="Times" w:cs="Arial"/>
        </w:rPr>
        <w:t xml:space="preserve"> </w:t>
      </w:r>
      <w:r w:rsidR="00780E64" w:rsidRPr="00D34F86">
        <w:rPr>
          <w:rFonts w:ascii="Times" w:hAnsi="Times" w:cs="Times"/>
          <w:szCs w:val="24"/>
        </w:rPr>
        <w:t>(Rahmiyati et al., 2024).</w:t>
      </w:r>
      <w:r w:rsidR="00D80528">
        <w:rPr>
          <w:rFonts w:ascii="Times" w:hAnsi="Times" w:cs="Arial"/>
        </w:rPr>
        <w:t xml:space="preserve"> The cash inflows </w:t>
      </w:r>
      <w:r w:rsidR="00FC0A80">
        <w:rPr>
          <w:rFonts w:ascii="Times" w:hAnsi="Times" w:cs="Arial"/>
        </w:rPr>
        <w:t>become</w:t>
      </w:r>
      <w:r w:rsidR="00D80528">
        <w:rPr>
          <w:rFonts w:ascii="Times" w:hAnsi="Times" w:cs="Arial"/>
        </w:rPr>
        <w:t xml:space="preserve"> weak due to an increase in receivable days, which is because of the expansion in financing structure for buyers. The credit assessment should be strict, providing customers with discounts for paying earlier</w:t>
      </w:r>
      <w:r w:rsidR="00780E64">
        <w:rPr>
          <w:rFonts w:ascii="Times" w:hAnsi="Times" w:cs="Arial"/>
        </w:rPr>
        <w:t xml:space="preserve"> </w:t>
      </w:r>
      <w:r w:rsidR="00780E64" w:rsidRPr="00D34F86">
        <w:rPr>
          <w:rFonts w:ascii="Times" w:hAnsi="Times" w:cs="Times"/>
          <w:szCs w:val="24"/>
        </w:rPr>
        <w:t>(Hamshari et al., 2022).</w:t>
      </w:r>
      <w:r w:rsidR="00D80528">
        <w:rPr>
          <w:rFonts w:ascii="Times" w:hAnsi="Times" w:cs="Arial"/>
        </w:rPr>
        <w:t xml:space="preserve"> The cash inflows can also be improved by creating a partnership with the financial institutions to adjust the financing of customers based on the statement of financial position.</w:t>
      </w:r>
    </w:p>
    <w:p w14:paraId="3159A3E3" w14:textId="13317835" w:rsidR="00FC0A80" w:rsidRDefault="00732348" w:rsidP="00D26222">
      <w:pPr>
        <w:spacing w:line="360" w:lineRule="auto"/>
        <w:rPr>
          <w:rFonts w:ascii="Times" w:hAnsi="Times" w:cs="Arial"/>
        </w:rPr>
      </w:pPr>
      <w:r>
        <w:rPr>
          <w:rFonts w:ascii="Times" w:hAnsi="Times" w:cs="Arial"/>
        </w:rPr>
        <w:t>Secondly, there is a need for optimization to improve inventory management. There is an improvement in inventory days considering the results in 2021 and 2022, but the fluctuations throughout the five years were high, which shows ineffectiveness in the production facilities, planning, and forecasting of demand.</w:t>
      </w:r>
      <w:r w:rsidR="00550740">
        <w:rPr>
          <w:rFonts w:ascii="Times" w:hAnsi="Times" w:cs="Arial"/>
        </w:rPr>
        <w:t xml:space="preserve"> There is a need for the adoption of AI-based forecasting methods and data analytics to integrate this with production and trends in market demand</w:t>
      </w:r>
      <w:r w:rsidR="00780E64">
        <w:rPr>
          <w:rFonts w:ascii="Times" w:hAnsi="Times" w:cs="Arial"/>
        </w:rPr>
        <w:t xml:space="preserve"> </w:t>
      </w:r>
      <w:r w:rsidR="00780E64" w:rsidRPr="00D34F86">
        <w:rPr>
          <w:rFonts w:ascii="Times" w:hAnsi="Times" w:cs="Times"/>
          <w:szCs w:val="24"/>
        </w:rPr>
        <w:t>(Anton and Nucu, 2022).</w:t>
      </w:r>
      <w:r w:rsidR="00692A3C">
        <w:rPr>
          <w:rFonts w:ascii="Times" w:hAnsi="Times" w:cs="Arial"/>
        </w:rPr>
        <w:t xml:space="preserve"> These strategies can help Tesla overcome holding costs by reducing excess inventory.</w:t>
      </w:r>
      <w:r w:rsidR="00B463D4">
        <w:rPr>
          <w:rFonts w:ascii="Times" w:hAnsi="Times" w:cs="Arial"/>
        </w:rPr>
        <w:t xml:space="preserve"> The inventory management should also include a just-in-time system, which can help in the reduction of inventory levels and save some cash</w:t>
      </w:r>
      <w:r w:rsidR="00780E64">
        <w:rPr>
          <w:rFonts w:ascii="Times" w:hAnsi="Times" w:cs="Arial"/>
        </w:rPr>
        <w:t xml:space="preserve"> </w:t>
      </w:r>
      <w:r w:rsidR="00780E64" w:rsidRPr="00D34F86">
        <w:rPr>
          <w:rFonts w:ascii="Times" w:hAnsi="Times" w:cs="Times"/>
          <w:szCs w:val="24"/>
        </w:rPr>
        <w:t>(Stanić et al., 2023).</w:t>
      </w:r>
    </w:p>
    <w:p w14:paraId="56F11407" w14:textId="3C5EB0A1" w:rsidR="00D80528" w:rsidRPr="00645FFD" w:rsidRDefault="00732348" w:rsidP="00D26222">
      <w:pPr>
        <w:spacing w:line="360" w:lineRule="auto"/>
        <w:rPr>
          <w:rFonts w:ascii="Times" w:hAnsi="Times" w:cs="Arial"/>
        </w:rPr>
      </w:pPr>
      <w:r>
        <w:rPr>
          <w:rFonts w:ascii="Times" w:hAnsi="Times" w:cs="Arial"/>
        </w:rPr>
        <w:t>Lastly, for management of payables, Tesla should use its relationship with the suppliers to get extended credit days, and this should not affect the relationship.</w:t>
      </w:r>
      <w:r w:rsidR="003578DB">
        <w:rPr>
          <w:rFonts w:ascii="Times" w:hAnsi="Times" w:cs="Arial"/>
        </w:rPr>
        <w:t xml:space="preserve"> In the years of 2021 and 2022, there were extended credit days offered to Tesla by vendors, which was efficient for its positive cash flow</w:t>
      </w:r>
      <w:r w:rsidR="00780E64">
        <w:rPr>
          <w:rFonts w:ascii="Times" w:hAnsi="Times" w:cs="Arial"/>
        </w:rPr>
        <w:t xml:space="preserve"> </w:t>
      </w:r>
      <w:r w:rsidR="00780E64" w:rsidRPr="00D34F86">
        <w:rPr>
          <w:rFonts w:ascii="Times" w:hAnsi="Times" w:cs="Times"/>
          <w:szCs w:val="24"/>
        </w:rPr>
        <w:t>(Banerjee and Guha Deb, 2024).</w:t>
      </w:r>
      <w:r w:rsidR="003578DB">
        <w:rPr>
          <w:rFonts w:ascii="Times" w:hAnsi="Times" w:cs="Arial"/>
        </w:rPr>
        <w:t xml:space="preserve"> Rebuilding beneficial credit days or benefiting from the marketing position can have a positive effect on the liquidity position in the short term. There should be a balanced approach so that there will be no issues in supply chain management.</w:t>
      </w:r>
    </w:p>
    <w:p w14:paraId="799A4534" w14:textId="77777777" w:rsidR="001C0FCB" w:rsidRPr="003C0032" w:rsidRDefault="00732348" w:rsidP="00732348">
      <w:pPr>
        <w:pStyle w:val="Heading2"/>
        <w:numPr>
          <w:ilvl w:val="0"/>
          <w:numId w:val="4"/>
        </w:numPr>
        <w:spacing w:line="360" w:lineRule="auto"/>
        <w:rPr>
          <w:rFonts w:ascii="Times" w:hAnsi="Times" w:cs="Arial"/>
          <w:sz w:val="24"/>
          <w:szCs w:val="24"/>
        </w:rPr>
      </w:pPr>
      <w:bookmarkStart w:id="9" w:name="_Toc224784044"/>
      <w:r w:rsidRPr="003C0032">
        <w:rPr>
          <w:rFonts w:ascii="Times" w:hAnsi="Times" w:cs="Arial"/>
          <w:sz w:val="24"/>
          <w:szCs w:val="24"/>
        </w:rPr>
        <w:t>Short-term vs Long-term financing options</w:t>
      </w:r>
      <w:bookmarkEnd w:id="9"/>
    </w:p>
    <w:p w14:paraId="2E5DD4FA" w14:textId="486538CE" w:rsidR="0009213C" w:rsidRDefault="00732348" w:rsidP="0009213C">
      <w:pPr>
        <w:spacing w:line="360" w:lineRule="auto"/>
        <w:rPr>
          <w:rFonts w:ascii="Times" w:hAnsi="Times" w:cs="Arial"/>
        </w:rPr>
      </w:pPr>
      <w:r w:rsidRPr="00105496">
        <w:rPr>
          <w:rFonts w:ascii="Times" w:hAnsi="Times" w:cs="Arial"/>
        </w:rPr>
        <w:t>The analysis of the balance sheet for Tesla shows that the company holds a mixture of short and long-term financing options</w:t>
      </w:r>
      <w:r w:rsidR="00105496">
        <w:rPr>
          <w:rFonts w:ascii="Times" w:hAnsi="Times" w:cs="Arial"/>
        </w:rPr>
        <w:t xml:space="preserve">, and each resource has different consequences for the financial </w:t>
      </w:r>
      <w:r w:rsidR="00105496">
        <w:rPr>
          <w:rFonts w:ascii="Times" w:hAnsi="Times" w:cs="Arial"/>
        </w:rPr>
        <w:lastRenderedPageBreak/>
        <w:t>flexibility and liquidity risk. The short-term financing options for Tesla mainly include short-term liabilities like accounts payable and other obligations due in a year. Whereas non-current financing options include non-current debt (due for more than a year) and equities.</w:t>
      </w:r>
      <w:r w:rsidR="00DA703A">
        <w:rPr>
          <w:rFonts w:ascii="Times" w:hAnsi="Times" w:cs="Arial"/>
        </w:rPr>
        <w:t xml:space="preserve"> There is an important role of short-term financing in the structure of working capital for Tesla. In the cash operating cycle, Trade payables are also included, and these were efficient previousl</w:t>
      </w:r>
      <w:r w:rsidR="008250B9">
        <w:rPr>
          <w:rFonts w:ascii="Times" w:hAnsi="Times" w:cs="Arial"/>
        </w:rPr>
        <w:t>y. The payable days were higher for Tesla in 2021 and 2022</w:t>
      </w:r>
      <w:r w:rsidR="00780E64">
        <w:rPr>
          <w:rFonts w:ascii="Times" w:hAnsi="Times" w:cs="Arial"/>
        </w:rPr>
        <w:t xml:space="preserve"> </w:t>
      </w:r>
      <w:r w:rsidR="00780E64" w:rsidRPr="00D34F86">
        <w:rPr>
          <w:rFonts w:ascii="Times" w:hAnsi="Times" w:cs="Times"/>
          <w:szCs w:val="24"/>
        </w:rPr>
        <w:t>(Anton and Nucu, 2022).</w:t>
      </w:r>
      <w:r w:rsidR="008250B9">
        <w:rPr>
          <w:rFonts w:ascii="Times" w:hAnsi="Times" w:cs="Arial"/>
        </w:rPr>
        <w:t xml:space="preserve"> This shows that Tesla is efficient in taking more time to pay suppliers due to the effective use of credit days offered by suppliers, and has no cost of financing for this.</w:t>
      </w:r>
    </w:p>
    <w:p w14:paraId="60C042AD" w14:textId="0B8D4EE0" w:rsidR="00AC4D8E" w:rsidRDefault="00732348" w:rsidP="0009213C">
      <w:pPr>
        <w:spacing w:line="360" w:lineRule="auto"/>
        <w:rPr>
          <w:rFonts w:ascii="Times" w:hAnsi="Times" w:cs="Arial"/>
        </w:rPr>
      </w:pPr>
      <w:r>
        <w:rPr>
          <w:rFonts w:ascii="Times" w:hAnsi="Times" w:cs="Arial"/>
        </w:rPr>
        <w:t>The advance of trade payables (as a short-term financing option) is reduced because of an increase in days in 2024 and 2025. This has also put pressure on liquidity</w:t>
      </w:r>
      <w:r w:rsidR="00A273B5">
        <w:rPr>
          <w:rFonts w:ascii="Times" w:hAnsi="Times" w:cs="Arial"/>
        </w:rPr>
        <w:t>. Short-term financing options are flexible, and they are cheaper as well compared to long-term financing.</w:t>
      </w:r>
      <w:r w:rsidR="0039705B">
        <w:rPr>
          <w:rFonts w:ascii="Times" w:hAnsi="Times" w:cs="Arial"/>
        </w:rPr>
        <w:t xml:space="preserve"> There is a chance of exposure to liquidity risk with more dependency on short-term finance if short-term debt</w:t>
      </w:r>
      <w:r w:rsidR="00B818E2">
        <w:rPr>
          <w:rFonts w:ascii="Times" w:hAnsi="Times" w:cs="Arial"/>
        </w:rPr>
        <w:t>s</w:t>
      </w:r>
      <w:r w:rsidR="0039705B">
        <w:rPr>
          <w:rFonts w:ascii="Times" w:hAnsi="Times" w:cs="Arial"/>
        </w:rPr>
        <w:t xml:space="preserve"> are not paid quickly</w:t>
      </w:r>
      <w:r w:rsidR="00780E64">
        <w:rPr>
          <w:rFonts w:ascii="Times" w:hAnsi="Times" w:cs="Arial"/>
        </w:rPr>
        <w:t xml:space="preserve"> </w:t>
      </w:r>
      <w:r w:rsidR="00780E64" w:rsidRPr="00D34F86">
        <w:rPr>
          <w:rFonts w:ascii="Times" w:hAnsi="Times" w:cs="Times"/>
          <w:szCs w:val="24"/>
        </w:rPr>
        <w:t>(Stanić et al., 2023).</w:t>
      </w:r>
      <w:r w:rsidR="00B818E2">
        <w:rPr>
          <w:rFonts w:ascii="Times" w:hAnsi="Times" w:cs="Arial"/>
        </w:rPr>
        <w:t xml:space="preserve"> Conversely, the long-term financing options are the main basis of the capital structure of Tesla.</w:t>
      </w:r>
      <w:r w:rsidR="00757402">
        <w:rPr>
          <w:rFonts w:ascii="Times" w:hAnsi="Times" w:cs="Arial"/>
        </w:rPr>
        <w:t xml:space="preserve"> There is a stable growth in the equities from 2021 to 2025, showing that Tesla is dependent on shareholders' investment and retained earnings for expansion.</w:t>
      </w:r>
      <w:r w:rsidR="004767AF">
        <w:rPr>
          <w:rFonts w:ascii="Times" w:hAnsi="Times" w:cs="Arial"/>
        </w:rPr>
        <w:t xml:space="preserve"> This reliance </w:t>
      </w:r>
      <w:r>
        <w:rPr>
          <w:rFonts w:ascii="Times" w:hAnsi="Times" w:cs="Arial"/>
        </w:rPr>
        <w:t>reduces</w:t>
      </w:r>
      <w:r w:rsidR="004767AF">
        <w:rPr>
          <w:rFonts w:ascii="Times" w:hAnsi="Times" w:cs="Arial"/>
        </w:rPr>
        <w:t xml:space="preserve"> the dependency on debt and also </w:t>
      </w:r>
      <w:r>
        <w:rPr>
          <w:rFonts w:ascii="Times" w:hAnsi="Times" w:cs="Arial"/>
        </w:rPr>
        <w:t>decreases</w:t>
      </w:r>
      <w:r w:rsidR="004767AF">
        <w:rPr>
          <w:rFonts w:ascii="Times" w:hAnsi="Times" w:cs="Arial"/>
        </w:rPr>
        <w:t xml:space="preserve"> the financial risk.</w:t>
      </w:r>
    </w:p>
    <w:p w14:paraId="4ACAC81B" w14:textId="22CDB245" w:rsidR="0082432E" w:rsidRPr="00E0684E" w:rsidRDefault="00732348" w:rsidP="0082432E">
      <w:pPr>
        <w:spacing w:line="360" w:lineRule="auto"/>
        <w:rPr>
          <w:rFonts w:ascii="Times" w:hAnsi="Times" w:cs="Arial"/>
        </w:rPr>
      </w:pPr>
      <w:r>
        <w:rPr>
          <w:rFonts w:ascii="Times" w:hAnsi="Times" w:cs="Arial"/>
        </w:rPr>
        <w:t xml:space="preserve"> </w:t>
      </w:r>
      <w:r w:rsidR="00AC4D8E">
        <w:rPr>
          <w:rFonts w:ascii="Times" w:hAnsi="Times" w:cs="Arial"/>
        </w:rPr>
        <w:t>Over the years, the debt-to-equity ratio for Tesla has also reduced, which means that its financial leverage is declining, and financial stability is improving.</w:t>
      </w:r>
      <w:r w:rsidR="00446283">
        <w:rPr>
          <w:rFonts w:ascii="Times" w:hAnsi="Times" w:cs="Arial"/>
        </w:rPr>
        <w:t xml:space="preserve"> Although there is long-term debt, the support is provided by a strong interest coverage ratio</w:t>
      </w:r>
      <w:r w:rsidR="00C06E95">
        <w:rPr>
          <w:rFonts w:ascii="Times" w:hAnsi="Times" w:cs="Arial"/>
        </w:rPr>
        <w:t xml:space="preserve"> </w:t>
      </w:r>
      <w:r w:rsidR="00C06E95" w:rsidRPr="00D34F86">
        <w:rPr>
          <w:rFonts w:ascii="Times" w:hAnsi="Times" w:cs="Times"/>
          <w:szCs w:val="24"/>
        </w:rPr>
        <w:t>(Banerjee and Guha Deb, 2024).</w:t>
      </w:r>
      <w:r w:rsidR="00994A39">
        <w:rPr>
          <w:rFonts w:ascii="Times" w:hAnsi="Times" w:cs="Arial"/>
        </w:rPr>
        <w:t xml:space="preserve"> The strategic point of view shows that there is stability provided through long-term financing, and also provides support to the </w:t>
      </w:r>
      <w:r w:rsidR="00337B17">
        <w:rPr>
          <w:rFonts w:ascii="Times" w:hAnsi="Times" w:cs="Arial"/>
        </w:rPr>
        <w:t>capital-based</w:t>
      </w:r>
      <w:r w:rsidR="00994A39">
        <w:rPr>
          <w:rFonts w:ascii="Times" w:hAnsi="Times" w:cs="Arial"/>
        </w:rPr>
        <w:t xml:space="preserve"> investments</w:t>
      </w:r>
      <w:r w:rsidR="00337B17">
        <w:rPr>
          <w:rFonts w:ascii="Times" w:hAnsi="Times" w:cs="Arial"/>
        </w:rPr>
        <w:t>, like facilities of production and development of advanced technologies.</w:t>
      </w:r>
    </w:p>
    <w:p w14:paraId="606B84CE" w14:textId="77777777" w:rsidR="0082432E" w:rsidRPr="003C0032" w:rsidRDefault="00732348" w:rsidP="00732348">
      <w:pPr>
        <w:pStyle w:val="Heading2"/>
        <w:numPr>
          <w:ilvl w:val="0"/>
          <w:numId w:val="3"/>
        </w:numPr>
        <w:spacing w:line="360" w:lineRule="auto"/>
        <w:rPr>
          <w:rFonts w:ascii="Times" w:hAnsi="Times" w:cs="Arial"/>
          <w:sz w:val="24"/>
          <w:szCs w:val="24"/>
        </w:rPr>
      </w:pPr>
      <w:bookmarkStart w:id="10" w:name="_Toc224784045"/>
      <w:r w:rsidRPr="003C0032">
        <w:rPr>
          <w:rFonts w:ascii="Times" w:hAnsi="Times" w:cs="Arial"/>
          <w:sz w:val="24"/>
          <w:szCs w:val="24"/>
        </w:rPr>
        <w:t>Strategic Financial Restructuring Plan</w:t>
      </w:r>
      <w:bookmarkEnd w:id="10"/>
    </w:p>
    <w:p w14:paraId="17D2BA3D" w14:textId="77777777" w:rsidR="00241750" w:rsidRPr="003C0032" w:rsidRDefault="00732348" w:rsidP="00732348">
      <w:pPr>
        <w:pStyle w:val="Heading2"/>
        <w:numPr>
          <w:ilvl w:val="0"/>
          <w:numId w:val="4"/>
        </w:numPr>
        <w:spacing w:line="360" w:lineRule="auto"/>
        <w:rPr>
          <w:rFonts w:ascii="Times" w:hAnsi="Times" w:cs="Arial"/>
          <w:sz w:val="24"/>
          <w:szCs w:val="24"/>
        </w:rPr>
      </w:pPr>
      <w:bookmarkStart w:id="11" w:name="_Toc224784046"/>
      <w:r w:rsidRPr="003C0032">
        <w:rPr>
          <w:rFonts w:ascii="Times" w:hAnsi="Times" w:cs="Arial"/>
          <w:sz w:val="24"/>
          <w:szCs w:val="24"/>
        </w:rPr>
        <w:t>Recommendation for financial restr</w:t>
      </w:r>
      <w:r w:rsidR="0003413B" w:rsidRPr="003C0032">
        <w:rPr>
          <w:rFonts w:ascii="Times" w:hAnsi="Times" w:cs="Arial"/>
          <w:sz w:val="24"/>
          <w:szCs w:val="24"/>
        </w:rPr>
        <w:t>ucturing</w:t>
      </w:r>
      <w:r w:rsidRPr="003C0032">
        <w:rPr>
          <w:rFonts w:ascii="Times" w:hAnsi="Times" w:cs="Arial"/>
          <w:sz w:val="24"/>
          <w:szCs w:val="24"/>
        </w:rPr>
        <w:t xml:space="preserve"> option</w:t>
      </w:r>
      <w:bookmarkEnd w:id="11"/>
      <w:r w:rsidRPr="003C0032">
        <w:rPr>
          <w:rFonts w:ascii="Times" w:hAnsi="Times" w:cs="Arial"/>
          <w:sz w:val="24"/>
          <w:szCs w:val="24"/>
        </w:rPr>
        <w:t xml:space="preserve"> </w:t>
      </w:r>
    </w:p>
    <w:p w14:paraId="0A3F831D" w14:textId="22592B08" w:rsidR="00241750" w:rsidRDefault="00732348" w:rsidP="00241750">
      <w:pPr>
        <w:spacing w:line="360" w:lineRule="auto"/>
        <w:rPr>
          <w:rFonts w:ascii="Times" w:hAnsi="Times" w:cs="Arial"/>
        </w:rPr>
      </w:pPr>
      <w:r w:rsidRPr="0003413B">
        <w:rPr>
          <w:rFonts w:ascii="Times" w:hAnsi="Times" w:cs="Arial"/>
        </w:rPr>
        <w:t>After the analysis shows a reduction in profits</w:t>
      </w:r>
      <w:r>
        <w:rPr>
          <w:rFonts w:ascii="Times" w:hAnsi="Times" w:cs="Arial"/>
        </w:rPr>
        <w:t>, weak profit margins, and pressure from working capital</w:t>
      </w:r>
      <w:r w:rsidRPr="0003413B">
        <w:rPr>
          <w:rFonts w:ascii="Times" w:hAnsi="Times" w:cs="Arial"/>
        </w:rPr>
        <w:t xml:space="preserve"> of Tesla,</w:t>
      </w:r>
      <w:r>
        <w:rPr>
          <w:rFonts w:ascii="Times" w:hAnsi="Times" w:cs="Arial"/>
        </w:rPr>
        <w:t xml:space="preserve"> the efficiency can be restored using </w:t>
      </w:r>
      <w:r w:rsidR="00350D2A">
        <w:rPr>
          <w:rFonts w:ascii="Times" w:hAnsi="Times" w:cs="Arial"/>
        </w:rPr>
        <w:t>financial restructuring, which will also help in sustaining long-term expansion and providing strength to the returns.</w:t>
      </w:r>
      <w:r w:rsidR="0079588D">
        <w:rPr>
          <w:rFonts w:ascii="Times" w:hAnsi="Times" w:cs="Arial"/>
        </w:rPr>
        <w:t xml:space="preserve"> There should be a combination of strategic alternatives, such as injection of equity, partnerships, and divestiture</w:t>
      </w:r>
      <w:r w:rsidR="00C028E3">
        <w:rPr>
          <w:rFonts w:ascii="Times" w:hAnsi="Times" w:cs="Arial"/>
        </w:rPr>
        <w:t>, that can be an effective choice for Tesla</w:t>
      </w:r>
      <w:r w:rsidR="00F90854">
        <w:rPr>
          <w:rFonts w:ascii="Times" w:hAnsi="Times" w:cs="Arial"/>
        </w:rPr>
        <w:t xml:space="preserve"> </w:t>
      </w:r>
      <w:r w:rsidR="00F90854" w:rsidRPr="00D34F86">
        <w:rPr>
          <w:rFonts w:ascii="Times" w:hAnsi="Times" w:cs="Times"/>
          <w:szCs w:val="24"/>
        </w:rPr>
        <w:t>(Zaramella, 2023).</w:t>
      </w:r>
      <w:r w:rsidR="00EA0F00">
        <w:rPr>
          <w:rFonts w:ascii="Times" w:hAnsi="Times" w:cs="Arial"/>
        </w:rPr>
        <w:t xml:space="preserve"> </w:t>
      </w:r>
      <w:r w:rsidR="00EA0F00">
        <w:rPr>
          <w:rFonts w:ascii="Times" w:hAnsi="Times" w:cs="Arial"/>
          <w:iCs/>
        </w:rPr>
        <w:t xml:space="preserve">Initially, there should be consideration of exclusive </w:t>
      </w:r>
      <w:r w:rsidR="00EA0F00">
        <w:rPr>
          <w:rFonts w:ascii="Times" w:hAnsi="Times" w:cs="Arial"/>
        </w:rPr>
        <w:t>divestiture for those segments that are least important and underperforming.</w:t>
      </w:r>
      <w:r w:rsidR="007E2810">
        <w:rPr>
          <w:rFonts w:ascii="Times" w:hAnsi="Times" w:cs="Arial"/>
        </w:rPr>
        <w:t xml:space="preserve"> The expansion by Tesla is in areas like AI, energy storage, and autonomous </w:t>
      </w:r>
      <w:r w:rsidR="007E2810">
        <w:rPr>
          <w:rFonts w:ascii="Times" w:hAnsi="Times" w:cs="Arial"/>
        </w:rPr>
        <w:lastRenderedPageBreak/>
        <w:t>driving.</w:t>
      </w:r>
      <w:r w:rsidR="002B5C00">
        <w:rPr>
          <w:rFonts w:ascii="Times" w:hAnsi="Times" w:cs="Arial"/>
        </w:rPr>
        <w:t xml:space="preserve"> There is no guarantee that each business segment can provide a steady and quick return</w:t>
      </w:r>
      <w:r w:rsidR="00F90854">
        <w:rPr>
          <w:rFonts w:ascii="Times" w:hAnsi="Times" w:cs="Arial"/>
        </w:rPr>
        <w:t xml:space="preserve"> </w:t>
      </w:r>
      <w:r w:rsidR="00F90854" w:rsidRPr="00D34F86">
        <w:rPr>
          <w:rFonts w:ascii="Times" w:hAnsi="Times" w:cs="Times"/>
          <w:szCs w:val="24"/>
        </w:rPr>
        <w:t>(Moridu and Abidin, 2023).</w:t>
      </w:r>
      <w:r w:rsidR="00EA4052">
        <w:rPr>
          <w:rFonts w:ascii="Times" w:hAnsi="Times" w:cs="Arial"/>
        </w:rPr>
        <w:t xml:space="preserve"> The cash can be saved through divestiture of low-profit or high-capital segments. This can also help in the reduction of operational issues and provide a platform where management can prioritize important and high-return divisions like </w:t>
      </w:r>
      <w:r w:rsidR="00D167D1">
        <w:rPr>
          <w:rFonts w:ascii="Times" w:hAnsi="Times" w:cs="Arial"/>
        </w:rPr>
        <w:t>software-based</w:t>
      </w:r>
      <w:r w:rsidR="00EA4052">
        <w:rPr>
          <w:rFonts w:ascii="Times" w:hAnsi="Times" w:cs="Arial"/>
        </w:rPr>
        <w:t xml:space="preserve"> services and EV.</w:t>
      </w:r>
      <w:r w:rsidR="00D167D1">
        <w:rPr>
          <w:rFonts w:ascii="Times" w:hAnsi="Times" w:cs="Arial"/>
        </w:rPr>
        <w:t xml:space="preserve"> This will also work towards improvement in the utilization of assets and profits, especially considering the current reduction in ROA</w:t>
      </w:r>
      <w:r w:rsidR="00F90854">
        <w:rPr>
          <w:rFonts w:ascii="Times" w:hAnsi="Times" w:cs="Arial"/>
        </w:rPr>
        <w:t xml:space="preserve"> </w:t>
      </w:r>
      <w:r w:rsidR="00F90854" w:rsidRPr="00D34F86">
        <w:rPr>
          <w:rFonts w:ascii="Times" w:hAnsi="Times" w:cs="Times"/>
          <w:szCs w:val="24"/>
        </w:rPr>
        <w:t>(Celestin, 2024).</w:t>
      </w:r>
    </w:p>
    <w:p w14:paraId="4195B7EB" w14:textId="557B66BB" w:rsidR="00750597" w:rsidRDefault="00732348" w:rsidP="00241750">
      <w:pPr>
        <w:spacing w:line="360" w:lineRule="auto"/>
        <w:rPr>
          <w:rFonts w:ascii="Times" w:hAnsi="Times" w:cs="Arial"/>
        </w:rPr>
      </w:pPr>
      <w:r>
        <w:rPr>
          <w:rFonts w:ascii="Times" w:hAnsi="Times" w:cs="Arial"/>
        </w:rPr>
        <w:t>The second option for Tesla will be to look for joint ventures and strategic partnerships instead of going for a complete merger.</w:t>
      </w:r>
      <w:r w:rsidR="00BC33B2">
        <w:rPr>
          <w:rFonts w:ascii="Times" w:hAnsi="Times" w:cs="Arial"/>
        </w:rPr>
        <w:t xml:space="preserve"> Entering into advanced technologies and new markets solely requires heavy capital investment and increases financial risk.</w:t>
      </w:r>
      <w:r w:rsidR="005A5801">
        <w:rPr>
          <w:rFonts w:ascii="Times" w:hAnsi="Times" w:cs="Arial"/>
        </w:rPr>
        <w:t xml:space="preserve"> By creating a partnership with the local suppliers (manufacturers), manufacturers of batteries, and tech-firms, the cost can be shared, the exposure of risk will be reduced, and market entry will become fast for Tesla</w:t>
      </w:r>
      <w:r w:rsidR="00F90854">
        <w:rPr>
          <w:rFonts w:ascii="Times" w:hAnsi="Times" w:cs="Arial"/>
        </w:rPr>
        <w:t xml:space="preserve"> </w:t>
      </w:r>
      <w:r w:rsidR="00F90854" w:rsidRPr="00D34F86">
        <w:rPr>
          <w:rFonts w:ascii="Times" w:hAnsi="Times" w:cs="Times"/>
          <w:szCs w:val="24"/>
        </w:rPr>
        <w:t>(Al-Filali et al., 2024).</w:t>
      </w:r>
      <w:r w:rsidR="007860A7">
        <w:rPr>
          <w:rFonts w:ascii="Times" w:hAnsi="Times" w:cs="Arial"/>
        </w:rPr>
        <w:t xml:space="preserve"> This method is realistic in extreme competition and high capital markets, such as those in developing markets, such as China.</w:t>
      </w:r>
      <w:r w:rsidR="00511375">
        <w:rPr>
          <w:rFonts w:ascii="Times" w:hAnsi="Times" w:cs="Arial"/>
        </w:rPr>
        <w:t xml:space="preserve"> Lastly, Tesla should look to provide strength to its equity base. It is important to look for target-based equity injection, and it is beneficial when used tactically.</w:t>
      </w:r>
    </w:p>
    <w:p w14:paraId="27BD77AE" w14:textId="6CAED69E" w:rsidR="006945DC" w:rsidRDefault="00732348" w:rsidP="00241750">
      <w:pPr>
        <w:spacing w:line="360" w:lineRule="auto"/>
        <w:rPr>
          <w:rFonts w:ascii="Times" w:hAnsi="Times" w:cs="Arial"/>
        </w:rPr>
      </w:pPr>
      <w:r>
        <w:rPr>
          <w:rFonts w:ascii="Times" w:hAnsi="Times" w:cs="Arial"/>
        </w:rPr>
        <w:t>Since Tesla has a high P/E ratio, the value of Tesla shares is highly valued by investors. The issuance of new equity at beneficial market value can gather more funds for expansion, innovation, and R&amp;D with less increase in financial leverage</w:t>
      </w:r>
      <w:r w:rsidR="00F90854">
        <w:rPr>
          <w:rFonts w:ascii="Times" w:hAnsi="Times" w:cs="Arial"/>
        </w:rPr>
        <w:t xml:space="preserve"> </w:t>
      </w:r>
      <w:r w:rsidR="00F90854" w:rsidRPr="00D34F86">
        <w:rPr>
          <w:rFonts w:ascii="Times" w:hAnsi="Times" w:cs="Times"/>
          <w:szCs w:val="24"/>
        </w:rPr>
        <w:t>(Colliard and Gromb, 2025).</w:t>
      </w:r>
      <w:r w:rsidR="00330C0B">
        <w:rPr>
          <w:rFonts w:ascii="Times" w:hAnsi="Times" w:cs="Arial"/>
        </w:rPr>
        <w:t xml:space="preserve"> But to avoid dilution of shareholders, careful management is required.</w:t>
      </w:r>
      <w:r w:rsidR="00323FF7">
        <w:rPr>
          <w:rFonts w:ascii="Times" w:hAnsi="Times" w:cs="Arial"/>
        </w:rPr>
        <w:t xml:space="preserve"> There is also the option of </w:t>
      </w:r>
      <w:r w:rsidR="00B026A6">
        <w:rPr>
          <w:rFonts w:ascii="Times" w:hAnsi="Times" w:cs="Arial"/>
        </w:rPr>
        <w:t>in-house</w:t>
      </w:r>
      <w:r w:rsidR="00323FF7">
        <w:rPr>
          <w:rFonts w:ascii="Times" w:hAnsi="Times" w:cs="Arial"/>
        </w:rPr>
        <w:t xml:space="preserve"> financial restructuring for Tesla, which can be done through improvement in the allocation of </w:t>
      </w:r>
      <w:r w:rsidR="00717B06">
        <w:rPr>
          <w:rFonts w:ascii="Times" w:hAnsi="Times" w:cs="Arial"/>
        </w:rPr>
        <w:t>capital</w:t>
      </w:r>
      <w:r w:rsidR="00323FF7">
        <w:rPr>
          <w:rFonts w:ascii="Times" w:hAnsi="Times" w:cs="Arial"/>
        </w:rPr>
        <w:t xml:space="preserve"> and cost efficiency</w:t>
      </w:r>
      <w:r w:rsidR="00F90854">
        <w:rPr>
          <w:rFonts w:ascii="Times" w:hAnsi="Times" w:cs="Arial"/>
        </w:rPr>
        <w:t xml:space="preserve"> </w:t>
      </w:r>
      <w:r w:rsidR="00F90854" w:rsidRPr="00D34F86">
        <w:rPr>
          <w:rFonts w:ascii="Times" w:hAnsi="Times" w:cs="Times"/>
          <w:szCs w:val="24"/>
        </w:rPr>
        <w:t>(Aniebonam, 2024).</w:t>
      </w:r>
      <w:r w:rsidR="00B026A6">
        <w:rPr>
          <w:rFonts w:ascii="Times" w:hAnsi="Times" w:cs="Arial"/>
        </w:rPr>
        <w:t xml:space="preserve"> The process includes rationalization of production cost and optimization of supply chain</w:t>
      </w:r>
      <w:r w:rsidR="00DB657E">
        <w:rPr>
          <w:rFonts w:ascii="Times" w:hAnsi="Times" w:cs="Arial"/>
        </w:rPr>
        <w:t>, whereas those investment projects should be given importance that can provide high returns</w:t>
      </w:r>
      <w:r w:rsidR="00F90854">
        <w:rPr>
          <w:rFonts w:ascii="Times" w:hAnsi="Times" w:cs="Arial"/>
        </w:rPr>
        <w:t xml:space="preserve"> </w:t>
      </w:r>
      <w:r w:rsidR="00F90854" w:rsidRPr="00D34F86">
        <w:rPr>
          <w:rFonts w:ascii="Times" w:hAnsi="Times" w:cs="Times"/>
          <w:szCs w:val="24"/>
        </w:rPr>
        <w:t>(Grundy et al., 2022).</w:t>
      </w:r>
      <w:r w:rsidR="003D4B56">
        <w:rPr>
          <w:rFonts w:ascii="Times" w:hAnsi="Times" w:cs="Arial"/>
        </w:rPr>
        <w:t xml:space="preserve"> The profitability can be improved through measures towards cost control.</w:t>
      </w:r>
    </w:p>
    <w:p w14:paraId="2AA528BA" w14:textId="77777777" w:rsidR="00876961" w:rsidRPr="003C0032" w:rsidRDefault="00732348" w:rsidP="00732348">
      <w:pPr>
        <w:pStyle w:val="Heading2"/>
        <w:numPr>
          <w:ilvl w:val="0"/>
          <w:numId w:val="4"/>
        </w:numPr>
        <w:spacing w:line="360" w:lineRule="auto"/>
        <w:rPr>
          <w:rFonts w:ascii="Times" w:hAnsi="Times" w:cs="Arial"/>
          <w:sz w:val="24"/>
          <w:szCs w:val="24"/>
        </w:rPr>
      </w:pPr>
      <w:bookmarkStart w:id="12" w:name="_Toc224784047"/>
      <w:r w:rsidRPr="003C0032">
        <w:rPr>
          <w:rFonts w:ascii="Times" w:hAnsi="Times" w:cs="Arial"/>
          <w:sz w:val="24"/>
          <w:szCs w:val="24"/>
        </w:rPr>
        <w:t xml:space="preserve">Evaluation of impact on shareholders' </w:t>
      </w:r>
      <w:r w:rsidR="00E10084" w:rsidRPr="003C0032">
        <w:rPr>
          <w:rFonts w:ascii="Times" w:hAnsi="Times" w:cs="Arial"/>
          <w:sz w:val="24"/>
          <w:szCs w:val="24"/>
        </w:rPr>
        <w:t>value,</w:t>
      </w:r>
      <w:r w:rsidRPr="003C0032">
        <w:rPr>
          <w:rFonts w:ascii="Times" w:hAnsi="Times" w:cs="Arial"/>
          <w:sz w:val="24"/>
          <w:szCs w:val="24"/>
        </w:rPr>
        <w:t xml:space="preserve"> debt structure, and operational flexibility</w:t>
      </w:r>
      <w:bookmarkEnd w:id="12"/>
      <w:r w:rsidRPr="003C0032">
        <w:rPr>
          <w:rFonts w:ascii="Times" w:hAnsi="Times" w:cs="Arial"/>
          <w:sz w:val="24"/>
          <w:szCs w:val="24"/>
        </w:rPr>
        <w:t xml:space="preserve"> </w:t>
      </w:r>
    </w:p>
    <w:p w14:paraId="1D182B3C" w14:textId="556AEBD9" w:rsidR="00BF6ABB" w:rsidRDefault="00732348" w:rsidP="00056383">
      <w:pPr>
        <w:spacing w:line="360" w:lineRule="auto"/>
        <w:rPr>
          <w:rFonts w:ascii="Times" w:hAnsi="Times" w:cs="Arial"/>
        </w:rPr>
      </w:pPr>
      <w:r w:rsidRPr="00135CF9">
        <w:rPr>
          <w:rFonts w:ascii="Times" w:hAnsi="Times" w:cs="Arial"/>
        </w:rPr>
        <w:t xml:space="preserve">There will be a high impact on the value of shareholders, operational flexibility, and the structure of debt through the provision of restructuring </w:t>
      </w:r>
      <w:r w:rsidR="00A21405" w:rsidRPr="00135CF9">
        <w:rPr>
          <w:rFonts w:ascii="Times" w:hAnsi="Times" w:cs="Arial"/>
        </w:rPr>
        <w:t>actions. The implications can be both negative and positive.</w:t>
      </w:r>
      <w:r w:rsidR="00135CF9">
        <w:rPr>
          <w:rFonts w:ascii="Times" w:hAnsi="Times" w:cs="Arial"/>
        </w:rPr>
        <w:t xml:space="preserve"> From the perspective of shareholders' </w:t>
      </w:r>
      <w:r w:rsidR="00297883">
        <w:rPr>
          <w:rFonts w:ascii="Times" w:hAnsi="Times" w:cs="Arial"/>
        </w:rPr>
        <w:t>value,</w:t>
      </w:r>
      <w:r w:rsidR="00135CF9">
        <w:rPr>
          <w:rFonts w:ascii="Times" w:hAnsi="Times" w:cs="Arial"/>
        </w:rPr>
        <w:t xml:space="preserve"> measures like cost optimization or divestiture will possibly increase the value for improvement in return and profitability ratios</w:t>
      </w:r>
      <w:r w:rsidR="00F90854">
        <w:rPr>
          <w:rFonts w:ascii="Times" w:hAnsi="Times" w:cs="Arial"/>
        </w:rPr>
        <w:t xml:space="preserve"> </w:t>
      </w:r>
      <w:r w:rsidR="00F90854" w:rsidRPr="00D34F86">
        <w:rPr>
          <w:rFonts w:ascii="Times" w:hAnsi="Times" w:cs="Times"/>
          <w:szCs w:val="24"/>
        </w:rPr>
        <w:t>(Oyeyipo et al., 2023).</w:t>
      </w:r>
      <w:r w:rsidR="002B48B0">
        <w:rPr>
          <w:rFonts w:ascii="Times" w:hAnsi="Times" w:cs="Arial"/>
        </w:rPr>
        <w:t xml:space="preserve"> The priority should be given to the high-earning main </w:t>
      </w:r>
      <w:r w:rsidR="00297883">
        <w:rPr>
          <w:rFonts w:ascii="Times" w:hAnsi="Times" w:cs="Arial"/>
        </w:rPr>
        <w:t>operations;</w:t>
      </w:r>
      <w:r w:rsidR="002B48B0">
        <w:rPr>
          <w:rFonts w:ascii="Times" w:hAnsi="Times" w:cs="Arial"/>
        </w:rPr>
        <w:t xml:space="preserve"> the stability can be provided by Tesla's earnings, likely to increase EPS</w:t>
      </w:r>
      <w:r w:rsidR="00297883">
        <w:rPr>
          <w:rFonts w:ascii="Times" w:hAnsi="Times" w:cs="Arial"/>
        </w:rPr>
        <w:t xml:space="preserve">, which </w:t>
      </w:r>
      <w:r w:rsidR="00297883">
        <w:rPr>
          <w:rFonts w:ascii="Times" w:hAnsi="Times" w:cs="Arial"/>
        </w:rPr>
        <w:lastRenderedPageBreak/>
        <w:t>declined in 2024 and 2025. Moreover, timely injection of equity is required, considering the high market valuation for Tesla</w:t>
      </w:r>
      <w:r w:rsidR="00F90854">
        <w:rPr>
          <w:rFonts w:ascii="Times" w:hAnsi="Times" w:cs="Arial"/>
        </w:rPr>
        <w:t xml:space="preserve"> </w:t>
      </w:r>
      <w:r w:rsidR="00F90854" w:rsidRPr="00D34F86">
        <w:rPr>
          <w:rFonts w:ascii="Times" w:hAnsi="Times" w:cs="Times"/>
          <w:szCs w:val="24"/>
        </w:rPr>
        <w:t>(Taiwo, 2022).</w:t>
      </w:r>
      <w:r w:rsidR="00297883">
        <w:rPr>
          <w:rFonts w:ascii="Times" w:hAnsi="Times" w:cs="Arial"/>
        </w:rPr>
        <w:t xml:space="preserve"> This will help Tesla achieve growth without financial risk.</w:t>
      </w:r>
      <w:r w:rsidR="00770B5B">
        <w:rPr>
          <w:rFonts w:ascii="Times" w:hAnsi="Times" w:cs="Arial"/>
        </w:rPr>
        <w:t xml:space="preserve"> The ownership of existing shareholders can be diluted with the issuance of new shares, which will bring a negative reaction from the market in the short term if there is no clear support provided through the growth outlook</w:t>
      </w:r>
      <w:r w:rsidR="00F90854">
        <w:rPr>
          <w:rFonts w:ascii="Times" w:hAnsi="Times" w:cs="Arial"/>
        </w:rPr>
        <w:t xml:space="preserve"> </w:t>
      </w:r>
      <w:r w:rsidR="00F90854" w:rsidRPr="00D34F86">
        <w:rPr>
          <w:rFonts w:ascii="Times" w:hAnsi="Times" w:cs="Times"/>
          <w:szCs w:val="24"/>
        </w:rPr>
        <w:t>(Alsharari, 2024).</w:t>
      </w:r>
    </w:p>
    <w:p w14:paraId="433F5119" w14:textId="1E042286" w:rsidR="00056383" w:rsidRDefault="00732348" w:rsidP="00056383">
      <w:pPr>
        <w:spacing w:line="360" w:lineRule="auto"/>
        <w:rPr>
          <w:rFonts w:ascii="Times" w:hAnsi="Times" w:cs="Arial"/>
        </w:rPr>
      </w:pPr>
      <w:r>
        <w:rPr>
          <w:rFonts w:ascii="Times" w:hAnsi="Times" w:cs="Arial"/>
        </w:rPr>
        <w:t>Considering the structure of debt, there is a chance of further strengthening the position of Tesla.</w:t>
      </w:r>
      <w:r w:rsidR="0070368F">
        <w:rPr>
          <w:rFonts w:ascii="Times" w:hAnsi="Times" w:cs="Arial"/>
        </w:rPr>
        <w:t xml:space="preserve"> It was observed during ratio analysis that reliance on long-term debt has been reduced by Tesla, which was justified by the debt-to-equity ratio. Procedures from divestiture and improvement in cash inflows can be used to pay present liabilities, or, with better terms, it can be refinanced</w:t>
      </w:r>
      <w:r w:rsidR="00F5216D">
        <w:rPr>
          <w:rFonts w:ascii="Times" w:hAnsi="Times" w:cs="Arial"/>
        </w:rPr>
        <w:t xml:space="preserve">, which can assist in the reduction of </w:t>
      </w:r>
      <w:r w:rsidR="00B24ABF">
        <w:rPr>
          <w:rFonts w:ascii="Times" w:hAnsi="Times" w:cs="Arial"/>
        </w:rPr>
        <w:t>interest</w:t>
      </w:r>
      <w:r w:rsidR="00F5216D">
        <w:rPr>
          <w:rFonts w:ascii="Times" w:hAnsi="Times" w:cs="Arial"/>
        </w:rPr>
        <w:t xml:space="preserve"> payments</w:t>
      </w:r>
      <w:r w:rsidR="00F90854">
        <w:rPr>
          <w:rFonts w:ascii="Times" w:hAnsi="Times" w:cs="Arial"/>
        </w:rPr>
        <w:t xml:space="preserve"> </w:t>
      </w:r>
      <w:r w:rsidR="00F90854" w:rsidRPr="00D34F86">
        <w:rPr>
          <w:rFonts w:ascii="Times" w:hAnsi="Times" w:cs="Times"/>
          <w:szCs w:val="24"/>
        </w:rPr>
        <w:t>(Belling et al., 2022).</w:t>
      </w:r>
      <w:r w:rsidR="00B24ABF">
        <w:rPr>
          <w:rFonts w:ascii="Times" w:hAnsi="Times" w:cs="Arial"/>
        </w:rPr>
        <w:t xml:space="preserve"> This method can also improve the interest coverage ratio, which has declined because of weak operating profit. The beneficial outcomes from financial leverage can also be reduced with the reduction in debt, as a company can earn less returns from equity if there is no balance in the capital structure</w:t>
      </w:r>
      <w:r w:rsidR="00F90854">
        <w:rPr>
          <w:rFonts w:ascii="Times" w:hAnsi="Times" w:cs="Arial"/>
        </w:rPr>
        <w:t xml:space="preserve"> </w:t>
      </w:r>
      <w:r w:rsidR="00F90854" w:rsidRPr="00D34F86">
        <w:rPr>
          <w:rFonts w:ascii="Times" w:hAnsi="Times" w:cs="Times"/>
          <w:szCs w:val="24"/>
        </w:rPr>
        <w:t>(Celestin, 2022).</w:t>
      </w:r>
    </w:p>
    <w:p w14:paraId="6F16FDAD" w14:textId="1342D7CD" w:rsidR="00B472A2" w:rsidRPr="00135CF9" w:rsidRDefault="00732348" w:rsidP="00056383">
      <w:pPr>
        <w:spacing w:line="360" w:lineRule="auto"/>
        <w:rPr>
          <w:rFonts w:ascii="Times" w:hAnsi="Times" w:cs="Arial"/>
        </w:rPr>
      </w:pPr>
      <w:r>
        <w:rPr>
          <w:rFonts w:ascii="Times" w:hAnsi="Times" w:cs="Arial"/>
        </w:rPr>
        <w:t>Related to the operational flexibility</w:t>
      </w:r>
      <w:r w:rsidR="00760B9A">
        <w:rPr>
          <w:rFonts w:ascii="Times" w:hAnsi="Times" w:cs="Arial"/>
        </w:rPr>
        <w:t>, restructuring actions like joint ventures and strategic alliances will considerably increase the ability of Tesla to adapt according to the changes in the conditions of the market</w:t>
      </w:r>
      <w:r w:rsidR="00F90854">
        <w:rPr>
          <w:rFonts w:ascii="Times" w:hAnsi="Times" w:cs="Arial"/>
        </w:rPr>
        <w:t xml:space="preserve"> </w:t>
      </w:r>
      <w:r w:rsidR="00F90854" w:rsidRPr="00D34F86">
        <w:rPr>
          <w:rFonts w:ascii="Times" w:hAnsi="Times" w:cs="Times"/>
          <w:szCs w:val="24"/>
        </w:rPr>
        <w:t>(Adriana et al., 2024).</w:t>
      </w:r>
      <w:r w:rsidR="00760B9A">
        <w:rPr>
          <w:rFonts w:ascii="Times" w:hAnsi="Times" w:cs="Arial"/>
        </w:rPr>
        <w:t xml:space="preserve"> With resources and risk being </w:t>
      </w:r>
      <w:r w:rsidR="00A31B46">
        <w:rPr>
          <w:rFonts w:ascii="Times" w:hAnsi="Times" w:cs="Arial"/>
        </w:rPr>
        <w:t>shared,</w:t>
      </w:r>
      <w:r w:rsidR="00760B9A">
        <w:rPr>
          <w:rFonts w:ascii="Times" w:hAnsi="Times" w:cs="Arial"/>
        </w:rPr>
        <w:t xml:space="preserve"> there is no need to have heavy capital for adopting advanced technologies and expansion into new markets for Tesla. Making liquidity stronger and improving working capital can lead Tesla to tackle financial pressure more effectively.</w:t>
      </w:r>
    </w:p>
    <w:p w14:paraId="600ECEA1" w14:textId="77777777" w:rsidR="00CC6D31" w:rsidRPr="003C0032" w:rsidRDefault="00732348" w:rsidP="00732348">
      <w:pPr>
        <w:pStyle w:val="Heading2"/>
        <w:numPr>
          <w:ilvl w:val="0"/>
          <w:numId w:val="4"/>
        </w:numPr>
        <w:spacing w:line="360" w:lineRule="auto"/>
        <w:rPr>
          <w:rFonts w:ascii="Times" w:hAnsi="Times" w:cs="Arial"/>
          <w:sz w:val="24"/>
          <w:szCs w:val="24"/>
        </w:rPr>
      </w:pPr>
      <w:bookmarkStart w:id="13" w:name="_Toc224784048"/>
      <w:r w:rsidRPr="003C0032">
        <w:rPr>
          <w:rFonts w:ascii="Times" w:hAnsi="Times" w:cs="Arial"/>
          <w:sz w:val="24"/>
          <w:szCs w:val="24"/>
        </w:rPr>
        <w:t>International and Ethical Consideration</w:t>
      </w:r>
      <w:bookmarkEnd w:id="13"/>
      <w:r w:rsidRPr="003C0032">
        <w:rPr>
          <w:rFonts w:ascii="Times" w:hAnsi="Times" w:cs="Arial"/>
          <w:sz w:val="24"/>
          <w:szCs w:val="24"/>
        </w:rPr>
        <w:t xml:space="preserve">s </w:t>
      </w:r>
    </w:p>
    <w:p w14:paraId="3319EF33" w14:textId="44770717" w:rsidR="005C010F" w:rsidRDefault="00732348" w:rsidP="005C010F">
      <w:pPr>
        <w:spacing w:line="360" w:lineRule="auto"/>
        <w:rPr>
          <w:rFonts w:ascii="Times" w:hAnsi="Times" w:cs="Arial"/>
        </w:rPr>
      </w:pPr>
      <w:r w:rsidRPr="00E2421B">
        <w:rPr>
          <w:rFonts w:ascii="Times" w:hAnsi="Times" w:cs="Arial"/>
        </w:rPr>
        <w:t>There is the exposure of ethical and international considerations to Tesla due to its international operations, which highly impact the tactical decisions and financial performance of the company.</w:t>
      </w:r>
      <w:r w:rsidR="00E2421B">
        <w:rPr>
          <w:rFonts w:ascii="Times" w:hAnsi="Times" w:cs="Arial"/>
        </w:rPr>
        <w:t xml:space="preserve"> Taxation is an important factor to consider. There are various regulations of countries in which Tesla operates, which can provide benefits to the company in terms of tax incentives, especially in the jurisdictions where promotion and support are provided to electric vehicles, like China, the USA, and various countries of Europe</w:t>
      </w:r>
      <w:r w:rsidR="00F90854">
        <w:rPr>
          <w:rFonts w:ascii="Times" w:hAnsi="Times" w:cs="Arial"/>
        </w:rPr>
        <w:t xml:space="preserve"> </w:t>
      </w:r>
      <w:r w:rsidR="00F90854" w:rsidRPr="00D34F86">
        <w:rPr>
          <w:rFonts w:ascii="Times" w:hAnsi="Times" w:cs="Times"/>
          <w:szCs w:val="24"/>
        </w:rPr>
        <w:t>(Feldman and Sakhartov, 2022).</w:t>
      </w:r>
      <w:r w:rsidR="00E2421B">
        <w:rPr>
          <w:rFonts w:ascii="Times" w:hAnsi="Times" w:cs="Arial"/>
        </w:rPr>
        <w:t xml:space="preserve"> For corporate tax practices, there is international scrutiny, and minor international tax laws are implemented, </w:t>
      </w:r>
      <w:r w:rsidR="00DD52BC">
        <w:rPr>
          <w:rFonts w:ascii="Times" w:hAnsi="Times" w:cs="Arial"/>
        </w:rPr>
        <w:t>which can diminish these benefits and increase the liabilities for tax.</w:t>
      </w:r>
      <w:r w:rsidR="00E2421B">
        <w:rPr>
          <w:rFonts w:ascii="Times" w:hAnsi="Times" w:cs="Arial"/>
        </w:rPr>
        <w:t xml:space="preserve"> </w:t>
      </w:r>
    </w:p>
    <w:p w14:paraId="04FA42E9" w14:textId="2F4CB497" w:rsidR="0037537E" w:rsidRDefault="00732348" w:rsidP="005C010F">
      <w:pPr>
        <w:spacing w:line="360" w:lineRule="auto"/>
        <w:rPr>
          <w:rFonts w:ascii="Times" w:hAnsi="Times" w:cs="Arial"/>
        </w:rPr>
      </w:pPr>
      <w:r>
        <w:rPr>
          <w:rFonts w:ascii="Times" w:hAnsi="Times" w:cs="Arial"/>
        </w:rPr>
        <w:t>Another important issue is the currency risk. The revenue generated by Tesla and the cost it paid are in multiple currencies, leading to exposure to currency risk due to high fluctuation</w:t>
      </w:r>
      <w:r w:rsidR="001A3ED4">
        <w:rPr>
          <w:rFonts w:ascii="Times" w:hAnsi="Times" w:cs="Arial"/>
        </w:rPr>
        <w:t xml:space="preserve"> in the exchange rates</w:t>
      </w:r>
      <w:r w:rsidR="00F90854">
        <w:rPr>
          <w:rFonts w:ascii="Times" w:hAnsi="Times" w:cs="Arial"/>
        </w:rPr>
        <w:t xml:space="preserve"> </w:t>
      </w:r>
      <w:r w:rsidR="00F90854" w:rsidRPr="00D34F86">
        <w:rPr>
          <w:rFonts w:ascii="Times" w:hAnsi="Times" w:cs="Times"/>
          <w:szCs w:val="24"/>
        </w:rPr>
        <w:t>(Zaramella, 2023).</w:t>
      </w:r>
      <w:r w:rsidR="001A3ED4">
        <w:rPr>
          <w:rFonts w:ascii="Times" w:hAnsi="Times" w:cs="Arial"/>
        </w:rPr>
        <w:t xml:space="preserve"> There is a strong position of the US Dollar, as the </w:t>
      </w:r>
      <w:r w:rsidR="001A3ED4">
        <w:rPr>
          <w:rFonts w:ascii="Times" w:hAnsi="Times" w:cs="Arial"/>
        </w:rPr>
        <w:lastRenderedPageBreak/>
        <w:t>revenue from international markets can be reduced when it is converted into US dollars, which can hurt profits. Suitable strategies for hedging are required for effective management of currency</w:t>
      </w:r>
      <w:r w:rsidR="00DE1542">
        <w:rPr>
          <w:rFonts w:ascii="Times" w:hAnsi="Times" w:cs="Arial"/>
        </w:rPr>
        <w:t xml:space="preserve"> rate</w:t>
      </w:r>
      <w:r w:rsidR="001A3ED4">
        <w:rPr>
          <w:rFonts w:ascii="Times" w:hAnsi="Times" w:cs="Arial"/>
        </w:rPr>
        <w:t xml:space="preserve"> </w:t>
      </w:r>
      <w:r w:rsidR="00DE1542">
        <w:rPr>
          <w:rFonts w:ascii="Times" w:hAnsi="Times" w:cs="Arial"/>
        </w:rPr>
        <w:t>instability</w:t>
      </w:r>
      <w:r w:rsidR="00F90854">
        <w:rPr>
          <w:rFonts w:ascii="Times" w:hAnsi="Times" w:cs="Arial"/>
        </w:rPr>
        <w:t xml:space="preserve"> </w:t>
      </w:r>
      <w:r w:rsidR="00F90854" w:rsidRPr="00D34F86">
        <w:rPr>
          <w:rFonts w:ascii="Times" w:hAnsi="Times" w:cs="Times"/>
          <w:szCs w:val="24"/>
        </w:rPr>
        <w:t>(Moridu and Abidin, 2023).</w:t>
      </w:r>
    </w:p>
    <w:p w14:paraId="0FE58DC9" w14:textId="65E78D92" w:rsidR="0087599C" w:rsidRPr="00E2421B" w:rsidRDefault="00732348" w:rsidP="005C010F">
      <w:pPr>
        <w:spacing w:line="360" w:lineRule="auto"/>
        <w:rPr>
          <w:rFonts w:ascii="Times" w:hAnsi="Times" w:cs="Arial"/>
        </w:rPr>
      </w:pPr>
      <w:r>
        <w:rPr>
          <w:rFonts w:ascii="Times" w:hAnsi="Times" w:cs="Arial"/>
        </w:rPr>
        <w:t>The cost structure of Tesla is also affected due to global inflation, especially during the purchase of raw materials like battery parts and lithium. The increase in the input cost can lower profit margins, particularly if the company goes with a competitive pricing approach</w:t>
      </w:r>
      <w:r w:rsidR="00B55B21">
        <w:rPr>
          <w:rFonts w:ascii="Times" w:hAnsi="Times" w:cs="Arial"/>
        </w:rPr>
        <w:t xml:space="preserve"> for maintaining its market competition</w:t>
      </w:r>
      <w:r w:rsidR="00F90854">
        <w:rPr>
          <w:rFonts w:ascii="Times" w:hAnsi="Times" w:cs="Arial"/>
        </w:rPr>
        <w:t xml:space="preserve"> </w:t>
      </w:r>
      <w:r w:rsidR="00F90854" w:rsidRPr="00D34F86">
        <w:rPr>
          <w:rFonts w:ascii="Times" w:hAnsi="Times" w:cs="Times"/>
          <w:szCs w:val="24"/>
        </w:rPr>
        <w:t>(Celestin, 2024).</w:t>
      </w:r>
      <w:r w:rsidR="00960A1A">
        <w:rPr>
          <w:rFonts w:ascii="Times" w:hAnsi="Times" w:cs="Arial"/>
        </w:rPr>
        <w:t xml:space="preserve"> Moreover, the pressure from inflation can affect the purchasing power of customers, which can adversely impact the demand for electric cars.</w:t>
      </w:r>
    </w:p>
    <w:p w14:paraId="747D00C7" w14:textId="7F29484F" w:rsidR="005C010F" w:rsidRDefault="00732348" w:rsidP="005C010F">
      <w:pPr>
        <w:spacing w:line="360" w:lineRule="auto"/>
        <w:rPr>
          <w:rFonts w:ascii="Times" w:hAnsi="Times" w:cs="Arial"/>
        </w:rPr>
      </w:pPr>
      <w:r w:rsidRPr="00F04ED9">
        <w:rPr>
          <w:rFonts w:ascii="Times" w:hAnsi="Times" w:cs="Arial"/>
        </w:rPr>
        <w:t>From an ethical outlook</w:t>
      </w:r>
      <w:r w:rsidR="00F04ED9">
        <w:rPr>
          <w:rFonts w:ascii="Times" w:hAnsi="Times" w:cs="Arial"/>
        </w:rPr>
        <w:t>, there is an important role of corporate social responsibility to increase the brand image of Tesla.</w:t>
      </w:r>
      <w:r w:rsidR="006A5F7F">
        <w:rPr>
          <w:rFonts w:ascii="Times" w:hAnsi="Times" w:cs="Arial"/>
        </w:rPr>
        <w:t xml:space="preserve"> The focus of the company is towards clean energy and sustainability; therefore, it is required for Tesla to maintain significant ethical and environmental values. This shows that Tesla should adopt strategies for ethical procurement </w:t>
      </w:r>
      <w:r w:rsidR="005471C5">
        <w:rPr>
          <w:rFonts w:ascii="Times" w:hAnsi="Times" w:cs="Arial"/>
        </w:rPr>
        <w:t>of materials, especially related to the practices of labor</w:t>
      </w:r>
      <w:r w:rsidR="00F90854">
        <w:rPr>
          <w:rFonts w:ascii="Times" w:hAnsi="Times" w:cs="Arial"/>
        </w:rPr>
        <w:t xml:space="preserve"> </w:t>
      </w:r>
      <w:r w:rsidR="00F90854" w:rsidRPr="00D34F86">
        <w:rPr>
          <w:rFonts w:ascii="Times" w:hAnsi="Times" w:cs="Times"/>
          <w:szCs w:val="24"/>
        </w:rPr>
        <w:t>(Al-Filali et al., 2024).</w:t>
      </w:r>
      <w:r w:rsidR="005471C5">
        <w:rPr>
          <w:rFonts w:ascii="Times" w:hAnsi="Times" w:cs="Arial"/>
        </w:rPr>
        <w:t xml:space="preserve"> If Tesla cannot comply with these standards, it can lead to a reduction in the confidence of investors and reputational damage</w:t>
      </w:r>
      <w:r w:rsidR="00F90854">
        <w:rPr>
          <w:rFonts w:ascii="Times" w:hAnsi="Times" w:cs="Arial"/>
        </w:rPr>
        <w:t xml:space="preserve"> </w:t>
      </w:r>
      <w:r w:rsidR="00F90854" w:rsidRPr="00D34F86">
        <w:rPr>
          <w:rFonts w:ascii="Times" w:hAnsi="Times" w:cs="Times"/>
          <w:szCs w:val="24"/>
        </w:rPr>
        <w:t>(Grundy et al., 2022).</w:t>
      </w:r>
      <w:r w:rsidR="00BD3A3A">
        <w:rPr>
          <w:rFonts w:ascii="Times" w:hAnsi="Times" w:cs="Arial"/>
        </w:rPr>
        <w:t xml:space="preserve"> It is required for Tesla to have a balance in global risk, ethical practices, and financial performance.</w:t>
      </w:r>
    </w:p>
    <w:p w14:paraId="7A93CB4D" w14:textId="77777777" w:rsidR="00D63410" w:rsidRDefault="00732348" w:rsidP="00732348">
      <w:pPr>
        <w:pStyle w:val="Heading2"/>
        <w:numPr>
          <w:ilvl w:val="0"/>
          <w:numId w:val="3"/>
        </w:numPr>
        <w:spacing w:line="360" w:lineRule="auto"/>
        <w:rPr>
          <w:rFonts w:ascii="Times" w:hAnsi="Times" w:cs="Arial"/>
          <w:sz w:val="24"/>
          <w:szCs w:val="24"/>
        </w:rPr>
      </w:pPr>
      <w:bookmarkStart w:id="14" w:name="_Toc224784049"/>
      <w:r w:rsidRPr="003C0032">
        <w:rPr>
          <w:rFonts w:ascii="Times" w:hAnsi="Times" w:cs="Arial"/>
          <w:sz w:val="24"/>
          <w:szCs w:val="24"/>
        </w:rPr>
        <w:t>Investment Appraisal and Capital Budgeting</w:t>
      </w:r>
      <w:bookmarkEnd w:id="14"/>
    </w:p>
    <w:p w14:paraId="12EB304D" w14:textId="77777777" w:rsidR="0027643E" w:rsidRPr="0027643E" w:rsidRDefault="00732348" w:rsidP="00732348">
      <w:pPr>
        <w:pStyle w:val="Heading2"/>
        <w:numPr>
          <w:ilvl w:val="0"/>
          <w:numId w:val="4"/>
        </w:numPr>
        <w:spacing w:line="360" w:lineRule="auto"/>
        <w:rPr>
          <w:rFonts w:ascii="Times" w:hAnsi="Times" w:cs="Arial"/>
          <w:sz w:val="24"/>
          <w:szCs w:val="24"/>
        </w:rPr>
      </w:pPr>
      <w:bookmarkStart w:id="15" w:name="_Toc224784050"/>
      <w:r w:rsidRPr="0027643E">
        <w:rPr>
          <w:rFonts w:ascii="Times" w:hAnsi="Times" w:cs="Arial"/>
          <w:sz w:val="24"/>
          <w:szCs w:val="24"/>
        </w:rPr>
        <w:t>Calculation of PBP, ARR, NPV, PI, and IRR</w:t>
      </w:r>
      <w:bookmarkEnd w:id="15"/>
    </w:p>
    <w:p w14:paraId="63A8C007" w14:textId="77777777" w:rsidR="00550C4A" w:rsidRPr="0027643E" w:rsidRDefault="00732348" w:rsidP="008E0EDA">
      <w:pPr>
        <w:spacing w:line="360" w:lineRule="auto"/>
        <w:rPr>
          <w:rFonts w:ascii="Times" w:hAnsi="Times" w:cs="Times"/>
          <w:szCs w:val="24"/>
        </w:rPr>
      </w:pPr>
      <w:r w:rsidRPr="0027643E">
        <w:rPr>
          <w:rFonts w:ascii="Times" w:hAnsi="Times" w:cs="Times"/>
          <w:szCs w:val="24"/>
        </w:rPr>
        <w:t xml:space="preserve">Below mentioned </w:t>
      </w:r>
      <w:r w:rsidR="00FF3646" w:rsidRPr="0027643E">
        <w:rPr>
          <w:rFonts w:ascii="Times" w:hAnsi="Times" w:cs="Times"/>
          <w:szCs w:val="24"/>
        </w:rPr>
        <w:t xml:space="preserve">are the working for payback period, </w:t>
      </w:r>
      <w:r w:rsidR="007A07B4" w:rsidRPr="0027643E">
        <w:rPr>
          <w:rFonts w:ascii="Times" w:hAnsi="Times" w:cs="Times"/>
          <w:szCs w:val="24"/>
        </w:rPr>
        <w:t>accounting</w:t>
      </w:r>
      <w:r w:rsidR="00FF3646" w:rsidRPr="0027643E">
        <w:rPr>
          <w:rFonts w:ascii="Times" w:hAnsi="Times" w:cs="Times"/>
          <w:szCs w:val="24"/>
        </w:rPr>
        <w:t xml:space="preserve"> rate of return, net present value, profitability index, and internal rate of return for the provided 03 projects</w:t>
      </w:r>
      <w:r w:rsidR="00182572" w:rsidRPr="0027643E">
        <w:rPr>
          <w:rFonts w:ascii="Times" w:hAnsi="Times" w:cs="Times"/>
          <w:szCs w:val="24"/>
        </w:rPr>
        <w:t>.</w:t>
      </w:r>
    </w:p>
    <w:p w14:paraId="5BDBC660" w14:textId="77777777" w:rsidR="008E0EDA" w:rsidRDefault="00732348" w:rsidP="008E0EDA">
      <w:pPr>
        <w:spacing w:line="360" w:lineRule="auto"/>
        <w:rPr>
          <w:rFonts w:ascii="Times" w:hAnsi="Times" w:cs="Times"/>
          <w:b/>
          <w:bCs/>
          <w:szCs w:val="24"/>
        </w:rPr>
      </w:pPr>
      <w:r w:rsidRPr="00550C4A">
        <w:rPr>
          <w:rFonts w:ascii="Times" w:hAnsi="Times" w:cs="Times"/>
          <w:b/>
          <w:bCs/>
          <w:szCs w:val="24"/>
        </w:rPr>
        <w:t>Project A</w:t>
      </w:r>
    </w:p>
    <w:p w14:paraId="1956380E" w14:textId="77777777" w:rsidR="00C437B8" w:rsidRDefault="00732348" w:rsidP="008E0EDA">
      <w:pPr>
        <w:spacing w:line="360" w:lineRule="auto"/>
        <w:rPr>
          <w:rFonts w:ascii="Times" w:hAnsi="Times" w:cs="Times"/>
          <w:b/>
          <w:bCs/>
          <w:szCs w:val="24"/>
        </w:rPr>
      </w:pPr>
      <w:r>
        <w:rPr>
          <w:rFonts w:ascii="Times" w:hAnsi="Times" w:cs="Times"/>
          <w:b/>
          <w:bCs/>
          <w:szCs w:val="24"/>
        </w:rPr>
        <w:t>Payback period</w:t>
      </w:r>
    </w:p>
    <w:tbl>
      <w:tblPr>
        <w:tblW w:w="7720" w:type="dxa"/>
        <w:jc w:val="center"/>
        <w:tblLook w:val="04A0" w:firstRow="1" w:lastRow="0" w:firstColumn="1" w:lastColumn="0" w:noHBand="0" w:noVBand="1"/>
      </w:tblPr>
      <w:tblGrid>
        <w:gridCol w:w="902"/>
        <w:gridCol w:w="1638"/>
        <w:gridCol w:w="1980"/>
        <w:gridCol w:w="1760"/>
        <w:gridCol w:w="1440"/>
      </w:tblGrid>
      <w:tr w:rsidR="00D30489" w14:paraId="70022982" w14:textId="77777777" w:rsidTr="0009715F">
        <w:trPr>
          <w:trHeight w:val="315"/>
          <w:jc w:val="center"/>
        </w:trPr>
        <w:tc>
          <w:tcPr>
            <w:tcW w:w="2540" w:type="dxa"/>
            <w:gridSpan w:val="2"/>
            <w:tcBorders>
              <w:top w:val="nil"/>
              <w:left w:val="nil"/>
              <w:bottom w:val="nil"/>
              <w:right w:val="nil"/>
            </w:tcBorders>
            <w:noWrap/>
            <w:vAlign w:val="bottom"/>
            <w:hideMark/>
          </w:tcPr>
          <w:p w14:paraId="1BB12923" w14:textId="77777777" w:rsidR="0009715F" w:rsidRPr="0009715F" w:rsidRDefault="00732348" w:rsidP="0009715F">
            <w:pPr>
              <w:spacing w:after="0" w:line="240" w:lineRule="auto"/>
              <w:jc w:val="left"/>
              <w:rPr>
                <w:rFonts w:ascii="Times" w:eastAsia="Times New Roman" w:hAnsi="Times" w:cs="Times"/>
                <w:b/>
                <w:bCs/>
                <w:color w:val="000000"/>
                <w:szCs w:val="24"/>
                <w:lang w:val="" w:eastAsia=""/>
              </w:rPr>
            </w:pPr>
            <w:r w:rsidRPr="0009715F">
              <w:rPr>
                <w:rFonts w:ascii="Times" w:eastAsia="Times New Roman" w:hAnsi="Times" w:cs="Times"/>
                <w:b/>
                <w:bCs/>
                <w:color w:val="000000"/>
                <w:szCs w:val="24"/>
                <w:lang w:val="" w:eastAsia=""/>
              </w:rPr>
              <w:t>Payback Period</w:t>
            </w:r>
          </w:p>
        </w:tc>
        <w:tc>
          <w:tcPr>
            <w:tcW w:w="1980" w:type="dxa"/>
            <w:tcBorders>
              <w:top w:val="nil"/>
              <w:left w:val="nil"/>
              <w:bottom w:val="nil"/>
              <w:right w:val="nil"/>
            </w:tcBorders>
            <w:noWrap/>
            <w:vAlign w:val="bottom"/>
            <w:hideMark/>
          </w:tcPr>
          <w:p w14:paraId="7683D218" w14:textId="77777777" w:rsidR="0009715F" w:rsidRPr="0009715F" w:rsidRDefault="0009715F" w:rsidP="0009715F">
            <w:pPr>
              <w:spacing w:after="0" w:line="240" w:lineRule="auto"/>
              <w:jc w:val="left"/>
              <w:rPr>
                <w:rFonts w:ascii="Times" w:eastAsia="Times New Roman" w:hAnsi="Times" w:cs="Times"/>
                <w:b/>
                <w:bCs/>
                <w:color w:val="000000"/>
                <w:szCs w:val="24"/>
                <w:lang w:val="" w:eastAsia=""/>
              </w:rPr>
            </w:pPr>
          </w:p>
        </w:tc>
        <w:tc>
          <w:tcPr>
            <w:tcW w:w="1760" w:type="dxa"/>
            <w:tcBorders>
              <w:top w:val="nil"/>
              <w:left w:val="nil"/>
              <w:bottom w:val="nil"/>
              <w:right w:val="nil"/>
            </w:tcBorders>
            <w:noWrap/>
            <w:vAlign w:val="bottom"/>
            <w:hideMark/>
          </w:tcPr>
          <w:p w14:paraId="3A1FCD44" w14:textId="77777777" w:rsidR="0009715F" w:rsidRPr="0009715F" w:rsidRDefault="0009715F" w:rsidP="0009715F">
            <w:pPr>
              <w:spacing w:after="0" w:line="240" w:lineRule="auto"/>
              <w:jc w:val="left"/>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71128EEE" w14:textId="77777777" w:rsidR="0009715F" w:rsidRPr="0009715F" w:rsidRDefault="0009715F" w:rsidP="0009715F">
            <w:pPr>
              <w:spacing w:after="0" w:line="240" w:lineRule="auto"/>
              <w:jc w:val="left"/>
              <w:rPr>
                <w:rFonts w:eastAsia="Times New Roman" w:cs="Times New Roman"/>
                <w:sz w:val="20"/>
                <w:szCs w:val="20"/>
                <w:lang w:val="" w:eastAsia=""/>
              </w:rPr>
            </w:pPr>
          </w:p>
        </w:tc>
      </w:tr>
      <w:tr w:rsidR="00D30489" w14:paraId="0199E751" w14:textId="77777777" w:rsidTr="0009715F">
        <w:trPr>
          <w:trHeight w:val="315"/>
          <w:jc w:val="center"/>
        </w:trPr>
        <w:tc>
          <w:tcPr>
            <w:tcW w:w="902" w:type="dxa"/>
            <w:vMerge w:val="restart"/>
            <w:tcBorders>
              <w:top w:val="single" w:sz="8" w:space="0" w:color="auto"/>
              <w:left w:val="single" w:sz="8" w:space="0" w:color="auto"/>
              <w:bottom w:val="single" w:sz="8" w:space="0" w:color="000000"/>
              <w:right w:val="single" w:sz="8" w:space="0" w:color="auto"/>
            </w:tcBorders>
            <w:noWrap/>
            <w:vAlign w:val="center"/>
            <w:hideMark/>
          </w:tcPr>
          <w:p w14:paraId="1DFF538B" w14:textId="77777777" w:rsidR="0009715F" w:rsidRPr="0009715F" w:rsidRDefault="00732348" w:rsidP="0009715F">
            <w:pPr>
              <w:spacing w:after="0" w:line="240" w:lineRule="auto"/>
              <w:jc w:val="center"/>
              <w:rPr>
                <w:rFonts w:ascii="Times" w:eastAsia="Times New Roman" w:hAnsi="Times" w:cs="Times"/>
                <w:b/>
                <w:bCs/>
                <w:szCs w:val="24"/>
                <w:lang w:val="" w:eastAsia=""/>
              </w:rPr>
            </w:pPr>
            <w:r w:rsidRPr="0009715F">
              <w:rPr>
                <w:rFonts w:ascii="Times" w:eastAsia="Times New Roman" w:hAnsi="Times" w:cs="Times"/>
                <w:b/>
                <w:bCs/>
                <w:szCs w:val="24"/>
                <w:lang w:val="" w:eastAsia=""/>
              </w:rPr>
              <w:t>Year</w:t>
            </w:r>
          </w:p>
        </w:tc>
        <w:tc>
          <w:tcPr>
            <w:tcW w:w="1638" w:type="dxa"/>
            <w:vMerge w:val="restart"/>
            <w:tcBorders>
              <w:top w:val="single" w:sz="8" w:space="0" w:color="auto"/>
              <w:left w:val="single" w:sz="8" w:space="0" w:color="auto"/>
              <w:bottom w:val="single" w:sz="8" w:space="0" w:color="000000"/>
              <w:right w:val="single" w:sz="8" w:space="0" w:color="auto"/>
            </w:tcBorders>
            <w:noWrap/>
            <w:vAlign w:val="center"/>
            <w:hideMark/>
          </w:tcPr>
          <w:p w14:paraId="6734C3F3" w14:textId="77777777" w:rsidR="0009715F" w:rsidRPr="0009715F" w:rsidRDefault="00732348" w:rsidP="0009715F">
            <w:pPr>
              <w:spacing w:after="0" w:line="240" w:lineRule="auto"/>
              <w:jc w:val="center"/>
              <w:rPr>
                <w:rFonts w:ascii="Times" w:eastAsia="Times New Roman" w:hAnsi="Times" w:cs="Times"/>
                <w:b/>
                <w:bCs/>
                <w:szCs w:val="24"/>
                <w:lang w:val="" w:eastAsia=""/>
              </w:rPr>
            </w:pPr>
            <w:r w:rsidRPr="0009715F">
              <w:rPr>
                <w:rFonts w:ascii="Times" w:eastAsia="Times New Roman" w:hAnsi="Times" w:cs="Times"/>
                <w:b/>
                <w:bCs/>
                <w:szCs w:val="24"/>
                <w:lang w:val="" w:eastAsia=""/>
              </w:rPr>
              <w:t>Cash Inflow</w:t>
            </w:r>
          </w:p>
        </w:tc>
        <w:tc>
          <w:tcPr>
            <w:tcW w:w="3740" w:type="dxa"/>
            <w:gridSpan w:val="2"/>
            <w:tcBorders>
              <w:top w:val="single" w:sz="8" w:space="0" w:color="auto"/>
              <w:left w:val="nil"/>
              <w:bottom w:val="single" w:sz="8" w:space="0" w:color="auto"/>
              <w:right w:val="single" w:sz="8" w:space="0" w:color="000000"/>
            </w:tcBorders>
            <w:noWrap/>
            <w:vAlign w:val="center"/>
            <w:hideMark/>
          </w:tcPr>
          <w:p w14:paraId="6E4E33EA" w14:textId="77777777" w:rsidR="0009715F" w:rsidRPr="0009715F" w:rsidRDefault="00732348" w:rsidP="0009715F">
            <w:pPr>
              <w:spacing w:after="0" w:line="240" w:lineRule="auto"/>
              <w:jc w:val="center"/>
              <w:rPr>
                <w:rFonts w:ascii="Times" w:eastAsia="Times New Roman" w:hAnsi="Times" w:cs="Times"/>
                <w:b/>
                <w:bCs/>
                <w:szCs w:val="24"/>
                <w:lang w:val="" w:eastAsia=""/>
              </w:rPr>
            </w:pPr>
            <w:r w:rsidRPr="0009715F">
              <w:rPr>
                <w:rFonts w:ascii="Times" w:eastAsia="Times New Roman" w:hAnsi="Times" w:cs="Times"/>
                <w:b/>
                <w:bCs/>
                <w:szCs w:val="24"/>
                <w:lang w:val="" w:eastAsia=""/>
              </w:rPr>
              <w:t>Amount</w:t>
            </w:r>
          </w:p>
        </w:tc>
        <w:tc>
          <w:tcPr>
            <w:tcW w:w="1440" w:type="dxa"/>
            <w:tcBorders>
              <w:top w:val="single" w:sz="8" w:space="0" w:color="auto"/>
              <w:left w:val="nil"/>
              <w:bottom w:val="nil"/>
              <w:right w:val="single" w:sz="8" w:space="0" w:color="auto"/>
            </w:tcBorders>
            <w:noWrap/>
            <w:vAlign w:val="center"/>
            <w:hideMark/>
          </w:tcPr>
          <w:p w14:paraId="492A94C3" w14:textId="77777777" w:rsidR="0009715F" w:rsidRPr="0009715F" w:rsidRDefault="00732348" w:rsidP="0009715F">
            <w:pPr>
              <w:spacing w:after="0" w:line="240" w:lineRule="auto"/>
              <w:jc w:val="center"/>
              <w:rPr>
                <w:rFonts w:ascii="Times" w:eastAsia="Times New Roman" w:hAnsi="Times" w:cs="Times"/>
                <w:b/>
                <w:bCs/>
                <w:szCs w:val="24"/>
                <w:lang w:val="" w:eastAsia=""/>
              </w:rPr>
            </w:pPr>
            <w:r w:rsidRPr="0009715F">
              <w:rPr>
                <w:rFonts w:ascii="Times" w:eastAsia="Times New Roman" w:hAnsi="Times" w:cs="Times"/>
                <w:b/>
                <w:bCs/>
                <w:szCs w:val="24"/>
                <w:lang w:val="" w:eastAsia=""/>
              </w:rPr>
              <w:t>PayBack</w:t>
            </w:r>
          </w:p>
        </w:tc>
      </w:tr>
      <w:tr w:rsidR="00D30489" w14:paraId="41C9E3B5" w14:textId="77777777" w:rsidTr="0009715F">
        <w:trPr>
          <w:trHeight w:val="315"/>
          <w:jc w:val="center"/>
        </w:trPr>
        <w:tc>
          <w:tcPr>
            <w:tcW w:w="902" w:type="dxa"/>
            <w:vMerge/>
            <w:tcBorders>
              <w:top w:val="single" w:sz="8" w:space="0" w:color="auto"/>
              <w:left w:val="single" w:sz="8" w:space="0" w:color="auto"/>
              <w:bottom w:val="single" w:sz="8" w:space="0" w:color="000000"/>
              <w:right w:val="single" w:sz="8" w:space="0" w:color="auto"/>
            </w:tcBorders>
            <w:vAlign w:val="center"/>
            <w:hideMark/>
          </w:tcPr>
          <w:p w14:paraId="084BC62D" w14:textId="77777777" w:rsidR="0009715F" w:rsidRPr="0009715F" w:rsidRDefault="0009715F" w:rsidP="0009715F">
            <w:pPr>
              <w:spacing w:after="0" w:line="240" w:lineRule="auto"/>
              <w:jc w:val="center"/>
              <w:rPr>
                <w:rFonts w:ascii="Times" w:eastAsia="Times New Roman" w:hAnsi="Times" w:cs="Times"/>
                <w:b/>
                <w:bCs/>
                <w:szCs w:val="24"/>
                <w:lang w:val="" w:eastAsia=""/>
              </w:rPr>
            </w:pPr>
          </w:p>
        </w:tc>
        <w:tc>
          <w:tcPr>
            <w:tcW w:w="1638" w:type="dxa"/>
            <w:vMerge/>
            <w:tcBorders>
              <w:top w:val="single" w:sz="8" w:space="0" w:color="auto"/>
              <w:left w:val="single" w:sz="8" w:space="0" w:color="auto"/>
              <w:bottom w:val="single" w:sz="8" w:space="0" w:color="000000"/>
              <w:right w:val="single" w:sz="8" w:space="0" w:color="auto"/>
            </w:tcBorders>
            <w:vAlign w:val="center"/>
            <w:hideMark/>
          </w:tcPr>
          <w:p w14:paraId="5DFE6538" w14:textId="77777777" w:rsidR="0009715F" w:rsidRPr="0009715F" w:rsidRDefault="0009715F" w:rsidP="0009715F">
            <w:pPr>
              <w:spacing w:after="0" w:line="240" w:lineRule="auto"/>
              <w:jc w:val="center"/>
              <w:rPr>
                <w:rFonts w:ascii="Times" w:eastAsia="Times New Roman" w:hAnsi="Times" w:cs="Times"/>
                <w:b/>
                <w:bCs/>
                <w:szCs w:val="24"/>
                <w:lang w:val="" w:eastAsia=""/>
              </w:rPr>
            </w:pPr>
          </w:p>
        </w:tc>
        <w:tc>
          <w:tcPr>
            <w:tcW w:w="1980" w:type="dxa"/>
            <w:tcBorders>
              <w:top w:val="nil"/>
              <w:left w:val="nil"/>
              <w:bottom w:val="single" w:sz="8" w:space="0" w:color="auto"/>
              <w:right w:val="single" w:sz="8" w:space="0" w:color="auto"/>
            </w:tcBorders>
            <w:noWrap/>
            <w:vAlign w:val="center"/>
            <w:hideMark/>
          </w:tcPr>
          <w:p w14:paraId="037DF585" w14:textId="77777777" w:rsidR="0009715F" w:rsidRPr="0009715F" w:rsidRDefault="00732348" w:rsidP="0009715F">
            <w:pPr>
              <w:spacing w:after="0" w:line="240" w:lineRule="auto"/>
              <w:jc w:val="center"/>
              <w:rPr>
                <w:rFonts w:ascii="Times" w:eastAsia="Times New Roman" w:hAnsi="Times" w:cs="Times"/>
                <w:b/>
                <w:bCs/>
                <w:szCs w:val="24"/>
                <w:lang w:val="" w:eastAsia=""/>
              </w:rPr>
            </w:pPr>
            <w:r w:rsidRPr="0009715F">
              <w:rPr>
                <w:rFonts w:ascii="Times" w:eastAsia="Times New Roman" w:hAnsi="Times" w:cs="Times"/>
                <w:b/>
                <w:bCs/>
                <w:szCs w:val="24"/>
                <w:lang w:val="" w:eastAsia=""/>
              </w:rPr>
              <w:t>Needed</w:t>
            </w:r>
          </w:p>
        </w:tc>
        <w:tc>
          <w:tcPr>
            <w:tcW w:w="1760" w:type="dxa"/>
            <w:tcBorders>
              <w:top w:val="nil"/>
              <w:left w:val="nil"/>
              <w:bottom w:val="single" w:sz="8" w:space="0" w:color="auto"/>
              <w:right w:val="single" w:sz="8" w:space="0" w:color="auto"/>
            </w:tcBorders>
            <w:noWrap/>
            <w:vAlign w:val="center"/>
            <w:hideMark/>
          </w:tcPr>
          <w:p w14:paraId="124094C9" w14:textId="77777777" w:rsidR="0009715F" w:rsidRPr="0009715F" w:rsidRDefault="00732348" w:rsidP="0009715F">
            <w:pPr>
              <w:spacing w:after="0" w:line="240" w:lineRule="auto"/>
              <w:jc w:val="center"/>
              <w:rPr>
                <w:rFonts w:ascii="Times" w:eastAsia="Times New Roman" w:hAnsi="Times" w:cs="Times"/>
                <w:b/>
                <w:bCs/>
                <w:szCs w:val="24"/>
                <w:lang w:val="" w:eastAsia=""/>
              </w:rPr>
            </w:pPr>
            <w:r w:rsidRPr="0009715F">
              <w:rPr>
                <w:rFonts w:ascii="Times" w:eastAsia="Times New Roman" w:hAnsi="Times" w:cs="Times"/>
                <w:b/>
                <w:bCs/>
                <w:szCs w:val="24"/>
                <w:lang w:val="" w:eastAsia=""/>
              </w:rPr>
              <w:t>Balance</w:t>
            </w:r>
          </w:p>
        </w:tc>
        <w:tc>
          <w:tcPr>
            <w:tcW w:w="1440" w:type="dxa"/>
            <w:tcBorders>
              <w:top w:val="single" w:sz="8" w:space="0" w:color="auto"/>
              <w:left w:val="nil"/>
              <w:bottom w:val="single" w:sz="8" w:space="0" w:color="auto"/>
              <w:right w:val="single" w:sz="8" w:space="0" w:color="auto"/>
            </w:tcBorders>
            <w:noWrap/>
            <w:vAlign w:val="center"/>
            <w:hideMark/>
          </w:tcPr>
          <w:p w14:paraId="52988F9A" w14:textId="77777777" w:rsidR="0009715F" w:rsidRPr="0009715F" w:rsidRDefault="00732348" w:rsidP="0009715F">
            <w:pPr>
              <w:spacing w:after="0" w:line="240" w:lineRule="auto"/>
              <w:jc w:val="center"/>
              <w:rPr>
                <w:rFonts w:ascii="Times" w:eastAsia="Times New Roman" w:hAnsi="Times" w:cs="Times"/>
                <w:b/>
                <w:bCs/>
                <w:szCs w:val="24"/>
                <w:lang w:val="" w:eastAsia=""/>
              </w:rPr>
            </w:pPr>
            <w:r w:rsidRPr="0009715F">
              <w:rPr>
                <w:rFonts w:ascii="Times" w:eastAsia="Times New Roman" w:hAnsi="Times" w:cs="Times"/>
                <w:b/>
                <w:bCs/>
                <w:szCs w:val="24"/>
                <w:lang w:val="" w:eastAsia=""/>
              </w:rPr>
              <w:t>Period</w:t>
            </w:r>
          </w:p>
        </w:tc>
      </w:tr>
      <w:tr w:rsidR="00D30489" w14:paraId="4209FBCA" w14:textId="77777777" w:rsidTr="0009715F">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79316BA5"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1</w:t>
            </w:r>
          </w:p>
        </w:tc>
        <w:tc>
          <w:tcPr>
            <w:tcW w:w="1638" w:type="dxa"/>
            <w:tcBorders>
              <w:top w:val="nil"/>
              <w:left w:val="nil"/>
              <w:bottom w:val="single" w:sz="4" w:space="0" w:color="auto"/>
              <w:right w:val="single" w:sz="4" w:space="0" w:color="auto"/>
            </w:tcBorders>
            <w:noWrap/>
            <w:vAlign w:val="bottom"/>
            <w:hideMark/>
          </w:tcPr>
          <w:p w14:paraId="77FB916C"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10,000,000</w:t>
            </w:r>
          </w:p>
        </w:tc>
        <w:tc>
          <w:tcPr>
            <w:tcW w:w="1980" w:type="dxa"/>
            <w:tcBorders>
              <w:top w:val="nil"/>
              <w:left w:val="nil"/>
              <w:bottom w:val="single" w:sz="4" w:space="0" w:color="auto"/>
              <w:right w:val="single" w:sz="4" w:space="0" w:color="auto"/>
            </w:tcBorders>
            <w:noWrap/>
            <w:vAlign w:val="bottom"/>
            <w:hideMark/>
          </w:tcPr>
          <w:p w14:paraId="0906DF70"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(50,000,000)</w:t>
            </w:r>
          </w:p>
        </w:tc>
        <w:tc>
          <w:tcPr>
            <w:tcW w:w="1760" w:type="dxa"/>
            <w:tcBorders>
              <w:top w:val="nil"/>
              <w:left w:val="nil"/>
              <w:bottom w:val="single" w:sz="4" w:space="0" w:color="auto"/>
              <w:right w:val="single" w:sz="4" w:space="0" w:color="auto"/>
            </w:tcBorders>
            <w:noWrap/>
            <w:vAlign w:val="bottom"/>
            <w:hideMark/>
          </w:tcPr>
          <w:p w14:paraId="67B68142"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(40,000,000)</w:t>
            </w:r>
          </w:p>
        </w:tc>
        <w:tc>
          <w:tcPr>
            <w:tcW w:w="1440" w:type="dxa"/>
            <w:tcBorders>
              <w:top w:val="nil"/>
              <w:left w:val="nil"/>
              <w:bottom w:val="single" w:sz="4" w:space="0" w:color="auto"/>
              <w:right w:val="single" w:sz="4" w:space="0" w:color="auto"/>
            </w:tcBorders>
            <w:noWrap/>
            <w:vAlign w:val="bottom"/>
            <w:hideMark/>
          </w:tcPr>
          <w:p w14:paraId="5F89BC4F"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1</w:t>
            </w:r>
          </w:p>
        </w:tc>
      </w:tr>
      <w:tr w:rsidR="00D30489" w14:paraId="18DF502E" w14:textId="77777777" w:rsidTr="0009715F">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140D4D1A"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2</w:t>
            </w:r>
          </w:p>
        </w:tc>
        <w:tc>
          <w:tcPr>
            <w:tcW w:w="1638" w:type="dxa"/>
            <w:tcBorders>
              <w:top w:val="nil"/>
              <w:left w:val="nil"/>
              <w:bottom w:val="single" w:sz="4" w:space="0" w:color="auto"/>
              <w:right w:val="single" w:sz="4" w:space="0" w:color="auto"/>
            </w:tcBorders>
            <w:noWrap/>
            <w:vAlign w:val="bottom"/>
            <w:hideMark/>
          </w:tcPr>
          <w:p w14:paraId="5D539451"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12,000,000</w:t>
            </w:r>
          </w:p>
        </w:tc>
        <w:tc>
          <w:tcPr>
            <w:tcW w:w="1980" w:type="dxa"/>
            <w:tcBorders>
              <w:top w:val="nil"/>
              <w:left w:val="nil"/>
              <w:bottom w:val="single" w:sz="4" w:space="0" w:color="auto"/>
              <w:right w:val="single" w:sz="4" w:space="0" w:color="auto"/>
            </w:tcBorders>
            <w:noWrap/>
            <w:vAlign w:val="bottom"/>
            <w:hideMark/>
          </w:tcPr>
          <w:p w14:paraId="6A6DD844"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(40,000,000)</w:t>
            </w:r>
          </w:p>
        </w:tc>
        <w:tc>
          <w:tcPr>
            <w:tcW w:w="1760" w:type="dxa"/>
            <w:tcBorders>
              <w:top w:val="nil"/>
              <w:left w:val="nil"/>
              <w:bottom w:val="single" w:sz="4" w:space="0" w:color="auto"/>
              <w:right w:val="single" w:sz="4" w:space="0" w:color="auto"/>
            </w:tcBorders>
            <w:noWrap/>
            <w:vAlign w:val="bottom"/>
            <w:hideMark/>
          </w:tcPr>
          <w:p w14:paraId="130E97AD"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(28,000,000)</w:t>
            </w:r>
          </w:p>
        </w:tc>
        <w:tc>
          <w:tcPr>
            <w:tcW w:w="1440" w:type="dxa"/>
            <w:tcBorders>
              <w:top w:val="nil"/>
              <w:left w:val="nil"/>
              <w:bottom w:val="single" w:sz="4" w:space="0" w:color="auto"/>
              <w:right w:val="single" w:sz="4" w:space="0" w:color="auto"/>
            </w:tcBorders>
            <w:noWrap/>
            <w:vAlign w:val="bottom"/>
            <w:hideMark/>
          </w:tcPr>
          <w:p w14:paraId="31DD7BB3"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2</w:t>
            </w:r>
          </w:p>
        </w:tc>
      </w:tr>
      <w:tr w:rsidR="00D30489" w14:paraId="35FB28C7" w14:textId="77777777" w:rsidTr="0009715F">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4A13B97F"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3</w:t>
            </w:r>
          </w:p>
        </w:tc>
        <w:tc>
          <w:tcPr>
            <w:tcW w:w="1638" w:type="dxa"/>
            <w:tcBorders>
              <w:top w:val="nil"/>
              <w:left w:val="nil"/>
              <w:bottom w:val="single" w:sz="4" w:space="0" w:color="auto"/>
              <w:right w:val="single" w:sz="4" w:space="0" w:color="auto"/>
            </w:tcBorders>
            <w:noWrap/>
            <w:vAlign w:val="bottom"/>
            <w:hideMark/>
          </w:tcPr>
          <w:p w14:paraId="71C00D3B"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14,000,000</w:t>
            </w:r>
          </w:p>
        </w:tc>
        <w:tc>
          <w:tcPr>
            <w:tcW w:w="1980" w:type="dxa"/>
            <w:tcBorders>
              <w:top w:val="nil"/>
              <w:left w:val="nil"/>
              <w:bottom w:val="single" w:sz="4" w:space="0" w:color="auto"/>
              <w:right w:val="single" w:sz="4" w:space="0" w:color="auto"/>
            </w:tcBorders>
            <w:noWrap/>
            <w:vAlign w:val="bottom"/>
            <w:hideMark/>
          </w:tcPr>
          <w:p w14:paraId="6FC8974D"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(28,000,000)</w:t>
            </w:r>
          </w:p>
        </w:tc>
        <w:tc>
          <w:tcPr>
            <w:tcW w:w="1760" w:type="dxa"/>
            <w:tcBorders>
              <w:top w:val="nil"/>
              <w:left w:val="nil"/>
              <w:bottom w:val="single" w:sz="4" w:space="0" w:color="auto"/>
              <w:right w:val="single" w:sz="4" w:space="0" w:color="auto"/>
            </w:tcBorders>
            <w:noWrap/>
            <w:vAlign w:val="bottom"/>
            <w:hideMark/>
          </w:tcPr>
          <w:p w14:paraId="7D616360"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(14,000,000)</w:t>
            </w:r>
          </w:p>
        </w:tc>
        <w:tc>
          <w:tcPr>
            <w:tcW w:w="1440" w:type="dxa"/>
            <w:tcBorders>
              <w:top w:val="nil"/>
              <w:left w:val="nil"/>
              <w:bottom w:val="single" w:sz="4" w:space="0" w:color="auto"/>
              <w:right w:val="single" w:sz="4" w:space="0" w:color="auto"/>
            </w:tcBorders>
            <w:noWrap/>
            <w:vAlign w:val="bottom"/>
            <w:hideMark/>
          </w:tcPr>
          <w:p w14:paraId="1C2E4433"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3</w:t>
            </w:r>
          </w:p>
        </w:tc>
      </w:tr>
      <w:tr w:rsidR="00D30489" w14:paraId="044FF9C1" w14:textId="77777777" w:rsidTr="0009715F">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7F58225F"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4</w:t>
            </w:r>
          </w:p>
        </w:tc>
        <w:tc>
          <w:tcPr>
            <w:tcW w:w="1638" w:type="dxa"/>
            <w:tcBorders>
              <w:top w:val="nil"/>
              <w:left w:val="nil"/>
              <w:bottom w:val="single" w:sz="4" w:space="0" w:color="auto"/>
              <w:right w:val="single" w:sz="4" w:space="0" w:color="auto"/>
            </w:tcBorders>
            <w:noWrap/>
            <w:vAlign w:val="bottom"/>
            <w:hideMark/>
          </w:tcPr>
          <w:p w14:paraId="732B8CAC"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10,000,000</w:t>
            </w:r>
          </w:p>
        </w:tc>
        <w:tc>
          <w:tcPr>
            <w:tcW w:w="1980" w:type="dxa"/>
            <w:tcBorders>
              <w:top w:val="nil"/>
              <w:left w:val="nil"/>
              <w:bottom w:val="single" w:sz="4" w:space="0" w:color="auto"/>
              <w:right w:val="single" w:sz="4" w:space="0" w:color="auto"/>
            </w:tcBorders>
            <w:noWrap/>
            <w:vAlign w:val="bottom"/>
            <w:hideMark/>
          </w:tcPr>
          <w:p w14:paraId="68C08D8E"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(14,000,000)</w:t>
            </w:r>
          </w:p>
        </w:tc>
        <w:tc>
          <w:tcPr>
            <w:tcW w:w="1760" w:type="dxa"/>
            <w:tcBorders>
              <w:top w:val="nil"/>
              <w:left w:val="nil"/>
              <w:bottom w:val="single" w:sz="4" w:space="0" w:color="auto"/>
              <w:right w:val="single" w:sz="4" w:space="0" w:color="auto"/>
            </w:tcBorders>
            <w:noWrap/>
            <w:vAlign w:val="bottom"/>
            <w:hideMark/>
          </w:tcPr>
          <w:p w14:paraId="3E037028"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(4,000,000)</w:t>
            </w:r>
          </w:p>
        </w:tc>
        <w:tc>
          <w:tcPr>
            <w:tcW w:w="1440" w:type="dxa"/>
            <w:tcBorders>
              <w:top w:val="nil"/>
              <w:left w:val="nil"/>
              <w:bottom w:val="single" w:sz="4" w:space="0" w:color="auto"/>
              <w:right w:val="single" w:sz="4" w:space="0" w:color="auto"/>
            </w:tcBorders>
            <w:noWrap/>
            <w:vAlign w:val="bottom"/>
            <w:hideMark/>
          </w:tcPr>
          <w:p w14:paraId="24F273C4"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4</w:t>
            </w:r>
          </w:p>
        </w:tc>
      </w:tr>
      <w:tr w:rsidR="00D30489" w14:paraId="7E93EC58" w14:textId="77777777" w:rsidTr="0009715F">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0B2D0289"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5</w:t>
            </w:r>
          </w:p>
        </w:tc>
        <w:tc>
          <w:tcPr>
            <w:tcW w:w="1638" w:type="dxa"/>
            <w:tcBorders>
              <w:top w:val="nil"/>
              <w:left w:val="nil"/>
              <w:bottom w:val="single" w:sz="4" w:space="0" w:color="auto"/>
              <w:right w:val="single" w:sz="4" w:space="0" w:color="auto"/>
            </w:tcBorders>
            <w:noWrap/>
            <w:vAlign w:val="bottom"/>
            <w:hideMark/>
          </w:tcPr>
          <w:p w14:paraId="58C6F5B2"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8,000,000</w:t>
            </w:r>
          </w:p>
        </w:tc>
        <w:tc>
          <w:tcPr>
            <w:tcW w:w="1980" w:type="dxa"/>
            <w:tcBorders>
              <w:top w:val="nil"/>
              <w:left w:val="nil"/>
              <w:bottom w:val="single" w:sz="4" w:space="0" w:color="auto"/>
              <w:right w:val="single" w:sz="4" w:space="0" w:color="auto"/>
            </w:tcBorders>
            <w:noWrap/>
            <w:vAlign w:val="bottom"/>
            <w:hideMark/>
          </w:tcPr>
          <w:p w14:paraId="63CC82C8"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(4,000,000)</w:t>
            </w:r>
          </w:p>
        </w:tc>
        <w:tc>
          <w:tcPr>
            <w:tcW w:w="1760" w:type="dxa"/>
            <w:tcBorders>
              <w:top w:val="nil"/>
              <w:left w:val="nil"/>
              <w:bottom w:val="single" w:sz="4" w:space="0" w:color="auto"/>
              <w:right w:val="single" w:sz="4" w:space="0" w:color="auto"/>
            </w:tcBorders>
            <w:noWrap/>
            <w:vAlign w:val="bottom"/>
            <w:hideMark/>
          </w:tcPr>
          <w:p w14:paraId="37C219AF"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4,000,000</w:t>
            </w:r>
          </w:p>
        </w:tc>
        <w:tc>
          <w:tcPr>
            <w:tcW w:w="1440" w:type="dxa"/>
            <w:tcBorders>
              <w:top w:val="nil"/>
              <w:left w:val="nil"/>
              <w:bottom w:val="single" w:sz="4" w:space="0" w:color="auto"/>
              <w:right w:val="single" w:sz="4" w:space="0" w:color="auto"/>
            </w:tcBorders>
            <w:noWrap/>
            <w:vAlign w:val="bottom"/>
            <w:hideMark/>
          </w:tcPr>
          <w:p w14:paraId="2C601F0C" w14:textId="77777777" w:rsidR="0009715F" w:rsidRPr="0009715F" w:rsidRDefault="0009715F" w:rsidP="0009715F">
            <w:pPr>
              <w:spacing w:after="0" w:line="240" w:lineRule="auto"/>
              <w:jc w:val="center"/>
              <w:rPr>
                <w:rFonts w:ascii="Times" w:eastAsia="Times New Roman" w:hAnsi="Times" w:cs="Times"/>
                <w:szCs w:val="24"/>
                <w:lang w:val="" w:eastAsia=""/>
              </w:rPr>
            </w:pPr>
          </w:p>
        </w:tc>
      </w:tr>
      <w:tr w:rsidR="00D30489" w14:paraId="0F31A400" w14:textId="77777777" w:rsidTr="0009715F">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0BDED5C5"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638" w:type="dxa"/>
            <w:tcBorders>
              <w:top w:val="nil"/>
              <w:left w:val="nil"/>
              <w:bottom w:val="single" w:sz="4" w:space="0" w:color="auto"/>
              <w:right w:val="single" w:sz="4" w:space="0" w:color="auto"/>
            </w:tcBorders>
            <w:noWrap/>
            <w:vAlign w:val="bottom"/>
            <w:hideMark/>
          </w:tcPr>
          <w:p w14:paraId="7EBBAC52"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980" w:type="dxa"/>
            <w:tcBorders>
              <w:top w:val="nil"/>
              <w:left w:val="nil"/>
              <w:bottom w:val="single" w:sz="4" w:space="0" w:color="auto"/>
              <w:right w:val="single" w:sz="4" w:space="0" w:color="auto"/>
            </w:tcBorders>
            <w:noWrap/>
            <w:vAlign w:val="bottom"/>
            <w:hideMark/>
          </w:tcPr>
          <w:p w14:paraId="00CECA1E"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760" w:type="dxa"/>
            <w:tcBorders>
              <w:top w:val="nil"/>
              <w:left w:val="nil"/>
              <w:bottom w:val="single" w:sz="4" w:space="0" w:color="auto"/>
              <w:right w:val="single" w:sz="4" w:space="0" w:color="auto"/>
            </w:tcBorders>
            <w:noWrap/>
            <w:vAlign w:val="bottom"/>
            <w:hideMark/>
          </w:tcPr>
          <w:p w14:paraId="182C8BFC"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440" w:type="dxa"/>
            <w:tcBorders>
              <w:top w:val="nil"/>
              <w:left w:val="nil"/>
              <w:bottom w:val="single" w:sz="4" w:space="0" w:color="auto"/>
              <w:right w:val="single" w:sz="4" w:space="0" w:color="auto"/>
            </w:tcBorders>
            <w:noWrap/>
            <w:vAlign w:val="bottom"/>
            <w:hideMark/>
          </w:tcPr>
          <w:p w14:paraId="00030709" w14:textId="77777777" w:rsidR="0009715F" w:rsidRPr="0009715F" w:rsidRDefault="0009715F" w:rsidP="0009715F">
            <w:pPr>
              <w:spacing w:after="0" w:line="240" w:lineRule="auto"/>
              <w:jc w:val="center"/>
              <w:rPr>
                <w:rFonts w:ascii="Times" w:eastAsia="Times New Roman" w:hAnsi="Times" w:cs="Times"/>
                <w:szCs w:val="24"/>
                <w:lang w:val="" w:eastAsia=""/>
              </w:rPr>
            </w:pPr>
          </w:p>
        </w:tc>
      </w:tr>
      <w:tr w:rsidR="00D30489" w14:paraId="63294B02" w14:textId="77777777" w:rsidTr="0009715F">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7E6D46E9"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638" w:type="dxa"/>
            <w:tcBorders>
              <w:top w:val="nil"/>
              <w:left w:val="nil"/>
              <w:bottom w:val="single" w:sz="4" w:space="0" w:color="auto"/>
              <w:right w:val="single" w:sz="4" w:space="0" w:color="auto"/>
            </w:tcBorders>
            <w:noWrap/>
            <w:vAlign w:val="bottom"/>
            <w:hideMark/>
          </w:tcPr>
          <w:p w14:paraId="414663C9"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980" w:type="dxa"/>
            <w:tcBorders>
              <w:top w:val="nil"/>
              <w:left w:val="nil"/>
              <w:bottom w:val="single" w:sz="4" w:space="0" w:color="auto"/>
              <w:right w:val="single" w:sz="4" w:space="0" w:color="auto"/>
            </w:tcBorders>
            <w:noWrap/>
            <w:vAlign w:val="bottom"/>
            <w:hideMark/>
          </w:tcPr>
          <w:p w14:paraId="446EFBB3"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760" w:type="dxa"/>
            <w:tcBorders>
              <w:top w:val="nil"/>
              <w:left w:val="nil"/>
              <w:bottom w:val="single" w:sz="4" w:space="0" w:color="auto"/>
              <w:right w:val="single" w:sz="4" w:space="0" w:color="auto"/>
            </w:tcBorders>
            <w:noWrap/>
            <w:vAlign w:val="bottom"/>
            <w:hideMark/>
          </w:tcPr>
          <w:p w14:paraId="70BAC828"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440" w:type="dxa"/>
            <w:tcBorders>
              <w:top w:val="nil"/>
              <w:left w:val="nil"/>
              <w:bottom w:val="single" w:sz="4" w:space="0" w:color="auto"/>
              <w:right w:val="single" w:sz="4" w:space="0" w:color="auto"/>
            </w:tcBorders>
            <w:noWrap/>
            <w:vAlign w:val="bottom"/>
            <w:hideMark/>
          </w:tcPr>
          <w:p w14:paraId="489DA755" w14:textId="77777777" w:rsidR="0009715F" w:rsidRPr="0009715F" w:rsidRDefault="0009715F" w:rsidP="0009715F">
            <w:pPr>
              <w:spacing w:after="0" w:line="240" w:lineRule="auto"/>
              <w:jc w:val="center"/>
              <w:rPr>
                <w:rFonts w:ascii="Times" w:eastAsia="Times New Roman" w:hAnsi="Times" w:cs="Times"/>
                <w:szCs w:val="24"/>
                <w:lang w:val="" w:eastAsia=""/>
              </w:rPr>
            </w:pPr>
          </w:p>
        </w:tc>
      </w:tr>
      <w:tr w:rsidR="00D30489" w14:paraId="42E5065E" w14:textId="77777777" w:rsidTr="0009715F">
        <w:trPr>
          <w:trHeight w:val="315"/>
          <w:jc w:val="center"/>
        </w:trPr>
        <w:tc>
          <w:tcPr>
            <w:tcW w:w="902" w:type="dxa"/>
            <w:tcBorders>
              <w:top w:val="nil"/>
              <w:left w:val="nil"/>
              <w:bottom w:val="nil"/>
              <w:right w:val="nil"/>
            </w:tcBorders>
            <w:noWrap/>
            <w:vAlign w:val="bottom"/>
            <w:hideMark/>
          </w:tcPr>
          <w:p w14:paraId="422F717B"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638" w:type="dxa"/>
            <w:tcBorders>
              <w:top w:val="nil"/>
              <w:left w:val="nil"/>
              <w:bottom w:val="single" w:sz="8" w:space="0" w:color="auto"/>
              <w:right w:val="nil"/>
            </w:tcBorders>
            <w:noWrap/>
            <w:vAlign w:val="bottom"/>
            <w:hideMark/>
          </w:tcPr>
          <w:p w14:paraId="312148C9"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4,000,000</w:t>
            </w:r>
          </w:p>
        </w:tc>
        <w:tc>
          <w:tcPr>
            <w:tcW w:w="1980" w:type="dxa"/>
            <w:tcBorders>
              <w:top w:val="nil"/>
              <w:left w:val="nil"/>
              <w:bottom w:val="nil"/>
              <w:right w:val="nil"/>
            </w:tcBorders>
            <w:noWrap/>
            <w:vAlign w:val="bottom"/>
            <w:hideMark/>
          </w:tcPr>
          <w:p w14:paraId="64F21D56"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0.5000</w:t>
            </w:r>
          </w:p>
        </w:tc>
        <w:tc>
          <w:tcPr>
            <w:tcW w:w="1760" w:type="dxa"/>
            <w:tcBorders>
              <w:top w:val="nil"/>
              <w:left w:val="nil"/>
              <w:bottom w:val="nil"/>
              <w:right w:val="nil"/>
            </w:tcBorders>
            <w:noWrap/>
            <w:vAlign w:val="bottom"/>
            <w:hideMark/>
          </w:tcPr>
          <w:p w14:paraId="375C4FAC"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440" w:type="dxa"/>
            <w:tcBorders>
              <w:top w:val="nil"/>
              <w:left w:val="nil"/>
              <w:bottom w:val="nil"/>
              <w:right w:val="nil"/>
            </w:tcBorders>
            <w:noWrap/>
            <w:vAlign w:val="bottom"/>
            <w:hideMark/>
          </w:tcPr>
          <w:p w14:paraId="6B6954BF" w14:textId="77777777" w:rsidR="0009715F" w:rsidRPr="0009715F" w:rsidRDefault="0009715F" w:rsidP="0009715F">
            <w:pPr>
              <w:spacing w:after="0" w:line="240" w:lineRule="auto"/>
              <w:jc w:val="center"/>
              <w:rPr>
                <w:rFonts w:eastAsia="Times New Roman" w:cs="Times New Roman"/>
                <w:sz w:val="20"/>
                <w:szCs w:val="20"/>
                <w:lang w:val="" w:eastAsia=""/>
              </w:rPr>
            </w:pPr>
          </w:p>
        </w:tc>
      </w:tr>
      <w:tr w:rsidR="00D30489" w14:paraId="79607866" w14:textId="77777777" w:rsidTr="0009715F">
        <w:trPr>
          <w:trHeight w:val="300"/>
          <w:jc w:val="center"/>
        </w:trPr>
        <w:tc>
          <w:tcPr>
            <w:tcW w:w="902" w:type="dxa"/>
            <w:tcBorders>
              <w:top w:val="nil"/>
              <w:left w:val="nil"/>
              <w:bottom w:val="nil"/>
              <w:right w:val="nil"/>
            </w:tcBorders>
            <w:noWrap/>
            <w:vAlign w:val="bottom"/>
            <w:hideMark/>
          </w:tcPr>
          <w:p w14:paraId="67321C0A" w14:textId="77777777" w:rsidR="0009715F" w:rsidRPr="0009715F" w:rsidRDefault="0009715F" w:rsidP="0009715F">
            <w:pPr>
              <w:spacing w:after="0" w:line="240" w:lineRule="auto"/>
              <w:jc w:val="center"/>
              <w:rPr>
                <w:rFonts w:eastAsia="Times New Roman" w:cs="Times New Roman"/>
                <w:sz w:val="20"/>
                <w:szCs w:val="20"/>
                <w:lang w:val="" w:eastAsia=""/>
              </w:rPr>
            </w:pPr>
          </w:p>
        </w:tc>
        <w:tc>
          <w:tcPr>
            <w:tcW w:w="1638" w:type="dxa"/>
            <w:tcBorders>
              <w:top w:val="nil"/>
              <w:left w:val="nil"/>
              <w:bottom w:val="nil"/>
              <w:right w:val="nil"/>
            </w:tcBorders>
            <w:noWrap/>
            <w:vAlign w:val="bottom"/>
            <w:hideMark/>
          </w:tcPr>
          <w:p w14:paraId="086A87F3"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8,000,000</w:t>
            </w:r>
          </w:p>
        </w:tc>
        <w:tc>
          <w:tcPr>
            <w:tcW w:w="1980" w:type="dxa"/>
            <w:tcBorders>
              <w:top w:val="nil"/>
              <w:left w:val="nil"/>
              <w:bottom w:val="nil"/>
              <w:right w:val="nil"/>
            </w:tcBorders>
            <w:noWrap/>
            <w:vAlign w:val="bottom"/>
            <w:hideMark/>
          </w:tcPr>
          <w:p w14:paraId="79EE205C"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760" w:type="dxa"/>
            <w:tcBorders>
              <w:top w:val="nil"/>
              <w:left w:val="nil"/>
              <w:bottom w:val="nil"/>
              <w:right w:val="nil"/>
            </w:tcBorders>
            <w:noWrap/>
            <w:vAlign w:val="bottom"/>
            <w:hideMark/>
          </w:tcPr>
          <w:p w14:paraId="3F5C5445" w14:textId="77777777" w:rsidR="0009715F" w:rsidRPr="0009715F" w:rsidRDefault="0009715F" w:rsidP="0009715F">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5419B5CE" w14:textId="77777777" w:rsidR="0009715F" w:rsidRPr="0009715F" w:rsidRDefault="0009715F" w:rsidP="0009715F">
            <w:pPr>
              <w:spacing w:after="0" w:line="240" w:lineRule="auto"/>
              <w:jc w:val="center"/>
              <w:rPr>
                <w:rFonts w:eastAsia="Times New Roman" w:cs="Times New Roman"/>
                <w:sz w:val="20"/>
                <w:szCs w:val="20"/>
                <w:lang w:val="" w:eastAsia=""/>
              </w:rPr>
            </w:pPr>
          </w:p>
        </w:tc>
      </w:tr>
      <w:tr w:rsidR="00D30489" w14:paraId="6A1F84F5" w14:textId="77777777" w:rsidTr="0009715F">
        <w:trPr>
          <w:trHeight w:val="300"/>
          <w:jc w:val="center"/>
        </w:trPr>
        <w:tc>
          <w:tcPr>
            <w:tcW w:w="902" w:type="dxa"/>
            <w:tcBorders>
              <w:top w:val="nil"/>
              <w:left w:val="nil"/>
              <w:bottom w:val="nil"/>
              <w:right w:val="nil"/>
            </w:tcBorders>
            <w:noWrap/>
            <w:vAlign w:val="bottom"/>
            <w:hideMark/>
          </w:tcPr>
          <w:p w14:paraId="04F7D5B9" w14:textId="77777777" w:rsidR="0009715F" w:rsidRPr="0009715F" w:rsidRDefault="0009715F" w:rsidP="0009715F">
            <w:pPr>
              <w:spacing w:after="0" w:line="240" w:lineRule="auto"/>
              <w:jc w:val="center"/>
              <w:rPr>
                <w:rFonts w:eastAsia="Times New Roman" w:cs="Times New Roman"/>
                <w:sz w:val="20"/>
                <w:szCs w:val="20"/>
                <w:lang w:val="" w:eastAsia=""/>
              </w:rPr>
            </w:pPr>
          </w:p>
        </w:tc>
        <w:tc>
          <w:tcPr>
            <w:tcW w:w="3618" w:type="dxa"/>
            <w:gridSpan w:val="2"/>
            <w:tcBorders>
              <w:top w:val="nil"/>
              <w:left w:val="nil"/>
              <w:bottom w:val="nil"/>
              <w:right w:val="nil"/>
            </w:tcBorders>
            <w:noWrap/>
            <w:vAlign w:val="bottom"/>
            <w:hideMark/>
          </w:tcPr>
          <w:p w14:paraId="32CEC6A4"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0.5 x 12 months =</w:t>
            </w:r>
          </w:p>
        </w:tc>
        <w:tc>
          <w:tcPr>
            <w:tcW w:w="1760" w:type="dxa"/>
            <w:tcBorders>
              <w:top w:val="nil"/>
              <w:left w:val="nil"/>
              <w:bottom w:val="nil"/>
              <w:right w:val="nil"/>
            </w:tcBorders>
            <w:noWrap/>
            <w:vAlign w:val="bottom"/>
            <w:hideMark/>
          </w:tcPr>
          <w:p w14:paraId="41A75067"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6.0000</w:t>
            </w:r>
          </w:p>
        </w:tc>
        <w:tc>
          <w:tcPr>
            <w:tcW w:w="1440" w:type="dxa"/>
            <w:tcBorders>
              <w:top w:val="nil"/>
              <w:left w:val="nil"/>
              <w:bottom w:val="nil"/>
              <w:right w:val="nil"/>
            </w:tcBorders>
            <w:noWrap/>
            <w:vAlign w:val="bottom"/>
            <w:hideMark/>
          </w:tcPr>
          <w:p w14:paraId="4AC45C8E" w14:textId="77777777" w:rsidR="0009715F" w:rsidRPr="0009715F" w:rsidRDefault="0009715F" w:rsidP="0009715F">
            <w:pPr>
              <w:spacing w:after="0" w:line="240" w:lineRule="auto"/>
              <w:jc w:val="center"/>
              <w:rPr>
                <w:rFonts w:ascii="Times" w:eastAsia="Times New Roman" w:hAnsi="Times" w:cs="Times"/>
                <w:szCs w:val="24"/>
                <w:lang w:val="" w:eastAsia=""/>
              </w:rPr>
            </w:pPr>
          </w:p>
        </w:tc>
      </w:tr>
      <w:tr w:rsidR="00D30489" w14:paraId="2063465C" w14:textId="77777777" w:rsidTr="0009715F">
        <w:trPr>
          <w:trHeight w:val="300"/>
          <w:jc w:val="center"/>
        </w:trPr>
        <w:tc>
          <w:tcPr>
            <w:tcW w:w="902" w:type="dxa"/>
            <w:tcBorders>
              <w:top w:val="nil"/>
              <w:left w:val="nil"/>
              <w:bottom w:val="nil"/>
              <w:right w:val="nil"/>
            </w:tcBorders>
            <w:noWrap/>
            <w:vAlign w:val="bottom"/>
            <w:hideMark/>
          </w:tcPr>
          <w:p w14:paraId="563C8EE2" w14:textId="77777777" w:rsidR="0009715F" w:rsidRPr="0009715F" w:rsidRDefault="0009715F" w:rsidP="0009715F">
            <w:pPr>
              <w:spacing w:after="0" w:line="240" w:lineRule="auto"/>
              <w:jc w:val="center"/>
              <w:rPr>
                <w:rFonts w:eastAsia="Times New Roman" w:cs="Times New Roman"/>
                <w:sz w:val="20"/>
                <w:szCs w:val="20"/>
                <w:lang w:val="" w:eastAsia=""/>
              </w:rPr>
            </w:pPr>
          </w:p>
        </w:tc>
        <w:tc>
          <w:tcPr>
            <w:tcW w:w="3618" w:type="dxa"/>
            <w:gridSpan w:val="2"/>
            <w:tcBorders>
              <w:top w:val="nil"/>
              <w:left w:val="nil"/>
              <w:bottom w:val="nil"/>
              <w:right w:val="nil"/>
            </w:tcBorders>
            <w:noWrap/>
            <w:vAlign w:val="bottom"/>
            <w:hideMark/>
          </w:tcPr>
          <w:p w14:paraId="6C4252CF" w14:textId="77777777" w:rsidR="0009715F" w:rsidRPr="0009715F" w:rsidRDefault="00732348" w:rsidP="0009715F">
            <w:pPr>
              <w:spacing w:after="0" w:line="240" w:lineRule="auto"/>
              <w:jc w:val="center"/>
              <w:rPr>
                <w:rFonts w:ascii="Times" w:eastAsia="Times New Roman" w:hAnsi="Times" w:cs="Times"/>
                <w:szCs w:val="24"/>
                <w:lang w:val="" w:eastAsia=""/>
              </w:rPr>
            </w:pPr>
            <w:r w:rsidRPr="0009715F">
              <w:rPr>
                <w:rFonts w:ascii="Times" w:eastAsia="Times New Roman" w:hAnsi="Times" w:cs="Times"/>
                <w:szCs w:val="24"/>
                <w:lang w:val="" w:eastAsia=""/>
              </w:rPr>
              <w:t>Payback period = 4 years, 6 months</w:t>
            </w:r>
          </w:p>
        </w:tc>
        <w:tc>
          <w:tcPr>
            <w:tcW w:w="1760" w:type="dxa"/>
            <w:tcBorders>
              <w:top w:val="nil"/>
              <w:left w:val="nil"/>
              <w:bottom w:val="nil"/>
              <w:right w:val="nil"/>
            </w:tcBorders>
            <w:noWrap/>
            <w:vAlign w:val="bottom"/>
            <w:hideMark/>
          </w:tcPr>
          <w:p w14:paraId="476FBFD1" w14:textId="77777777" w:rsidR="0009715F" w:rsidRPr="0009715F" w:rsidRDefault="0009715F" w:rsidP="0009715F">
            <w:pPr>
              <w:spacing w:after="0" w:line="240" w:lineRule="auto"/>
              <w:jc w:val="center"/>
              <w:rPr>
                <w:rFonts w:ascii="Times" w:eastAsia="Times New Roman" w:hAnsi="Times" w:cs="Times"/>
                <w:szCs w:val="24"/>
                <w:lang w:val="" w:eastAsia=""/>
              </w:rPr>
            </w:pPr>
          </w:p>
        </w:tc>
        <w:tc>
          <w:tcPr>
            <w:tcW w:w="1440" w:type="dxa"/>
            <w:tcBorders>
              <w:top w:val="nil"/>
              <w:left w:val="nil"/>
              <w:bottom w:val="nil"/>
              <w:right w:val="nil"/>
            </w:tcBorders>
            <w:noWrap/>
            <w:vAlign w:val="bottom"/>
            <w:hideMark/>
          </w:tcPr>
          <w:p w14:paraId="251E8F11" w14:textId="77777777" w:rsidR="0009715F" w:rsidRPr="0009715F" w:rsidRDefault="0009715F" w:rsidP="0009715F">
            <w:pPr>
              <w:spacing w:after="0" w:line="240" w:lineRule="auto"/>
              <w:jc w:val="center"/>
              <w:rPr>
                <w:rFonts w:eastAsia="Times New Roman" w:cs="Times New Roman"/>
                <w:sz w:val="20"/>
                <w:szCs w:val="20"/>
                <w:lang w:val="" w:eastAsia=""/>
              </w:rPr>
            </w:pPr>
          </w:p>
        </w:tc>
      </w:tr>
    </w:tbl>
    <w:p w14:paraId="1B8F0054" w14:textId="77777777" w:rsidR="007A07B4" w:rsidRDefault="007A07B4" w:rsidP="008E0EDA">
      <w:pPr>
        <w:spacing w:line="360" w:lineRule="auto"/>
        <w:rPr>
          <w:rFonts w:ascii="Times" w:hAnsi="Times" w:cs="Times"/>
          <w:b/>
          <w:bCs/>
          <w:szCs w:val="24"/>
        </w:rPr>
      </w:pPr>
    </w:p>
    <w:p w14:paraId="580C663D" w14:textId="77777777" w:rsidR="0009715F" w:rsidRDefault="00732348" w:rsidP="008E0EDA">
      <w:pPr>
        <w:spacing w:line="360" w:lineRule="auto"/>
        <w:rPr>
          <w:rFonts w:ascii="Times" w:hAnsi="Times" w:cs="Times"/>
          <w:b/>
          <w:bCs/>
          <w:szCs w:val="24"/>
        </w:rPr>
      </w:pPr>
      <w:r>
        <w:rPr>
          <w:rFonts w:ascii="Times" w:hAnsi="Times" w:cs="Times"/>
          <w:b/>
          <w:bCs/>
          <w:szCs w:val="24"/>
        </w:rPr>
        <w:t>Accounting Rate of Return</w:t>
      </w:r>
    </w:p>
    <w:p w14:paraId="6EBB1630" w14:textId="77777777" w:rsidR="002D0DBF" w:rsidRPr="007B0851" w:rsidRDefault="00732348" w:rsidP="008E0EDA">
      <w:pPr>
        <w:spacing w:line="360" w:lineRule="auto"/>
        <w:rPr>
          <w:rFonts w:ascii="Times" w:hAnsi="Times" w:cs="Times"/>
          <w:szCs w:val="24"/>
        </w:rPr>
      </w:pPr>
      <w:r w:rsidRPr="007B0851">
        <w:rPr>
          <w:rFonts w:ascii="Times" w:hAnsi="Times" w:cs="Times"/>
          <w:szCs w:val="24"/>
        </w:rPr>
        <w:t>Depreciation = 50,000,000 / 5 = 10,000,000</w:t>
      </w:r>
      <w:r w:rsidR="007B0851" w:rsidRPr="007B0851">
        <w:rPr>
          <w:rFonts w:ascii="Times" w:hAnsi="Times" w:cs="Times"/>
          <w:szCs w:val="24"/>
        </w:rPr>
        <w:t xml:space="preserve"> annually </w:t>
      </w:r>
    </w:p>
    <w:p w14:paraId="1A4F1C16" w14:textId="77777777" w:rsidR="007B0851" w:rsidRPr="007B0851" w:rsidRDefault="00732348" w:rsidP="008E0EDA">
      <w:pPr>
        <w:spacing w:line="360" w:lineRule="auto"/>
        <w:rPr>
          <w:rFonts w:ascii="Times" w:hAnsi="Times" w:cs="Times"/>
          <w:szCs w:val="24"/>
        </w:rPr>
      </w:pPr>
      <w:r w:rsidRPr="007B0851">
        <w:rPr>
          <w:rFonts w:ascii="Times" w:hAnsi="Times" w:cs="Times"/>
          <w:szCs w:val="24"/>
        </w:rPr>
        <w:t>Average cash flow = (10000000 + 12000000+14000000+10000000+8000000)/5</w:t>
      </w:r>
    </w:p>
    <w:p w14:paraId="67F53A27" w14:textId="77777777" w:rsidR="007B0851" w:rsidRDefault="00732348" w:rsidP="008E0EDA">
      <w:pPr>
        <w:spacing w:line="360" w:lineRule="auto"/>
        <w:rPr>
          <w:rFonts w:ascii="Times" w:hAnsi="Times" w:cs="Times"/>
          <w:szCs w:val="24"/>
        </w:rPr>
      </w:pPr>
      <w:r w:rsidRPr="007B0851">
        <w:rPr>
          <w:rFonts w:ascii="Times" w:hAnsi="Times" w:cs="Times"/>
          <w:szCs w:val="24"/>
        </w:rPr>
        <w:t xml:space="preserve">Average cash flow = </w:t>
      </w:r>
      <w:r>
        <w:rPr>
          <w:rFonts w:ascii="Times" w:hAnsi="Times" w:cs="Times"/>
          <w:szCs w:val="24"/>
        </w:rPr>
        <w:t>10,800,000</w:t>
      </w:r>
    </w:p>
    <w:p w14:paraId="45C4D2EB" w14:textId="77777777" w:rsidR="007B0851" w:rsidRDefault="00732348" w:rsidP="008E0EDA">
      <w:pPr>
        <w:spacing w:line="360" w:lineRule="auto"/>
        <w:rPr>
          <w:rFonts w:ascii="Times" w:hAnsi="Times" w:cs="Times"/>
          <w:szCs w:val="24"/>
        </w:rPr>
      </w:pPr>
      <w:r>
        <w:rPr>
          <w:rFonts w:ascii="Times" w:hAnsi="Times" w:cs="Times"/>
          <w:szCs w:val="24"/>
        </w:rPr>
        <w:t>Profit = 10,800,000 – 10,000,000</w:t>
      </w:r>
    </w:p>
    <w:p w14:paraId="2ADC58AA" w14:textId="77777777" w:rsidR="007B0851" w:rsidRDefault="00732348" w:rsidP="008E0EDA">
      <w:pPr>
        <w:spacing w:line="360" w:lineRule="auto"/>
        <w:rPr>
          <w:rFonts w:ascii="Times" w:hAnsi="Times" w:cs="Times"/>
          <w:szCs w:val="24"/>
        </w:rPr>
      </w:pPr>
      <w:r>
        <w:rPr>
          <w:rFonts w:ascii="Times" w:hAnsi="Times" w:cs="Times"/>
          <w:szCs w:val="24"/>
        </w:rPr>
        <w:t>Profit = 800,000</w:t>
      </w:r>
    </w:p>
    <w:p w14:paraId="62423CAF" w14:textId="77777777" w:rsidR="0021741C" w:rsidRPr="007B0851" w:rsidRDefault="00732348" w:rsidP="008E0EDA">
      <w:pPr>
        <w:spacing w:line="360" w:lineRule="auto"/>
        <w:rPr>
          <w:rFonts w:ascii="Times" w:hAnsi="Times" w:cs="Times"/>
          <w:szCs w:val="24"/>
        </w:rPr>
      </w:pPr>
      <w:r>
        <w:rPr>
          <w:rFonts w:ascii="Times" w:hAnsi="Times" w:cs="Times"/>
          <w:szCs w:val="24"/>
        </w:rPr>
        <w:t xml:space="preserve">Accounting rate of return = 800,000 / 50,000,000 = </w:t>
      </w:r>
      <w:r w:rsidR="002E44D5" w:rsidRPr="00BC7427">
        <w:rPr>
          <w:rFonts w:ascii="Times" w:hAnsi="Times" w:cs="Times"/>
          <w:b/>
          <w:bCs/>
          <w:szCs w:val="24"/>
        </w:rPr>
        <w:t>1.6%</w:t>
      </w:r>
    </w:p>
    <w:p w14:paraId="221EF7FE" w14:textId="77777777" w:rsidR="0009715F" w:rsidRDefault="00732348" w:rsidP="008E0EDA">
      <w:pPr>
        <w:spacing w:line="360" w:lineRule="auto"/>
        <w:rPr>
          <w:rFonts w:ascii="Times" w:hAnsi="Times" w:cs="Times"/>
          <w:b/>
          <w:bCs/>
          <w:szCs w:val="24"/>
        </w:rPr>
      </w:pPr>
      <w:r>
        <w:rPr>
          <w:rFonts w:ascii="Times" w:hAnsi="Times" w:cs="Times"/>
          <w:b/>
          <w:bCs/>
          <w:szCs w:val="24"/>
        </w:rPr>
        <w:t>Net Present Value</w:t>
      </w:r>
    </w:p>
    <w:tbl>
      <w:tblPr>
        <w:tblW w:w="6280" w:type="dxa"/>
        <w:jc w:val="center"/>
        <w:tblLook w:val="04A0" w:firstRow="1" w:lastRow="0" w:firstColumn="1" w:lastColumn="0" w:noHBand="0" w:noVBand="1"/>
      </w:tblPr>
      <w:tblGrid>
        <w:gridCol w:w="887"/>
        <w:gridCol w:w="1653"/>
        <w:gridCol w:w="1980"/>
        <w:gridCol w:w="1760"/>
      </w:tblGrid>
      <w:tr w:rsidR="00D30489" w14:paraId="77C04B44" w14:textId="77777777" w:rsidTr="00211E89">
        <w:trPr>
          <w:trHeight w:val="300"/>
          <w:jc w:val="center"/>
        </w:trPr>
        <w:tc>
          <w:tcPr>
            <w:tcW w:w="2540" w:type="dxa"/>
            <w:gridSpan w:val="2"/>
            <w:tcBorders>
              <w:top w:val="nil"/>
              <w:left w:val="nil"/>
              <w:bottom w:val="nil"/>
              <w:right w:val="nil"/>
            </w:tcBorders>
            <w:noWrap/>
            <w:vAlign w:val="bottom"/>
            <w:hideMark/>
          </w:tcPr>
          <w:p w14:paraId="191C8CC3" w14:textId="77777777" w:rsidR="00211E89" w:rsidRPr="00211E89" w:rsidRDefault="00732348" w:rsidP="00211E89">
            <w:pPr>
              <w:spacing w:after="0" w:line="240" w:lineRule="auto"/>
              <w:jc w:val="left"/>
              <w:rPr>
                <w:rFonts w:ascii="Times" w:eastAsia="Times New Roman" w:hAnsi="Times" w:cs="Times"/>
                <w:b/>
                <w:bCs/>
                <w:color w:val="000000"/>
                <w:szCs w:val="24"/>
                <w:lang w:val="" w:eastAsia=""/>
              </w:rPr>
            </w:pPr>
            <w:r w:rsidRPr="00211E89">
              <w:rPr>
                <w:rFonts w:ascii="Times" w:eastAsia="Times New Roman" w:hAnsi="Times" w:cs="Times"/>
                <w:b/>
                <w:bCs/>
                <w:color w:val="000000"/>
                <w:szCs w:val="24"/>
                <w:lang w:val="" w:eastAsia=""/>
              </w:rPr>
              <w:t>Net Present Value</w:t>
            </w:r>
          </w:p>
        </w:tc>
        <w:tc>
          <w:tcPr>
            <w:tcW w:w="1980" w:type="dxa"/>
            <w:tcBorders>
              <w:top w:val="nil"/>
              <w:left w:val="nil"/>
              <w:bottom w:val="nil"/>
              <w:right w:val="nil"/>
            </w:tcBorders>
            <w:noWrap/>
            <w:vAlign w:val="bottom"/>
            <w:hideMark/>
          </w:tcPr>
          <w:p w14:paraId="7750E53C" w14:textId="77777777" w:rsidR="00211E89" w:rsidRPr="00211E89" w:rsidRDefault="00211E89" w:rsidP="00211E89">
            <w:pPr>
              <w:spacing w:after="0" w:line="240" w:lineRule="auto"/>
              <w:jc w:val="left"/>
              <w:rPr>
                <w:rFonts w:ascii="Times" w:eastAsia="Times New Roman" w:hAnsi="Times" w:cs="Times"/>
                <w:b/>
                <w:bCs/>
                <w:color w:val="000000"/>
                <w:szCs w:val="24"/>
                <w:lang w:val="" w:eastAsia=""/>
              </w:rPr>
            </w:pPr>
          </w:p>
        </w:tc>
        <w:tc>
          <w:tcPr>
            <w:tcW w:w="1760" w:type="dxa"/>
            <w:tcBorders>
              <w:top w:val="nil"/>
              <w:left w:val="nil"/>
              <w:bottom w:val="nil"/>
              <w:right w:val="nil"/>
            </w:tcBorders>
            <w:noWrap/>
            <w:vAlign w:val="bottom"/>
            <w:hideMark/>
          </w:tcPr>
          <w:p w14:paraId="75772B2D" w14:textId="77777777" w:rsidR="00211E89" w:rsidRPr="00211E89" w:rsidRDefault="00211E89" w:rsidP="00211E89">
            <w:pPr>
              <w:spacing w:after="0" w:line="240" w:lineRule="auto"/>
              <w:jc w:val="left"/>
              <w:rPr>
                <w:rFonts w:eastAsia="Times New Roman" w:cs="Times New Roman"/>
                <w:sz w:val="20"/>
                <w:szCs w:val="20"/>
                <w:lang w:val="" w:eastAsia=""/>
              </w:rPr>
            </w:pPr>
          </w:p>
        </w:tc>
      </w:tr>
      <w:tr w:rsidR="00D30489" w14:paraId="6A717F03" w14:textId="77777777" w:rsidTr="00211E89">
        <w:trPr>
          <w:trHeight w:val="300"/>
          <w:jc w:val="center"/>
        </w:trPr>
        <w:tc>
          <w:tcPr>
            <w:tcW w:w="887" w:type="dxa"/>
            <w:tcBorders>
              <w:top w:val="single" w:sz="4" w:space="0" w:color="auto"/>
              <w:left w:val="single" w:sz="4" w:space="0" w:color="auto"/>
              <w:bottom w:val="nil"/>
              <w:right w:val="single" w:sz="8" w:space="0" w:color="auto"/>
            </w:tcBorders>
            <w:noWrap/>
            <w:vAlign w:val="bottom"/>
            <w:hideMark/>
          </w:tcPr>
          <w:p w14:paraId="27145B87" w14:textId="77777777" w:rsidR="00211E89" w:rsidRPr="00211E89" w:rsidRDefault="00732348" w:rsidP="00211E89">
            <w:pPr>
              <w:spacing w:after="0" w:line="240" w:lineRule="auto"/>
              <w:jc w:val="left"/>
              <w:rPr>
                <w:rFonts w:ascii="Times" w:eastAsia="Times New Roman" w:hAnsi="Times" w:cs="Times"/>
                <w:b/>
                <w:bCs/>
                <w:szCs w:val="24"/>
                <w:lang w:val="" w:eastAsia=""/>
              </w:rPr>
            </w:pPr>
            <w:r w:rsidRPr="00211E89">
              <w:rPr>
                <w:rFonts w:ascii="Times" w:eastAsia="Times New Roman" w:hAnsi="Times" w:cs="Times"/>
                <w:b/>
                <w:bCs/>
                <w:szCs w:val="24"/>
                <w:lang w:val="" w:eastAsia=""/>
              </w:rPr>
              <w:t xml:space="preserve"> Year </w:t>
            </w:r>
          </w:p>
        </w:tc>
        <w:tc>
          <w:tcPr>
            <w:tcW w:w="1653" w:type="dxa"/>
            <w:vMerge w:val="restart"/>
            <w:tcBorders>
              <w:top w:val="single" w:sz="4" w:space="0" w:color="auto"/>
              <w:left w:val="single" w:sz="8" w:space="0" w:color="auto"/>
              <w:bottom w:val="single" w:sz="8" w:space="0" w:color="000000"/>
              <w:right w:val="single" w:sz="8" w:space="0" w:color="auto"/>
            </w:tcBorders>
            <w:noWrap/>
            <w:vAlign w:val="bottom"/>
            <w:hideMark/>
          </w:tcPr>
          <w:p w14:paraId="53080C34" w14:textId="77777777" w:rsidR="00211E89" w:rsidRPr="00211E89" w:rsidRDefault="00732348" w:rsidP="00211E89">
            <w:pPr>
              <w:spacing w:after="0" w:line="240" w:lineRule="auto"/>
              <w:jc w:val="center"/>
              <w:rPr>
                <w:rFonts w:ascii="Times" w:eastAsia="Times New Roman" w:hAnsi="Times" w:cs="Times"/>
                <w:b/>
                <w:bCs/>
                <w:szCs w:val="24"/>
                <w:lang w:val="" w:eastAsia=""/>
              </w:rPr>
            </w:pPr>
            <w:r w:rsidRPr="00211E89">
              <w:rPr>
                <w:rFonts w:ascii="Times" w:eastAsia="Times New Roman" w:hAnsi="Times" w:cs="Times"/>
                <w:b/>
                <w:bCs/>
                <w:szCs w:val="24"/>
                <w:lang w:val="" w:eastAsia=""/>
              </w:rPr>
              <w:t xml:space="preserve"> Cash Flow </w:t>
            </w:r>
          </w:p>
        </w:tc>
        <w:tc>
          <w:tcPr>
            <w:tcW w:w="1980" w:type="dxa"/>
            <w:tcBorders>
              <w:top w:val="single" w:sz="4" w:space="0" w:color="auto"/>
              <w:left w:val="nil"/>
              <w:bottom w:val="nil"/>
              <w:right w:val="nil"/>
            </w:tcBorders>
            <w:noWrap/>
            <w:vAlign w:val="bottom"/>
            <w:hideMark/>
          </w:tcPr>
          <w:p w14:paraId="76C90FA3" w14:textId="77777777" w:rsidR="00211E89" w:rsidRPr="00211E89" w:rsidRDefault="00732348" w:rsidP="00211E89">
            <w:pPr>
              <w:spacing w:after="0" w:line="240" w:lineRule="auto"/>
              <w:jc w:val="center"/>
              <w:rPr>
                <w:rFonts w:ascii="Times" w:eastAsia="Times New Roman" w:hAnsi="Times" w:cs="Times"/>
                <w:b/>
                <w:bCs/>
                <w:szCs w:val="24"/>
                <w:lang w:val="" w:eastAsia=""/>
              </w:rPr>
            </w:pPr>
            <w:r w:rsidRPr="00211E89">
              <w:rPr>
                <w:rFonts w:ascii="Times" w:eastAsia="Times New Roman" w:hAnsi="Times" w:cs="Times"/>
                <w:b/>
                <w:bCs/>
                <w:szCs w:val="24"/>
                <w:lang w:val="" w:eastAsia=""/>
              </w:rPr>
              <w:t xml:space="preserve"> DCF </w:t>
            </w:r>
          </w:p>
        </w:tc>
        <w:tc>
          <w:tcPr>
            <w:tcW w:w="1760" w:type="dxa"/>
            <w:vMerge w:val="restart"/>
            <w:tcBorders>
              <w:top w:val="single" w:sz="4" w:space="0" w:color="auto"/>
              <w:left w:val="single" w:sz="8" w:space="0" w:color="auto"/>
              <w:bottom w:val="single" w:sz="8" w:space="0" w:color="000000"/>
              <w:right w:val="single" w:sz="4" w:space="0" w:color="auto"/>
            </w:tcBorders>
            <w:vAlign w:val="bottom"/>
            <w:hideMark/>
          </w:tcPr>
          <w:p w14:paraId="1A69DDDF" w14:textId="77777777" w:rsidR="00211E89" w:rsidRPr="00211E89" w:rsidRDefault="00732348" w:rsidP="00211E89">
            <w:pPr>
              <w:spacing w:after="0" w:line="240" w:lineRule="auto"/>
              <w:jc w:val="center"/>
              <w:rPr>
                <w:rFonts w:ascii="Times" w:eastAsia="Times New Roman" w:hAnsi="Times" w:cs="Times"/>
                <w:b/>
                <w:bCs/>
                <w:szCs w:val="24"/>
                <w:lang w:val="" w:eastAsia=""/>
              </w:rPr>
            </w:pPr>
            <w:r w:rsidRPr="00211E89">
              <w:rPr>
                <w:rFonts w:ascii="Times" w:eastAsia="Times New Roman" w:hAnsi="Times" w:cs="Times"/>
                <w:b/>
                <w:bCs/>
                <w:szCs w:val="24"/>
                <w:lang w:val="" w:eastAsia=""/>
              </w:rPr>
              <w:t xml:space="preserve"> Present Value of Cash Flows </w:t>
            </w:r>
          </w:p>
        </w:tc>
      </w:tr>
      <w:tr w:rsidR="00D30489" w14:paraId="11BCA05A" w14:textId="77777777" w:rsidTr="00211E89">
        <w:trPr>
          <w:trHeight w:val="315"/>
          <w:jc w:val="center"/>
        </w:trPr>
        <w:tc>
          <w:tcPr>
            <w:tcW w:w="887" w:type="dxa"/>
            <w:tcBorders>
              <w:top w:val="nil"/>
              <w:left w:val="single" w:sz="4" w:space="0" w:color="auto"/>
              <w:bottom w:val="single" w:sz="8" w:space="0" w:color="auto"/>
              <w:right w:val="single" w:sz="8" w:space="0" w:color="auto"/>
            </w:tcBorders>
            <w:noWrap/>
            <w:vAlign w:val="bottom"/>
            <w:hideMark/>
          </w:tcPr>
          <w:p w14:paraId="1F228F7A" w14:textId="77777777" w:rsidR="00211E89" w:rsidRPr="00211E89" w:rsidRDefault="00732348" w:rsidP="00211E89">
            <w:pPr>
              <w:spacing w:after="0" w:line="240" w:lineRule="auto"/>
              <w:jc w:val="left"/>
              <w:rPr>
                <w:rFonts w:ascii="Times" w:eastAsia="Times New Roman" w:hAnsi="Times" w:cs="Times"/>
                <w:b/>
                <w:bCs/>
                <w:szCs w:val="24"/>
                <w:lang w:val="" w:eastAsia=""/>
              </w:rPr>
            </w:pPr>
            <w:r w:rsidRPr="00211E89">
              <w:rPr>
                <w:rFonts w:ascii="Times" w:eastAsia="Times New Roman" w:hAnsi="Times" w:cs="Times"/>
                <w:b/>
                <w:bCs/>
                <w:szCs w:val="24"/>
                <w:lang w:val="" w:eastAsia=""/>
              </w:rPr>
              <w:t> </w:t>
            </w:r>
          </w:p>
        </w:tc>
        <w:tc>
          <w:tcPr>
            <w:tcW w:w="1653" w:type="dxa"/>
            <w:vMerge/>
            <w:tcBorders>
              <w:top w:val="single" w:sz="4" w:space="0" w:color="auto"/>
              <w:left w:val="single" w:sz="8" w:space="0" w:color="auto"/>
              <w:bottom w:val="single" w:sz="8" w:space="0" w:color="000000"/>
              <w:right w:val="single" w:sz="8" w:space="0" w:color="auto"/>
            </w:tcBorders>
            <w:vAlign w:val="center"/>
            <w:hideMark/>
          </w:tcPr>
          <w:p w14:paraId="0BE6F8B1" w14:textId="77777777" w:rsidR="00211E89" w:rsidRPr="00211E89" w:rsidRDefault="00211E89" w:rsidP="00211E89">
            <w:pPr>
              <w:spacing w:after="0" w:line="240" w:lineRule="auto"/>
              <w:jc w:val="left"/>
              <w:rPr>
                <w:rFonts w:ascii="Times" w:eastAsia="Times New Roman" w:hAnsi="Times" w:cs="Times"/>
                <w:b/>
                <w:bCs/>
                <w:szCs w:val="24"/>
                <w:lang w:val="" w:eastAsia=""/>
              </w:rPr>
            </w:pPr>
          </w:p>
        </w:tc>
        <w:tc>
          <w:tcPr>
            <w:tcW w:w="1980" w:type="dxa"/>
            <w:tcBorders>
              <w:top w:val="nil"/>
              <w:left w:val="nil"/>
              <w:bottom w:val="single" w:sz="8" w:space="0" w:color="auto"/>
              <w:right w:val="single" w:sz="8" w:space="0" w:color="auto"/>
            </w:tcBorders>
            <w:noWrap/>
            <w:vAlign w:val="bottom"/>
            <w:hideMark/>
          </w:tcPr>
          <w:p w14:paraId="36DF48B6" w14:textId="77777777" w:rsidR="00211E89" w:rsidRPr="00211E89" w:rsidRDefault="00732348" w:rsidP="00211E89">
            <w:pPr>
              <w:spacing w:after="0" w:line="240" w:lineRule="auto"/>
              <w:jc w:val="right"/>
              <w:rPr>
                <w:rFonts w:ascii="Times" w:eastAsia="Times New Roman" w:hAnsi="Times" w:cs="Times"/>
                <w:b/>
                <w:bCs/>
                <w:szCs w:val="24"/>
                <w:lang w:val="" w:eastAsia=""/>
              </w:rPr>
            </w:pPr>
            <w:r w:rsidRPr="00211E89">
              <w:rPr>
                <w:rFonts w:ascii="Times" w:eastAsia="Times New Roman" w:hAnsi="Times" w:cs="Times"/>
                <w:b/>
                <w:bCs/>
                <w:szCs w:val="24"/>
                <w:lang w:val="" w:eastAsia=""/>
              </w:rPr>
              <w:t>10%</w:t>
            </w:r>
          </w:p>
        </w:tc>
        <w:tc>
          <w:tcPr>
            <w:tcW w:w="1760" w:type="dxa"/>
            <w:vMerge/>
            <w:tcBorders>
              <w:top w:val="single" w:sz="4" w:space="0" w:color="auto"/>
              <w:left w:val="single" w:sz="8" w:space="0" w:color="auto"/>
              <w:bottom w:val="single" w:sz="8" w:space="0" w:color="000000"/>
              <w:right w:val="single" w:sz="4" w:space="0" w:color="auto"/>
            </w:tcBorders>
            <w:vAlign w:val="center"/>
            <w:hideMark/>
          </w:tcPr>
          <w:p w14:paraId="2EF5409D" w14:textId="77777777" w:rsidR="00211E89" w:rsidRPr="00211E89" w:rsidRDefault="00211E89" w:rsidP="00211E89">
            <w:pPr>
              <w:spacing w:after="0" w:line="240" w:lineRule="auto"/>
              <w:jc w:val="left"/>
              <w:rPr>
                <w:rFonts w:ascii="Times" w:eastAsia="Times New Roman" w:hAnsi="Times" w:cs="Times"/>
                <w:b/>
                <w:bCs/>
                <w:szCs w:val="24"/>
                <w:lang w:val="" w:eastAsia=""/>
              </w:rPr>
            </w:pPr>
          </w:p>
        </w:tc>
      </w:tr>
      <w:tr w:rsidR="00D30489" w14:paraId="0C95900A" w14:textId="77777777" w:rsidTr="00211E89">
        <w:trPr>
          <w:trHeight w:val="300"/>
          <w:jc w:val="center"/>
        </w:trPr>
        <w:tc>
          <w:tcPr>
            <w:tcW w:w="887" w:type="dxa"/>
            <w:tcBorders>
              <w:top w:val="nil"/>
              <w:left w:val="single" w:sz="4" w:space="0" w:color="auto"/>
              <w:bottom w:val="nil"/>
              <w:right w:val="nil"/>
            </w:tcBorders>
            <w:noWrap/>
            <w:vAlign w:val="bottom"/>
            <w:hideMark/>
          </w:tcPr>
          <w:p w14:paraId="0C6063F5"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0</w:t>
            </w:r>
          </w:p>
        </w:tc>
        <w:tc>
          <w:tcPr>
            <w:tcW w:w="1653" w:type="dxa"/>
            <w:tcBorders>
              <w:top w:val="nil"/>
              <w:left w:val="nil"/>
              <w:bottom w:val="nil"/>
              <w:right w:val="nil"/>
            </w:tcBorders>
            <w:noWrap/>
            <w:vAlign w:val="bottom"/>
            <w:hideMark/>
          </w:tcPr>
          <w:p w14:paraId="68E75783"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(50,000,000)</w:t>
            </w:r>
          </w:p>
        </w:tc>
        <w:tc>
          <w:tcPr>
            <w:tcW w:w="1980" w:type="dxa"/>
            <w:tcBorders>
              <w:top w:val="nil"/>
              <w:left w:val="nil"/>
              <w:bottom w:val="nil"/>
              <w:right w:val="nil"/>
            </w:tcBorders>
            <w:noWrap/>
            <w:vAlign w:val="bottom"/>
            <w:hideMark/>
          </w:tcPr>
          <w:p w14:paraId="0E152E8F"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1.0000</w:t>
            </w:r>
          </w:p>
        </w:tc>
        <w:tc>
          <w:tcPr>
            <w:tcW w:w="1760" w:type="dxa"/>
            <w:tcBorders>
              <w:top w:val="nil"/>
              <w:left w:val="nil"/>
              <w:bottom w:val="nil"/>
              <w:right w:val="single" w:sz="4" w:space="0" w:color="auto"/>
            </w:tcBorders>
            <w:vAlign w:val="bottom"/>
            <w:hideMark/>
          </w:tcPr>
          <w:p w14:paraId="5DA7E1FD"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(50,000,000)</w:t>
            </w:r>
          </w:p>
        </w:tc>
      </w:tr>
      <w:tr w:rsidR="00D30489" w14:paraId="424E77AB" w14:textId="77777777" w:rsidTr="00211E89">
        <w:trPr>
          <w:trHeight w:val="315"/>
          <w:jc w:val="center"/>
        </w:trPr>
        <w:tc>
          <w:tcPr>
            <w:tcW w:w="887" w:type="dxa"/>
            <w:tcBorders>
              <w:top w:val="nil"/>
              <w:left w:val="single" w:sz="4" w:space="0" w:color="auto"/>
              <w:bottom w:val="nil"/>
              <w:right w:val="nil"/>
            </w:tcBorders>
            <w:noWrap/>
            <w:vAlign w:val="bottom"/>
            <w:hideMark/>
          </w:tcPr>
          <w:p w14:paraId="60C37D0A" w14:textId="77777777" w:rsidR="00211E89" w:rsidRPr="00211E89" w:rsidRDefault="00211E89" w:rsidP="00211E89">
            <w:pPr>
              <w:spacing w:after="0" w:line="240" w:lineRule="auto"/>
              <w:jc w:val="center"/>
              <w:rPr>
                <w:rFonts w:ascii="Times" w:eastAsia="Times New Roman" w:hAnsi="Times" w:cs="Times"/>
                <w:szCs w:val="24"/>
                <w:lang w:val="" w:eastAsia=""/>
              </w:rPr>
            </w:pPr>
          </w:p>
        </w:tc>
        <w:tc>
          <w:tcPr>
            <w:tcW w:w="1653" w:type="dxa"/>
            <w:tcBorders>
              <w:top w:val="nil"/>
              <w:left w:val="nil"/>
              <w:bottom w:val="nil"/>
              <w:right w:val="nil"/>
            </w:tcBorders>
            <w:noWrap/>
            <w:vAlign w:val="bottom"/>
            <w:hideMark/>
          </w:tcPr>
          <w:p w14:paraId="46A0C552" w14:textId="77777777" w:rsidR="00211E89" w:rsidRPr="00211E89" w:rsidRDefault="00211E89" w:rsidP="00211E89">
            <w:pPr>
              <w:spacing w:after="0" w:line="240" w:lineRule="auto"/>
              <w:jc w:val="center"/>
              <w:rPr>
                <w:rFonts w:ascii="Times" w:eastAsia="Times New Roman" w:hAnsi="Times" w:cs="Times"/>
                <w:szCs w:val="24"/>
                <w:lang w:val="" w:eastAsia=""/>
              </w:rPr>
            </w:pPr>
          </w:p>
        </w:tc>
        <w:tc>
          <w:tcPr>
            <w:tcW w:w="1980" w:type="dxa"/>
            <w:tcBorders>
              <w:top w:val="nil"/>
              <w:left w:val="nil"/>
              <w:bottom w:val="nil"/>
              <w:right w:val="nil"/>
            </w:tcBorders>
            <w:noWrap/>
            <w:vAlign w:val="bottom"/>
            <w:hideMark/>
          </w:tcPr>
          <w:p w14:paraId="20BEA8B7" w14:textId="77777777" w:rsidR="00211E89" w:rsidRPr="00211E89" w:rsidRDefault="00211E89" w:rsidP="00211E89">
            <w:pPr>
              <w:spacing w:after="0" w:line="240" w:lineRule="auto"/>
              <w:jc w:val="center"/>
              <w:rPr>
                <w:rFonts w:eastAsia="Times New Roman" w:cs="Times New Roman"/>
                <w:sz w:val="20"/>
                <w:szCs w:val="20"/>
                <w:lang w:val="" w:eastAsia=""/>
              </w:rPr>
            </w:pPr>
          </w:p>
        </w:tc>
        <w:tc>
          <w:tcPr>
            <w:tcW w:w="1760" w:type="dxa"/>
            <w:tcBorders>
              <w:top w:val="nil"/>
              <w:left w:val="nil"/>
              <w:bottom w:val="nil"/>
              <w:right w:val="single" w:sz="4" w:space="0" w:color="auto"/>
            </w:tcBorders>
            <w:vAlign w:val="bottom"/>
            <w:hideMark/>
          </w:tcPr>
          <w:p w14:paraId="4D5B4AB9" w14:textId="77777777" w:rsidR="00211E89" w:rsidRPr="00211E89" w:rsidRDefault="00211E89" w:rsidP="00211E89">
            <w:pPr>
              <w:spacing w:after="0" w:line="240" w:lineRule="auto"/>
              <w:jc w:val="center"/>
              <w:rPr>
                <w:rFonts w:ascii="Times" w:eastAsia="Times New Roman" w:hAnsi="Times" w:cs="Times"/>
                <w:szCs w:val="24"/>
                <w:lang w:val="" w:eastAsia=""/>
              </w:rPr>
            </w:pPr>
          </w:p>
        </w:tc>
      </w:tr>
      <w:tr w:rsidR="00D30489" w14:paraId="5E1926B5" w14:textId="77777777" w:rsidTr="00211E89">
        <w:trPr>
          <w:trHeight w:val="300"/>
          <w:jc w:val="center"/>
        </w:trPr>
        <w:tc>
          <w:tcPr>
            <w:tcW w:w="887" w:type="dxa"/>
            <w:tcBorders>
              <w:top w:val="nil"/>
              <w:left w:val="single" w:sz="4" w:space="0" w:color="auto"/>
              <w:bottom w:val="nil"/>
              <w:right w:val="nil"/>
            </w:tcBorders>
            <w:noWrap/>
            <w:vAlign w:val="bottom"/>
            <w:hideMark/>
          </w:tcPr>
          <w:p w14:paraId="5751BA81"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1</w:t>
            </w:r>
          </w:p>
        </w:tc>
        <w:tc>
          <w:tcPr>
            <w:tcW w:w="1653" w:type="dxa"/>
            <w:tcBorders>
              <w:top w:val="nil"/>
              <w:left w:val="nil"/>
              <w:bottom w:val="nil"/>
              <w:right w:val="nil"/>
            </w:tcBorders>
            <w:noWrap/>
            <w:vAlign w:val="bottom"/>
            <w:hideMark/>
          </w:tcPr>
          <w:p w14:paraId="756CC977"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10,000,000</w:t>
            </w:r>
          </w:p>
        </w:tc>
        <w:tc>
          <w:tcPr>
            <w:tcW w:w="1980" w:type="dxa"/>
            <w:tcBorders>
              <w:top w:val="nil"/>
              <w:left w:val="nil"/>
              <w:bottom w:val="nil"/>
              <w:right w:val="nil"/>
            </w:tcBorders>
            <w:noWrap/>
            <w:vAlign w:val="bottom"/>
            <w:hideMark/>
          </w:tcPr>
          <w:p w14:paraId="6979DBEE"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0.9091</w:t>
            </w:r>
          </w:p>
        </w:tc>
        <w:tc>
          <w:tcPr>
            <w:tcW w:w="1760" w:type="dxa"/>
            <w:tcBorders>
              <w:top w:val="single" w:sz="8" w:space="0" w:color="auto"/>
              <w:left w:val="single" w:sz="8" w:space="0" w:color="auto"/>
              <w:bottom w:val="nil"/>
              <w:right w:val="single" w:sz="4" w:space="0" w:color="auto"/>
            </w:tcBorders>
            <w:vAlign w:val="bottom"/>
            <w:hideMark/>
          </w:tcPr>
          <w:p w14:paraId="02F7237D"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9,090,909</w:t>
            </w:r>
          </w:p>
        </w:tc>
      </w:tr>
      <w:tr w:rsidR="00D30489" w14:paraId="66A9CA60" w14:textId="77777777" w:rsidTr="00211E89">
        <w:trPr>
          <w:trHeight w:val="300"/>
          <w:jc w:val="center"/>
        </w:trPr>
        <w:tc>
          <w:tcPr>
            <w:tcW w:w="887" w:type="dxa"/>
            <w:tcBorders>
              <w:top w:val="nil"/>
              <w:left w:val="single" w:sz="4" w:space="0" w:color="auto"/>
              <w:bottom w:val="nil"/>
              <w:right w:val="nil"/>
            </w:tcBorders>
            <w:noWrap/>
            <w:vAlign w:val="bottom"/>
            <w:hideMark/>
          </w:tcPr>
          <w:p w14:paraId="05EEE5B8"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2</w:t>
            </w:r>
          </w:p>
        </w:tc>
        <w:tc>
          <w:tcPr>
            <w:tcW w:w="1653" w:type="dxa"/>
            <w:tcBorders>
              <w:top w:val="nil"/>
              <w:left w:val="nil"/>
              <w:bottom w:val="nil"/>
              <w:right w:val="nil"/>
            </w:tcBorders>
            <w:noWrap/>
            <w:vAlign w:val="bottom"/>
            <w:hideMark/>
          </w:tcPr>
          <w:p w14:paraId="38EF86E8"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12,000,000</w:t>
            </w:r>
          </w:p>
        </w:tc>
        <w:tc>
          <w:tcPr>
            <w:tcW w:w="1980" w:type="dxa"/>
            <w:tcBorders>
              <w:top w:val="nil"/>
              <w:left w:val="nil"/>
              <w:bottom w:val="nil"/>
              <w:right w:val="nil"/>
            </w:tcBorders>
            <w:noWrap/>
            <w:vAlign w:val="bottom"/>
            <w:hideMark/>
          </w:tcPr>
          <w:p w14:paraId="58173B8F"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0.8264</w:t>
            </w:r>
          </w:p>
        </w:tc>
        <w:tc>
          <w:tcPr>
            <w:tcW w:w="1760" w:type="dxa"/>
            <w:tcBorders>
              <w:top w:val="nil"/>
              <w:left w:val="single" w:sz="8" w:space="0" w:color="auto"/>
              <w:bottom w:val="nil"/>
              <w:right w:val="single" w:sz="4" w:space="0" w:color="auto"/>
            </w:tcBorders>
            <w:vAlign w:val="bottom"/>
            <w:hideMark/>
          </w:tcPr>
          <w:p w14:paraId="0E54CF85"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9,917,355</w:t>
            </w:r>
          </w:p>
        </w:tc>
      </w:tr>
      <w:tr w:rsidR="00D30489" w14:paraId="7E4EB4F1" w14:textId="77777777" w:rsidTr="00211E89">
        <w:trPr>
          <w:trHeight w:val="300"/>
          <w:jc w:val="center"/>
        </w:trPr>
        <w:tc>
          <w:tcPr>
            <w:tcW w:w="887" w:type="dxa"/>
            <w:tcBorders>
              <w:top w:val="nil"/>
              <w:left w:val="single" w:sz="4" w:space="0" w:color="auto"/>
              <w:bottom w:val="nil"/>
              <w:right w:val="nil"/>
            </w:tcBorders>
            <w:noWrap/>
            <w:vAlign w:val="bottom"/>
            <w:hideMark/>
          </w:tcPr>
          <w:p w14:paraId="1AC5B366"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3</w:t>
            </w:r>
          </w:p>
        </w:tc>
        <w:tc>
          <w:tcPr>
            <w:tcW w:w="1653" w:type="dxa"/>
            <w:tcBorders>
              <w:top w:val="nil"/>
              <w:left w:val="nil"/>
              <w:bottom w:val="nil"/>
              <w:right w:val="nil"/>
            </w:tcBorders>
            <w:noWrap/>
            <w:vAlign w:val="bottom"/>
            <w:hideMark/>
          </w:tcPr>
          <w:p w14:paraId="2D800076"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14,000,000</w:t>
            </w:r>
          </w:p>
        </w:tc>
        <w:tc>
          <w:tcPr>
            <w:tcW w:w="1980" w:type="dxa"/>
            <w:tcBorders>
              <w:top w:val="nil"/>
              <w:left w:val="nil"/>
              <w:bottom w:val="nil"/>
              <w:right w:val="nil"/>
            </w:tcBorders>
            <w:noWrap/>
            <w:vAlign w:val="bottom"/>
            <w:hideMark/>
          </w:tcPr>
          <w:p w14:paraId="229E6F62"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0.7513</w:t>
            </w:r>
          </w:p>
        </w:tc>
        <w:tc>
          <w:tcPr>
            <w:tcW w:w="1760" w:type="dxa"/>
            <w:tcBorders>
              <w:top w:val="nil"/>
              <w:left w:val="single" w:sz="8" w:space="0" w:color="auto"/>
              <w:bottom w:val="nil"/>
              <w:right w:val="single" w:sz="4" w:space="0" w:color="auto"/>
            </w:tcBorders>
            <w:vAlign w:val="bottom"/>
            <w:hideMark/>
          </w:tcPr>
          <w:p w14:paraId="3323C524"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10,518,407</w:t>
            </w:r>
          </w:p>
        </w:tc>
      </w:tr>
      <w:tr w:rsidR="00D30489" w14:paraId="60878FA6" w14:textId="77777777" w:rsidTr="00211E89">
        <w:trPr>
          <w:trHeight w:val="300"/>
          <w:jc w:val="center"/>
        </w:trPr>
        <w:tc>
          <w:tcPr>
            <w:tcW w:w="887" w:type="dxa"/>
            <w:tcBorders>
              <w:top w:val="nil"/>
              <w:left w:val="single" w:sz="4" w:space="0" w:color="auto"/>
              <w:bottom w:val="nil"/>
              <w:right w:val="nil"/>
            </w:tcBorders>
            <w:noWrap/>
            <w:vAlign w:val="bottom"/>
            <w:hideMark/>
          </w:tcPr>
          <w:p w14:paraId="2C806A9A"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4</w:t>
            </w:r>
          </w:p>
        </w:tc>
        <w:tc>
          <w:tcPr>
            <w:tcW w:w="1653" w:type="dxa"/>
            <w:tcBorders>
              <w:top w:val="nil"/>
              <w:left w:val="nil"/>
              <w:bottom w:val="nil"/>
              <w:right w:val="nil"/>
            </w:tcBorders>
            <w:noWrap/>
            <w:vAlign w:val="bottom"/>
            <w:hideMark/>
          </w:tcPr>
          <w:p w14:paraId="558662E5"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10,000,000</w:t>
            </w:r>
          </w:p>
        </w:tc>
        <w:tc>
          <w:tcPr>
            <w:tcW w:w="1980" w:type="dxa"/>
            <w:tcBorders>
              <w:top w:val="nil"/>
              <w:left w:val="nil"/>
              <w:bottom w:val="nil"/>
              <w:right w:val="nil"/>
            </w:tcBorders>
            <w:noWrap/>
            <w:vAlign w:val="bottom"/>
            <w:hideMark/>
          </w:tcPr>
          <w:p w14:paraId="1F8CD9F0"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0.6830</w:t>
            </w:r>
          </w:p>
        </w:tc>
        <w:tc>
          <w:tcPr>
            <w:tcW w:w="1760" w:type="dxa"/>
            <w:tcBorders>
              <w:top w:val="nil"/>
              <w:left w:val="single" w:sz="8" w:space="0" w:color="auto"/>
              <w:bottom w:val="nil"/>
              <w:right w:val="single" w:sz="4" w:space="0" w:color="auto"/>
            </w:tcBorders>
            <w:vAlign w:val="bottom"/>
            <w:hideMark/>
          </w:tcPr>
          <w:p w14:paraId="7991917E"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6,830,135</w:t>
            </w:r>
          </w:p>
        </w:tc>
      </w:tr>
      <w:tr w:rsidR="00D30489" w14:paraId="7B5F449B" w14:textId="77777777" w:rsidTr="00211E89">
        <w:trPr>
          <w:trHeight w:val="315"/>
          <w:jc w:val="center"/>
        </w:trPr>
        <w:tc>
          <w:tcPr>
            <w:tcW w:w="887" w:type="dxa"/>
            <w:tcBorders>
              <w:top w:val="nil"/>
              <w:left w:val="single" w:sz="4" w:space="0" w:color="auto"/>
              <w:bottom w:val="nil"/>
              <w:right w:val="nil"/>
            </w:tcBorders>
            <w:noWrap/>
            <w:vAlign w:val="bottom"/>
            <w:hideMark/>
          </w:tcPr>
          <w:p w14:paraId="4B9EBD54"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5</w:t>
            </w:r>
          </w:p>
        </w:tc>
        <w:tc>
          <w:tcPr>
            <w:tcW w:w="1653" w:type="dxa"/>
            <w:tcBorders>
              <w:top w:val="nil"/>
              <w:left w:val="nil"/>
              <w:bottom w:val="nil"/>
              <w:right w:val="nil"/>
            </w:tcBorders>
            <w:noWrap/>
            <w:vAlign w:val="bottom"/>
            <w:hideMark/>
          </w:tcPr>
          <w:p w14:paraId="23D21A2E"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8,000,000</w:t>
            </w:r>
          </w:p>
        </w:tc>
        <w:tc>
          <w:tcPr>
            <w:tcW w:w="1980" w:type="dxa"/>
            <w:tcBorders>
              <w:top w:val="nil"/>
              <w:left w:val="nil"/>
              <w:bottom w:val="nil"/>
              <w:right w:val="nil"/>
            </w:tcBorders>
            <w:noWrap/>
            <w:vAlign w:val="bottom"/>
            <w:hideMark/>
          </w:tcPr>
          <w:p w14:paraId="4E43284F"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0.6209</w:t>
            </w:r>
          </w:p>
        </w:tc>
        <w:tc>
          <w:tcPr>
            <w:tcW w:w="1760" w:type="dxa"/>
            <w:tcBorders>
              <w:top w:val="nil"/>
              <w:left w:val="single" w:sz="8" w:space="0" w:color="auto"/>
              <w:bottom w:val="nil"/>
              <w:right w:val="single" w:sz="4" w:space="0" w:color="auto"/>
            </w:tcBorders>
            <w:vAlign w:val="bottom"/>
            <w:hideMark/>
          </w:tcPr>
          <w:p w14:paraId="016E3120" w14:textId="77777777" w:rsidR="00211E89" w:rsidRPr="00211E89" w:rsidRDefault="00732348" w:rsidP="00211E89">
            <w:pPr>
              <w:spacing w:after="0" w:line="240" w:lineRule="auto"/>
              <w:jc w:val="center"/>
              <w:rPr>
                <w:rFonts w:ascii="Times" w:eastAsia="Times New Roman" w:hAnsi="Times" w:cs="Times"/>
                <w:szCs w:val="24"/>
                <w:lang w:val="" w:eastAsia=""/>
              </w:rPr>
            </w:pPr>
            <w:r w:rsidRPr="00211E89">
              <w:rPr>
                <w:rFonts w:ascii="Times" w:eastAsia="Times New Roman" w:hAnsi="Times" w:cs="Times"/>
                <w:szCs w:val="24"/>
                <w:lang w:val="" w:eastAsia=""/>
              </w:rPr>
              <w:t>4,967,371</w:t>
            </w:r>
          </w:p>
        </w:tc>
      </w:tr>
      <w:tr w:rsidR="00D30489" w14:paraId="181A9DA9" w14:textId="77777777" w:rsidTr="00211E89">
        <w:trPr>
          <w:trHeight w:val="315"/>
          <w:jc w:val="center"/>
        </w:trPr>
        <w:tc>
          <w:tcPr>
            <w:tcW w:w="887" w:type="dxa"/>
            <w:tcBorders>
              <w:top w:val="nil"/>
              <w:left w:val="single" w:sz="4" w:space="0" w:color="auto"/>
              <w:bottom w:val="nil"/>
              <w:right w:val="nil"/>
            </w:tcBorders>
            <w:noWrap/>
            <w:vAlign w:val="bottom"/>
            <w:hideMark/>
          </w:tcPr>
          <w:p w14:paraId="10D7E00E" w14:textId="77777777" w:rsidR="00211E89" w:rsidRPr="00211E89" w:rsidRDefault="00211E89" w:rsidP="00211E89">
            <w:pPr>
              <w:spacing w:after="0" w:line="240" w:lineRule="auto"/>
              <w:jc w:val="center"/>
              <w:rPr>
                <w:rFonts w:ascii="Times" w:eastAsia="Times New Roman" w:hAnsi="Times" w:cs="Times"/>
                <w:szCs w:val="24"/>
                <w:lang w:val="" w:eastAsia=""/>
              </w:rPr>
            </w:pPr>
          </w:p>
        </w:tc>
        <w:tc>
          <w:tcPr>
            <w:tcW w:w="1653" w:type="dxa"/>
            <w:tcBorders>
              <w:top w:val="nil"/>
              <w:left w:val="nil"/>
              <w:bottom w:val="nil"/>
              <w:right w:val="nil"/>
            </w:tcBorders>
            <w:noWrap/>
            <w:vAlign w:val="bottom"/>
            <w:hideMark/>
          </w:tcPr>
          <w:p w14:paraId="44BB2DC3" w14:textId="77777777" w:rsidR="00211E89" w:rsidRPr="00211E89" w:rsidRDefault="00211E89" w:rsidP="00211E89">
            <w:pPr>
              <w:spacing w:after="0" w:line="240" w:lineRule="auto"/>
              <w:jc w:val="center"/>
              <w:rPr>
                <w:rFonts w:ascii="Times" w:eastAsia="Times New Roman" w:hAnsi="Times" w:cs="Times"/>
                <w:szCs w:val="24"/>
                <w:lang w:val="" w:eastAsia=""/>
              </w:rPr>
            </w:pPr>
          </w:p>
        </w:tc>
        <w:tc>
          <w:tcPr>
            <w:tcW w:w="1980" w:type="dxa"/>
            <w:tcBorders>
              <w:top w:val="nil"/>
              <w:left w:val="nil"/>
              <w:bottom w:val="nil"/>
              <w:right w:val="nil"/>
            </w:tcBorders>
            <w:noWrap/>
            <w:vAlign w:val="bottom"/>
            <w:hideMark/>
          </w:tcPr>
          <w:p w14:paraId="5BD75FEA" w14:textId="77777777" w:rsidR="00211E89" w:rsidRPr="00211E89" w:rsidRDefault="00211E89" w:rsidP="00211E89">
            <w:pPr>
              <w:spacing w:after="0" w:line="240" w:lineRule="auto"/>
              <w:jc w:val="center"/>
              <w:rPr>
                <w:rFonts w:eastAsia="Times New Roman" w:cs="Times New Roman"/>
                <w:sz w:val="20"/>
                <w:szCs w:val="20"/>
                <w:lang w:val="" w:eastAsia=""/>
              </w:rPr>
            </w:pPr>
          </w:p>
        </w:tc>
        <w:tc>
          <w:tcPr>
            <w:tcW w:w="1760" w:type="dxa"/>
            <w:tcBorders>
              <w:top w:val="single" w:sz="8" w:space="0" w:color="auto"/>
              <w:left w:val="nil"/>
              <w:bottom w:val="single" w:sz="8" w:space="0" w:color="auto"/>
              <w:right w:val="single" w:sz="4" w:space="0" w:color="auto"/>
            </w:tcBorders>
            <w:noWrap/>
            <w:vAlign w:val="bottom"/>
            <w:hideMark/>
          </w:tcPr>
          <w:p w14:paraId="7087782F" w14:textId="77777777" w:rsidR="00211E89" w:rsidRPr="00211E89" w:rsidRDefault="00732348" w:rsidP="00211E89">
            <w:pPr>
              <w:spacing w:after="0" w:line="240" w:lineRule="auto"/>
              <w:jc w:val="center"/>
              <w:rPr>
                <w:rFonts w:ascii="Times" w:eastAsia="Times New Roman" w:hAnsi="Times" w:cs="Times"/>
                <w:b/>
                <w:bCs/>
                <w:szCs w:val="24"/>
                <w:lang w:val="" w:eastAsia=""/>
              </w:rPr>
            </w:pPr>
            <w:r w:rsidRPr="00211E89">
              <w:rPr>
                <w:rFonts w:ascii="Times" w:eastAsia="Times New Roman" w:hAnsi="Times" w:cs="Times"/>
                <w:b/>
                <w:bCs/>
                <w:szCs w:val="24"/>
                <w:lang w:val="" w:eastAsia=""/>
              </w:rPr>
              <w:t>41,324,177</w:t>
            </w:r>
          </w:p>
        </w:tc>
      </w:tr>
      <w:tr w:rsidR="00D30489" w14:paraId="490613FD" w14:textId="77777777" w:rsidTr="00211E89">
        <w:trPr>
          <w:trHeight w:val="315"/>
          <w:jc w:val="center"/>
        </w:trPr>
        <w:tc>
          <w:tcPr>
            <w:tcW w:w="887" w:type="dxa"/>
            <w:tcBorders>
              <w:top w:val="nil"/>
              <w:left w:val="single" w:sz="4" w:space="0" w:color="auto"/>
              <w:bottom w:val="nil"/>
              <w:right w:val="nil"/>
            </w:tcBorders>
            <w:noWrap/>
            <w:vAlign w:val="bottom"/>
            <w:hideMark/>
          </w:tcPr>
          <w:p w14:paraId="501F162A" w14:textId="77777777" w:rsidR="00211E89" w:rsidRPr="00211E89" w:rsidRDefault="00211E89" w:rsidP="00211E89">
            <w:pPr>
              <w:spacing w:after="0" w:line="240" w:lineRule="auto"/>
              <w:jc w:val="center"/>
              <w:rPr>
                <w:rFonts w:ascii="Times" w:eastAsia="Times New Roman" w:hAnsi="Times" w:cs="Times"/>
                <w:szCs w:val="24"/>
                <w:lang w:val="" w:eastAsia=""/>
              </w:rPr>
            </w:pPr>
          </w:p>
        </w:tc>
        <w:tc>
          <w:tcPr>
            <w:tcW w:w="3633" w:type="dxa"/>
            <w:gridSpan w:val="2"/>
            <w:tcBorders>
              <w:top w:val="nil"/>
              <w:left w:val="nil"/>
              <w:bottom w:val="nil"/>
              <w:right w:val="nil"/>
            </w:tcBorders>
            <w:noWrap/>
            <w:vAlign w:val="bottom"/>
            <w:hideMark/>
          </w:tcPr>
          <w:p w14:paraId="53A224D2" w14:textId="77777777" w:rsidR="00211E89" w:rsidRPr="00211E89" w:rsidRDefault="00732348" w:rsidP="00211E89">
            <w:pPr>
              <w:spacing w:after="0" w:line="240" w:lineRule="auto"/>
              <w:jc w:val="center"/>
              <w:rPr>
                <w:rFonts w:ascii="Times" w:eastAsia="Times New Roman" w:hAnsi="Times" w:cs="Times"/>
                <w:b/>
                <w:bCs/>
                <w:szCs w:val="24"/>
                <w:lang w:val="" w:eastAsia=""/>
              </w:rPr>
            </w:pPr>
            <w:r w:rsidRPr="00211E89">
              <w:rPr>
                <w:rFonts w:ascii="Times" w:eastAsia="Times New Roman" w:hAnsi="Times" w:cs="Times"/>
                <w:b/>
                <w:bCs/>
                <w:szCs w:val="24"/>
                <w:lang w:val="" w:eastAsia=""/>
              </w:rPr>
              <w:t>Net Present Value</w:t>
            </w:r>
          </w:p>
        </w:tc>
        <w:tc>
          <w:tcPr>
            <w:tcW w:w="1760" w:type="dxa"/>
            <w:tcBorders>
              <w:top w:val="nil"/>
              <w:left w:val="nil"/>
              <w:bottom w:val="double" w:sz="6" w:space="0" w:color="auto"/>
              <w:right w:val="single" w:sz="4" w:space="0" w:color="auto"/>
            </w:tcBorders>
            <w:noWrap/>
            <w:vAlign w:val="bottom"/>
            <w:hideMark/>
          </w:tcPr>
          <w:p w14:paraId="0E6B64C8" w14:textId="77777777" w:rsidR="00211E89" w:rsidRPr="00211E89" w:rsidRDefault="00732348" w:rsidP="00211E89">
            <w:pPr>
              <w:spacing w:after="0" w:line="240" w:lineRule="auto"/>
              <w:jc w:val="center"/>
              <w:rPr>
                <w:rFonts w:ascii="Times" w:eastAsia="Times New Roman" w:hAnsi="Times" w:cs="Times"/>
                <w:b/>
                <w:bCs/>
                <w:color w:val="FF0000"/>
                <w:szCs w:val="24"/>
                <w:lang w:val="" w:eastAsia=""/>
              </w:rPr>
            </w:pPr>
            <w:r w:rsidRPr="00211E89">
              <w:rPr>
                <w:rFonts w:ascii="Times" w:eastAsia="Times New Roman" w:hAnsi="Times" w:cs="Times"/>
                <w:b/>
                <w:bCs/>
                <w:color w:val="FF0000"/>
                <w:szCs w:val="24"/>
                <w:lang w:val="" w:eastAsia=""/>
              </w:rPr>
              <w:t>(8,675,823)</w:t>
            </w:r>
          </w:p>
        </w:tc>
      </w:tr>
      <w:tr w:rsidR="00D30489" w14:paraId="0AFA4EB1" w14:textId="77777777" w:rsidTr="00211E89">
        <w:trPr>
          <w:trHeight w:val="315"/>
          <w:jc w:val="center"/>
        </w:trPr>
        <w:tc>
          <w:tcPr>
            <w:tcW w:w="887" w:type="dxa"/>
            <w:tcBorders>
              <w:top w:val="nil"/>
              <w:left w:val="single" w:sz="4" w:space="0" w:color="auto"/>
              <w:bottom w:val="single" w:sz="4" w:space="0" w:color="auto"/>
              <w:right w:val="nil"/>
            </w:tcBorders>
            <w:noWrap/>
            <w:vAlign w:val="bottom"/>
            <w:hideMark/>
          </w:tcPr>
          <w:p w14:paraId="0939A7C1" w14:textId="77777777" w:rsidR="00211E89" w:rsidRPr="00211E89" w:rsidRDefault="00732348" w:rsidP="00211E89">
            <w:pPr>
              <w:spacing w:after="0" w:line="240" w:lineRule="auto"/>
              <w:jc w:val="left"/>
              <w:rPr>
                <w:rFonts w:ascii="Times" w:eastAsia="Times New Roman" w:hAnsi="Times" w:cs="Times"/>
                <w:szCs w:val="24"/>
                <w:lang w:val="" w:eastAsia=""/>
              </w:rPr>
            </w:pPr>
            <w:r w:rsidRPr="00211E89">
              <w:rPr>
                <w:rFonts w:ascii="Times" w:eastAsia="Times New Roman" w:hAnsi="Times" w:cs="Times"/>
                <w:szCs w:val="24"/>
                <w:lang w:val="" w:eastAsia=""/>
              </w:rPr>
              <w:t> </w:t>
            </w:r>
          </w:p>
        </w:tc>
        <w:tc>
          <w:tcPr>
            <w:tcW w:w="1653" w:type="dxa"/>
            <w:tcBorders>
              <w:top w:val="nil"/>
              <w:left w:val="nil"/>
              <w:bottom w:val="single" w:sz="4" w:space="0" w:color="auto"/>
              <w:right w:val="nil"/>
            </w:tcBorders>
            <w:noWrap/>
            <w:vAlign w:val="bottom"/>
            <w:hideMark/>
          </w:tcPr>
          <w:p w14:paraId="03E55E99" w14:textId="77777777" w:rsidR="00211E89" w:rsidRPr="00211E89" w:rsidRDefault="00732348" w:rsidP="00211E89">
            <w:pPr>
              <w:spacing w:after="0" w:line="240" w:lineRule="auto"/>
              <w:jc w:val="left"/>
              <w:rPr>
                <w:rFonts w:ascii="Times" w:eastAsia="Times New Roman" w:hAnsi="Times" w:cs="Times"/>
                <w:szCs w:val="24"/>
                <w:lang w:val="" w:eastAsia=""/>
              </w:rPr>
            </w:pPr>
            <w:r w:rsidRPr="00211E89">
              <w:rPr>
                <w:rFonts w:ascii="Times" w:eastAsia="Times New Roman" w:hAnsi="Times" w:cs="Times"/>
                <w:szCs w:val="24"/>
                <w:lang w:val="" w:eastAsia=""/>
              </w:rPr>
              <w:t> </w:t>
            </w:r>
          </w:p>
        </w:tc>
        <w:tc>
          <w:tcPr>
            <w:tcW w:w="1980" w:type="dxa"/>
            <w:tcBorders>
              <w:top w:val="nil"/>
              <w:left w:val="nil"/>
              <w:bottom w:val="single" w:sz="4" w:space="0" w:color="auto"/>
              <w:right w:val="nil"/>
            </w:tcBorders>
            <w:noWrap/>
            <w:vAlign w:val="bottom"/>
            <w:hideMark/>
          </w:tcPr>
          <w:p w14:paraId="116AD200" w14:textId="77777777" w:rsidR="00211E89" w:rsidRPr="00211E89" w:rsidRDefault="00732348" w:rsidP="00211E89">
            <w:pPr>
              <w:spacing w:after="0" w:line="240" w:lineRule="auto"/>
              <w:jc w:val="left"/>
              <w:rPr>
                <w:rFonts w:ascii="Times" w:eastAsia="Times New Roman" w:hAnsi="Times" w:cs="Times"/>
                <w:szCs w:val="24"/>
                <w:lang w:val="" w:eastAsia=""/>
              </w:rPr>
            </w:pPr>
            <w:r w:rsidRPr="00211E89">
              <w:rPr>
                <w:rFonts w:ascii="Times" w:eastAsia="Times New Roman" w:hAnsi="Times" w:cs="Times"/>
                <w:szCs w:val="24"/>
                <w:lang w:val="" w:eastAsia=""/>
              </w:rPr>
              <w:t> </w:t>
            </w:r>
          </w:p>
        </w:tc>
        <w:tc>
          <w:tcPr>
            <w:tcW w:w="1760" w:type="dxa"/>
            <w:tcBorders>
              <w:top w:val="nil"/>
              <w:left w:val="nil"/>
              <w:bottom w:val="single" w:sz="4" w:space="0" w:color="auto"/>
              <w:right w:val="single" w:sz="4" w:space="0" w:color="auto"/>
            </w:tcBorders>
            <w:noWrap/>
            <w:vAlign w:val="bottom"/>
            <w:hideMark/>
          </w:tcPr>
          <w:p w14:paraId="4A07093D" w14:textId="77777777" w:rsidR="00211E89" w:rsidRPr="00211E89" w:rsidRDefault="00732348" w:rsidP="00211E89">
            <w:pPr>
              <w:spacing w:after="0" w:line="240" w:lineRule="auto"/>
              <w:jc w:val="left"/>
              <w:rPr>
                <w:rFonts w:ascii="Times" w:eastAsia="Times New Roman" w:hAnsi="Times" w:cs="Times"/>
                <w:szCs w:val="24"/>
                <w:lang w:val="" w:eastAsia=""/>
              </w:rPr>
            </w:pPr>
            <w:r w:rsidRPr="00211E89">
              <w:rPr>
                <w:rFonts w:ascii="Times" w:eastAsia="Times New Roman" w:hAnsi="Times" w:cs="Times"/>
                <w:szCs w:val="24"/>
                <w:lang w:val="" w:eastAsia=""/>
              </w:rPr>
              <w:t> </w:t>
            </w:r>
          </w:p>
        </w:tc>
      </w:tr>
    </w:tbl>
    <w:p w14:paraId="3FA9947F" w14:textId="77777777" w:rsidR="00211E89" w:rsidRDefault="00211E89" w:rsidP="008E0EDA">
      <w:pPr>
        <w:spacing w:line="360" w:lineRule="auto"/>
        <w:rPr>
          <w:rFonts w:ascii="Times" w:hAnsi="Times" w:cs="Times"/>
          <w:b/>
          <w:bCs/>
          <w:szCs w:val="24"/>
        </w:rPr>
      </w:pPr>
    </w:p>
    <w:p w14:paraId="67B2AED1" w14:textId="77777777" w:rsidR="0009715F" w:rsidRDefault="00732348" w:rsidP="008E0EDA">
      <w:pPr>
        <w:spacing w:line="360" w:lineRule="auto"/>
        <w:rPr>
          <w:rFonts w:ascii="Times" w:hAnsi="Times" w:cs="Times"/>
          <w:b/>
          <w:bCs/>
          <w:szCs w:val="24"/>
        </w:rPr>
      </w:pPr>
      <w:r>
        <w:rPr>
          <w:rFonts w:ascii="Times" w:hAnsi="Times" w:cs="Times"/>
          <w:b/>
          <w:bCs/>
          <w:szCs w:val="24"/>
        </w:rPr>
        <w:t>Profitability Index</w:t>
      </w:r>
    </w:p>
    <w:p w14:paraId="4CE96A3B" w14:textId="77777777" w:rsidR="0075274B" w:rsidRPr="000639E9" w:rsidRDefault="00732348" w:rsidP="008E0EDA">
      <w:pPr>
        <w:spacing w:line="360" w:lineRule="auto"/>
        <w:rPr>
          <w:rFonts w:ascii="Times" w:hAnsi="Times" w:cs="Times"/>
          <w:szCs w:val="24"/>
        </w:rPr>
      </w:pPr>
      <w:r w:rsidRPr="000639E9">
        <w:rPr>
          <w:rFonts w:ascii="Times" w:hAnsi="Times" w:cs="Times"/>
          <w:szCs w:val="24"/>
        </w:rPr>
        <w:t>PI = Present value/investments</w:t>
      </w:r>
    </w:p>
    <w:p w14:paraId="319D3F43" w14:textId="77777777" w:rsidR="0075274B" w:rsidRPr="000639E9" w:rsidRDefault="00732348" w:rsidP="0075274B">
      <w:pPr>
        <w:spacing w:line="240" w:lineRule="auto"/>
        <w:rPr>
          <w:rFonts w:ascii="Times" w:eastAsia="Times New Roman" w:hAnsi="Times" w:cs="Times"/>
          <w:color w:val="000000"/>
          <w:szCs w:val="24"/>
          <w:lang w:val="" w:eastAsia=""/>
        </w:rPr>
      </w:pPr>
      <w:r w:rsidRPr="000639E9">
        <w:rPr>
          <w:rFonts w:ascii="Times" w:hAnsi="Times" w:cs="Times"/>
          <w:szCs w:val="24"/>
        </w:rPr>
        <w:t xml:space="preserve">PV = 9090909 + 9917355 + 10518407 + 6830135 + 4967371 = </w:t>
      </w:r>
      <w:r w:rsidRPr="000639E9">
        <w:rPr>
          <w:rFonts w:ascii="Times" w:eastAsia="Times New Roman" w:hAnsi="Times" w:cs="Times"/>
          <w:color w:val="000000"/>
          <w:szCs w:val="24"/>
          <w:lang w:val="" w:eastAsia=""/>
        </w:rPr>
        <w:t>41,324,177</w:t>
      </w:r>
    </w:p>
    <w:p w14:paraId="7890C168" w14:textId="77777777" w:rsidR="0075274B" w:rsidRPr="00AB3969" w:rsidRDefault="00732348" w:rsidP="00AB3969">
      <w:pPr>
        <w:spacing w:line="240" w:lineRule="auto"/>
        <w:rPr>
          <w:rFonts w:ascii="Times" w:eastAsia="Times New Roman" w:hAnsi="Times" w:cs="Times"/>
          <w:color w:val="000000"/>
          <w:szCs w:val="24"/>
          <w:lang w:val="" w:eastAsia=""/>
        </w:rPr>
      </w:pPr>
      <w:r w:rsidRPr="000639E9">
        <w:rPr>
          <w:rFonts w:ascii="Times" w:eastAsia="Times New Roman" w:hAnsi="Times" w:cs="Times"/>
          <w:color w:val="000000"/>
          <w:szCs w:val="24"/>
          <w:lang w:val="" w:eastAsia=""/>
        </w:rPr>
        <w:t>PI = 41324177 / 50000000 = 0.83</w:t>
      </w:r>
    </w:p>
    <w:p w14:paraId="6458AB57" w14:textId="77777777" w:rsidR="0009715F" w:rsidRDefault="00732348" w:rsidP="008E0EDA">
      <w:pPr>
        <w:spacing w:line="360" w:lineRule="auto"/>
        <w:rPr>
          <w:rFonts w:ascii="Times" w:hAnsi="Times" w:cs="Times"/>
          <w:b/>
          <w:bCs/>
          <w:szCs w:val="24"/>
        </w:rPr>
      </w:pPr>
      <w:r>
        <w:rPr>
          <w:rFonts w:ascii="Times" w:hAnsi="Times" w:cs="Times"/>
          <w:b/>
          <w:bCs/>
          <w:szCs w:val="24"/>
        </w:rPr>
        <w:t xml:space="preserve">Internal Rate of Return </w:t>
      </w:r>
    </w:p>
    <w:p w14:paraId="38B20C7C" w14:textId="77777777" w:rsidR="00AB3969" w:rsidRDefault="00732348" w:rsidP="008E0EDA">
      <w:pPr>
        <w:spacing w:line="360" w:lineRule="auto"/>
        <w:rPr>
          <w:rFonts w:ascii="Times" w:hAnsi="Times" w:cs="Times"/>
          <w:szCs w:val="24"/>
        </w:rPr>
      </w:pPr>
      <w:r w:rsidRPr="002049EC">
        <w:rPr>
          <w:rFonts w:ascii="Times" w:hAnsi="Times" w:cs="Times"/>
          <w:szCs w:val="24"/>
        </w:rPr>
        <w:lastRenderedPageBreak/>
        <w:t xml:space="preserve">2.72% </w:t>
      </w:r>
      <w:r w:rsidR="002049EC" w:rsidRPr="002049EC">
        <w:rPr>
          <w:rFonts w:ascii="Times" w:hAnsi="Times" w:cs="Times"/>
          <w:szCs w:val="24"/>
        </w:rPr>
        <w:t>(calculated</w:t>
      </w:r>
      <w:r w:rsidRPr="002049EC">
        <w:rPr>
          <w:rFonts w:ascii="Times" w:hAnsi="Times" w:cs="Times"/>
          <w:szCs w:val="24"/>
        </w:rPr>
        <w:t xml:space="preserve"> using Excel formula)</w:t>
      </w:r>
    </w:p>
    <w:p w14:paraId="2195CFC2" w14:textId="77777777" w:rsidR="002049EC" w:rsidRDefault="00732348" w:rsidP="008E0EDA">
      <w:pPr>
        <w:spacing w:line="360" w:lineRule="auto"/>
        <w:rPr>
          <w:rFonts w:ascii="Times" w:hAnsi="Times" w:cs="Times"/>
          <w:b/>
          <w:bCs/>
          <w:szCs w:val="24"/>
        </w:rPr>
      </w:pPr>
      <w:r w:rsidRPr="002049EC">
        <w:rPr>
          <w:rFonts w:ascii="Times" w:hAnsi="Times" w:cs="Times"/>
          <w:b/>
          <w:bCs/>
          <w:szCs w:val="24"/>
        </w:rPr>
        <w:t>PROJECT B</w:t>
      </w:r>
    </w:p>
    <w:p w14:paraId="0B500FBC" w14:textId="77777777" w:rsidR="002049EC" w:rsidRDefault="00732348" w:rsidP="008E0EDA">
      <w:pPr>
        <w:spacing w:line="360" w:lineRule="auto"/>
        <w:rPr>
          <w:rFonts w:ascii="Times" w:hAnsi="Times" w:cs="Times"/>
          <w:b/>
          <w:szCs w:val="24"/>
        </w:rPr>
      </w:pPr>
      <w:r w:rsidRPr="00545ADF">
        <w:rPr>
          <w:rFonts w:ascii="Times" w:hAnsi="Times" w:cs="Times"/>
          <w:b/>
          <w:szCs w:val="24"/>
        </w:rPr>
        <w:t xml:space="preserve">Payback Period </w:t>
      </w:r>
    </w:p>
    <w:tbl>
      <w:tblPr>
        <w:tblW w:w="7720" w:type="dxa"/>
        <w:jc w:val="center"/>
        <w:tblLook w:val="04A0" w:firstRow="1" w:lastRow="0" w:firstColumn="1" w:lastColumn="0" w:noHBand="0" w:noVBand="1"/>
      </w:tblPr>
      <w:tblGrid>
        <w:gridCol w:w="902"/>
        <w:gridCol w:w="1638"/>
        <w:gridCol w:w="1980"/>
        <w:gridCol w:w="1760"/>
        <w:gridCol w:w="1440"/>
      </w:tblGrid>
      <w:tr w:rsidR="00D30489" w14:paraId="34801274" w14:textId="77777777" w:rsidTr="003F1100">
        <w:trPr>
          <w:trHeight w:val="300"/>
          <w:jc w:val="center"/>
        </w:trPr>
        <w:tc>
          <w:tcPr>
            <w:tcW w:w="2540" w:type="dxa"/>
            <w:gridSpan w:val="2"/>
            <w:tcBorders>
              <w:top w:val="nil"/>
              <w:left w:val="nil"/>
              <w:bottom w:val="nil"/>
              <w:right w:val="nil"/>
            </w:tcBorders>
            <w:noWrap/>
            <w:vAlign w:val="bottom"/>
            <w:hideMark/>
          </w:tcPr>
          <w:p w14:paraId="19785300" w14:textId="77777777" w:rsidR="003F1100" w:rsidRPr="003F1100" w:rsidRDefault="00732348" w:rsidP="003F1100">
            <w:pPr>
              <w:spacing w:after="0" w:line="240" w:lineRule="auto"/>
              <w:jc w:val="left"/>
              <w:rPr>
                <w:rFonts w:ascii="Times" w:eastAsia="Times New Roman" w:hAnsi="Times" w:cs="Times"/>
                <w:b/>
                <w:bCs/>
                <w:color w:val="000000"/>
                <w:szCs w:val="24"/>
                <w:lang w:val="" w:eastAsia=""/>
              </w:rPr>
            </w:pPr>
            <w:r w:rsidRPr="003F1100">
              <w:rPr>
                <w:rFonts w:ascii="Times" w:eastAsia="Times New Roman" w:hAnsi="Times" w:cs="Times"/>
                <w:b/>
                <w:bCs/>
                <w:color w:val="000000"/>
                <w:szCs w:val="24"/>
                <w:lang w:val="" w:eastAsia=""/>
              </w:rPr>
              <w:t>Project B</w:t>
            </w:r>
          </w:p>
        </w:tc>
        <w:tc>
          <w:tcPr>
            <w:tcW w:w="1980" w:type="dxa"/>
            <w:tcBorders>
              <w:top w:val="nil"/>
              <w:left w:val="nil"/>
              <w:bottom w:val="nil"/>
              <w:right w:val="nil"/>
            </w:tcBorders>
            <w:noWrap/>
            <w:vAlign w:val="bottom"/>
            <w:hideMark/>
          </w:tcPr>
          <w:p w14:paraId="3814E737" w14:textId="77777777" w:rsidR="003F1100" w:rsidRPr="003F1100" w:rsidRDefault="003F1100" w:rsidP="003F1100">
            <w:pPr>
              <w:spacing w:after="0" w:line="240" w:lineRule="auto"/>
              <w:jc w:val="left"/>
              <w:rPr>
                <w:rFonts w:ascii="Times" w:eastAsia="Times New Roman" w:hAnsi="Times" w:cs="Times"/>
                <w:b/>
                <w:bCs/>
                <w:color w:val="000000"/>
                <w:szCs w:val="24"/>
                <w:lang w:val="" w:eastAsia=""/>
              </w:rPr>
            </w:pPr>
          </w:p>
        </w:tc>
        <w:tc>
          <w:tcPr>
            <w:tcW w:w="1760" w:type="dxa"/>
            <w:tcBorders>
              <w:top w:val="nil"/>
              <w:left w:val="nil"/>
              <w:bottom w:val="nil"/>
              <w:right w:val="nil"/>
            </w:tcBorders>
            <w:noWrap/>
            <w:vAlign w:val="bottom"/>
            <w:hideMark/>
          </w:tcPr>
          <w:p w14:paraId="14F6F602" w14:textId="77777777" w:rsidR="003F1100" w:rsidRPr="003F1100" w:rsidRDefault="003F1100" w:rsidP="003F1100">
            <w:pPr>
              <w:spacing w:after="0" w:line="240" w:lineRule="auto"/>
              <w:jc w:val="left"/>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61487A13" w14:textId="77777777" w:rsidR="003F1100" w:rsidRPr="003F1100" w:rsidRDefault="003F1100" w:rsidP="003F1100">
            <w:pPr>
              <w:spacing w:after="0" w:line="240" w:lineRule="auto"/>
              <w:jc w:val="left"/>
              <w:rPr>
                <w:rFonts w:eastAsia="Times New Roman" w:cs="Times New Roman"/>
                <w:sz w:val="20"/>
                <w:szCs w:val="20"/>
                <w:lang w:val="" w:eastAsia=""/>
              </w:rPr>
            </w:pPr>
          </w:p>
        </w:tc>
      </w:tr>
      <w:tr w:rsidR="00D30489" w14:paraId="3399B4C8" w14:textId="77777777" w:rsidTr="003F1100">
        <w:trPr>
          <w:trHeight w:val="315"/>
          <w:jc w:val="center"/>
        </w:trPr>
        <w:tc>
          <w:tcPr>
            <w:tcW w:w="2540" w:type="dxa"/>
            <w:gridSpan w:val="2"/>
            <w:tcBorders>
              <w:top w:val="nil"/>
              <w:left w:val="nil"/>
              <w:bottom w:val="nil"/>
              <w:right w:val="nil"/>
            </w:tcBorders>
            <w:noWrap/>
            <w:vAlign w:val="bottom"/>
            <w:hideMark/>
          </w:tcPr>
          <w:p w14:paraId="3050C708" w14:textId="77777777" w:rsidR="003F1100" w:rsidRPr="003F1100" w:rsidRDefault="00732348" w:rsidP="003F1100">
            <w:pPr>
              <w:spacing w:after="0" w:line="240" w:lineRule="auto"/>
              <w:jc w:val="left"/>
              <w:rPr>
                <w:rFonts w:ascii="Times" w:eastAsia="Times New Roman" w:hAnsi="Times" w:cs="Times"/>
                <w:b/>
                <w:bCs/>
                <w:color w:val="000000"/>
                <w:szCs w:val="24"/>
                <w:lang w:val="" w:eastAsia=""/>
              </w:rPr>
            </w:pPr>
            <w:r w:rsidRPr="003F1100">
              <w:rPr>
                <w:rFonts w:ascii="Times" w:eastAsia="Times New Roman" w:hAnsi="Times" w:cs="Times"/>
                <w:b/>
                <w:bCs/>
                <w:color w:val="000000"/>
                <w:szCs w:val="24"/>
                <w:lang w:val="" w:eastAsia=""/>
              </w:rPr>
              <w:t>Payback Period</w:t>
            </w:r>
          </w:p>
        </w:tc>
        <w:tc>
          <w:tcPr>
            <w:tcW w:w="1980" w:type="dxa"/>
            <w:tcBorders>
              <w:top w:val="nil"/>
              <w:left w:val="nil"/>
              <w:bottom w:val="nil"/>
              <w:right w:val="nil"/>
            </w:tcBorders>
            <w:noWrap/>
            <w:vAlign w:val="bottom"/>
            <w:hideMark/>
          </w:tcPr>
          <w:p w14:paraId="25F03E0C" w14:textId="77777777" w:rsidR="003F1100" w:rsidRPr="003F1100" w:rsidRDefault="003F1100" w:rsidP="003F1100">
            <w:pPr>
              <w:spacing w:after="0" w:line="240" w:lineRule="auto"/>
              <w:jc w:val="left"/>
              <w:rPr>
                <w:rFonts w:ascii="Times" w:eastAsia="Times New Roman" w:hAnsi="Times" w:cs="Times"/>
                <w:b/>
                <w:bCs/>
                <w:color w:val="000000"/>
                <w:szCs w:val="24"/>
                <w:lang w:val="" w:eastAsia=""/>
              </w:rPr>
            </w:pPr>
          </w:p>
        </w:tc>
        <w:tc>
          <w:tcPr>
            <w:tcW w:w="1760" w:type="dxa"/>
            <w:tcBorders>
              <w:top w:val="nil"/>
              <w:left w:val="nil"/>
              <w:bottom w:val="nil"/>
              <w:right w:val="nil"/>
            </w:tcBorders>
            <w:noWrap/>
            <w:vAlign w:val="bottom"/>
            <w:hideMark/>
          </w:tcPr>
          <w:p w14:paraId="0C89186C" w14:textId="77777777" w:rsidR="003F1100" w:rsidRPr="003F1100" w:rsidRDefault="003F1100" w:rsidP="003F1100">
            <w:pPr>
              <w:spacing w:after="0" w:line="240" w:lineRule="auto"/>
              <w:jc w:val="left"/>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027A9458" w14:textId="77777777" w:rsidR="003F1100" w:rsidRPr="003F1100" w:rsidRDefault="003F1100" w:rsidP="003F1100">
            <w:pPr>
              <w:spacing w:after="0" w:line="240" w:lineRule="auto"/>
              <w:jc w:val="left"/>
              <w:rPr>
                <w:rFonts w:eastAsia="Times New Roman" w:cs="Times New Roman"/>
                <w:sz w:val="20"/>
                <w:szCs w:val="20"/>
                <w:lang w:val="" w:eastAsia=""/>
              </w:rPr>
            </w:pPr>
          </w:p>
        </w:tc>
      </w:tr>
      <w:tr w:rsidR="00D30489" w14:paraId="06AE6525" w14:textId="77777777" w:rsidTr="003F1100">
        <w:trPr>
          <w:trHeight w:val="315"/>
          <w:jc w:val="center"/>
        </w:trPr>
        <w:tc>
          <w:tcPr>
            <w:tcW w:w="902" w:type="dxa"/>
            <w:vMerge w:val="restart"/>
            <w:tcBorders>
              <w:top w:val="single" w:sz="8" w:space="0" w:color="auto"/>
              <w:left w:val="single" w:sz="8" w:space="0" w:color="auto"/>
              <w:bottom w:val="single" w:sz="8" w:space="0" w:color="000000"/>
              <w:right w:val="single" w:sz="8" w:space="0" w:color="auto"/>
            </w:tcBorders>
            <w:noWrap/>
            <w:vAlign w:val="center"/>
            <w:hideMark/>
          </w:tcPr>
          <w:p w14:paraId="2AB93B12" w14:textId="77777777" w:rsidR="003F1100" w:rsidRPr="003F1100" w:rsidRDefault="00732348" w:rsidP="003F1100">
            <w:pPr>
              <w:spacing w:after="0" w:line="240" w:lineRule="auto"/>
              <w:jc w:val="center"/>
              <w:rPr>
                <w:rFonts w:ascii="Times" w:eastAsia="Times New Roman" w:hAnsi="Times" w:cs="Times"/>
                <w:b/>
                <w:bCs/>
                <w:szCs w:val="24"/>
                <w:lang w:val="" w:eastAsia=""/>
              </w:rPr>
            </w:pPr>
            <w:r w:rsidRPr="003F1100">
              <w:rPr>
                <w:rFonts w:ascii="Times" w:eastAsia="Times New Roman" w:hAnsi="Times" w:cs="Times"/>
                <w:b/>
                <w:bCs/>
                <w:szCs w:val="24"/>
                <w:lang w:val="" w:eastAsia=""/>
              </w:rPr>
              <w:t>Year</w:t>
            </w:r>
          </w:p>
        </w:tc>
        <w:tc>
          <w:tcPr>
            <w:tcW w:w="1638" w:type="dxa"/>
            <w:vMerge w:val="restart"/>
            <w:tcBorders>
              <w:top w:val="single" w:sz="8" w:space="0" w:color="auto"/>
              <w:left w:val="single" w:sz="8" w:space="0" w:color="auto"/>
              <w:bottom w:val="single" w:sz="8" w:space="0" w:color="000000"/>
              <w:right w:val="single" w:sz="8" w:space="0" w:color="auto"/>
            </w:tcBorders>
            <w:noWrap/>
            <w:vAlign w:val="center"/>
            <w:hideMark/>
          </w:tcPr>
          <w:p w14:paraId="1F1BE6ED" w14:textId="77777777" w:rsidR="003F1100" w:rsidRPr="003F1100" w:rsidRDefault="00732348" w:rsidP="003F1100">
            <w:pPr>
              <w:spacing w:after="0" w:line="240" w:lineRule="auto"/>
              <w:jc w:val="center"/>
              <w:rPr>
                <w:rFonts w:ascii="Times" w:eastAsia="Times New Roman" w:hAnsi="Times" w:cs="Times"/>
                <w:b/>
                <w:bCs/>
                <w:szCs w:val="24"/>
                <w:lang w:val="" w:eastAsia=""/>
              </w:rPr>
            </w:pPr>
            <w:r w:rsidRPr="003F1100">
              <w:rPr>
                <w:rFonts w:ascii="Times" w:eastAsia="Times New Roman" w:hAnsi="Times" w:cs="Times"/>
                <w:b/>
                <w:bCs/>
                <w:szCs w:val="24"/>
                <w:lang w:val="" w:eastAsia=""/>
              </w:rPr>
              <w:t>Cash Inflow</w:t>
            </w:r>
          </w:p>
        </w:tc>
        <w:tc>
          <w:tcPr>
            <w:tcW w:w="3740" w:type="dxa"/>
            <w:gridSpan w:val="2"/>
            <w:tcBorders>
              <w:top w:val="single" w:sz="8" w:space="0" w:color="auto"/>
              <w:left w:val="nil"/>
              <w:bottom w:val="single" w:sz="8" w:space="0" w:color="auto"/>
              <w:right w:val="single" w:sz="8" w:space="0" w:color="000000"/>
            </w:tcBorders>
            <w:noWrap/>
            <w:vAlign w:val="center"/>
            <w:hideMark/>
          </w:tcPr>
          <w:p w14:paraId="0C76CD38" w14:textId="77777777" w:rsidR="003F1100" w:rsidRPr="003F1100" w:rsidRDefault="00732348" w:rsidP="003F1100">
            <w:pPr>
              <w:spacing w:after="0" w:line="240" w:lineRule="auto"/>
              <w:jc w:val="center"/>
              <w:rPr>
                <w:rFonts w:ascii="Times" w:eastAsia="Times New Roman" w:hAnsi="Times" w:cs="Times"/>
                <w:b/>
                <w:bCs/>
                <w:szCs w:val="24"/>
                <w:lang w:val="" w:eastAsia=""/>
              </w:rPr>
            </w:pPr>
            <w:r w:rsidRPr="003F1100">
              <w:rPr>
                <w:rFonts w:ascii="Times" w:eastAsia="Times New Roman" w:hAnsi="Times" w:cs="Times"/>
                <w:b/>
                <w:bCs/>
                <w:szCs w:val="24"/>
                <w:lang w:val="" w:eastAsia=""/>
              </w:rPr>
              <w:t>Amount</w:t>
            </w:r>
          </w:p>
        </w:tc>
        <w:tc>
          <w:tcPr>
            <w:tcW w:w="1440" w:type="dxa"/>
            <w:tcBorders>
              <w:top w:val="single" w:sz="8" w:space="0" w:color="auto"/>
              <w:left w:val="nil"/>
              <w:bottom w:val="nil"/>
              <w:right w:val="single" w:sz="8" w:space="0" w:color="auto"/>
            </w:tcBorders>
            <w:noWrap/>
            <w:vAlign w:val="center"/>
            <w:hideMark/>
          </w:tcPr>
          <w:p w14:paraId="44AB9CE2" w14:textId="77777777" w:rsidR="003F1100" w:rsidRPr="003F1100" w:rsidRDefault="00732348" w:rsidP="003F1100">
            <w:pPr>
              <w:spacing w:after="0" w:line="240" w:lineRule="auto"/>
              <w:jc w:val="center"/>
              <w:rPr>
                <w:rFonts w:ascii="Times" w:eastAsia="Times New Roman" w:hAnsi="Times" w:cs="Times"/>
                <w:b/>
                <w:bCs/>
                <w:szCs w:val="24"/>
                <w:lang w:val="" w:eastAsia=""/>
              </w:rPr>
            </w:pPr>
            <w:r w:rsidRPr="003F1100">
              <w:rPr>
                <w:rFonts w:ascii="Times" w:eastAsia="Times New Roman" w:hAnsi="Times" w:cs="Times"/>
                <w:b/>
                <w:bCs/>
                <w:szCs w:val="24"/>
                <w:lang w:val="" w:eastAsia=""/>
              </w:rPr>
              <w:t>PayBack</w:t>
            </w:r>
          </w:p>
        </w:tc>
      </w:tr>
      <w:tr w:rsidR="00D30489" w14:paraId="1F225759" w14:textId="77777777" w:rsidTr="003F1100">
        <w:trPr>
          <w:trHeight w:val="315"/>
          <w:jc w:val="center"/>
        </w:trPr>
        <w:tc>
          <w:tcPr>
            <w:tcW w:w="902" w:type="dxa"/>
            <w:vMerge/>
            <w:tcBorders>
              <w:top w:val="single" w:sz="8" w:space="0" w:color="auto"/>
              <w:left w:val="single" w:sz="8" w:space="0" w:color="auto"/>
              <w:bottom w:val="single" w:sz="8" w:space="0" w:color="000000"/>
              <w:right w:val="single" w:sz="8" w:space="0" w:color="auto"/>
            </w:tcBorders>
            <w:vAlign w:val="center"/>
            <w:hideMark/>
          </w:tcPr>
          <w:p w14:paraId="6B6AE427" w14:textId="77777777" w:rsidR="003F1100" w:rsidRPr="003F1100" w:rsidRDefault="003F1100" w:rsidP="003F1100">
            <w:pPr>
              <w:spacing w:after="0" w:line="240" w:lineRule="auto"/>
              <w:jc w:val="center"/>
              <w:rPr>
                <w:rFonts w:ascii="Times" w:eastAsia="Times New Roman" w:hAnsi="Times" w:cs="Times"/>
                <w:b/>
                <w:bCs/>
                <w:szCs w:val="24"/>
                <w:lang w:val="" w:eastAsia=""/>
              </w:rPr>
            </w:pPr>
          </w:p>
        </w:tc>
        <w:tc>
          <w:tcPr>
            <w:tcW w:w="1638" w:type="dxa"/>
            <w:vMerge/>
            <w:tcBorders>
              <w:top w:val="single" w:sz="8" w:space="0" w:color="auto"/>
              <w:left w:val="single" w:sz="8" w:space="0" w:color="auto"/>
              <w:bottom w:val="single" w:sz="8" w:space="0" w:color="000000"/>
              <w:right w:val="single" w:sz="8" w:space="0" w:color="auto"/>
            </w:tcBorders>
            <w:vAlign w:val="center"/>
            <w:hideMark/>
          </w:tcPr>
          <w:p w14:paraId="7EBF9058" w14:textId="77777777" w:rsidR="003F1100" w:rsidRPr="003F1100" w:rsidRDefault="003F1100" w:rsidP="003F1100">
            <w:pPr>
              <w:spacing w:after="0" w:line="240" w:lineRule="auto"/>
              <w:jc w:val="center"/>
              <w:rPr>
                <w:rFonts w:ascii="Times" w:eastAsia="Times New Roman" w:hAnsi="Times" w:cs="Times"/>
                <w:b/>
                <w:bCs/>
                <w:szCs w:val="24"/>
                <w:lang w:val="" w:eastAsia=""/>
              </w:rPr>
            </w:pPr>
          </w:p>
        </w:tc>
        <w:tc>
          <w:tcPr>
            <w:tcW w:w="1980" w:type="dxa"/>
            <w:tcBorders>
              <w:top w:val="nil"/>
              <w:left w:val="nil"/>
              <w:bottom w:val="single" w:sz="8" w:space="0" w:color="auto"/>
              <w:right w:val="single" w:sz="8" w:space="0" w:color="auto"/>
            </w:tcBorders>
            <w:noWrap/>
            <w:vAlign w:val="center"/>
            <w:hideMark/>
          </w:tcPr>
          <w:p w14:paraId="16117AA1" w14:textId="77777777" w:rsidR="003F1100" w:rsidRPr="003F1100" w:rsidRDefault="00732348" w:rsidP="003F1100">
            <w:pPr>
              <w:spacing w:after="0" w:line="240" w:lineRule="auto"/>
              <w:jc w:val="center"/>
              <w:rPr>
                <w:rFonts w:ascii="Times" w:eastAsia="Times New Roman" w:hAnsi="Times" w:cs="Times"/>
                <w:b/>
                <w:bCs/>
                <w:szCs w:val="24"/>
                <w:lang w:val="" w:eastAsia=""/>
              </w:rPr>
            </w:pPr>
            <w:r w:rsidRPr="003F1100">
              <w:rPr>
                <w:rFonts w:ascii="Times" w:eastAsia="Times New Roman" w:hAnsi="Times" w:cs="Times"/>
                <w:b/>
                <w:bCs/>
                <w:szCs w:val="24"/>
                <w:lang w:val="" w:eastAsia=""/>
              </w:rPr>
              <w:t>Needed</w:t>
            </w:r>
          </w:p>
        </w:tc>
        <w:tc>
          <w:tcPr>
            <w:tcW w:w="1760" w:type="dxa"/>
            <w:tcBorders>
              <w:top w:val="nil"/>
              <w:left w:val="nil"/>
              <w:bottom w:val="single" w:sz="8" w:space="0" w:color="auto"/>
              <w:right w:val="single" w:sz="8" w:space="0" w:color="auto"/>
            </w:tcBorders>
            <w:noWrap/>
            <w:vAlign w:val="center"/>
            <w:hideMark/>
          </w:tcPr>
          <w:p w14:paraId="379A334D" w14:textId="77777777" w:rsidR="003F1100" w:rsidRPr="003F1100" w:rsidRDefault="00732348" w:rsidP="003F1100">
            <w:pPr>
              <w:spacing w:after="0" w:line="240" w:lineRule="auto"/>
              <w:jc w:val="center"/>
              <w:rPr>
                <w:rFonts w:ascii="Times" w:eastAsia="Times New Roman" w:hAnsi="Times" w:cs="Times"/>
                <w:b/>
                <w:bCs/>
                <w:szCs w:val="24"/>
                <w:lang w:val="" w:eastAsia=""/>
              </w:rPr>
            </w:pPr>
            <w:r w:rsidRPr="003F1100">
              <w:rPr>
                <w:rFonts w:ascii="Times" w:eastAsia="Times New Roman" w:hAnsi="Times" w:cs="Times"/>
                <w:b/>
                <w:bCs/>
                <w:szCs w:val="24"/>
                <w:lang w:val="" w:eastAsia=""/>
              </w:rPr>
              <w:t>Balance</w:t>
            </w:r>
          </w:p>
        </w:tc>
        <w:tc>
          <w:tcPr>
            <w:tcW w:w="1440" w:type="dxa"/>
            <w:tcBorders>
              <w:top w:val="single" w:sz="8" w:space="0" w:color="auto"/>
              <w:left w:val="nil"/>
              <w:bottom w:val="single" w:sz="8" w:space="0" w:color="auto"/>
              <w:right w:val="single" w:sz="8" w:space="0" w:color="auto"/>
            </w:tcBorders>
            <w:noWrap/>
            <w:vAlign w:val="center"/>
            <w:hideMark/>
          </w:tcPr>
          <w:p w14:paraId="31AEEF62" w14:textId="77777777" w:rsidR="003F1100" w:rsidRPr="003F1100" w:rsidRDefault="00732348" w:rsidP="003F1100">
            <w:pPr>
              <w:spacing w:after="0" w:line="240" w:lineRule="auto"/>
              <w:jc w:val="center"/>
              <w:rPr>
                <w:rFonts w:ascii="Times" w:eastAsia="Times New Roman" w:hAnsi="Times" w:cs="Times"/>
                <w:b/>
                <w:bCs/>
                <w:szCs w:val="24"/>
                <w:lang w:val="" w:eastAsia=""/>
              </w:rPr>
            </w:pPr>
            <w:r w:rsidRPr="003F1100">
              <w:rPr>
                <w:rFonts w:ascii="Times" w:eastAsia="Times New Roman" w:hAnsi="Times" w:cs="Times"/>
                <w:b/>
                <w:bCs/>
                <w:szCs w:val="24"/>
                <w:lang w:val="" w:eastAsia=""/>
              </w:rPr>
              <w:t>Period</w:t>
            </w:r>
          </w:p>
        </w:tc>
      </w:tr>
      <w:tr w:rsidR="00D30489" w14:paraId="027BD4EE" w14:textId="77777777" w:rsidTr="003F1100">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037DB585"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w:t>
            </w:r>
          </w:p>
        </w:tc>
        <w:tc>
          <w:tcPr>
            <w:tcW w:w="1638" w:type="dxa"/>
            <w:tcBorders>
              <w:top w:val="nil"/>
              <w:left w:val="nil"/>
              <w:bottom w:val="single" w:sz="4" w:space="0" w:color="auto"/>
              <w:right w:val="single" w:sz="4" w:space="0" w:color="auto"/>
            </w:tcBorders>
            <w:noWrap/>
            <w:vAlign w:val="bottom"/>
            <w:hideMark/>
          </w:tcPr>
          <w:p w14:paraId="08A96E09"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66EF0404"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(50,000,000)</w:t>
            </w:r>
          </w:p>
        </w:tc>
        <w:tc>
          <w:tcPr>
            <w:tcW w:w="1760" w:type="dxa"/>
            <w:tcBorders>
              <w:top w:val="nil"/>
              <w:left w:val="nil"/>
              <w:bottom w:val="single" w:sz="4" w:space="0" w:color="auto"/>
              <w:right w:val="single" w:sz="4" w:space="0" w:color="auto"/>
            </w:tcBorders>
            <w:noWrap/>
            <w:vAlign w:val="bottom"/>
            <w:hideMark/>
          </w:tcPr>
          <w:p w14:paraId="7A7A08DB"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(39,000,000)</w:t>
            </w:r>
          </w:p>
        </w:tc>
        <w:tc>
          <w:tcPr>
            <w:tcW w:w="1440" w:type="dxa"/>
            <w:tcBorders>
              <w:top w:val="nil"/>
              <w:left w:val="nil"/>
              <w:bottom w:val="single" w:sz="4" w:space="0" w:color="auto"/>
              <w:right w:val="single" w:sz="4" w:space="0" w:color="auto"/>
            </w:tcBorders>
            <w:noWrap/>
            <w:vAlign w:val="bottom"/>
            <w:hideMark/>
          </w:tcPr>
          <w:p w14:paraId="36B2BFFB"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w:t>
            </w:r>
          </w:p>
        </w:tc>
      </w:tr>
      <w:tr w:rsidR="00D30489" w14:paraId="5B2F5694" w14:textId="77777777" w:rsidTr="003F1100">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63A472A5"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2</w:t>
            </w:r>
          </w:p>
        </w:tc>
        <w:tc>
          <w:tcPr>
            <w:tcW w:w="1638" w:type="dxa"/>
            <w:tcBorders>
              <w:top w:val="nil"/>
              <w:left w:val="nil"/>
              <w:bottom w:val="single" w:sz="4" w:space="0" w:color="auto"/>
              <w:right w:val="single" w:sz="4" w:space="0" w:color="auto"/>
            </w:tcBorders>
            <w:noWrap/>
            <w:vAlign w:val="bottom"/>
            <w:hideMark/>
          </w:tcPr>
          <w:p w14:paraId="36CF0906"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3F99F6EF"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(39,000,000)</w:t>
            </w:r>
          </w:p>
        </w:tc>
        <w:tc>
          <w:tcPr>
            <w:tcW w:w="1760" w:type="dxa"/>
            <w:tcBorders>
              <w:top w:val="nil"/>
              <w:left w:val="nil"/>
              <w:bottom w:val="single" w:sz="4" w:space="0" w:color="auto"/>
              <w:right w:val="single" w:sz="4" w:space="0" w:color="auto"/>
            </w:tcBorders>
            <w:noWrap/>
            <w:vAlign w:val="bottom"/>
            <w:hideMark/>
          </w:tcPr>
          <w:p w14:paraId="10A2FACE"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(28,000,000)</w:t>
            </w:r>
          </w:p>
        </w:tc>
        <w:tc>
          <w:tcPr>
            <w:tcW w:w="1440" w:type="dxa"/>
            <w:tcBorders>
              <w:top w:val="nil"/>
              <w:left w:val="nil"/>
              <w:bottom w:val="single" w:sz="4" w:space="0" w:color="auto"/>
              <w:right w:val="single" w:sz="4" w:space="0" w:color="auto"/>
            </w:tcBorders>
            <w:noWrap/>
            <w:vAlign w:val="bottom"/>
            <w:hideMark/>
          </w:tcPr>
          <w:p w14:paraId="577C6B5B"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2</w:t>
            </w:r>
          </w:p>
        </w:tc>
      </w:tr>
      <w:tr w:rsidR="00D30489" w14:paraId="71DA96BD" w14:textId="77777777" w:rsidTr="003F1100">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42194169"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3</w:t>
            </w:r>
          </w:p>
        </w:tc>
        <w:tc>
          <w:tcPr>
            <w:tcW w:w="1638" w:type="dxa"/>
            <w:tcBorders>
              <w:top w:val="nil"/>
              <w:left w:val="nil"/>
              <w:bottom w:val="single" w:sz="4" w:space="0" w:color="auto"/>
              <w:right w:val="single" w:sz="4" w:space="0" w:color="auto"/>
            </w:tcBorders>
            <w:noWrap/>
            <w:vAlign w:val="bottom"/>
            <w:hideMark/>
          </w:tcPr>
          <w:p w14:paraId="5DEF2439"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3A4D78B2"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(28,000,000)</w:t>
            </w:r>
          </w:p>
        </w:tc>
        <w:tc>
          <w:tcPr>
            <w:tcW w:w="1760" w:type="dxa"/>
            <w:tcBorders>
              <w:top w:val="nil"/>
              <w:left w:val="nil"/>
              <w:bottom w:val="single" w:sz="4" w:space="0" w:color="auto"/>
              <w:right w:val="single" w:sz="4" w:space="0" w:color="auto"/>
            </w:tcBorders>
            <w:noWrap/>
            <w:vAlign w:val="bottom"/>
            <w:hideMark/>
          </w:tcPr>
          <w:p w14:paraId="491C2446"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(17,000,000)</w:t>
            </w:r>
          </w:p>
        </w:tc>
        <w:tc>
          <w:tcPr>
            <w:tcW w:w="1440" w:type="dxa"/>
            <w:tcBorders>
              <w:top w:val="nil"/>
              <w:left w:val="nil"/>
              <w:bottom w:val="single" w:sz="4" w:space="0" w:color="auto"/>
              <w:right w:val="single" w:sz="4" w:space="0" w:color="auto"/>
            </w:tcBorders>
            <w:noWrap/>
            <w:vAlign w:val="bottom"/>
            <w:hideMark/>
          </w:tcPr>
          <w:p w14:paraId="57A86293"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3</w:t>
            </w:r>
          </w:p>
        </w:tc>
      </w:tr>
      <w:tr w:rsidR="00D30489" w14:paraId="36E4A13A" w14:textId="77777777" w:rsidTr="003F1100">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69D5BBBB"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4</w:t>
            </w:r>
          </w:p>
        </w:tc>
        <w:tc>
          <w:tcPr>
            <w:tcW w:w="1638" w:type="dxa"/>
            <w:tcBorders>
              <w:top w:val="nil"/>
              <w:left w:val="nil"/>
              <w:bottom w:val="single" w:sz="4" w:space="0" w:color="auto"/>
              <w:right w:val="single" w:sz="4" w:space="0" w:color="auto"/>
            </w:tcBorders>
            <w:noWrap/>
            <w:vAlign w:val="bottom"/>
            <w:hideMark/>
          </w:tcPr>
          <w:p w14:paraId="478FE480"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763DEE18"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(17,000,000)</w:t>
            </w:r>
          </w:p>
        </w:tc>
        <w:tc>
          <w:tcPr>
            <w:tcW w:w="1760" w:type="dxa"/>
            <w:tcBorders>
              <w:top w:val="nil"/>
              <w:left w:val="nil"/>
              <w:bottom w:val="single" w:sz="4" w:space="0" w:color="auto"/>
              <w:right w:val="single" w:sz="4" w:space="0" w:color="auto"/>
            </w:tcBorders>
            <w:noWrap/>
            <w:vAlign w:val="bottom"/>
            <w:hideMark/>
          </w:tcPr>
          <w:p w14:paraId="40E408A1"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(6,000,000)</w:t>
            </w:r>
          </w:p>
        </w:tc>
        <w:tc>
          <w:tcPr>
            <w:tcW w:w="1440" w:type="dxa"/>
            <w:tcBorders>
              <w:top w:val="nil"/>
              <w:left w:val="nil"/>
              <w:bottom w:val="single" w:sz="4" w:space="0" w:color="auto"/>
              <w:right w:val="single" w:sz="4" w:space="0" w:color="auto"/>
            </w:tcBorders>
            <w:noWrap/>
            <w:vAlign w:val="bottom"/>
            <w:hideMark/>
          </w:tcPr>
          <w:p w14:paraId="072BD059"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4</w:t>
            </w:r>
          </w:p>
        </w:tc>
      </w:tr>
      <w:tr w:rsidR="00D30489" w14:paraId="3AAF8CC1" w14:textId="77777777" w:rsidTr="003F1100">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7C09FF11"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5</w:t>
            </w:r>
          </w:p>
        </w:tc>
        <w:tc>
          <w:tcPr>
            <w:tcW w:w="1638" w:type="dxa"/>
            <w:tcBorders>
              <w:top w:val="nil"/>
              <w:left w:val="nil"/>
              <w:bottom w:val="single" w:sz="4" w:space="0" w:color="auto"/>
              <w:right w:val="single" w:sz="4" w:space="0" w:color="auto"/>
            </w:tcBorders>
            <w:noWrap/>
            <w:vAlign w:val="bottom"/>
            <w:hideMark/>
          </w:tcPr>
          <w:p w14:paraId="268B1694"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11,000,000</w:t>
            </w:r>
          </w:p>
        </w:tc>
        <w:tc>
          <w:tcPr>
            <w:tcW w:w="1980" w:type="dxa"/>
            <w:tcBorders>
              <w:top w:val="nil"/>
              <w:left w:val="nil"/>
              <w:bottom w:val="single" w:sz="4" w:space="0" w:color="auto"/>
              <w:right w:val="single" w:sz="4" w:space="0" w:color="auto"/>
            </w:tcBorders>
            <w:noWrap/>
            <w:vAlign w:val="bottom"/>
            <w:hideMark/>
          </w:tcPr>
          <w:p w14:paraId="40EDF8B8"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(6,000,000)</w:t>
            </w:r>
          </w:p>
        </w:tc>
        <w:tc>
          <w:tcPr>
            <w:tcW w:w="1760" w:type="dxa"/>
            <w:tcBorders>
              <w:top w:val="nil"/>
              <w:left w:val="nil"/>
              <w:bottom w:val="single" w:sz="4" w:space="0" w:color="auto"/>
              <w:right w:val="single" w:sz="4" w:space="0" w:color="auto"/>
            </w:tcBorders>
            <w:noWrap/>
            <w:vAlign w:val="bottom"/>
            <w:hideMark/>
          </w:tcPr>
          <w:p w14:paraId="046B733A"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5,000,000</w:t>
            </w:r>
          </w:p>
        </w:tc>
        <w:tc>
          <w:tcPr>
            <w:tcW w:w="1440" w:type="dxa"/>
            <w:tcBorders>
              <w:top w:val="nil"/>
              <w:left w:val="nil"/>
              <w:bottom w:val="single" w:sz="4" w:space="0" w:color="auto"/>
              <w:right w:val="single" w:sz="4" w:space="0" w:color="auto"/>
            </w:tcBorders>
            <w:noWrap/>
            <w:vAlign w:val="bottom"/>
            <w:hideMark/>
          </w:tcPr>
          <w:p w14:paraId="29303D61" w14:textId="77777777" w:rsidR="003F1100" w:rsidRPr="003F1100" w:rsidRDefault="003F1100" w:rsidP="003F1100">
            <w:pPr>
              <w:spacing w:after="0" w:line="240" w:lineRule="auto"/>
              <w:jc w:val="center"/>
              <w:rPr>
                <w:rFonts w:ascii="Times" w:eastAsia="Times New Roman" w:hAnsi="Times" w:cs="Times"/>
                <w:szCs w:val="24"/>
                <w:lang w:val="" w:eastAsia=""/>
              </w:rPr>
            </w:pPr>
          </w:p>
        </w:tc>
      </w:tr>
      <w:tr w:rsidR="00D30489" w14:paraId="197F57FF" w14:textId="77777777" w:rsidTr="003F1100">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7BB78BC5"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638" w:type="dxa"/>
            <w:tcBorders>
              <w:top w:val="nil"/>
              <w:left w:val="nil"/>
              <w:bottom w:val="single" w:sz="4" w:space="0" w:color="auto"/>
              <w:right w:val="single" w:sz="4" w:space="0" w:color="auto"/>
            </w:tcBorders>
            <w:noWrap/>
            <w:vAlign w:val="bottom"/>
            <w:hideMark/>
          </w:tcPr>
          <w:p w14:paraId="4B7A0598"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980" w:type="dxa"/>
            <w:tcBorders>
              <w:top w:val="nil"/>
              <w:left w:val="nil"/>
              <w:bottom w:val="single" w:sz="4" w:space="0" w:color="auto"/>
              <w:right w:val="single" w:sz="4" w:space="0" w:color="auto"/>
            </w:tcBorders>
            <w:noWrap/>
            <w:vAlign w:val="bottom"/>
            <w:hideMark/>
          </w:tcPr>
          <w:p w14:paraId="233569F8"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760" w:type="dxa"/>
            <w:tcBorders>
              <w:top w:val="nil"/>
              <w:left w:val="nil"/>
              <w:bottom w:val="single" w:sz="4" w:space="0" w:color="auto"/>
              <w:right w:val="single" w:sz="4" w:space="0" w:color="auto"/>
            </w:tcBorders>
            <w:noWrap/>
            <w:vAlign w:val="bottom"/>
            <w:hideMark/>
          </w:tcPr>
          <w:p w14:paraId="532F0916"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440" w:type="dxa"/>
            <w:tcBorders>
              <w:top w:val="nil"/>
              <w:left w:val="nil"/>
              <w:bottom w:val="single" w:sz="4" w:space="0" w:color="auto"/>
              <w:right w:val="single" w:sz="4" w:space="0" w:color="auto"/>
            </w:tcBorders>
            <w:noWrap/>
            <w:vAlign w:val="bottom"/>
            <w:hideMark/>
          </w:tcPr>
          <w:p w14:paraId="4E7C8176" w14:textId="77777777" w:rsidR="003F1100" w:rsidRPr="003F1100" w:rsidRDefault="003F1100" w:rsidP="003F1100">
            <w:pPr>
              <w:spacing w:after="0" w:line="240" w:lineRule="auto"/>
              <w:jc w:val="center"/>
              <w:rPr>
                <w:rFonts w:ascii="Times" w:eastAsia="Times New Roman" w:hAnsi="Times" w:cs="Times"/>
                <w:szCs w:val="24"/>
                <w:lang w:val="" w:eastAsia=""/>
              </w:rPr>
            </w:pPr>
          </w:p>
        </w:tc>
      </w:tr>
      <w:tr w:rsidR="00D30489" w14:paraId="3161148C" w14:textId="77777777" w:rsidTr="003F1100">
        <w:trPr>
          <w:trHeight w:val="300"/>
          <w:jc w:val="center"/>
        </w:trPr>
        <w:tc>
          <w:tcPr>
            <w:tcW w:w="902" w:type="dxa"/>
            <w:tcBorders>
              <w:top w:val="nil"/>
              <w:left w:val="single" w:sz="4" w:space="0" w:color="auto"/>
              <w:bottom w:val="single" w:sz="4" w:space="0" w:color="auto"/>
              <w:right w:val="single" w:sz="4" w:space="0" w:color="auto"/>
            </w:tcBorders>
            <w:noWrap/>
            <w:vAlign w:val="bottom"/>
            <w:hideMark/>
          </w:tcPr>
          <w:p w14:paraId="455F9A18"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638" w:type="dxa"/>
            <w:tcBorders>
              <w:top w:val="nil"/>
              <w:left w:val="nil"/>
              <w:bottom w:val="single" w:sz="4" w:space="0" w:color="auto"/>
              <w:right w:val="single" w:sz="4" w:space="0" w:color="auto"/>
            </w:tcBorders>
            <w:noWrap/>
            <w:vAlign w:val="bottom"/>
            <w:hideMark/>
          </w:tcPr>
          <w:p w14:paraId="7FA756FE"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980" w:type="dxa"/>
            <w:tcBorders>
              <w:top w:val="nil"/>
              <w:left w:val="nil"/>
              <w:bottom w:val="single" w:sz="4" w:space="0" w:color="auto"/>
              <w:right w:val="single" w:sz="4" w:space="0" w:color="auto"/>
            </w:tcBorders>
            <w:noWrap/>
            <w:vAlign w:val="bottom"/>
            <w:hideMark/>
          </w:tcPr>
          <w:p w14:paraId="51C14B07"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760" w:type="dxa"/>
            <w:tcBorders>
              <w:top w:val="nil"/>
              <w:left w:val="nil"/>
              <w:bottom w:val="single" w:sz="4" w:space="0" w:color="auto"/>
              <w:right w:val="single" w:sz="4" w:space="0" w:color="auto"/>
            </w:tcBorders>
            <w:noWrap/>
            <w:vAlign w:val="bottom"/>
            <w:hideMark/>
          </w:tcPr>
          <w:p w14:paraId="7F683603"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440" w:type="dxa"/>
            <w:tcBorders>
              <w:top w:val="nil"/>
              <w:left w:val="nil"/>
              <w:bottom w:val="single" w:sz="4" w:space="0" w:color="auto"/>
              <w:right w:val="single" w:sz="4" w:space="0" w:color="auto"/>
            </w:tcBorders>
            <w:noWrap/>
            <w:vAlign w:val="bottom"/>
            <w:hideMark/>
          </w:tcPr>
          <w:p w14:paraId="5BED1590" w14:textId="77777777" w:rsidR="003F1100" w:rsidRPr="003F1100" w:rsidRDefault="003F1100" w:rsidP="003F1100">
            <w:pPr>
              <w:spacing w:after="0" w:line="240" w:lineRule="auto"/>
              <w:jc w:val="center"/>
              <w:rPr>
                <w:rFonts w:ascii="Times" w:eastAsia="Times New Roman" w:hAnsi="Times" w:cs="Times"/>
                <w:szCs w:val="24"/>
                <w:lang w:val="" w:eastAsia=""/>
              </w:rPr>
            </w:pPr>
          </w:p>
        </w:tc>
      </w:tr>
      <w:tr w:rsidR="00D30489" w14:paraId="6F028E73" w14:textId="77777777" w:rsidTr="003F1100">
        <w:trPr>
          <w:trHeight w:val="315"/>
          <w:jc w:val="center"/>
        </w:trPr>
        <w:tc>
          <w:tcPr>
            <w:tcW w:w="902" w:type="dxa"/>
            <w:tcBorders>
              <w:top w:val="nil"/>
              <w:left w:val="nil"/>
              <w:bottom w:val="nil"/>
              <w:right w:val="nil"/>
            </w:tcBorders>
            <w:noWrap/>
            <w:vAlign w:val="bottom"/>
            <w:hideMark/>
          </w:tcPr>
          <w:p w14:paraId="745E1387"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638" w:type="dxa"/>
            <w:tcBorders>
              <w:top w:val="nil"/>
              <w:left w:val="nil"/>
              <w:bottom w:val="single" w:sz="8" w:space="0" w:color="auto"/>
              <w:right w:val="nil"/>
            </w:tcBorders>
            <w:noWrap/>
            <w:vAlign w:val="bottom"/>
            <w:hideMark/>
          </w:tcPr>
          <w:p w14:paraId="5820059F"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6,000,000</w:t>
            </w:r>
          </w:p>
        </w:tc>
        <w:tc>
          <w:tcPr>
            <w:tcW w:w="1980" w:type="dxa"/>
            <w:tcBorders>
              <w:top w:val="nil"/>
              <w:left w:val="nil"/>
              <w:bottom w:val="nil"/>
              <w:right w:val="nil"/>
            </w:tcBorders>
            <w:noWrap/>
            <w:vAlign w:val="bottom"/>
            <w:hideMark/>
          </w:tcPr>
          <w:p w14:paraId="5F848E09"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0.5455</w:t>
            </w:r>
          </w:p>
        </w:tc>
        <w:tc>
          <w:tcPr>
            <w:tcW w:w="1760" w:type="dxa"/>
            <w:tcBorders>
              <w:top w:val="nil"/>
              <w:left w:val="nil"/>
              <w:bottom w:val="nil"/>
              <w:right w:val="nil"/>
            </w:tcBorders>
            <w:noWrap/>
            <w:vAlign w:val="bottom"/>
            <w:hideMark/>
          </w:tcPr>
          <w:p w14:paraId="7B49D0F9"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440" w:type="dxa"/>
            <w:tcBorders>
              <w:top w:val="nil"/>
              <w:left w:val="nil"/>
              <w:bottom w:val="nil"/>
              <w:right w:val="nil"/>
            </w:tcBorders>
            <w:noWrap/>
            <w:vAlign w:val="bottom"/>
            <w:hideMark/>
          </w:tcPr>
          <w:p w14:paraId="59E2DB43" w14:textId="77777777" w:rsidR="003F1100" w:rsidRPr="003F1100" w:rsidRDefault="003F1100" w:rsidP="003F1100">
            <w:pPr>
              <w:spacing w:after="0" w:line="240" w:lineRule="auto"/>
              <w:jc w:val="center"/>
              <w:rPr>
                <w:rFonts w:eastAsia="Times New Roman" w:cs="Times New Roman"/>
                <w:sz w:val="20"/>
                <w:szCs w:val="20"/>
                <w:lang w:val="" w:eastAsia=""/>
              </w:rPr>
            </w:pPr>
          </w:p>
        </w:tc>
      </w:tr>
      <w:tr w:rsidR="00D30489" w14:paraId="6ADB627A" w14:textId="77777777" w:rsidTr="003F1100">
        <w:trPr>
          <w:trHeight w:val="300"/>
          <w:jc w:val="center"/>
        </w:trPr>
        <w:tc>
          <w:tcPr>
            <w:tcW w:w="902" w:type="dxa"/>
            <w:tcBorders>
              <w:top w:val="nil"/>
              <w:left w:val="nil"/>
              <w:bottom w:val="nil"/>
              <w:right w:val="nil"/>
            </w:tcBorders>
            <w:noWrap/>
            <w:vAlign w:val="bottom"/>
            <w:hideMark/>
          </w:tcPr>
          <w:p w14:paraId="501FCE4F" w14:textId="77777777" w:rsidR="003F1100" w:rsidRPr="003F1100" w:rsidRDefault="003F1100" w:rsidP="003F1100">
            <w:pPr>
              <w:spacing w:after="0" w:line="240" w:lineRule="auto"/>
              <w:jc w:val="center"/>
              <w:rPr>
                <w:rFonts w:eastAsia="Times New Roman" w:cs="Times New Roman"/>
                <w:sz w:val="20"/>
                <w:szCs w:val="20"/>
                <w:lang w:val="" w:eastAsia=""/>
              </w:rPr>
            </w:pPr>
          </w:p>
        </w:tc>
        <w:tc>
          <w:tcPr>
            <w:tcW w:w="1638" w:type="dxa"/>
            <w:tcBorders>
              <w:top w:val="nil"/>
              <w:left w:val="nil"/>
              <w:bottom w:val="nil"/>
              <w:right w:val="nil"/>
            </w:tcBorders>
            <w:noWrap/>
            <w:vAlign w:val="bottom"/>
            <w:hideMark/>
          </w:tcPr>
          <w:p w14:paraId="6F3A8257"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11,000,000</w:t>
            </w:r>
          </w:p>
        </w:tc>
        <w:tc>
          <w:tcPr>
            <w:tcW w:w="1980" w:type="dxa"/>
            <w:tcBorders>
              <w:top w:val="nil"/>
              <w:left w:val="nil"/>
              <w:bottom w:val="nil"/>
              <w:right w:val="nil"/>
            </w:tcBorders>
            <w:noWrap/>
            <w:vAlign w:val="bottom"/>
            <w:hideMark/>
          </w:tcPr>
          <w:p w14:paraId="32A7350C"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760" w:type="dxa"/>
            <w:tcBorders>
              <w:top w:val="nil"/>
              <w:left w:val="nil"/>
              <w:bottom w:val="nil"/>
              <w:right w:val="nil"/>
            </w:tcBorders>
            <w:noWrap/>
            <w:vAlign w:val="bottom"/>
            <w:hideMark/>
          </w:tcPr>
          <w:p w14:paraId="53AAE77F" w14:textId="77777777" w:rsidR="003F1100" w:rsidRPr="003F1100" w:rsidRDefault="003F1100" w:rsidP="003F1100">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5E7FE0AE" w14:textId="77777777" w:rsidR="003F1100" w:rsidRPr="003F1100" w:rsidRDefault="003F1100" w:rsidP="003F1100">
            <w:pPr>
              <w:spacing w:after="0" w:line="240" w:lineRule="auto"/>
              <w:jc w:val="center"/>
              <w:rPr>
                <w:rFonts w:eastAsia="Times New Roman" w:cs="Times New Roman"/>
                <w:sz w:val="20"/>
                <w:szCs w:val="20"/>
                <w:lang w:val="" w:eastAsia=""/>
              </w:rPr>
            </w:pPr>
          </w:p>
        </w:tc>
      </w:tr>
      <w:tr w:rsidR="00D30489" w14:paraId="5352FF2C" w14:textId="77777777" w:rsidTr="003F1100">
        <w:trPr>
          <w:trHeight w:val="300"/>
          <w:jc w:val="center"/>
        </w:trPr>
        <w:tc>
          <w:tcPr>
            <w:tcW w:w="902" w:type="dxa"/>
            <w:tcBorders>
              <w:top w:val="nil"/>
              <w:left w:val="nil"/>
              <w:bottom w:val="nil"/>
              <w:right w:val="nil"/>
            </w:tcBorders>
            <w:noWrap/>
            <w:vAlign w:val="bottom"/>
            <w:hideMark/>
          </w:tcPr>
          <w:p w14:paraId="7D5DD867" w14:textId="77777777" w:rsidR="003F1100" w:rsidRPr="003F1100" w:rsidRDefault="003F1100" w:rsidP="003F1100">
            <w:pPr>
              <w:spacing w:after="0" w:line="240" w:lineRule="auto"/>
              <w:jc w:val="center"/>
              <w:rPr>
                <w:rFonts w:eastAsia="Times New Roman" w:cs="Times New Roman"/>
                <w:sz w:val="20"/>
                <w:szCs w:val="20"/>
                <w:lang w:val="" w:eastAsia=""/>
              </w:rPr>
            </w:pPr>
          </w:p>
        </w:tc>
        <w:tc>
          <w:tcPr>
            <w:tcW w:w="3618" w:type="dxa"/>
            <w:gridSpan w:val="2"/>
            <w:tcBorders>
              <w:top w:val="nil"/>
              <w:left w:val="nil"/>
              <w:bottom w:val="nil"/>
              <w:right w:val="nil"/>
            </w:tcBorders>
            <w:noWrap/>
            <w:vAlign w:val="bottom"/>
            <w:hideMark/>
          </w:tcPr>
          <w:p w14:paraId="1443F1D0"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0.5455 x 12 months =</w:t>
            </w:r>
          </w:p>
        </w:tc>
        <w:tc>
          <w:tcPr>
            <w:tcW w:w="1760" w:type="dxa"/>
            <w:tcBorders>
              <w:top w:val="nil"/>
              <w:left w:val="nil"/>
              <w:bottom w:val="nil"/>
              <w:right w:val="nil"/>
            </w:tcBorders>
            <w:noWrap/>
            <w:vAlign w:val="bottom"/>
            <w:hideMark/>
          </w:tcPr>
          <w:p w14:paraId="0DA07EEC"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440" w:type="dxa"/>
            <w:tcBorders>
              <w:top w:val="nil"/>
              <w:left w:val="nil"/>
              <w:bottom w:val="nil"/>
              <w:right w:val="nil"/>
            </w:tcBorders>
            <w:noWrap/>
            <w:vAlign w:val="bottom"/>
            <w:hideMark/>
          </w:tcPr>
          <w:p w14:paraId="6131ECB6"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6.5460</w:t>
            </w:r>
          </w:p>
        </w:tc>
      </w:tr>
      <w:tr w:rsidR="00D30489" w14:paraId="7BDE58D8" w14:textId="77777777" w:rsidTr="003F1100">
        <w:trPr>
          <w:trHeight w:val="300"/>
          <w:jc w:val="center"/>
        </w:trPr>
        <w:tc>
          <w:tcPr>
            <w:tcW w:w="902" w:type="dxa"/>
            <w:tcBorders>
              <w:top w:val="nil"/>
              <w:left w:val="nil"/>
              <w:bottom w:val="nil"/>
              <w:right w:val="nil"/>
            </w:tcBorders>
            <w:noWrap/>
            <w:vAlign w:val="bottom"/>
            <w:hideMark/>
          </w:tcPr>
          <w:p w14:paraId="32141AE5"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3618" w:type="dxa"/>
            <w:gridSpan w:val="2"/>
            <w:tcBorders>
              <w:top w:val="nil"/>
              <w:left w:val="nil"/>
              <w:bottom w:val="nil"/>
              <w:right w:val="nil"/>
            </w:tcBorders>
            <w:noWrap/>
            <w:vAlign w:val="bottom"/>
            <w:hideMark/>
          </w:tcPr>
          <w:p w14:paraId="485889D9"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0.5460 x 30 Days =</w:t>
            </w:r>
          </w:p>
        </w:tc>
        <w:tc>
          <w:tcPr>
            <w:tcW w:w="1760" w:type="dxa"/>
            <w:tcBorders>
              <w:top w:val="nil"/>
              <w:left w:val="nil"/>
              <w:bottom w:val="nil"/>
              <w:right w:val="nil"/>
            </w:tcBorders>
            <w:noWrap/>
            <w:vAlign w:val="bottom"/>
            <w:hideMark/>
          </w:tcPr>
          <w:p w14:paraId="07AD2EB0"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1440" w:type="dxa"/>
            <w:tcBorders>
              <w:top w:val="nil"/>
              <w:left w:val="nil"/>
              <w:bottom w:val="nil"/>
              <w:right w:val="nil"/>
            </w:tcBorders>
            <w:noWrap/>
            <w:vAlign w:val="bottom"/>
            <w:hideMark/>
          </w:tcPr>
          <w:p w14:paraId="19E4DC26"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16</w:t>
            </w:r>
          </w:p>
        </w:tc>
      </w:tr>
      <w:tr w:rsidR="00D30489" w14:paraId="4C4404A3" w14:textId="77777777" w:rsidTr="003F1100">
        <w:trPr>
          <w:trHeight w:val="300"/>
          <w:jc w:val="center"/>
        </w:trPr>
        <w:tc>
          <w:tcPr>
            <w:tcW w:w="902" w:type="dxa"/>
            <w:tcBorders>
              <w:top w:val="nil"/>
              <w:left w:val="nil"/>
              <w:bottom w:val="nil"/>
              <w:right w:val="nil"/>
            </w:tcBorders>
            <w:noWrap/>
            <w:vAlign w:val="bottom"/>
            <w:hideMark/>
          </w:tcPr>
          <w:p w14:paraId="1C035BC5" w14:textId="77777777" w:rsidR="003F1100" w:rsidRPr="003F1100" w:rsidRDefault="003F1100" w:rsidP="003F1100">
            <w:pPr>
              <w:spacing w:after="0" w:line="240" w:lineRule="auto"/>
              <w:jc w:val="center"/>
              <w:rPr>
                <w:rFonts w:ascii="Times" w:eastAsia="Times New Roman" w:hAnsi="Times" w:cs="Times"/>
                <w:szCs w:val="24"/>
                <w:lang w:val="" w:eastAsia=""/>
              </w:rPr>
            </w:pPr>
          </w:p>
        </w:tc>
        <w:tc>
          <w:tcPr>
            <w:tcW w:w="5378" w:type="dxa"/>
            <w:gridSpan w:val="3"/>
            <w:tcBorders>
              <w:top w:val="nil"/>
              <w:left w:val="nil"/>
              <w:bottom w:val="nil"/>
              <w:right w:val="nil"/>
            </w:tcBorders>
            <w:noWrap/>
            <w:vAlign w:val="bottom"/>
            <w:hideMark/>
          </w:tcPr>
          <w:p w14:paraId="47E44D70" w14:textId="77777777" w:rsidR="003F1100" w:rsidRPr="003F1100" w:rsidRDefault="00732348" w:rsidP="003F1100">
            <w:pPr>
              <w:spacing w:after="0" w:line="240" w:lineRule="auto"/>
              <w:jc w:val="center"/>
              <w:rPr>
                <w:rFonts w:ascii="Times" w:eastAsia="Times New Roman" w:hAnsi="Times" w:cs="Times"/>
                <w:szCs w:val="24"/>
                <w:lang w:val="" w:eastAsia=""/>
              </w:rPr>
            </w:pPr>
            <w:r w:rsidRPr="003F1100">
              <w:rPr>
                <w:rFonts w:ascii="Times" w:eastAsia="Times New Roman" w:hAnsi="Times" w:cs="Times"/>
                <w:szCs w:val="24"/>
                <w:lang w:val="" w:eastAsia=""/>
              </w:rPr>
              <w:t>Payback period = 4 years, 6 months, and 16 Days</w:t>
            </w:r>
          </w:p>
        </w:tc>
        <w:tc>
          <w:tcPr>
            <w:tcW w:w="1440" w:type="dxa"/>
            <w:tcBorders>
              <w:top w:val="nil"/>
              <w:left w:val="nil"/>
              <w:bottom w:val="nil"/>
              <w:right w:val="nil"/>
            </w:tcBorders>
            <w:noWrap/>
            <w:vAlign w:val="bottom"/>
            <w:hideMark/>
          </w:tcPr>
          <w:p w14:paraId="1C7B965C" w14:textId="77777777" w:rsidR="003F1100" w:rsidRPr="003F1100" w:rsidRDefault="003F1100" w:rsidP="003F1100">
            <w:pPr>
              <w:spacing w:after="0" w:line="240" w:lineRule="auto"/>
              <w:jc w:val="center"/>
              <w:rPr>
                <w:rFonts w:ascii="Times" w:eastAsia="Times New Roman" w:hAnsi="Times" w:cs="Times"/>
                <w:szCs w:val="24"/>
                <w:lang w:val="" w:eastAsia=""/>
              </w:rPr>
            </w:pPr>
          </w:p>
        </w:tc>
      </w:tr>
    </w:tbl>
    <w:p w14:paraId="6872CA69" w14:textId="77777777" w:rsidR="003F1100" w:rsidRDefault="003F1100" w:rsidP="008E0EDA">
      <w:pPr>
        <w:spacing w:line="360" w:lineRule="auto"/>
        <w:rPr>
          <w:rFonts w:ascii="Times" w:hAnsi="Times" w:cs="Times"/>
          <w:b/>
          <w:szCs w:val="24"/>
        </w:rPr>
      </w:pPr>
    </w:p>
    <w:p w14:paraId="16CC1F40" w14:textId="77777777" w:rsidR="00545ADF" w:rsidRDefault="00732348" w:rsidP="008E0EDA">
      <w:pPr>
        <w:spacing w:line="360" w:lineRule="auto"/>
        <w:rPr>
          <w:rFonts w:ascii="Times" w:hAnsi="Times" w:cs="Times"/>
          <w:b/>
          <w:szCs w:val="24"/>
        </w:rPr>
      </w:pPr>
      <w:r>
        <w:rPr>
          <w:rFonts w:ascii="Times" w:hAnsi="Times" w:cs="Times"/>
          <w:b/>
          <w:szCs w:val="24"/>
        </w:rPr>
        <w:t xml:space="preserve">Accounting rate of return </w:t>
      </w:r>
    </w:p>
    <w:p w14:paraId="2FD78C74" w14:textId="77777777" w:rsidR="00077C9B" w:rsidRPr="007B0851" w:rsidRDefault="00732348" w:rsidP="00077C9B">
      <w:pPr>
        <w:spacing w:line="360" w:lineRule="auto"/>
        <w:rPr>
          <w:rFonts w:ascii="Times" w:hAnsi="Times" w:cs="Times"/>
          <w:szCs w:val="24"/>
        </w:rPr>
      </w:pPr>
      <w:r w:rsidRPr="007B0851">
        <w:rPr>
          <w:rFonts w:ascii="Times" w:hAnsi="Times" w:cs="Times"/>
          <w:szCs w:val="24"/>
        </w:rPr>
        <w:t xml:space="preserve">Depreciation = 50,000,000 / 5 = 10,000,000 annually </w:t>
      </w:r>
    </w:p>
    <w:p w14:paraId="7B340C70" w14:textId="77777777" w:rsidR="00077C9B" w:rsidRPr="007B0851" w:rsidRDefault="00732348" w:rsidP="00077C9B">
      <w:pPr>
        <w:spacing w:line="360" w:lineRule="auto"/>
        <w:rPr>
          <w:rFonts w:ascii="Times" w:hAnsi="Times" w:cs="Times"/>
          <w:szCs w:val="24"/>
        </w:rPr>
      </w:pPr>
      <w:r w:rsidRPr="007B0851">
        <w:rPr>
          <w:rFonts w:ascii="Times" w:hAnsi="Times" w:cs="Times"/>
          <w:szCs w:val="24"/>
        </w:rPr>
        <w:t>Average cash flow = (1</w:t>
      </w:r>
      <w:r w:rsidR="001C1C64">
        <w:rPr>
          <w:rFonts w:ascii="Times" w:hAnsi="Times" w:cs="Times"/>
          <w:szCs w:val="24"/>
        </w:rPr>
        <w:t>1</w:t>
      </w:r>
      <w:r w:rsidRPr="007B0851">
        <w:rPr>
          <w:rFonts w:ascii="Times" w:hAnsi="Times" w:cs="Times"/>
          <w:szCs w:val="24"/>
        </w:rPr>
        <w:t>000000 + 1</w:t>
      </w:r>
      <w:r w:rsidR="001C1C64">
        <w:rPr>
          <w:rFonts w:ascii="Times" w:hAnsi="Times" w:cs="Times"/>
          <w:szCs w:val="24"/>
        </w:rPr>
        <w:t>1</w:t>
      </w:r>
      <w:r w:rsidRPr="007B0851">
        <w:rPr>
          <w:rFonts w:ascii="Times" w:hAnsi="Times" w:cs="Times"/>
          <w:szCs w:val="24"/>
        </w:rPr>
        <w:t>000000+1</w:t>
      </w:r>
      <w:r w:rsidR="001C1C64">
        <w:rPr>
          <w:rFonts w:ascii="Times" w:hAnsi="Times" w:cs="Times"/>
          <w:szCs w:val="24"/>
        </w:rPr>
        <w:t>1</w:t>
      </w:r>
      <w:r w:rsidRPr="007B0851">
        <w:rPr>
          <w:rFonts w:ascii="Times" w:hAnsi="Times" w:cs="Times"/>
          <w:szCs w:val="24"/>
        </w:rPr>
        <w:t>000000+1</w:t>
      </w:r>
      <w:r w:rsidR="001C1C64">
        <w:rPr>
          <w:rFonts w:ascii="Times" w:hAnsi="Times" w:cs="Times"/>
          <w:szCs w:val="24"/>
        </w:rPr>
        <w:t>1</w:t>
      </w:r>
      <w:r w:rsidRPr="007B0851">
        <w:rPr>
          <w:rFonts w:ascii="Times" w:hAnsi="Times" w:cs="Times"/>
          <w:szCs w:val="24"/>
        </w:rPr>
        <w:t>000000+</w:t>
      </w:r>
      <w:r w:rsidR="001C1C64">
        <w:rPr>
          <w:rFonts w:ascii="Times" w:hAnsi="Times" w:cs="Times"/>
          <w:szCs w:val="24"/>
        </w:rPr>
        <w:t>11000000</w:t>
      </w:r>
      <w:r w:rsidRPr="007B0851">
        <w:rPr>
          <w:rFonts w:ascii="Times" w:hAnsi="Times" w:cs="Times"/>
          <w:szCs w:val="24"/>
        </w:rPr>
        <w:t>)/5</w:t>
      </w:r>
    </w:p>
    <w:p w14:paraId="16CE1DC6" w14:textId="77777777" w:rsidR="00077C9B" w:rsidRDefault="00732348" w:rsidP="00077C9B">
      <w:pPr>
        <w:spacing w:line="360" w:lineRule="auto"/>
        <w:rPr>
          <w:rFonts w:ascii="Times" w:hAnsi="Times" w:cs="Times"/>
          <w:szCs w:val="24"/>
        </w:rPr>
      </w:pPr>
      <w:r w:rsidRPr="007B0851">
        <w:rPr>
          <w:rFonts w:ascii="Times" w:hAnsi="Times" w:cs="Times"/>
          <w:szCs w:val="24"/>
        </w:rPr>
        <w:t xml:space="preserve">Average cash flow = </w:t>
      </w:r>
      <w:r>
        <w:rPr>
          <w:rFonts w:ascii="Times" w:hAnsi="Times" w:cs="Times"/>
          <w:szCs w:val="24"/>
        </w:rPr>
        <w:t>1</w:t>
      </w:r>
      <w:r w:rsidR="001C1C64">
        <w:rPr>
          <w:rFonts w:ascii="Times" w:hAnsi="Times" w:cs="Times"/>
          <w:szCs w:val="24"/>
        </w:rPr>
        <w:t>1</w:t>
      </w:r>
      <w:r>
        <w:rPr>
          <w:rFonts w:ascii="Times" w:hAnsi="Times" w:cs="Times"/>
          <w:szCs w:val="24"/>
        </w:rPr>
        <w:t>,</w:t>
      </w:r>
      <w:r w:rsidR="001C1C64">
        <w:rPr>
          <w:rFonts w:ascii="Times" w:hAnsi="Times" w:cs="Times"/>
          <w:szCs w:val="24"/>
        </w:rPr>
        <w:t>0</w:t>
      </w:r>
      <w:r>
        <w:rPr>
          <w:rFonts w:ascii="Times" w:hAnsi="Times" w:cs="Times"/>
          <w:szCs w:val="24"/>
        </w:rPr>
        <w:t>00,000</w:t>
      </w:r>
    </w:p>
    <w:p w14:paraId="7C58FCC8" w14:textId="77777777" w:rsidR="00077C9B" w:rsidRDefault="00732348" w:rsidP="00077C9B">
      <w:pPr>
        <w:spacing w:line="360" w:lineRule="auto"/>
        <w:rPr>
          <w:rFonts w:ascii="Times" w:hAnsi="Times" w:cs="Times"/>
          <w:szCs w:val="24"/>
        </w:rPr>
      </w:pPr>
      <w:r>
        <w:rPr>
          <w:rFonts w:ascii="Times" w:hAnsi="Times" w:cs="Times"/>
          <w:szCs w:val="24"/>
        </w:rPr>
        <w:t>Profit = 1</w:t>
      </w:r>
      <w:r w:rsidR="001C1C64">
        <w:rPr>
          <w:rFonts w:ascii="Times" w:hAnsi="Times" w:cs="Times"/>
          <w:szCs w:val="24"/>
        </w:rPr>
        <w:t>1</w:t>
      </w:r>
      <w:r>
        <w:rPr>
          <w:rFonts w:ascii="Times" w:hAnsi="Times" w:cs="Times"/>
          <w:szCs w:val="24"/>
        </w:rPr>
        <w:t>,</w:t>
      </w:r>
      <w:r w:rsidR="001C1C64">
        <w:rPr>
          <w:rFonts w:ascii="Times" w:hAnsi="Times" w:cs="Times"/>
          <w:szCs w:val="24"/>
        </w:rPr>
        <w:t>0</w:t>
      </w:r>
      <w:r>
        <w:rPr>
          <w:rFonts w:ascii="Times" w:hAnsi="Times" w:cs="Times"/>
          <w:szCs w:val="24"/>
        </w:rPr>
        <w:t>00,000 – 10,000,000</w:t>
      </w:r>
    </w:p>
    <w:p w14:paraId="7CE68C46" w14:textId="77777777" w:rsidR="00077C9B" w:rsidRDefault="00732348" w:rsidP="00077C9B">
      <w:pPr>
        <w:spacing w:line="360" w:lineRule="auto"/>
        <w:rPr>
          <w:rFonts w:ascii="Times" w:hAnsi="Times" w:cs="Times"/>
          <w:szCs w:val="24"/>
        </w:rPr>
      </w:pPr>
      <w:r>
        <w:rPr>
          <w:rFonts w:ascii="Times" w:hAnsi="Times" w:cs="Times"/>
          <w:szCs w:val="24"/>
        </w:rPr>
        <w:t xml:space="preserve">Profit = </w:t>
      </w:r>
      <w:r w:rsidR="001C1C64">
        <w:rPr>
          <w:rFonts w:ascii="Times" w:hAnsi="Times" w:cs="Times"/>
          <w:szCs w:val="24"/>
        </w:rPr>
        <w:t>1,0</w:t>
      </w:r>
      <w:r>
        <w:rPr>
          <w:rFonts w:ascii="Times" w:hAnsi="Times" w:cs="Times"/>
          <w:szCs w:val="24"/>
        </w:rPr>
        <w:t>00,000</w:t>
      </w:r>
    </w:p>
    <w:p w14:paraId="33A050F1" w14:textId="77777777" w:rsidR="00077C9B" w:rsidRPr="00D33F62" w:rsidRDefault="00732348" w:rsidP="008E0EDA">
      <w:pPr>
        <w:spacing w:line="360" w:lineRule="auto"/>
        <w:rPr>
          <w:rFonts w:ascii="Times" w:hAnsi="Times" w:cs="Times"/>
          <w:szCs w:val="24"/>
        </w:rPr>
      </w:pPr>
      <w:r>
        <w:rPr>
          <w:rFonts w:ascii="Times" w:hAnsi="Times" w:cs="Times"/>
          <w:szCs w:val="24"/>
        </w:rPr>
        <w:t xml:space="preserve">Accounting rate of return = </w:t>
      </w:r>
      <w:r w:rsidR="00B51493">
        <w:rPr>
          <w:rFonts w:ascii="Times" w:hAnsi="Times" w:cs="Times"/>
          <w:szCs w:val="24"/>
        </w:rPr>
        <w:t>1,00</w:t>
      </w:r>
      <w:r>
        <w:rPr>
          <w:rFonts w:ascii="Times" w:hAnsi="Times" w:cs="Times"/>
          <w:szCs w:val="24"/>
        </w:rPr>
        <w:t xml:space="preserve">0,000 / 50,000,000 = </w:t>
      </w:r>
      <w:r w:rsidR="00B51493">
        <w:rPr>
          <w:rFonts w:ascii="Times" w:hAnsi="Times" w:cs="Times"/>
          <w:b/>
          <w:bCs/>
          <w:szCs w:val="24"/>
        </w:rPr>
        <w:t>2</w:t>
      </w:r>
      <w:r w:rsidRPr="00BC7427">
        <w:rPr>
          <w:rFonts w:ascii="Times" w:hAnsi="Times" w:cs="Times"/>
          <w:b/>
          <w:bCs/>
          <w:szCs w:val="24"/>
        </w:rPr>
        <w:t>%</w:t>
      </w:r>
    </w:p>
    <w:p w14:paraId="284DFC9A" w14:textId="77777777" w:rsidR="00545ADF" w:rsidRDefault="00732348" w:rsidP="008E0EDA">
      <w:pPr>
        <w:spacing w:line="360" w:lineRule="auto"/>
        <w:rPr>
          <w:rFonts w:ascii="Times" w:hAnsi="Times" w:cs="Times"/>
          <w:b/>
          <w:szCs w:val="24"/>
        </w:rPr>
      </w:pPr>
      <w:r>
        <w:rPr>
          <w:rFonts w:ascii="Times" w:hAnsi="Times" w:cs="Times"/>
          <w:b/>
          <w:szCs w:val="24"/>
        </w:rPr>
        <w:t>Net present value</w:t>
      </w:r>
    </w:p>
    <w:tbl>
      <w:tblPr>
        <w:tblW w:w="6280" w:type="dxa"/>
        <w:tblLook w:val="04A0" w:firstRow="1" w:lastRow="0" w:firstColumn="1" w:lastColumn="0" w:noHBand="0" w:noVBand="1"/>
      </w:tblPr>
      <w:tblGrid>
        <w:gridCol w:w="887"/>
        <w:gridCol w:w="1653"/>
        <w:gridCol w:w="1980"/>
        <w:gridCol w:w="1760"/>
      </w:tblGrid>
      <w:tr w:rsidR="00D30489" w14:paraId="31086E34" w14:textId="77777777" w:rsidTr="00D33F62">
        <w:trPr>
          <w:trHeight w:val="300"/>
        </w:trPr>
        <w:tc>
          <w:tcPr>
            <w:tcW w:w="2540" w:type="dxa"/>
            <w:gridSpan w:val="2"/>
            <w:tcBorders>
              <w:top w:val="nil"/>
              <w:left w:val="nil"/>
              <w:bottom w:val="nil"/>
              <w:right w:val="nil"/>
            </w:tcBorders>
            <w:noWrap/>
            <w:vAlign w:val="bottom"/>
            <w:hideMark/>
          </w:tcPr>
          <w:p w14:paraId="52E06B9F" w14:textId="77777777" w:rsidR="00D33F62" w:rsidRPr="00D33F62" w:rsidRDefault="00732348" w:rsidP="00D33F62">
            <w:pPr>
              <w:spacing w:after="0" w:line="240" w:lineRule="auto"/>
              <w:jc w:val="left"/>
              <w:rPr>
                <w:rFonts w:ascii="Times" w:eastAsia="Times New Roman" w:hAnsi="Times" w:cs="Times"/>
                <w:b/>
                <w:bCs/>
                <w:color w:val="000000"/>
                <w:szCs w:val="24"/>
                <w:lang w:val="" w:eastAsia=""/>
              </w:rPr>
            </w:pPr>
            <w:r w:rsidRPr="00D33F62">
              <w:rPr>
                <w:rFonts w:ascii="Times" w:eastAsia="Times New Roman" w:hAnsi="Times" w:cs="Times"/>
                <w:b/>
                <w:bCs/>
                <w:color w:val="000000"/>
                <w:szCs w:val="24"/>
                <w:lang w:val="" w:eastAsia=""/>
              </w:rPr>
              <w:t>Net Present Value</w:t>
            </w:r>
          </w:p>
        </w:tc>
        <w:tc>
          <w:tcPr>
            <w:tcW w:w="1980" w:type="dxa"/>
            <w:tcBorders>
              <w:top w:val="nil"/>
              <w:left w:val="nil"/>
              <w:bottom w:val="nil"/>
              <w:right w:val="nil"/>
            </w:tcBorders>
            <w:noWrap/>
            <w:vAlign w:val="bottom"/>
            <w:hideMark/>
          </w:tcPr>
          <w:p w14:paraId="068D9E23" w14:textId="77777777" w:rsidR="00D33F62" w:rsidRPr="00D33F62" w:rsidRDefault="00D33F62" w:rsidP="00D33F62">
            <w:pPr>
              <w:spacing w:after="0" w:line="240" w:lineRule="auto"/>
              <w:jc w:val="left"/>
              <w:rPr>
                <w:rFonts w:ascii="Times" w:eastAsia="Times New Roman" w:hAnsi="Times" w:cs="Times"/>
                <w:b/>
                <w:bCs/>
                <w:color w:val="000000"/>
                <w:szCs w:val="24"/>
                <w:lang w:val="" w:eastAsia=""/>
              </w:rPr>
            </w:pPr>
          </w:p>
        </w:tc>
        <w:tc>
          <w:tcPr>
            <w:tcW w:w="1760" w:type="dxa"/>
            <w:tcBorders>
              <w:top w:val="nil"/>
              <w:left w:val="nil"/>
              <w:bottom w:val="nil"/>
              <w:right w:val="nil"/>
            </w:tcBorders>
            <w:noWrap/>
            <w:vAlign w:val="bottom"/>
            <w:hideMark/>
          </w:tcPr>
          <w:p w14:paraId="01F8635C" w14:textId="77777777" w:rsidR="00D33F62" w:rsidRPr="00D33F62" w:rsidRDefault="00D33F62" w:rsidP="00D33F62">
            <w:pPr>
              <w:spacing w:after="0" w:line="240" w:lineRule="auto"/>
              <w:jc w:val="left"/>
              <w:rPr>
                <w:rFonts w:eastAsia="Times New Roman" w:cs="Times New Roman"/>
                <w:sz w:val="20"/>
                <w:szCs w:val="20"/>
                <w:lang w:val="" w:eastAsia=""/>
              </w:rPr>
            </w:pPr>
          </w:p>
        </w:tc>
      </w:tr>
      <w:tr w:rsidR="00D30489" w14:paraId="19C87A4C" w14:textId="77777777" w:rsidTr="00D33F62">
        <w:trPr>
          <w:trHeight w:val="300"/>
        </w:trPr>
        <w:tc>
          <w:tcPr>
            <w:tcW w:w="887" w:type="dxa"/>
            <w:tcBorders>
              <w:top w:val="single" w:sz="4" w:space="0" w:color="auto"/>
              <w:left w:val="single" w:sz="4" w:space="0" w:color="auto"/>
              <w:bottom w:val="nil"/>
              <w:right w:val="single" w:sz="8" w:space="0" w:color="auto"/>
            </w:tcBorders>
            <w:noWrap/>
            <w:vAlign w:val="bottom"/>
            <w:hideMark/>
          </w:tcPr>
          <w:p w14:paraId="2B789A0F" w14:textId="77777777" w:rsidR="00D33F62" w:rsidRPr="00D33F62" w:rsidRDefault="00732348" w:rsidP="00D33F62">
            <w:pPr>
              <w:spacing w:after="0" w:line="240" w:lineRule="auto"/>
              <w:jc w:val="left"/>
              <w:rPr>
                <w:rFonts w:ascii="Times" w:eastAsia="Times New Roman" w:hAnsi="Times" w:cs="Times"/>
                <w:b/>
                <w:bCs/>
                <w:szCs w:val="24"/>
                <w:lang w:val="" w:eastAsia=""/>
              </w:rPr>
            </w:pPr>
            <w:r w:rsidRPr="00D33F62">
              <w:rPr>
                <w:rFonts w:ascii="Times" w:eastAsia="Times New Roman" w:hAnsi="Times" w:cs="Times"/>
                <w:b/>
                <w:bCs/>
                <w:szCs w:val="24"/>
                <w:lang w:val="" w:eastAsia=""/>
              </w:rPr>
              <w:t xml:space="preserve"> Year </w:t>
            </w:r>
          </w:p>
        </w:tc>
        <w:tc>
          <w:tcPr>
            <w:tcW w:w="1653" w:type="dxa"/>
            <w:vMerge w:val="restart"/>
            <w:tcBorders>
              <w:top w:val="single" w:sz="4" w:space="0" w:color="auto"/>
              <w:left w:val="single" w:sz="8" w:space="0" w:color="auto"/>
              <w:bottom w:val="single" w:sz="8" w:space="0" w:color="000000"/>
              <w:right w:val="single" w:sz="8" w:space="0" w:color="auto"/>
            </w:tcBorders>
            <w:noWrap/>
            <w:vAlign w:val="bottom"/>
            <w:hideMark/>
          </w:tcPr>
          <w:p w14:paraId="4CBB01C6" w14:textId="77777777" w:rsidR="00D33F62" w:rsidRPr="00D33F62" w:rsidRDefault="00732348" w:rsidP="00D33F62">
            <w:pPr>
              <w:spacing w:after="0" w:line="240" w:lineRule="auto"/>
              <w:jc w:val="center"/>
              <w:rPr>
                <w:rFonts w:ascii="Times" w:eastAsia="Times New Roman" w:hAnsi="Times" w:cs="Times"/>
                <w:b/>
                <w:bCs/>
                <w:szCs w:val="24"/>
                <w:lang w:val="" w:eastAsia=""/>
              </w:rPr>
            </w:pPr>
            <w:r w:rsidRPr="00D33F62">
              <w:rPr>
                <w:rFonts w:ascii="Times" w:eastAsia="Times New Roman" w:hAnsi="Times" w:cs="Times"/>
                <w:b/>
                <w:bCs/>
                <w:szCs w:val="24"/>
                <w:lang w:val="" w:eastAsia=""/>
              </w:rPr>
              <w:t xml:space="preserve"> Cash Flow </w:t>
            </w:r>
          </w:p>
        </w:tc>
        <w:tc>
          <w:tcPr>
            <w:tcW w:w="1980" w:type="dxa"/>
            <w:tcBorders>
              <w:top w:val="single" w:sz="4" w:space="0" w:color="auto"/>
              <w:left w:val="nil"/>
              <w:bottom w:val="nil"/>
              <w:right w:val="nil"/>
            </w:tcBorders>
            <w:noWrap/>
            <w:vAlign w:val="bottom"/>
            <w:hideMark/>
          </w:tcPr>
          <w:p w14:paraId="3D3FD7FB" w14:textId="77777777" w:rsidR="00D33F62" w:rsidRPr="00D33F62" w:rsidRDefault="00732348" w:rsidP="00D33F62">
            <w:pPr>
              <w:spacing w:after="0" w:line="240" w:lineRule="auto"/>
              <w:jc w:val="center"/>
              <w:rPr>
                <w:rFonts w:ascii="Times" w:eastAsia="Times New Roman" w:hAnsi="Times" w:cs="Times"/>
                <w:b/>
                <w:bCs/>
                <w:szCs w:val="24"/>
                <w:lang w:val="" w:eastAsia=""/>
              </w:rPr>
            </w:pPr>
            <w:r w:rsidRPr="00D33F62">
              <w:rPr>
                <w:rFonts w:ascii="Times" w:eastAsia="Times New Roman" w:hAnsi="Times" w:cs="Times"/>
                <w:b/>
                <w:bCs/>
                <w:szCs w:val="24"/>
                <w:lang w:val="" w:eastAsia=""/>
              </w:rPr>
              <w:t xml:space="preserve"> DCF </w:t>
            </w:r>
          </w:p>
        </w:tc>
        <w:tc>
          <w:tcPr>
            <w:tcW w:w="1760" w:type="dxa"/>
            <w:vMerge w:val="restart"/>
            <w:tcBorders>
              <w:top w:val="single" w:sz="4" w:space="0" w:color="auto"/>
              <w:left w:val="single" w:sz="8" w:space="0" w:color="auto"/>
              <w:bottom w:val="single" w:sz="8" w:space="0" w:color="000000"/>
              <w:right w:val="single" w:sz="4" w:space="0" w:color="auto"/>
            </w:tcBorders>
            <w:vAlign w:val="bottom"/>
            <w:hideMark/>
          </w:tcPr>
          <w:p w14:paraId="554D83DC" w14:textId="77777777" w:rsidR="00D33F62" w:rsidRPr="00D33F62" w:rsidRDefault="00732348" w:rsidP="00D33F62">
            <w:pPr>
              <w:spacing w:after="0" w:line="240" w:lineRule="auto"/>
              <w:jc w:val="center"/>
              <w:rPr>
                <w:rFonts w:ascii="Times" w:eastAsia="Times New Roman" w:hAnsi="Times" w:cs="Times"/>
                <w:b/>
                <w:bCs/>
                <w:szCs w:val="24"/>
                <w:lang w:val="" w:eastAsia=""/>
              </w:rPr>
            </w:pPr>
            <w:r w:rsidRPr="00D33F62">
              <w:rPr>
                <w:rFonts w:ascii="Times" w:eastAsia="Times New Roman" w:hAnsi="Times" w:cs="Times"/>
                <w:b/>
                <w:bCs/>
                <w:szCs w:val="24"/>
                <w:lang w:val="" w:eastAsia=""/>
              </w:rPr>
              <w:t xml:space="preserve"> Present Value of Cash Flows </w:t>
            </w:r>
          </w:p>
        </w:tc>
      </w:tr>
      <w:tr w:rsidR="00D30489" w14:paraId="4DD74DA3" w14:textId="77777777" w:rsidTr="00D33F62">
        <w:trPr>
          <w:trHeight w:val="315"/>
        </w:trPr>
        <w:tc>
          <w:tcPr>
            <w:tcW w:w="887" w:type="dxa"/>
            <w:tcBorders>
              <w:top w:val="nil"/>
              <w:left w:val="single" w:sz="4" w:space="0" w:color="auto"/>
              <w:bottom w:val="single" w:sz="8" w:space="0" w:color="auto"/>
              <w:right w:val="single" w:sz="8" w:space="0" w:color="auto"/>
            </w:tcBorders>
            <w:noWrap/>
            <w:vAlign w:val="bottom"/>
            <w:hideMark/>
          </w:tcPr>
          <w:p w14:paraId="3B087440" w14:textId="77777777" w:rsidR="00D33F62" w:rsidRPr="00D33F62" w:rsidRDefault="00732348" w:rsidP="00D33F62">
            <w:pPr>
              <w:spacing w:after="0" w:line="240" w:lineRule="auto"/>
              <w:jc w:val="left"/>
              <w:rPr>
                <w:rFonts w:ascii="Times" w:eastAsia="Times New Roman" w:hAnsi="Times" w:cs="Times"/>
                <w:b/>
                <w:bCs/>
                <w:szCs w:val="24"/>
                <w:lang w:val="" w:eastAsia=""/>
              </w:rPr>
            </w:pPr>
            <w:r w:rsidRPr="00D33F62">
              <w:rPr>
                <w:rFonts w:ascii="Times" w:eastAsia="Times New Roman" w:hAnsi="Times" w:cs="Times"/>
                <w:b/>
                <w:bCs/>
                <w:szCs w:val="24"/>
                <w:lang w:val="" w:eastAsia=""/>
              </w:rPr>
              <w:t> </w:t>
            </w:r>
          </w:p>
        </w:tc>
        <w:tc>
          <w:tcPr>
            <w:tcW w:w="1653" w:type="dxa"/>
            <w:vMerge/>
            <w:tcBorders>
              <w:top w:val="single" w:sz="4" w:space="0" w:color="auto"/>
              <w:left w:val="single" w:sz="8" w:space="0" w:color="auto"/>
              <w:bottom w:val="single" w:sz="8" w:space="0" w:color="000000"/>
              <w:right w:val="single" w:sz="8" w:space="0" w:color="auto"/>
            </w:tcBorders>
            <w:vAlign w:val="center"/>
            <w:hideMark/>
          </w:tcPr>
          <w:p w14:paraId="4E608F65" w14:textId="77777777" w:rsidR="00D33F62" w:rsidRPr="00D33F62" w:rsidRDefault="00D33F62" w:rsidP="00D33F62">
            <w:pPr>
              <w:spacing w:after="0" w:line="240" w:lineRule="auto"/>
              <w:jc w:val="left"/>
              <w:rPr>
                <w:rFonts w:ascii="Times" w:eastAsia="Times New Roman" w:hAnsi="Times" w:cs="Times"/>
                <w:b/>
                <w:bCs/>
                <w:szCs w:val="24"/>
                <w:lang w:val="" w:eastAsia=""/>
              </w:rPr>
            </w:pPr>
          </w:p>
        </w:tc>
        <w:tc>
          <w:tcPr>
            <w:tcW w:w="1980" w:type="dxa"/>
            <w:tcBorders>
              <w:top w:val="nil"/>
              <w:left w:val="nil"/>
              <w:bottom w:val="single" w:sz="8" w:space="0" w:color="auto"/>
              <w:right w:val="single" w:sz="8" w:space="0" w:color="auto"/>
            </w:tcBorders>
            <w:noWrap/>
            <w:vAlign w:val="bottom"/>
            <w:hideMark/>
          </w:tcPr>
          <w:p w14:paraId="6969EEDB" w14:textId="77777777" w:rsidR="00D33F62" w:rsidRPr="00D33F62" w:rsidRDefault="00732348" w:rsidP="00D33F62">
            <w:pPr>
              <w:spacing w:after="0" w:line="240" w:lineRule="auto"/>
              <w:jc w:val="right"/>
              <w:rPr>
                <w:rFonts w:ascii="Times" w:eastAsia="Times New Roman" w:hAnsi="Times" w:cs="Times"/>
                <w:b/>
                <w:bCs/>
                <w:szCs w:val="24"/>
                <w:lang w:val="" w:eastAsia=""/>
              </w:rPr>
            </w:pPr>
            <w:r w:rsidRPr="00D33F62">
              <w:rPr>
                <w:rFonts w:ascii="Times" w:eastAsia="Times New Roman" w:hAnsi="Times" w:cs="Times"/>
                <w:b/>
                <w:bCs/>
                <w:szCs w:val="24"/>
                <w:lang w:val="" w:eastAsia=""/>
              </w:rPr>
              <w:t>10%</w:t>
            </w:r>
          </w:p>
        </w:tc>
        <w:tc>
          <w:tcPr>
            <w:tcW w:w="1760" w:type="dxa"/>
            <w:vMerge/>
            <w:tcBorders>
              <w:top w:val="single" w:sz="4" w:space="0" w:color="auto"/>
              <w:left w:val="single" w:sz="8" w:space="0" w:color="auto"/>
              <w:bottom w:val="single" w:sz="8" w:space="0" w:color="000000"/>
              <w:right w:val="single" w:sz="4" w:space="0" w:color="auto"/>
            </w:tcBorders>
            <w:vAlign w:val="center"/>
            <w:hideMark/>
          </w:tcPr>
          <w:p w14:paraId="1FFD273F" w14:textId="77777777" w:rsidR="00D33F62" w:rsidRPr="00D33F62" w:rsidRDefault="00D33F62" w:rsidP="00D33F62">
            <w:pPr>
              <w:spacing w:after="0" w:line="240" w:lineRule="auto"/>
              <w:jc w:val="left"/>
              <w:rPr>
                <w:rFonts w:ascii="Times" w:eastAsia="Times New Roman" w:hAnsi="Times" w:cs="Times"/>
                <w:b/>
                <w:bCs/>
                <w:szCs w:val="24"/>
                <w:lang w:val="" w:eastAsia=""/>
              </w:rPr>
            </w:pPr>
          </w:p>
        </w:tc>
      </w:tr>
      <w:tr w:rsidR="00D30489" w14:paraId="18FEB742" w14:textId="77777777" w:rsidTr="00D33F62">
        <w:trPr>
          <w:trHeight w:val="300"/>
        </w:trPr>
        <w:tc>
          <w:tcPr>
            <w:tcW w:w="887" w:type="dxa"/>
            <w:tcBorders>
              <w:top w:val="nil"/>
              <w:left w:val="single" w:sz="4" w:space="0" w:color="auto"/>
              <w:bottom w:val="nil"/>
              <w:right w:val="nil"/>
            </w:tcBorders>
            <w:noWrap/>
            <w:vAlign w:val="bottom"/>
            <w:hideMark/>
          </w:tcPr>
          <w:p w14:paraId="57CA576E"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0</w:t>
            </w:r>
          </w:p>
        </w:tc>
        <w:tc>
          <w:tcPr>
            <w:tcW w:w="1653" w:type="dxa"/>
            <w:tcBorders>
              <w:top w:val="nil"/>
              <w:left w:val="nil"/>
              <w:bottom w:val="nil"/>
              <w:right w:val="nil"/>
            </w:tcBorders>
            <w:noWrap/>
            <w:vAlign w:val="bottom"/>
            <w:hideMark/>
          </w:tcPr>
          <w:p w14:paraId="08890269"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(50,000,000)</w:t>
            </w:r>
          </w:p>
        </w:tc>
        <w:tc>
          <w:tcPr>
            <w:tcW w:w="1980" w:type="dxa"/>
            <w:tcBorders>
              <w:top w:val="nil"/>
              <w:left w:val="nil"/>
              <w:bottom w:val="nil"/>
              <w:right w:val="nil"/>
            </w:tcBorders>
            <w:noWrap/>
            <w:vAlign w:val="bottom"/>
            <w:hideMark/>
          </w:tcPr>
          <w:p w14:paraId="0B2E3BC2"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1.0000</w:t>
            </w:r>
          </w:p>
        </w:tc>
        <w:tc>
          <w:tcPr>
            <w:tcW w:w="1760" w:type="dxa"/>
            <w:tcBorders>
              <w:top w:val="nil"/>
              <w:left w:val="nil"/>
              <w:bottom w:val="nil"/>
              <w:right w:val="single" w:sz="4" w:space="0" w:color="auto"/>
            </w:tcBorders>
            <w:vAlign w:val="bottom"/>
            <w:hideMark/>
          </w:tcPr>
          <w:p w14:paraId="07B72B24"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(50,000,000)</w:t>
            </w:r>
          </w:p>
        </w:tc>
      </w:tr>
      <w:tr w:rsidR="00D30489" w14:paraId="2D29A0BC" w14:textId="77777777" w:rsidTr="00D33F62">
        <w:trPr>
          <w:trHeight w:val="315"/>
        </w:trPr>
        <w:tc>
          <w:tcPr>
            <w:tcW w:w="887" w:type="dxa"/>
            <w:tcBorders>
              <w:top w:val="nil"/>
              <w:left w:val="single" w:sz="4" w:space="0" w:color="auto"/>
              <w:bottom w:val="nil"/>
              <w:right w:val="nil"/>
            </w:tcBorders>
            <w:noWrap/>
            <w:vAlign w:val="bottom"/>
            <w:hideMark/>
          </w:tcPr>
          <w:p w14:paraId="7EC914C6" w14:textId="77777777" w:rsidR="00D33F62" w:rsidRPr="00D33F62" w:rsidRDefault="00D33F62" w:rsidP="00D33F62">
            <w:pPr>
              <w:spacing w:after="0" w:line="240" w:lineRule="auto"/>
              <w:jc w:val="center"/>
              <w:rPr>
                <w:rFonts w:ascii="Times" w:eastAsia="Times New Roman" w:hAnsi="Times" w:cs="Times"/>
                <w:szCs w:val="24"/>
                <w:lang w:val="" w:eastAsia=""/>
              </w:rPr>
            </w:pPr>
          </w:p>
        </w:tc>
        <w:tc>
          <w:tcPr>
            <w:tcW w:w="1653" w:type="dxa"/>
            <w:tcBorders>
              <w:top w:val="nil"/>
              <w:left w:val="nil"/>
              <w:bottom w:val="nil"/>
              <w:right w:val="nil"/>
            </w:tcBorders>
            <w:noWrap/>
            <w:vAlign w:val="bottom"/>
            <w:hideMark/>
          </w:tcPr>
          <w:p w14:paraId="032ED9CF" w14:textId="77777777" w:rsidR="00D33F62" w:rsidRPr="00D33F62" w:rsidRDefault="00D33F62" w:rsidP="00D33F62">
            <w:pPr>
              <w:spacing w:after="0" w:line="240" w:lineRule="auto"/>
              <w:jc w:val="center"/>
              <w:rPr>
                <w:rFonts w:ascii="Times" w:eastAsia="Times New Roman" w:hAnsi="Times" w:cs="Times"/>
                <w:szCs w:val="24"/>
                <w:lang w:val="" w:eastAsia=""/>
              </w:rPr>
            </w:pPr>
          </w:p>
        </w:tc>
        <w:tc>
          <w:tcPr>
            <w:tcW w:w="1980" w:type="dxa"/>
            <w:tcBorders>
              <w:top w:val="nil"/>
              <w:left w:val="nil"/>
              <w:bottom w:val="nil"/>
              <w:right w:val="nil"/>
            </w:tcBorders>
            <w:noWrap/>
            <w:vAlign w:val="bottom"/>
            <w:hideMark/>
          </w:tcPr>
          <w:p w14:paraId="376680A3" w14:textId="77777777" w:rsidR="00D33F62" w:rsidRPr="00D33F62" w:rsidRDefault="00D33F62" w:rsidP="00D33F62">
            <w:pPr>
              <w:spacing w:after="0" w:line="240" w:lineRule="auto"/>
              <w:jc w:val="center"/>
              <w:rPr>
                <w:rFonts w:eastAsia="Times New Roman" w:cs="Times New Roman"/>
                <w:sz w:val="20"/>
                <w:szCs w:val="20"/>
                <w:lang w:val="" w:eastAsia=""/>
              </w:rPr>
            </w:pPr>
          </w:p>
        </w:tc>
        <w:tc>
          <w:tcPr>
            <w:tcW w:w="1760" w:type="dxa"/>
            <w:tcBorders>
              <w:top w:val="nil"/>
              <w:left w:val="nil"/>
              <w:bottom w:val="nil"/>
              <w:right w:val="single" w:sz="4" w:space="0" w:color="auto"/>
            </w:tcBorders>
            <w:vAlign w:val="bottom"/>
            <w:hideMark/>
          </w:tcPr>
          <w:p w14:paraId="7261CE06" w14:textId="77777777" w:rsidR="00D33F62" w:rsidRPr="00D33F62" w:rsidRDefault="00D33F62" w:rsidP="00D33F62">
            <w:pPr>
              <w:spacing w:after="0" w:line="240" w:lineRule="auto"/>
              <w:jc w:val="center"/>
              <w:rPr>
                <w:rFonts w:ascii="Times" w:eastAsia="Times New Roman" w:hAnsi="Times" w:cs="Times"/>
                <w:szCs w:val="24"/>
                <w:lang w:val="" w:eastAsia=""/>
              </w:rPr>
            </w:pPr>
          </w:p>
        </w:tc>
      </w:tr>
      <w:tr w:rsidR="00D30489" w14:paraId="71CE91FD" w14:textId="77777777" w:rsidTr="00D33F62">
        <w:trPr>
          <w:trHeight w:val="300"/>
        </w:trPr>
        <w:tc>
          <w:tcPr>
            <w:tcW w:w="887" w:type="dxa"/>
            <w:tcBorders>
              <w:top w:val="nil"/>
              <w:left w:val="single" w:sz="4" w:space="0" w:color="auto"/>
              <w:bottom w:val="nil"/>
              <w:right w:val="nil"/>
            </w:tcBorders>
            <w:noWrap/>
            <w:vAlign w:val="bottom"/>
            <w:hideMark/>
          </w:tcPr>
          <w:p w14:paraId="31081D25"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1</w:t>
            </w:r>
          </w:p>
        </w:tc>
        <w:tc>
          <w:tcPr>
            <w:tcW w:w="1653" w:type="dxa"/>
            <w:tcBorders>
              <w:top w:val="nil"/>
              <w:left w:val="nil"/>
              <w:bottom w:val="nil"/>
              <w:right w:val="nil"/>
            </w:tcBorders>
            <w:noWrap/>
            <w:vAlign w:val="bottom"/>
            <w:hideMark/>
          </w:tcPr>
          <w:p w14:paraId="1F52EDE8"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11,000,000</w:t>
            </w:r>
          </w:p>
        </w:tc>
        <w:tc>
          <w:tcPr>
            <w:tcW w:w="1980" w:type="dxa"/>
            <w:tcBorders>
              <w:top w:val="nil"/>
              <w:left w:val="nil"/>
              <w:bottom w:val="nil"/>
              <w:right w:val="nil"/>
            </w:tcBorders>
            <w:noWrap/>
            <w:vAlign w:val="bottom"/>
            <w:hideMark/>
          </w:tcPr>
          <w:p w14:paraId="4B7DB279"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0.9091</w:t>
            </w:r>
          </w:p>
        </w:tc>
        <w:tc>
          <w:tcPr>
            <w:tcW w:w="1760" w:type="dxa"/>
            <w:tcBorders>
              <w:top w:val="single" w:sz="8" w:space="0" w:color="auto"/>
              <w:left w:val="single" w:sz="8" w:space="0" w:color="auto"/>
              <w:bottom w:val="nil"/>
              <w:right w:val="single" w:sz="4" w:space="0" w:color="auto"/>
            </w:tcBorders>
            <w:vAlign w:val="bottom"/>
            <w:hideMark/>
          </w:tcPr>
          <w:p w14:paraId="3034B9F4"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10,000,000</w:t>
            </w:r>
          </w:p>
        </w:tc>
      </w:tr>
      <w:tr w:rsidR="00D30489" w14:paraId="360F831F" w14:textId="77777777" w:rsidTr="00D33F62">
        <w:trPr>
          <w:trHeight w:val="300"/>
        </w:trPr>
        <w:tc>
          <w:tcPr>
            <w:tcW w:w="887" w:type="dxa"/>
            <w:tcBorders>
              <w:top w:val="nil"/>
              <w:left w:val="single" w:sz="4" w:space="0" w:color="auto"/>
              <w:bottom w:val="nil"/>
              <w:right w:val="nil"/>
            </w:tcBorders>
            <w:noWrap/>
            <w:vAlign w:val="bottom"/>
            <w:hideMark/>
          </w:tcPr>
          <w:p w14:paraId="1CC39AA3"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lastRenderedPageBreak/>
              <w:t>2</w:t>
            </w:r>
          </w:p>
        </w:tc>
        <w:tc>
          <w:tcPr>
            <w:tcW w:w="1653" w:type="dxa"/>
            <w:tcBorders>
              <w:top w:val="nil"/>
              <w:left w:val="nil"/>
              <w:bottom w:val="nil"/>
              <w:right w:val="nil"/>
            </w:tcBorders>
            <w:noWrap/>
            <w:vAlign w:val="bottom"/>
            <w:hideMark/>
          </w:tcPr>
          <w:p w14:paraId="17101F48"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11,000,000</w:t>
            </w:r>
          </w:p>
        </w:tc>
        <w:tc>
          <w:tcPr>
            <w:tcW w:w="1980" w:type="dxa"/>
            <w:tcBorders>
              <w:top w:val="nil"/>
              <w:left w:val="nil"/>
              <w:bottom w:val="nil"/>
              <w:right w:val="nil"/>
            </w:tcBorders>
            <w:noWrap/>
            <w:vAlign w:val="bottom"/>
            <w:hideMark/>
          </w:tcPr>
          <w:p w14:paraId="608CCC3F"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0.8264</w:t>
            </w:r>
          </w:p>
        </w:tc>
        <w:tc>
          <w:tcPr>
            <w:tcW w:w="1760" w:type="dxa"/>
            <w:tcBorders>
              <w:top w:val="nil"/>
              <w:left w:val="single" w:sz="8" w:space="0" w:color="auto"/>
              <w:bottom w:val="nil"/>
              <w:right w:val="single" w:sz="4" w:space="0" w:color="auto"/>
            </w:tcBorders>
            <w:vAlign w:val="bottom"/>
            <w:hideMark/>
          </w:tcPr>
          <w:p w14:paraId="1484647B"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9,090,909</w:t>
            </w:r>
          </w:p>
        </w:tc>
      </w:tr>
      <w:tr w:rsidR="00D30489" w14:paraId="6A6BABC7" w14:textId="77777777" w:rsidTr="00D33F62">
        <w:trPr>
          <w:trHeight w:val="300"/>
        </w:trPr>
        <w:tc>
          <w:tcPr>
            <w:tcW w:w="887" w:type="dxa"/>
            <w:tcBorders>
              <w:top w:val="nil"/>
              <w:left w:val="single" w:sz="4" w:space="0" w:color="auto"/>
              <w:bottom w:val="nil"/>
              <w:right w:val="nil"/>
            </w:tcBorders>
            <w:noWrap/>
            <w:vAlign w:val="bottom"/>
            <w:hideMark/>
          </w:tcPr>
          <w:p w14:paraId="0C261E32"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3</w:t>
            </w:r>
          </w:p>
        </w:tc>
        <w:tc>
          <w:tcPr>
            <w:tcW w:w="1653" w:type="dxa"/>
            <w:tcBorders>
              <w:top w:val="nil"/>
              <w:left w:val="nil"/>
              <w:bottom w:val="nil"/>
              <w:right w:val="nil"/>
            </w:tcBorders>
            <w:noWrap/>
            <w:vAlign w:val="bottom"/>
            <w:hideMark/>
          </w:tcPr>
          <w:p w14:paraId="2D612727"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11,000,000</w:t>
            </w:r>
          </w:p>
        </w:tc>
        <w:tc>
          <w:tcPr>
            <w:tcW w:w="1980" w:type="dxa"/>
            <w:tcBorders>
              <w:top w:val="nil"/>
              <w:left w:val="nil"/>
              <w:bottom w:val="nil"/>
              <w:right w:val="nil"/>
            </w:tcBorders>
            <w:noWrap/>
            <w:vAlign w:val="bottom"/>
            <w:hideMark/>
          </w:tcPr>
          <w:p w14:paraId="0327C57C"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0.7513</w:t>
            </w:r>
          </w:p>
        </w:tc>
        <w:tc>
          <w:tcPr>
            <w:tcW w:w="1760" w:type="dxa"/>
            <w:tcBorders>
              <w:top w:val="nil"/>
              <w:left w:val="single" w:sz="8" w:space="0" w:color="auto"/>
              <w:bottom w:val="nil"/>
              <w:right w:val="single" w:sz="4" w:space="0" w:color="auto"/>
            </w:tcBorders>
            <w:vAlign w:val="bottom"/>
            <w:hideMark/>
          </w:tcPr>
          <w:p w14:paraId="27CFD002"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8,264,463</w:t>
            </w:r>
          </w:p>
        </w:tc>
      </w:tr>
      <w:tr w:rsidR="00D30489" w14:paraId="1E13F8DF" w14:textId="77777777" w:rsidTr="00D33F62">
        <w:trPr>
          <w:trHeight w:val="300"/>
        </w:trPr>
        <w:tc>
          <w:tcPr>
            <w:tcW w:w="887" w:type="dxa"/>
            <w:tcBorders>
              <w:top w:val="nil"/>
              <w:left w:val="single" w:sz="4" w:space="0" w:color="auto"/>
              <w:bottom w:val="nil"/>
              <w:right w:val="nil"/>
            </w:tcBorders>
            <w:noWrap/>
            <w:vAlign w:val="bottom"/>
            <w:hideMark/>
          </w:tcPr>
          <w:p w14:paraId="3FA9D3F9"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4</w:t>
            </w:r>
          </w:p>
        </w:tc>
        <w:tc>
          <w:tcPr>
            <w:tcW w:w="1653" w:type="dxa"/>
            <w:tcBorders>
              <w:top w:val="nil"/>
              <w:left w:val="nil"/>
              <w:bottom w:val="nil"/>
              <w:right w:val="nil"/>
            </w:tcBorders>
            <w:noWrap/>
            <w:vAlign w:val="bottom"/>
            <w:hideMark/>
          </w:tcPr>
          <w:p w14:paraId="7135D9C3"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11,000,000</w:t>
            </w:r>
          </w:p>
        </w:tc>
        <w:tc>
          <w:tcPr>
            <w:tcW w:w="1980" w:type="dxa"/>
            <w:tcBorders>
              <w:top w:val="nil"/>
              <w:left w:val="nil"/>
              <w:bottom w:val="nil"/>
              <w:right w:val="nil"/>
            </w:tcBorders>
            <w:noWrap/>
            <w:vAlign w:val="bottom"/>
            <w:hideMark/>
          </w:tcPr>
          <w:p w14:paraId="39EFF3AB"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0.6830</w:t>
            </w:r>
          </w:p>
        </w:tc>
        <w:tc>
          <w:tcPr>
            <w:tcW w:w="1760" w:type="dxa"/>
            <w:tcBorders>
              <w:top w:val="nil"/>
              <w:left w:val="single" w:sz="8" w:space="0" w:color="auto"/>
              <w:bottom w:val="nil"/>
              <w:right w:val="single" w:sz="4" w:space="0" w:color="auto"/>
            </w:tcBorders>
            <w:vAlign w:val="bottom"/>
            <w:hideMark/>
          </w:tcPr>
          <w:p w14:paraId="4563BB44"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7,513,148</w:t>
            </w:r>
          </w:p>
        </w:tc>
      </w:tr>
      <w:tr w:rsidR="00D30489" w14:paraId="3CFDB488" w14:textId="77777777" w:rsidTr="00D33F62">
        <w:trPr>
          <w:trHeight w:val="315"/>
        </w:trPr>
        <w:tc>
          <w:tcPr>
            <w:tcW w:w="887" w:type="dxa"/>
            <w:tcBorders>
              <w:top w:val="nil"/>
              <w:left w:val="single" w:sz="4" w:space="0" w:color="auto"/>
              <w:bottom w:val="nil"/>
              <w:right w:val="nil"/>
            </w:tcBorders>
            <w:noWrap/>
            <w:vAlign w:val="bottom"/>
            <w:hideMark/>
          </w:tcPr>
          <w:p w14:paraId="7F3F3C54"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5</w:t>
            </w:r>
          </w:p>
        </w:tc>
        <w:tc>
          <w:tcPr>
            <w:tcW w:w="1653" w:type="dxa"/>
            <w:tcBorders>
              <w:top w:val="nil"/>
              <w:left w:val="nil"/>
              <w:bottom w:val="nil"/>
              <w:right w:val="nil"/>
            </w:tcBorders>
            <w:noWrap/>
            <w:vAlign w:val="bottom"/>
            <w:hideMark/>
          </w:tcPr>
          <w:p w14:paraId="37FA60FF"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11,000,000</w:t>
            </w:r>
          </w:p>
        </w:tc>
        <w:tc>
          <w:tcPr>
            <w:tcW w:w="1980" w:type="dxa"/>
            <w:tcBorders>
              <w:top w:val="nil"/>
              <w:left w:val="nil"/>
              <w:bottom w:val="nil"/>
              <w:right w:val="nil"/>
            </w:tcBorders>
            <w:noWrap/>
            <w:vAlign w:val="bottom"/>
            <w:hideMark/>
          </w:tcPr>
          <w:p w14:paraId="1B67E17E"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0.6209</w:t>
            </w:r>
          </w:p>
        </w:tc>
        <w:tc>
          <w:tcPr>
            <w:tcW w:w="1760" w:type="dxa"/>
            <w:tcBorders>
              <w:top w:val="nil"/>
              <w:left w:val="single" w:sz="8" w:space="0" w:color="auto"/>
              <w:bottom w:val="nil"/>
              <w:right w:val="single" w:sz="4" w:space="0" w:color="auto"/>
            </w:tcBorders>
            <w:vAlign w:val="bottom"/>
            <w:hideMark/>
          </w:tcPr>
          <w:p w14:paraId="7B4263DB" w14:textId="77777777" w:rsidR="00D33F62" w:rsidRPr="00D33F62" w:rsidRDefault="00732348" w:rsidP="00D33F62">
            <w:pPr>
              <w:spacing w:after="0" w:line="240" w:lineRule="auto"/>
              <w:jc w:val="center"/>
              <w:rPr>
                <w:rFonts w:ascii="Times" w:eastAsia="Times New Roman" w:hAnsi="Times" w:cs="Times"/>
                <w:szCs w:val="24"/>
                <w:lang w:val="" w:eastAsia=""/>
              </w:rPr>
            </w:pPr>
            <w:r w:rsidRPr="00D33F62">
              <w:rPr>
                <w:rFonts w:ascii="Times" w:eastAsia="Times New Roman" w:hAnsi="Times" w:cs="Times"/>
                <w:szCs w:val="24"/>
                <w:lang w:val="" w:eastAsia=""/>
              </w:rPr>
              <w:t>6,830,135</w:t>
            </w:r>
          </w:p>
        </w:tc>
      </w:tr>
      <w:tr w:rsidR="00D30489" w14:paraId="560E4C29" w14:textId="77777777" w:rsidTr="00D33F62">
        <w:trPr>
          <w:trHeight w:val="315"/>
        </w:trPr>
        <w:tc>
          <w:tcPr>
            <w:tcW w:w="887" w:type="dxa"/>
            <w:tcBorders>
              <w:top w:val="nil"/>
              <w:left w:val="single" w:sz="4" w:space="0" w:color="auto"/>
              <w:bottom w:val="nil"/>
              <w:right w:val="nil"/>
            </w:tcBorders>
            <w:noWrap/>
            <w:vAlign w:val="bottom"/>
            <w:hideMark/>
          </w:tcPr>
          <w:p w14:paraId="6C039581" w14:textId="77777777" w:rsidR="00D33F62" w:rsidRPr="00D33F62" w:rsidRDefault="00D33F62" w:rsidP="00D33F62">
            <w:pPr>
              <w:spacing w:after="0" w:line="240" w:lineRule="auto"/>
              <w:jc w:val="center"/>
              <w:rPr>
                <w:rFonts w:ascii="Times" w:eastAsia="Times New Roman" w:hAnsi="Times" w:cs="Times"/>
                <w:szCs w:val="24"/>
                <w:lang w:val="" w:eastAsia=""/>
              </w:rPr>
            </w:pPr>
          </w:p>
        </w:tc>
        <w:tc>
          <w:tcPr>
            <w:tcW w:w="1653" w:type="dxa"/>
            <w:tcBorders>
              <w:top w:val="nil"/>
              <w:left w:val="nil"/>
              <w:bottom w:val="nil"/>
              <w:right w:val="nil"/>
            </w:tcBorders>
            <w:noWrap/>
            <w:vAlign w:val="bottom"/>
            <w:hideMark/>
          </w:tcPr>
          <w:p w14:paraId="608B565F" w14:textId="77777777" w:rsidR="00D33F62" w:rsidRPr="00D33F62" w:rsidRDefault="00D33F62" w:rsidP="00D33F62">
            <w:pPr>
              <w:spacing w:after="0" w:line="240" w:lineRule="auto"/>
              <w:jc w:val="center"/>
              <w:rPr>
                <w:rFonts w:ascii="Times" w:eastAsia="Times New Roman" w:hAnsi="Times" w:cs="Times"/>
                <w:szCs w:val="24"/>
                <w:lang w:val="" w:eastAsia=""/>
              </w:rPr>
            </w:pPr>
          </w:p>
        </w:tc>
        <w:tc>
          <w:tcPr>
            <w:tcW w:w="1980" w:type="dxa"/>
            <w:tcBorders>
              <w:top w:val="nil"/>
              <w:left w:val="nil"/>
              <w:bottom w:val="nil"/>
              <w:right w:val="nil"/>
            </w:tcBorders>
            <w:noWrap/>
            <w:vAlign w:val="bottom"/>
            <w:hideMark/>
          </w:tcPr>
          <w:p w14:paraId="5C7D528D" w14:textId="77777777" w:rsidR="00D33F62" w:rsidRPr="00D33F62" w:rsidRDefault="00D33F62" w:rsidP="00D33F62">
            <w:pPr>
              <w:spacing w:after="0" w:line="240" w:lineRule="auto"/>
              <w:jc w:val="center"/>
              <w:rPr>
                <w:rFonts w:eastAsia="Times New Roman" w:cs="Times New Roman"/>
                <w:sz w:val="20"/>
                <w:szCs w:val="20"/>
                <w:lang w:val="" w:eastAsia=""/>
              </w:rPr>
            </w:pPr>
          </w:p>
        </w:tc>
        <w:tc>
          <w:tcPr>
            <w:tcW w:w="1760" w:type="dxa"/>
            <w:tcBorders>
              <w:top w:val="single" w:sz="8" w:space="0" w:color="auto"/>
              <w:left w:val="nil"/>
              <w:bottom w:val="single" w:sz="8" w:space="0" w:color="auto"/>
              <w:right w:val="single" w:sz="4" w:space="0" w:color="auto"/>
            </w:tcBorders>
            <w:noWrap/>
            <w:vAlign w:val="bottom"/>
            <w:hideMark/>
          </w:tcPr>
          <w:p w14:paraId="4ED4D578" w14:textId="77777777" w:rsidR="00D33F62" w:rsidRPr="00D33F62" w:rsidRDefault="00732348" w:rsidP="00D33F62">
            <w:pPr>
              <w:spacing w:after="0" w:line="240" w:lineRule="auto"/>
              <w:jc w:val="center"/>
              <w:rPr>
                <w:rFonts w:ascii="Times" w:eastAsia="Times New Roman" w:hAnsi="Times" w:cs="Times"/>
                <w:b/>
                <w:bCs/>
                <w:szCs w:val="24"/>
                <w:lang w:val="" w:eastAsia=""/>
              </w:rPr>
            </w:pPr>
            <w:r w:rsidRPr="00D33F62">
              <w:rPr>
                <w:rFonts w:ascii="Times" w:eastAsia="Times New Roman" w:hAnsi="Times" w:cs="Times"/>
                <w:b/>
                <w:bCs/>
                <w:szCs w:val="24"/>
                <w:lang w:val="" w:eastAsia=""/>
              </w:rPr>
              <w:t>41,698,654</w:t>
            </w:r>
          </w:p>
        </w:tc>
      </w:tr>
      <w:tr w:rsidR="00D30489" w14:paraId="096C4134" w14:textId="77777777" w:rsidTr="00D33F62">
        <w:trPr>
          <w:trHeight w:val="315"/>
        </w:trPr>
        <w:tc>
          <w:tcPr>
            <w:tcW w:w="887" w:type="dxa"/>
            <w:tcBorders>
              <w:top w:val="nil"/>
              <w:left w:val="single" w:sz="4" w:space="0" w:color="auto"/>
              <w:bottom w:val="nil"/>
              <w:right w:val="nil"/>
            </w:tcBorders>
            <w:noWrap/>
            <w:vAlign w:val="bottom"/>
            <w:hideMark/>
          </w:tcPr>
          <w:p w14:paraId="7D8CAC7D" w14:textId="77777777" w:rsidR="00D33F62" w:rsidRPr="00D33F62" w:rsidRDefault="00D33F62" w:rsidP="00D33F62">
            <w:pPr>
              <w:spacing w:after="0" w:line="240" w:lineRule="auto"/>
              <w:jc w:val="center"/>
              <w:rPr>
                <w:rFonts w:ascii="Times" w:eastAsia="Times New Roman" w:hAnsi="Times" w:cs="Times"/>
                <w:szCs w:val="24"/>
                <w:lang w:val="" w:eastAsia=""/>
              </w:rPr>
            </w:pPr>
          </w:p>
        </w:tc>
        <w:tc>
          <w:tcPr>
            <w:tcW w:w="3633" w:type="dxa"/>
            <w:gridSpan w:val="2"/>
            <w:tcBorders>
              <w:top w:val="nil"/>
              <w:left w:val="nil"/>
              <w:bottom w:val="nil"/>
              <w:right w:val="nil"/>
            </w:tcBorders>
            <w:noWrap/>
            <w:vAlign w:val="bottom"/>
            <w:hideMark/>
          </w:tcPr>
          <w:p w14:paraId="18C23152" w14:textId="77777777" w:rsidR="00D33F62" w:rsidRPr="00D33F62" w:rsidRDefault="00732348" w:rsidP="00D33F62">
            <w:pPr>
              <w:spacing w:after="0" w:line="240" w:lineRule="auto"/>
              <w:jc w:val="center"/>
              <w:rPr>
                <w:rFonts w:ascii="Times" w:eastAsia="Times New Roman" w:hAnsi="Times" w:cs="Times"/>
                <w:b/>
                <w:bCs/>
                <w:szCs w:val="24"/>
                <w:lang w:val="" w:eastAsia=""/>
              </w:rPr>
            </w:pPr>
            <w:r w:rsidRPr="00D33F62">
              <w:rPr>
                <w:rFonts w:ascii="Times" w:eastAsia="Times New Roman" w:hAnsi="Times" w:cs="Times"/>
                <w:b/>
                <w:bCs/>
                <w:szCs w:val="24"/>
                <w:lang w:val="" w:eastAsia=""/>
              </w:rPr>
              <w:t>Net Present Value</w:t>
            </w:r>
          </w:p>
        </w:tc>
        <w:tc>
          <w:tcPr>
            <w:tcW w:w="1760" w:type="dxa"/>
            <w:tcBorders>
              <w:top w:val="nil"/>
              <w:left w:val="nil"/>
              <w:bottom w:val="double" w:sz="6" w:space="0" w:color="auto"/>
              <w:right w:val="single" w:sz="4" w:space="0" w:color="auto"/>
            </w:tcBorders>
            <w:noWrap/>
            <w:vAlign w:val="bottom"/>
            <w:hideMark/>
          </w:tcPr>
          <w:p w14:paraId="6CEADEA5" w14:textId="77777777" w:rsidR="00D33F62" w:rsidRPr="00D33F62" w:rsidRDefault="00732348" w:rsidP="00D33F62">
            <w:pPr>
              <w:spacing w:after="0" w:line="240" w:lineRule="auto"/>
              <w:jc w:val="center"/>
              <w:rPr>
                <w:rFonts w:ascii="Times" w:eastAsia="Times New Roman" w:hAnsi="Times" w:cs="Times"/>
                <w:b/>
                <w:bCs/>
                <w:color w:val="FF0000"/>
                <w:szCs w:val="24"/>
                <w:lang w:val="" w:eastAsia=""/>
              </w:rPr>
            </w:pPr>
            <w:r w:rsidRPr="00D33F62">
              <w:rPr>
                <w:rFonts w:ascii="Times" w:eastAsia="Times New Roman" w:hAnsi="Times" w:cs="Times"/>
                <w:b/>
                <w:bCs/>
                <w:color w:val="FF0000"/>
                <w:szCs w:val="24"/>
                <w:lang w:val="" w:eastAsia=""/>
              </w:rPr>
              <w:t>(8,301,346)</w:t>
            </w:r>
          </w:p>
        </w:tc>
      </w:tr>
      <w:tr w:rsidR="00D30489" w14:paraId="2BB9E1A3" w14:textId="77777777" w:rsidTr="00D33F62">
        <w:trPr>
          <w:trHeight w:val="315"/>
        </w:trPr>
        <w:tc>
          <w:tcPr>
            <w:tcW w:w="887" w:type="dxa"/>
            <w:tcBorders>
              <w:top w:val="nil"/>
              <w:left w:val="single" w:sz="4" w:space="0" w:color="auto"/>
              <w:bottom w:val="single" w:sz="4" w:space="0" w:color="auto"/>
              <w:right w:val="nil"/>
            </w:tcBorders>
            <w:noWrap/>
            <w:vAlign w:val="bottom"/>
            <w:hideMark/>
          </w:tcPr>
          <w:p w14:paraId="190E12AD" w14:textId="77777777" w:rsidR="00D33F62" w:rsidRPr="00D33F62" w:rsidRDefault="00732348" w:rsidP="00D33F62">
            <w:pPr>
              <w:spacing w:after="0" w:line="240" w:lineRule="auto"/>
              <w:jc w:val="left"/>
              <w:rPr>
                <w:rFonts w:ascii="Times" w:eastAsia="Times New Roman" w:hAnsi="Times" w:cs="Times"/>
                <w:szCs w:val="24"/>
                <w:lang w:val="" w:eastAsia=""/>
              </w:rPr>
            </w:pPr>
            <w:r w:rsidRPr="00D33F62">
              <w:rPr>
                <w:rFonts w:ascii="Times" w:eastAsia="Times New Roman" w:hAnsi="Times" w:cs="Times"/>
                <w:szCs w:val="24"/>
                <w:lang w:val="" w:eastAsia=""/>
              </w:rPr>
              <w:t> </w:t>
            </w:r>
          </w:p>
        </w:tc>
        <w:tc>
          <w:tcPr>
            <w:tcW w:w="1653" w:type="dxa"/>
            <w:tcBorders>
              <w:top w:val="nil"/>
              <w:left w:val="nil"/>
              <w:bottom w:val="single" w:sz="4" w:space="0" w:color="auto"/>
              <w:right w:val="nil"/>
            </w:tcBorders>
            <w:noWrap/>
            <w:vAlign w:val="bottom"/>
            <w:hideMark/>
          </w:tcPr>
          <w:p w14:paraId="4BEF45D2" w14:textId="77777777" w:rsidR="00D33F62" w:rsidRPr="00D33F62" w:rsidRDefault="00732348" w:rsidP="00D33F62">
            <w:pPr>
              <w:spacing w:after="0" w:line="240" w:lineRule="auto"/>
              <w:jc w:val="left"/>
              <w:rPr>
                <w:rFonts w:ascii="Times" w:eastAsia="Times New Roman" w:hAnsi="Times" w:cs="Times"/>
                <w:szCs w:val="24"/>
                <w:lang w:val="" w:eastAsia=""/>
              </w:rPr>
            </w:pPr>
            <w:r w:rsidRPr="00D33F62">
              <w:rPr>
                <w:rFonts w:ascii="Times" w:eastAsia="Times New Roman" w:hAnsi="Times" w:cs="Times"/>
                <w:szCs w:val="24"/>
                <w:lang w:val="" w:eastAsia=""/>
              </w:rPr>
              <w:t> </w:t>
            </w:r>
          </w:p>
        </w:tc>
        <w:tc>
          <w:tcPr>
            <w:tcW w:w="1980" w:type="dxa"/>
            <w:tcBorders>
              <w:top w:val="nil"/>
              <w:left w:val="nil"/>
              <w:bottom w:val="single" w:sz="4" w:space="0" w:color="auto"/>
              <w:right w:val="nil"/>
            </w:tcBorders>
            <w:noWrap/>
            <w:vAlign w:val="bottom"/>
            <w:hideMark/>
          </w:tcPr>
          <w:p w14:paraId="3556745D" w14:textId="77777777" w:rsidR="00D33F62" w:rsidRPr="00D33F62" w:rsidRDefault="00732348" w:rsidP="00D33F62">
            <w:pPr>
              <w:spacing w:after="0" w:line="240" w:lineRule="auto"/>
              <w:jc w:val="left"/>
              <w:rPr>
                <w:rFonts w:ascii="Times" w:eastAsia="Times New Roman" w:hAnsi="Times" w:cs="Times"/>
                <w:szCs w:val="24"/>
                <w:lang w:val="" w:eastAsia=""/>
              </w:rPr>
            </w:pPr>
            <w:r w:rsidRPr="00D33F62">
              <w:rPr>
                <w:rFonts w:ascii="Times" w:eastAsia="Times New Roman" w:hAnsi="Times" w:cs="Times"/>
                <w:szCs w:val="24"/>
                <w:lang w:val="" w:eastAsia=""/>
              </w:rPr>
              <w:t> </w:t>
            </w:r>
          </w:p>
        </w:tc>
        <w:tc>
          <w:tcPr>
            <w:tcW w:w="1760" w:type="dxa"/>
            <w:tcBorders>
              <w:top w:val="nil"/>
              <w:left w:val="nil"/>
              <w:bottom w:val="single" w:sz="4" w:space="0" w:color="auto"/>
              <w:right w:val="single" w:sz="4" w:space="0" w:color="auto"/>
            </w:tcBorders>
            <w:noWrap/>
            <w:vAlign w:val="bottom"/>
            <w:hideMark/>
          </w:tcPr>
          <w:p w14:paraId="50BADCEA" w14:textId="77777777" w:rsidR="00D33F62" w:rsidRPr="00D33F62" w:rsidRDefault="00732348" w:rsidP="00D33F62">
            <w:pPr>
              <w:spacing w:after="0" w:line="240" w:lineRule="auto"/>
              <w:jc w:val="left"/>
              <w:rPr>
                <w:rFonts w:ascii="Times" w:eastAsia="Times New Roman" w:hAnsi="Times" w:cs="Times"/>
                <w:szCs w:val="24"/>
                <w:lang w:val="" w:eastAsia=""/>
              </w:rPr>
            </w:pPr>
            <w:r w:rsidRPr="00D33F62">
              <w:rPr>
                <w:rFonts w:ascii="Times" w:eastAsia="Times New Roman" w:hAnsi="Times" w:cs="Times"/>
                <w:szCs w:val="24"/>
                <w:lang w:val="" w:eastAsia=""/>
              </w:rPr>
              <w:t> </w:t>
            </w:r>
          </w:p>
        </w:tc>
      </w:tr>
    </w:tbl>
    <w:p w14:paraId="151201E2" w14:textId="77777777" w:rsidR="00D33F62" w:rsidRDefault="00D33F62" w:rsidP="008E0EDA">
      <w:pPr>
        <w:spacing w:line="360" w:lineRule="auto"/>
        <w:rPr>
          <w:rFonts w:ascii="Times" w:hAnsi="Times" w:cs="Times"/>
          <w:b/>
          <w:szCs w:val="24"/>
        </w:rPr>
      </w:pPr>
    </w:p>
    <w:p w14:paraId="6EDF0281" w14:textId="77777777" w:rsidR="00545ADF" w:rsidRDefault="00732348" w:rsidP="008E0EDA">
      <w:pPr>
        <w:spacing w:line="360" w:lineRule="auto"/>
        <w:rPr>
          <w:rFonts w:ascii="Times" w:hAnsi="Times" w:cs="Times"/>
          <w:b/>
          <w:szCs w:val="24"/>
        </w:rPr>
      </w:pPr>
      <w:r>
        <w:rPr>
          <w:rFonts w:ascii="Times" w:hAnsi="Times" w:cs="Times"/>
          <w:b/>
          <w:szCs w:val="24"/>
        </w:rPr>
        <w:t>Profitability index</w:t>
      </w:r>
    </w:p>
    <w:p w14:paraId="7C701309" w14:textId="77777777" w:rsidR="003A2061" w:rsidRPr="000639E9" w:rsidRDefault="00732348" w:rsidP="003A2061">
      <w:pPr>
        <w:spacing w:line="360" w:lineRule="auto"/>
        <w:rPr>
          <w:rFonts w:ascii="Times" w:hAnsi="Times" w:cs="Times"/>
          <w:szCs w:val="24"/>
        </w:rPr>
      </w:pPr>
      <w:r w:rsidRPr="000639E9">
        <w:rPr>
          <w:rFonts w:ascii="Times" w:hAnsi="Times" w:cs="Times"/>
          <w:szCs w:val="24"/>
        </w:rPr>
        <w:t>PI = Present value/investments</w:t>
      </w:r>
    </w:p>
    <w:p w14:paraId="729729FE" w14:textId="77777777" w:rsidR="003A2061" w:rsidRPr="000639E9" w:rsidRDefault="00732348" w:rsidP="003A2061">
      <w:pPr>
        <w:spacing w:line="240" w:lineRule="auto"/>
        <w:rPr>
          <w:rFonts w:ascii="Times" w:eastAsia="Times New Roman" w:hAnsi="Times" w:cs="Times"/>
          <w:color w:val="000000"/>
          <w:szCs w:val="24"/>
          <w:lang w:val="" w:eastAsia=""/>
        </w:rPr>
      </w:pPr>
      <w:r w:rsidRPr="000639E9">
        <w:rPr>
          <w:rFonts w:ascii="Times" w:hAnsi="Times" w:cs="Times"/>
          <w:szCs w:val="24"/>
        </w:rPr>
        <w:t>PV =</w:t>
      </w:r>
      <w:r w:rsidR="003D3DE0" w:rsidRPr="003D3DE0">
        <w:rPr>
          <w:rFonts w:ascii="Times" w:hAnsi="Times" w:cs="Times"/>
          <w:szCs w:val="24"/>
        </w:rPr>
        <w:t>10000000+9090909+8264463+7513148+6830135</w:t>
      </w:r>
      <w:r w:rsidRPr="000639E9">
        <w:rPr>
          <w:rFonts w:ascii="Times" w:hAnsi="Times" w:cs="Times"/>
          <w:szCs w:val="24"/>
        </w:rPr>
        <w:t xml:space="preserve"> = </w:t>
      </w:r>
      <w:r w:rsidR="004D253C" w:rsidRPr="004D253C">
        <w:rPr>
          <w:rFonts w:ascii="Times" w:eastAsia="Times New Roman" w:hAnsi="Times" w:cs="Times"/>
          <w:color w:val="000000"/>
          <w:szCs w:val="24"/>
          <w:lang w:val="" w:eastAsia=""/>
        </w:rPr>
        <w:t>4</w:t>
      </w:r>
      <w:r w:rsidR="004D253C">
        <w:rPr>
          <w:rFonts w:ascii="Times" w:eastAsia="Times New Roman" w:hAnsi="Times" w:cs="Times"/>
          <w:color w:val="000000"/>
          <w:szCs w:val="24"/>
          <w:lang w:val="" w:eastAsia=""/>
        </w:rPr>
        <w:t>,</w:t>
      </w:r>
      <w:r w:rsidR="004D253C" w:rsidRPr="004D253C">
        <w:rPr>
          <w:rFonts w:ascii="Times" w:eastAsia="Times New Roman" w:hAnsi="Times" w:cs="Times"/>
          <w:color w:val="000000"/>
          <w:szCs w:val="24"/>
          <w:lang w:val="" w:eastAsia=""/>
        </w:rPr>
        <w:t>169</w:t>
      </w:r>
      <w:r w:rsidR="004D253C">
        <w:rPr>
          <w:rFonts w:ascii="Times" w:eastAsia="Times New Roman" w:hAnsi="Times" w:cs="Times"/>
          <w:color w:val="000000"/>
          <w:szCs w:val="24"/>
          <w:lang w:val="" w:eastAsia=""/>
        </w:rPr>
        <w:t>,</w:t>
      </w:r>
      <w:r w:rsidR="004D253C" w:rsidRPr="004D253C">
        <w:rPr>
          <w:rFonts w:ascii="Times" w:eastAsia="Times New Roman" w:hAnsi="Times" w:cs="Times"/>
          <w:color w:val="000000"/>
          <w:szCs w:val="24"/>
          <w:lang w:val="" w:eastAsia=""/>
        </w:rPr>
        <w:t>8655</w:t>
      </w:r>
    </w:p>
    <w:p w14:paraId="2C32DA81" w14:textId="77777777" w:rsidR="003A2061" w:rsidRPr="00AB3969" w:rsidRDefault="00732348" w:rsidP="003A2061">
      <w:pPr>
        <w:spacing w:line="240" w:lineRule="auto"/>
        <w:rPr>
          <w:rFonts w:ascii="Times" w:eastAsia="Times New Roman" w:hAnsi="Times" w:cs="Times"/>
          <w:color w:val="000000"/>
          <w:szCs w:val="24"/>
          <w:lang w:val="" w:eastAsia=""/>
        </w:rPr>
      </w:pPr>
      <w:r w:rsidRPr="000639E9">
        <w:rPr>
          <w:rFonts w:ascii="Times" w:eastAsia="Times New Roman" w:hAnsi="Times" w:cs="Times"/>
          <w:color w:val="000000"/>
          <w:szCs w:val="24"/>
          <w:lang w:val="" w:eastAsia=""/>
        </w:rPr>
        <w:t xml:space="preserve">PI = </w:t>
      </w:r>
      <w:r w:rsidR="000C2B8A" w:rsidRPr="004D253C">
        <w:rPr>
          <w:rFonts w:ascii="Times" w:eastAsia="Times New Roman" w:hAnsi="Times" w:cs="Times"/>
          <w:color w:val="000000"/>
          <w:szCs w:val="24"/>
          <w:lang w:val="" w:eastAsia=""/>
        </w:rPr>
        <w:t>4</w:t>
      </w:r>
      <w:r w:rsidR="000C2B8A">
        <w:rPr>
          <w:rFonts w:ascii="Times" w:eastAsia="Times New Roman" w:hAnsi="Times" w:cs="Times"/>
          <w:color w:val="000000"/>
          <w:szCs w:val="24"/>
          <w:lang w:val="" w:eastAsia=""/>
        </w:rPr>
        <w:t>,</w:t>
      </w:r>
      <w:r w:rsidR="000C2B8A" w:rsidRPr="004D253C">
        <w:rPr>
          <w:rFonts w:ascii="Times" w:eastAsia="Times New Roman" w:hAnsi="Times" w:cs="Times"/>
          <w:color w:val="000000"/>
          <w:szCs w:val="24"/>
          <w:lang w:val="" w:eastAsia=""/>
        </w:rPr>
        <w:t>169</w:t>
      </w:r>
      <w:r w:rsidR="000C2B8A">
        <w:rPr>
          <w:rFonts w:ascii="Times" w:eastAsia="Times New Roman" w:hAnsi="Times" w:cs="Times"/>
          <w:color w:val="000000"/>
          <w:szCs w:val="24"/>
          <w:lang w:val="" w:eastAsia=""/>
        </w:rPr>
        <w:t>,</w:t>
      </w:r>
      <w:r w:rsidR="000C2B8A" w:rsidRPr="004D253C">
        <w:rPr>
          <w:rFonts w:ascii="Times" w:eastAsia="Times New Roman" w:hAnsi="Times" w:cs="Times"/>
          <w:color w:val="000000"/>
          <w:szCs w:val="24"/>
          <w:lang w:val="" w:eastAsia=""/>
        </w:rPr>
        <w:t>8655</w:t>
      </w:r>
      <w:r w:rsidRPr="000639E9">
        <w:rPr>
          <w:rFonts w:ascii="Times" w:eastAsia="Times New Roman" w:hAnsi="Times" w:cs="Times"/>
          <w:color w:val="000000"/>
          <w:szCs w:val="24"/>
          <w:lang w:val="" w:eastAsia=""/>
        </w:rPr>
        <w:t xml:space="preserve"> / 50000000 = 0.83</w:t>
      </w:r>
    </w:p>
    <w:p w14:paraId="35F549A0" w14:textId="77777777" w:rsidR="003A2061" w:rsidRDefault="003A2061" w:rsidP="008E0EDA">
      <w:pPr>
        <w:spacing w:line="360" w:lineRule="auto"/>
        <w:rPr>
          <w:rFonts w:ascii="Times" w:hAnsi="Times" w:cs="Times"/>
          <w:b/>
          <w:szCs w:val="24"/>
        </w:rPr>
      </w:pPr>
    </w:p>
    <w:p w14:paraId="1E1652E6" w14:textId="77777777" w:rsidR="00545ADF" w:rsidRDefault="00732348" w:rsidP="008E0EDA">
      <w:pPr>
        <w:spacing w:line="360" w:lineRule="auto"/>
        <w:rPr>
          <w:rFonts w:ascii="Times" w:hAnsi="Times" w:cs="Times"/>
          <w:b/>
          <w:szCs w:val="24"/>
        </w:rPr>
      </w:pPr>
      <w:r>
        <w:rPr>
          <w:rFonts w:ascii="Times" w:hAnsi="Times" w:cs="Times"/>
          <w:b/>
          <w:szCs w:val="24"/>
        </w:rPr>
        <w:t xml:space="preserve">Internal rate of return </w:t>
      </w:r>
    </w:p>
    <w:p w14:paraId="5976F7E0" w14:textId="77777777" w:rsidR="003A2061" w:rsidRDefault="00732348" w:rsidP="003A2061">
      <w:pPr>
        <w:spacing w:line="360" w:lineRule="auto"/>
        <w:rPr>
          <w:rFonts w:ascii="Times" w:hAnsi="Times" w:cs="Times"/>
          <w:szCs w:val="24"/>
        </w:rPr>
      </w:pPr>
      <w:r>
        <w:rPr>
          <w:rFonts w:ascii="Times" w:hAnsi="Times" w:cs="Times"/>
          <w:szCs w:val="24"/>
        </w:rPr>
        <w:t>3</w:t>
      </w:r>
      <w:r w:rsidRPr="002049EC">
        <w:rPr>
          <w:rFonts w:ascii="Times" w:hAnsi="Times" w:cs="Times"/>
          <w:szCs w:val="24"/>
        </w:rPr>
        <w:t>.</w:t>
      </w:r>
      <w:r>
        <w:rPr>
          <w:rFonts w:ascii="Times" w:hAnsi="Times" w:cs="Times"/>
          <w:szCs w:val="24"/>
        </w:rPr>
        <w:t>26</w:t>
      </w:r>
      <w:r w:rsidRPr="002049EC">
        <w:rPr>
          <w:rFonts w:ascii="Times" w:hAnsi="Times" w:cs="Times"/>
          <w:szCs w:val="24"/>
        </w:rPr>
        <w:t>% (calculated using Excel formula)</w:t>
      </w:r>
    </w:p>
    <w:p w14:paraId="441040AA" w14:textId="77777777" w:rsidR="003A2061" w:rsidRPr="00545ADF" w:rsidRDefault="003A2061" w:rsidP="008E0EDA">
      <w:pPr>
        <w:spacing w:line="360" w:lineRule="auto"/>
        <w:rPr>
          <w:rFonts w:ascii="Times" w:hAnsi="Times" w:cs="Times"/>
          <w:b/>
          <w:bCs/>
          <w:szCs w:val="24"/>
        </w:rPr>
      </w:pPr>
    </w:p>
    <w:p w14:paraId="3E8D9000" w14:textId="77777777" w:rsidR="00ED3DBF" w:rsidRPr="002049EC" w:rsidRDefault="00732348" w:rsidP="00ED3DBF">
      <w:pPr>
        <w:spacing w:line="360" w:lineRule="auto"/>
        <w:rPr>
          <w:rFonts w:ascii="Times" w:hAnsi="Times" w:cs="Times"/>
          <w:b/>
          <w:bCs/>
          <w:szCs w:val="24"/>
        </w:rPr>
      </w:pPr>
      <w:r w:rsidRPr="002049EC">
        <w:rPr>
          <w:rFonts w:ascii="Times" w:hAnsi="Times" w:cs="Times"/>
          <w:b/>
          <w:bCs/>
          <w:szCs w:val="24"/>
        </w:rPr>
        <w:t xml:space="preserve">PROJECT </w:t>
      </w:r>
      <w:r>
        <w:rPr>
          <w:rFonts w:ascii="Times" w:hAnsi="Times" w:cs="Times"/>
          <w:b/>
          <w:bCs/>
          <w:szCs w:val="24"/>
        </w:rPr>
        <w:t>C</w:t>
      </w:r>
    </w:p>
    <w:p w14:paraId="57DA2C76" w14:textId="77777777" w:rsidR="00ED3DBF" w:rsidRDefault="00732348" w:rsidP="00ED3DBF">
      <w:pPr>
        <w:spacing w:line="360" w:lineRule="auto"/>
        <w:rPr>
          <w:rFonts w:ascii="Times" w:hAnsi="Times" w:cs="Times"/>
          <w:b/>
          <w:szCs w:val="24"/>
        </w:rPr>
      </w:pPr>
      <w:r w:rsidRPr="00545ADF">
        <w:rPr>
          <w:rFonts w:ascii="Times" w:hAnsi="Times" w:cs="Times"/>
          <w:b/>
          <w:szCs w:val="24"/>
        </w:rPr>
        <w:t xml:space="preserve">Payback Period </w:t>
      </w:r>
    </w:p>
    <w:tbl>
      <w:tblPr>
        <w:tblW w:w="7720" w:type="dxa"/>
        <w:tblLook w:val="04A0" w:firstRow="1" w:lastRow="0" w:firstColumn="1" w:lastColumn="0" w:noHBand="0" w:noVBand="1"/>
      </w:tblPr>
      <w:tblGrid>
        <w:gridCol w:w="902"/>
        <w:gridCol w:w="1638"/>
        <w:gridCol w:w="1980"/>
        <w:gridCol w:w="1760"/>
        <w:gridCol w:w="1440"/>
      </w:tblGrid>
      <w:tr w:rsidR="00D30489" w14:paraId="562BBAC6" w14:textId="77777777" w:rsidTr="00BB6B73">
        <w:trPr>
          <w:trHeight w:val="300"/>
        </w:trPr>
        <w:tc>
          <w:tcPr>
            <w:tcW w:w="2540" w:type="dxa"/>
            <w:gridSpan w:val="2"/>
            <w:tcBorders>
              <w:top w:val="nil"/>
              <w:left w:val="nil"/>
              <w:bottom w:val="nil"/>
              <w:right w:val="nil"/>
            </w:tcBorders>
            <w:noWrap/>
            <w:vAlign w:val="bottom"/>
            <w:hideMark/>
          </w:tcPr>
          <w:p w14:paraId="67E88A40" w14:textId="77777777" w:rsidR="00BB6B73" w:rsidRPr="00BB6B73" w:rsidRDefault="00732348" w:rsidP="00BB6B73">
            <w:pPr>
              <w:spacing w:after="0" w:line="240" w:lineRule="auto"/>
              <w:jc w:val="left"/>
              <w:rPr>
                <w:rFonts w:ascii="Times" w:eastAsia="Times New Roman" w:hAnsi="Times" w:cs="Times"/>
                <w:b/>
                <w:bCs/>
                <w:color w:val="000000"/>
                <w:szCs w:val="24"/>
                <w:lang w:val="" w:eastAsia=""/>
              </w:rPr>
            </w:pPr>
            <w:r w:rsidRPr="00BB6B73">
              <w:rPr>
                <w:rFonts w:ascii="Times" w:eastAsia="Times New Roman" w:hAnsi="Times" w:cs="Times"/>
                <w:b/>
                <w:bCs/>
                <w:color w:val="000000"/>
                <w:szCs w:val="24"/>
                <w:lang w:val="" w:eastAsia=""/>
              </w:rPr>
              <w:t>Project C</w:t>
            </w:r>
          </w:p>
        </w:tc>
        <w:tc>
          <w:tcPr>
            <w:tcW w:w="1980" w:type="dxa"/>
            <w:tcBorders>
              <w:top w:val="nil"/>
              <w:left w:val="nil"/>
              <w:bottom w:val="nil"/>
              <w:right w:val="nil"/>
            </w:tcBorders>
            <w:noWrap/>
            <w:vAlign w:val="bottom"/>
            <w:hideMark/>
          </w:tcPr>
          <w:p w14:paraId="5F0C9BDB" w14:textId="77777777" w:rsidR="00BB6B73" w:rsidRPr="00BB6B73" w:rsidRDefault="00BB6B73" w:rsidP="00BB6B73">
            <w:pPr>
              <w:spacing w:after="0" w:line="240" w:lineRule="auto"/>
              <w:jc w:val="left"/>
              <w:rPr>
                <w:rFonts w:ascii="Times" w:eastAsia="Times New Roman" w:hAnsi="Times" w:cs="Times"/>
                <w:b/>
                <w:bCs/>
                <w:color w:val="000000"/>
                <w:szCs w:val="24"/>
                <w:lang w:val="" w:eastAsia=""/>
              </w:rPr>
            </w:pPr>
          </w:p>
        </w:tc>
        <w:tc>
          <w:tcPr>
            <w:tcW w:w="1760" w:type="dxa"/>
            <w:tcBorders>
              <w:top w:val="nil"/>
              <w:left w:val="nil"/>
              <w:bottom w:val="nil"/>
              <w:right w:val="nil"/>
            </w:tcBorders>
            <w:noWrap/>
            <w:vAlign w:val="bottom"/>
            <w:hideMark/>
          </w:tcPr>
          <w:p w14:paraId="01C3FBE6" w14:textId="77777777" w:rsidR="00BB6B73" w:rsidRPr="00BB6B73" w:rsidRDefault="00BB6B73" w:rsidP="00BB6B73">
            <w:pPr>
              <w:spacing w:after="0" w:line="240" w:lineRule="auto"/>
              <w:jc w:val="left"/>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56A36A24" w14:textId="77777777" w:rsidR="00BB6B73" w:rsidRPr="00BB6B73" w:rsidRDefault="00BB6B73" w:rsidP="00BB6B73">
            <w:pPr>
              <w:spacing w:after="0" w:line="240" w:lineRule="auto"/>
              <w:jc w:val="left"/>
              <w:rPr>
                <w:rFonts w:eastAsia="Times New Roman" w:cs="Times New Roman"/>
                <w:sz w:val="20"/>
                <w:szCs w:val="20"/>
                <w:lang w:val="" w:eastAsia=""/>
              </w:rPr>
            </w:pPr>
          </w:p>
        </w:tc>
      </w:tr>
      <w:tr w:rsidR="00D30489" w14:paraId="52651185" w14:textId="77777777" w:rsidTr="00BB6B73">
        <w:trPr>
          <w:trHeight w:val="315"/>
        </w:trPr>
        <w:tc>
          <w:tcPr>
            <w:tcW w:w="2540" w:type="dxa"/>
            <w:gridSpan w:val="2"/>
            <w:tcBorders>
              <w:top w:val="nil"/>
              <w:left w:val="nil"/>
              <w:bottom w:val="nil"/>
              <w:right w:val="nil"/>
            </w:tcBorders>
            <w:noWrap/>
            <w:vAlign w:val="bottom"/>
            <w:hideMark/>
          </w:tcPr>
          <w:p w14:paraId="66A92AA6" w14:textId="77777777" w:rsidR="00BB6B73" w:rsidRPr="00BB6B73" w:rsidRDefault="00732348" w:rsidP="00BB6B73">
            <w:pPr>
              <w:spacing w:after="0" w:line="240" w:lineRule="auto"/>
              <w:jc w:val="left"/>
              <w:rPr>
                <w:rFonts w:ascii="Times" w:eastAsia="Times New Roman" w:hAnsi="Times" w:cs="Times"/>
                <w:b/>
                <w:bCs/>
                <w:color w:val="000000"/>
                <w:szCs w:val="24"/>
                <w:lang w:val="" w:eastAsia=""/>
              </w:rPr>
            </w:pPr>
            <w:r w:rsidRPr="00BB6B73">
              <w:rPr>
                <w:rFonts w:ascii="Times" w:eastAsia="Times New Roman" w:hAnsi="Times" w:cs="Times"/>
                <w:b/>
                <w:bCs/>
                <w:color w:val="000000"/>
                <w:szCs w:val="24"/>
                <w:lang w:val="" w:eastAsia=""/>
              </w:rPr>
              <w:t>Payback Period</w:t>
            </w:r>
          </w:p>
        </w:tc>
        <w:tc>
          <w:tcPr>
            <w:tcW w:w="1980" w:type="dxa"/>
            <w:tcBorders>
              <w:top w:val="nil"/>
              <w:left w:val="nil"/>
              <w:bottom w:val="nil"/>
              <w:right w:val="nil"/>
            </w:tcBorders>
            <w:noWrap/>
            <w:vAlign w:val="bottom"/>
            <w:hideMark/>
          </w:tcPr>
          <w:p w14:paraId="02D611A7" w14:textId="77777777" w:rsidR="00BB6B73" w:rsidRPr="00BB6B73" w:rsidRDefault="00BB6B73" w:rsidP="00BB6B73">
            <w:pPr>
              <w:spacing w:after="0" w:line="240" w:lineRule="auto"/>
              <w:jc w:val="left"/>
              <w:rPr>
                <w:rFonts w:ascii="Times" w:eastAsia="Times New Roman" w:hAnsi="Times" w:cs="Times"/>
                <w:b/>
                <w:bCs/>
                <w:color w:val="000000"/>
                <w:szCs w:val="24"/>
                <w:lang w:val="" w:eastAsia=""/>
              </w:rPr>
            </w:pPr>
          </w:p>
        </w:tc>
        <w:tc>
          <w:tcPr>
            <w:tcW w:w="1760" w:type="dxa"/>
            <w:tcBorders>
              <w:top w:val="nil"/>
              <w:left w:val="nil"/>
              <w:bottom w:val="nil"/>
              <w:right w:val="nil"/>
            </w:tcBorders>
            <w:noWrap/>
            <w:vAlign w:val="bottom"/>
            <w:hideMark/>
          </w:tcPr>
          <w:p w14:paraId="696FE3FF" w14:textId="77777777" w:rsidR="00BB6B73" w:rsidRPr="00BB6B73" w:rsidRDefault="00BB6B73" w:rsidP="00BB6B73">
            <w:pPr>
              <w:spacing w:after="0" w:line="240" w:lineRule="auto"/>
              <w:jc w:val="left"/>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048A8D8D" w14:textId="77777777" w:rsidR="00BB6B73" w:rsidRPr="00BB6B73" w:rsidRDefault="00BB6B73" w:rsidP="00BB6B73">
            <w:pPr>
              <w:spacing w:after="0" w:line="240" w:lineRule="auto"/>
              <w:jc w:val="left"/>
              <w:rPr>
                <w:rFonts w:eastAsia="Times New Roman" w:cs="Times New Roman"/>
                <w:sz w:val="20"/>
                <w:szCs w:val="20"/>
                <w:lang w:val="" w:eastAsia=""/>
              </w:rPr>
            </w:pPr>
          </w:p>
        </w:tc>
      </w:tr>
      <w:tr w:rsidR="00D30489" w14:paraId="0A026BF4" w14:textId="77777777" w:rsidTr="00BB6B73">
        <w:trPr>
          <w:trHeight w:val="315"/>
        </w:trPr>
        <w:tc>
          <w:tcPr>
            <w:tcW w:w="902" w:type="dxa"/>
            <w:vMerge w:val="restart"/>
            <w:tcBorders>
              <w:top w:val="single" w:sz="8" w:space="0" w:color="auto"/>
              <w:left w:val="single" w:sz="8" w:space="0" w:color="auto"/>
              <w:bottom w:val="single" w:sz="8" w:space="0" w:color="000000"/>
              <w:right w:val="single" w:sz="8" w:space="0" w:color="auto"/>
            </w:tcBorders>
            <w:noWrap/>
            <w:vAlign w:val="center"/>
            <w:hideMark/>
          </w:tcPr>
          <w:p w14:paraId="0A5DF71B" w14:textId="77777777" w:rsidR="00BB6B73" w:rsidRPr="00BB6B73" w:rsidRDefault="00732348" w:rsidP="00BB6B73">
            <w:pPr>
              <w:spacing w:after="0" w:line="240" w:lineRule="auto"/>
              <w:jc w:val="center"/>
              <w:rPr>
                <w:rFonts w:ascii="Times" w:eastAsia="Times New Roman" w:hAnsi="Times" w:cs="Times"/>
                <w:b/>
                <w:bCs/>
                <w:szCs w:val="24"/>
                <w:lang w:val="" w:eastAsia=""/>
              </w:rPr>
            </w:pPr>
            <w:r w:rsidRPr="00BB6B73">
              <w:rPr>
                <w:rFonts w:ascii="Times" w:eastAsia="Times New Roman" w:hAnsi="Times" w:cs="Times"/>
                <w:b/>
                <w:bCs/>
                <w:szCs w:val="24"/>
                <w:lang w:val="" w:eastAsia=""/>
              </w:rPr>
              <w:t>Year</w:t>
            </w:r>
          </w:p>
        </w:tc>
        <w:tc>
          <w:tcPr>
            <w:tcW w:w="1638" w:type="dxa"/>
            <w:vMerge w:val="restart"/>
            <w:tcBorders>
              <w:top w:val="single" w:sz="8" w:space="0" w:color="auto"/>
              <w:left w:val="single" w:sz="8" w:space="0" w:color="auto"/>
              <w:bottom w:val="single" w:sz="8" w:space="0" w:color="000000"/>
              <w:right w:val="single" w:sz="8" w:space="0" w:color="auto"/>
            </w:tcBorders>
            <w:noWrap/>
            <w:vAlign w:val="center"/>
            <w:hideMark/>
          </w:tcPr>
          <w:p w14:paraId="51DD8DD7" w14:textId="77777777" w:rsidR="00BB6B73" w:rsidRPr="00BB6B73" w:rsidRDefault="00732348" w:rsidP="00BB6B73">
            <w:pPr>
              <w:spacing w:after="0" w:line="240" w:lineRule="auto"/>
              <w:jc w:val="center"/>
              <w:rPr>
                <w:rFonts w:ascii="Times" w:eastAsia="Times New Roman" w:hAnsi="Times" w:cs="Times"/>
                <w:b/>
                <w:bCs/>
                <w:szCs w:val="24"/>
                <w:lang w:val="" w:eastAsia=""/>
              </w:rPr>
            </w:pPr>
            <w:r w:rsidRPr="00BB6B73">
              <w:rPr>
                <w:rFonts w:ascii="Times" w:eastAsia="Times New Roman" w:hAnsi="Times" w:cs="Times"/>
                <w:b/>
                <w:bCs/>
                <w:szCs w:val="24"/>
                <w:lang w:val="" w:eastAsia=""/>
              </w:rPr>
              <w:t>Cash Inflow</w:t>
            </w:r>
          </w:p>
        </w:tc>
        <w:tc>
          <w:tcPr>
            <w:tcW w:w="3740" w:type="dxa"/>
            <w:gridSpan w:val="2"/>
            <w:tcBorders>
              <w:top w:val="single" w:sz="8" w:space="0" w:color="auto"/>
              <w:left w:val="nil"/>
              <w:bottom w:val="single" w:sz="8" w:space="0" w:color="auto"/>
              <w:right w:val="single" w:sz="8" w:space="0" w:color="000000"/>
            </w:tcBorders>
            <w:noWrap/>
            <w:vAlign w:val="center"/>
            <w:hideMark/>
          </w:tcPr>
          <w:p w14:paraId="3B975270" w14:textId="77777777" w:rsidR="00BB6B73" w:rsidRPr="00BB6B73" w:rsidRDefault="00732348" w:rsidP="00BB6B73">
            <w:pPr>
              <w:spacing w:after="0" w:line="240" w:lineRule="auto"/>
              <w:jc w:val="center"/>
              <w:rPr>
                <w:rFonts w:ascii="Times" w:eastAsia="Times New Roman" w:hAnsi="Times" w:cs="Times"/>
                <w:b/>
                <w:bCs/>
                <w:szCs w:val="24"/>
                <w:lang w:val="" w:eastAsia=""/>
              </w:rPr>
            </w:pPr>
            <w:r w:rsidRPr="00BB6B73">
              <w:rPr>
                <w:rFonts w:ascii="Times" w:eastAsia="Times New Roman" w:hAnsi="Times" w:cs="Times"/>
                <w:b/>
                <w:bCs/>
                <w:szCs w:val="24"/>
                <w:lang w:val="" w:eastAsia=""/>
              </w:rPr>
              <w:t>Amount</w:t>
            </w:r>
          </w:p>
        </w:tc>
        <w:tc>
          <w:tcPr>
            <w:tcW w:w="1440" w:type="dxa"/>
            <w:tcBorders>
              <w:top w:val="single" w:sz="8" w:space="0" w:color="auto"/>
              <w:left w:val="nil"/>
              <w:bottom w:val="nil"/>
              <w:right w:val="single" w:sz="8" w:space="0" w:color="auto"/>
            </w:tcBorders>
            <w:noWrap/>
            <w:vAlign w:val="center"/>
            <w:hideMark/>
          </w:tcPr>
          <w:p w14:paraId="37426AA7" w14:textId="77777777" w:rsidR="00BB6B73" w:rsidRPr="00BB6B73" w:rsidRDefault="00732348" w:rsidP="00BB6B73">
            <w:pPr>
              <w:spacing w:after="0" w:line="240" w:lineRule="auto"/>
              <w:jc w:val="center"/>
              <w:rPr>
                <w:rFonts w:ascii="Times" w:eastAsia="Times New Roman" w:hAnsi="Times" w:cs="Times"/>
                <w:b/>
                <w:bCs/>
                <w:szCs w:val="24"/>
                <w:lang w:val="" w:eastAsia=""/>
              </w:rPr>
            </w:pPr>
            <w:r w:rsidRPr="00BB6B73">
              <w:rPr>
                <w:rFonts w:ascii="Times" w:eastAsia="Times New Roman" w:hAnsi="Times" w:cs="Times"/>
                <w:b/>
                <w:bCs/>
                <w:szCs w:val="24"/>
                <w:lang w:val="" w:eastAsia=""/>
              </w:rPr>
              <w:t>PayBack</w:t>
            </w:r>
          </w:p>
        </w:tc>
      </w:tr>
      <w:tr w:rsidR="00D30489" w14:paraId="6FD8DA66" w14:textId="77777777" w:rsidTr="00BB6B73">
        <w:trPr>
          <w:trHeight w:val="315"/>
        </w:trPr>
        <w:tc>
          <w:tcPr>
            <w:tcW w:w="902" w:type="dxa"/>
            <w:vMerge/>
            <w:tcBorders>
              <w:top w:val="single" w:sz="8" w:space="0" w:color="auto"/>
              <w:left w:val="single" w:sz="8" w:space="0" w:color="auto"/>
              <w:bottom w:val="single" w:sz="8" w:space="0" w:color="000000"/>
              <w:right w:val="single" w:sz="8" w:space="0" w:color="auto"/>
            </w:tcBorders>
            <w:vAlign w:val="center"/>
            <w:hideMark/>
          </w:tcPr>
          <w:p w14:paraId="19F4169B" w14:textId="77777777" w:rsidR="00BB6B73" w:rsidRPr="00BB6B73" w:rsidRDefault="00BB6B73" w:rsidP="00BB6B73">
            <w:pPr>
              <w:spacing w:after="0" w:line="240" w:lineRule="auto"/>
              <w:jc w:val="center"/>
              <w:rPr>
                <w:rFonts w:ascii="Times" w:eastAsia="Times New Roman" w:hAnsi="Times" w:cs="Times"/>
                <w:b/>
                <w:bCs/>
                <w:szCs w:val="24"/>
                <w:lang w:val="" w:eastAsia=""/>
              </w:rPr>
            </w:pPr>
          </w:p>
        </w:tc>
        <w:tc>
          <w:tcPr>
            <w:tcW w:w="1638" w:type="dxa"/>
            <w:vMerge/>
            <w:tcBorders>
              <w:top w:val="single" w:sz="8" w:space="0" w:color="auto"/>
              <w:left w:val="single" w:sz="8" w:space="0" w:color="auto"/>
              <w:bottom w:val="single" w:sz="8" w:space="0" w:color="000000"/>
              <w:right w:val="single" w:sz="8" w:space="0" w:color="auto"/>
            </w:tcBorders>
            <w:vAlign w:val="center"/>
            <w:hideMark/>
          </w:tcPr>
          <w:p w14:paraId="4413FD2B" w14:textId="77777777" w:rsidR="00BB6B73" w:rsidRPr="00BB6B73" w:rsidRDefault="00BB6B73" w:rsidP="00BB6B73">
            <w:pPr>
              <w:spacing w:after="0" w:line="240" w:lineRule="auto"/>
              <w:jc w:val="center"/>
              <w:rPr>
                <w:rFonts w:ascii="Times" w:eastAsia="Times New Roman" w:hAnsi="Times" w:cs="Times"/>
                <w:b/>
                <w:bCs/>
                <w:szCs w:val="24"/>
                <w:lang w:val="" w:eastAsia=""/>
              </w:rPr>
            </w:pPr>
          </w:p>
        </w:tc>
        <w:tc>
          <w:tcPr>
            <w:tcW w:w="1980" w:type="dxa"/>
            <w:tcBorders>
              <w:top w:val="nil"/>
              <w:left w:val="nil"/>
              <w:bottom w:val="single" w:sz="8" w:space="0" w:color="auto"/>
              <w:right w:val="single" w:sz="8" w:space="0" w:color="auto"/>
            </w:tcBorders>
            <w:noWrap/>
            <w:vAlign w:val="center"/>
            <w:hideMark/>
          </w:tcPr>
          <w:p w14:paraId="4DE431B0" w14:textId="77777777" w:rsidR="00BB6B73" w:rsidRPr="00BB6B73" w:rsidRDefault="00732348" w:rsidP="00BB6B73">
            <w:pPr>
              <w:spacing w:after="0" w:line="240" w:lineRule="auto"/>
              <w:jc w:val="center"/>
              <w:rPr>
                <w:rFonts w:ascii="Times" w:eastAsia="Times New Roman" w:hAnsi="Times" w:cs="Times"/>
                <w:b/>
                <w:bCs/>
                <w:szCs w:val="24"/>
                <w:lang w:val="" w:eastAsia=""/>
              </w:rPr>
            </w:pPr>
            <w:r w:rsidRPr="00BB6B73">
              <w:rPr>
                <w:rFonts w:ascii="Times" w:eastAsia="Times New Roman" w:hAnsi="Times" w:cs="Times"/>
                <w:b/>
                <w:bCs/>
                <w:szCs w:val="24"/>
                <w:lang w:val="" w:eastAsia=""/>
              </w:rPr>
              <w:t>Needed</w:t>
            </w:r>
          </w:p>
        </w:tc>
        <w:tc>
          <w:tcPr>
            <w:tcW w:w="1760" w:type="dxa"/>
            <w:tcBorders>
              <w:top w:val="nil"/>
              <w:left w:val="nil"/>
              <w:bottom w:val="single" w:sz="8" w:space="0" w:color="auto"/>
              <w:right w:val="single" w:sz="8" w:space="0" w:color="auto"/>
            </w:tcBorders>
            <w:noWrap/>
            <w:vAlign w:val="center"/>
            <w:hideMark/>
          </w:tcPr>
          <w:p w14:paraId="46530953" w14:textId="77777777" w:rsidR="00BB6B73" w:rsidRPr="00BB6B73" w:rsidRDefault="00732348" w:rsidP="00BB6B73">
            <w:pPr>
              <w:spacing w:after="0" w:line="240" w:lineRule="auto"/>
              <w:jc w:val="center"/>
              <w:rPr>
                <w:rFonts w:ascii="Times" w:eastAsia="Times New Roman" w:hAnsi="Times" w:cs="Times"/>
                <w:b/>
                <w:bCs/>
                <w:szCs w:val="24"/>
                <w:lang w:val="" w:eastAsia=""/>
              </w:rPr>
            </w:pPr>
            <w:r w:rsidRPr="00BB6B73">
              <w:rPr>
                <w:rFonts w:ascii="Times" w:eastAsia="Times New Roman" w:hAnsi="Times" w:cs="Times"/>
                <w:b/>
                <w:bCs/>
                <w:szCs w:val="24"/>
                <w:lang w:val="" w:eastAsia=""/>
              </w:rPr>
              <w:t>Balance</w:t>
            </w:r>
          </w:p>
        </w:tc>
        <w:tc>
          <w:tcPr>
            <w:tcW w:w="1440" w:type="dxa"/>
            <w:tcBorders>
              <w:top w:val="single" w:sz="8" w:space="0" w:color="auto"/>
              <w:left w:val="nil"/>
              <w:bottom w:val="single" w:sz="8" w:space="0" w:color="auto"/>
              <w:right w:val="single" w:sz="8" w:space="0" w:color="auto"/>
            </w:tcBorders>
            <w:noWrap/>
            <w:vAlign w:val="center"/>
            <w:hideMark/>
          </w:tcPr>
          <w:p w14:paraId="7A998D91" w14:textId="77777777" w:rsidR="00BB6B73" w:rsidRPr="00BB6B73" w:rsidRDefault="00732348" w:rsidP="00BB6B73">
            <w:pPr>
              <w:spacing w:after="0" w:line="240" w:lineRule="auto"/>
              <w:jc w:val="center"/>
              <w:rPr>
                <w:rFonts w:ascii="Times" w:eastAsia="Times New Roman" w:hAnsi="Times" w:cs="Times"/>
                <w:b/>
                <w:bCs/>
                <w:szCs w:val="24"/>
                <w:lang w:val="" w:eastAsia=""/>
              </w:rPr>
            </w:pPr>
            <w:r w:rsidRPr="00BB6B73">
              <w:rPr>
                <w:rFonts w:ascii="Times" w:eastAsia="Times New Roman" w:hAnsi="Times" w:cs="Times"/>
                <w:b/>
                <w:bCs/>
                <w:szCs w:val="24"/>
                <w:lang w:val="" w:eastAsia=""/>
              </w:rPr>
              <w:t>Period</w:t>
            </w:r>
          </w:p>
        </w:tc>
      </w:tr>
      <w:tr w:rsidR="00D30489" w14:paraId="38D2DF2F" w14:textId="77777777" w:rsidTr="00BB6B73">
        <w:trPr>
          <w:trHeight w:val="300"/>
        </w:trPr>
        <w:tc>
          <w:tcPr>
            <w:tcW w:w="902" w:type="dxa"/>
            <w:tcBorders>
              <w:top w:val="nil"/>
              <w:left w:val="single" w:sz="4" w:space="0" w:color="auto"/>
              <w:bottom w:val="single" w:sz="4" w:space="0" w:color="auto"/>
              <w:right w:val="single" w:sz="4" w:space="0" w:color="auto"/>
            </w:tcBorders>
            <w:noWrap/>
            <w:vAlign w:val="bottom"/>
            <w:hideMark/>
          </w:tcPr>
          <w:p w14:paraId="6D3F7C74"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1</w:t>
            </w:r>
          </w:p>
        </w:tc>
        <w:tc>
          <w:tcPr>
            <w:tcW w:w="1638" w:type="dxa"/>
            <w:tcBorders>
              <w:top w:val="nil"/>
              <w:left w:val="nil"/>
              <w:bottom w:val="single" w:sz="4" w:space="0" w:color="auto"/>
              <w:right w:val="single" w:sz="4" w:space="0" w:color="auto"/>
            </w:tcBorders>
            <w:noWrap/>
            <w:vAlign w:val="bottom"/>
            <w:hideMark/>
          </w:tcPr>
          <w:p w14:paraId="379662A8"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5,000,000</w:t>
            </w:r>
          </w:p>
        </w:tc>
        <w:tc>
          <w:tcPr>
            <w:tcW w:w="1980" w:type="dxa"/>
            <w:tcBorders>
              <w:top w:val="nil"/>
              <w:left w:val="nil"/>
              <w:bottom w:val="single" w:sz="4" w:space="0" w:color="auto"/>
              <w:right w:val="single" w:sz="4" w:space="0" w:color="auto"/>
            </w:tcBorders>
            <w:noWrap/>
            <w:vAlign w:val="bottom"/>
            <w:hideMark/>
          </w:tcPr>
          <w:p w14:paraId="1F538BE5"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(50,000,000)</w:t>
            </w:r>
          </w:p>
        </w:tc>
        <w:tc>
          <w:tcPr>
            <w:tcW w:w="1760" w:type="dxa"/>
            <w:tcBorders>
              <w:top w:val="nil"/>
              <w:left w:val="nil"/>
              <w:bottom w:val="single" w:sz="4" w:space="0" w:color="auto"/>
              <w:right w:val="single" w:sz="4" w:space="0" w:color="auto"/>
            </w:tcBorders>
            <w:noWrap/>
            <w:vAlign w:val="bottom"/>
            <w:hideMark/>
          </w:tcPr>
          <w:p w14:paraId="632A80E5"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(45,000,000)</w:t>
            </w:r>
          </w:p>
        </w:tc>
        <w:tc>
          <w:tcPr>
            <w:tcW w:w="1440" w:type="dxa"/>
            <w:tcBorders>
              <w:top w:val="nil"/>
              <w:left w:val="nil"/>
              <w:bottom w:val="single" w:sz="4" w:space="0" w:color="auto"/>
              <w:right w:val="single" w:sz="4" w:space="0" w:color="auto"/>
            </w:tcBorders>
            <w:noWrap/>
            <w:vAlign w:val="bottom"/>
            <w:hideMark/>
          </w:tcPr>
          <w:p w14:paraId="709FAD93"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1</w:t>
            </w:r>
          </w:p>
        </w:tc>
      </w:tr>
      <w:tr w:rsidR="00D30489" w14:paraId="20E5A473" w14:textId="77777777" w:rsidTr="00BB6B73">
        <w:trPr>
          <w:trHeight w:val="300"/>
        </w:trPr>
        <w:tc>
          <w:tcPr>
            <w:tcW w:w="902" w:type="dxa"/>
            <w:tcBorders>
              <w:top w:val="nil"/>
              <w:left w:val="single" w:sz="4" w:space="0" w:color="auto"/>
              <w:bottom w:val="single" w:sz="4" w:space="0" w:color="auto"/>
              <w:right w:val="single" w:sz="4" w:space="0" w:color="auto"/>
            </w:tcBorders>
            <w:noWrap/>
            <w:vAlign w:val="bottom"/>
            <w:hideMark/>
          </w:tcPr>
          <w:p w14:paraId="0CC8CE71"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2</w:t>
            </w:r>
          </w:p>
        </w:tc>
        <w:tc>
          <w:tcPr>
            <w:tcW w:w="1638" w:type="dxa"/>
            <w:tcBorders>
              <w:top w:val="nil"/>
              <w:left w:val="nil"/>
              <w:bottom w:val="single" w:sz="4" w:space="0" w:color="auto"/>
              <w:right w:val="single" w:sz="4" w:space="0" w:color="auto"/>
            </w:tcBorders>
            <w:noWrap/>
            <w:vAlign w:val="bottom"/>
            <w:hideMark/>
          </w:tcPr>
          <w:p w14:paraId="0EA479A7"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10,000,000</w:t>
            </w:r>
          </w:p>
        </w:tc>
        <w:tc>
          <w:tcPr>
            <w:tcW w:w="1980" w:type="dxa"/>
            <w:tcBorders>
              <w:top w:val="nil"/>
              <w:left w:val="nil"/>
              <w:bottom w:val="single" w:sz="4" w:space="0" w:color="auto"/>
              <w:right w:val="single" w:sz="4" w:space="0" w:color="auto"/>
            </w:tcBorders>
            <w:noWrap/>
            <w:vAlign w:val="bottom"/>
            <w:hideMark/>
          </w:tcPr>
          <w:p w14:paraId="56DBC2C6"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(45,000,000)</w:t>
            </w:r>
          </w:p>
        </w:tc>
        <w:tc>
          <w:tcPr>
            <w:tcW w:w="1760" w:type="dxa"/>
            <w:tcBorders>
              <w:top w:val="nil"/>
              <w:left w:val="nil"/>
              <w:bottom w:val="single" w:sz="4" w:space="0" w:color="auto"/>
              <w:right w:val="single" w:sz="4" w:space="0" w:color="auto"/>
            </w:tcBorders>
            <w:noWrap/>
            <w:vAlign w:val="bottom"/>
            <w:hideMark/>
          </w:tcPr>
          <w:p w14:paraId="47CC0E3B"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(35,000,000)</w:t>
            </w:r>
          </w:p>
        </w:tc>
        <w:tc>
          <w:tcPr>
            <w:tcW w:w="1440" w:type="dxa"/>
            <w:tcBorders>
              <w:top w:val="nil"/>
              <w:left w:val="nil"/>
              <w:bottom w:val="single" w:sz="4" w:space="0" w:color="auto"/>
              <w:right w:val="single" w:sz="4" w:space="0" w:color="auto"/>
            </w:tcBorders>
            <w:noWrap/>
            <w:vAlign w:val="bottom"/>
            <w:hideMark/>
          </w:tcPr>
          <w:p w14:paraId="7A4AC146"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2</w:t>
            </w:r>
          </w:p>
        </w:tc>
      </w:tr>
      <w:tr w:rsidR="00D30489" w14:paraId="6A779C1C" w14:textId="77777777" w:rsidTr="00BB6B73">
        <w:trPr>
          <w:trHeight w:val="300"/>
        </w:trPr>
        <w:tc>
          <w:tcPr>
            <w:tcW w:w="902" w:type="dxa"/>
            <w:tcBorders>
              <w:top w:val="nil"/>
              <w:left w:val="single" w:sz="4" w:space="0" w:color="auto"/>
              <w:bottom w:val="single" w:sz="4" w:space="0" w:color="auto"/>
              <w:right w:val="single" w:sz="4" w:space="0" w:color="auto"/>
            </w:tcBorders>
            <w:noWrap/>
            <w:vAlign w:val="bottom"/>
            <w:hideMark/>
          </w:tcPr>
          <w:p w14:paraId="24E299BC"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3</w:t>
            </w:r>
          </w:p>
        </w:tc>
        <w:tc>
          <w:tcPr>
            <w:tcW w:w="1638" w:type="dxa"/>
            <w:tcBorders>
              <w:top w:val="nil"/>
              <w:left w:val="nil"/>
              <w:bottom w:val="single" w:sz="4" w:space="0" w:color="auto"/>
              <w:right w:val="single" w:sz="4" w:space="0" w:color="auto"/>
            </w:tcBorders>
            <w:noWrap/>
            <w:vAlign w:val="bottom"/>
            <w:hideMark/>
          </w:tcPr>
          <w:p w14:paraId="24307F7D"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20,000,000</w:t>
            </w:r>
          </w:p>
        </w:tc>
        <w:tc>
          <w:tcPr>
            <w:tcW w:w="1980" w:type="dxa"/>
            <w:tcBorders>
              <w:top w:val="nil"/>
              <w:left w:val="nil"/>
              <w:bottom w:val="single" w:sz="4" w:space="0" w:color="auto"/>
              <w:right w:val="single" w:sz="4" w:space="0" w:color="auto"/>
            </w:tcBorders>
            <w:noWrap/>
            <w:vAlign w:val="bottom"/>
            <w:hideMark/>
          </w:tcPr>
          <w:p w14:paraId="7397AF1B"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(35,000,000)</w:t>
            </w:r>
          </w:p>
        </w:tc>
        <w:tc>
          <w:tcPr>
            <w:tcW w:w="1760" w:type="dxa"/>
            <w:tcBorders>
              <w:top w:val="nil"/>
              <w:left w:val="nil"/>
              <w:bottom w:val="single" w:sz="4" w:space="0" w:color="auto"/>
              <w:right w:val="single" w:sz="4" w:space="0" w:color="auto"/>
            </w:tcBorders>
            <w:noWrap/>
            <w:vAlign w:val="bottom"/>
            <w:hideMark/>
          </w:tcPr>
          <w:p w14:paraId="1D2590B4"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(15,000,000)</w:t>
            </w:r>
          </w:p>
        </w:tc>
        <w:tc>
          <w:tcPr>
            <w:tcW w:w="1440" w:type="dxa"/>
            <w:tcBorders>
              <w:top w:val="nil"/>
              <w:left w:val="nil"/>
              <w:bottom w:val="single" w:sz="4" w:space="0" w:color="auto"/>
              <w:right w:val="single" w:sz="4" w:space="0" w:color="auto"/>
            </w:tcBorders>
            <w:noWrap/>
            <w:vAlign w:val="bottom"/>
            <w:hideMark/>
          </w:tcPr>
          <w:p w14:paraId="452D0077"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3</w:t>
            </w:r>
          </w:p>
        </w:tc>
      </w:tr>
      <w:tr w:rsidR="00D30489" w14:paraId="7899D9EC" w14:textId="77777777" w:rsidTr="00BB6B73">
        <w:trPr>
          <w:trHeight w:val="300"/>
        </w:trPr>
        <w:tc>
          <w:tcPr>
            <w:tcW w:w="902" w:type="dxa"/>
            <w:tcBorders>
              <w:top w:val="nil"/>
              <w:left w:val="single" w:sz="4" w:space="0" w:color="auto"/>
              <w:bottom w:val="single" w:sz="4" w:space="0" w:color="auto"/>
              <w:right w:val="single" w:sz="4" w:space="0" w:color="auto"/>
            </w:tcBorders>
            <w:noWrap/>
            <w:vAlign w:val="bottom"/>
            <w:hideMark/>
          </w:tcPr>
          <w:p w14:paraId="09ACD7EF"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4</w:t>
            </w:r>
          </w:p>
        </w:tc>
        <w:tc>
          <w:tcPr>
            <w:tcW w:w="1638" w:type="dxa"/>
            <w:tcBorders>
              <w:top w:val="nil"/>
              <w:left w:val="nil"/>
              <w:bottom w:val="single" w:sz="4" w:space="0" w:color="auto"/>
              <w:right w:val="single" w:sz="4" w:space="0" w:color="auto"/>
            </w:tcBorders>
            <w:noWrap/>
            <w:vAlign w:val="bottom"/>
            <w:hideMark/>
          </w:tcPr>
          <w:p w14:paraId="46E4A5AB"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25,000,000</w:t>
            </w:r>
          </w:p>
        </w:tc>
        <w:tc>
          <w:tcPr>
            <w:tcW w:w="1980" w:type="dxa"/>
            <w:tcBorders>
              <w:top w:val="nil"/>
              <w:left w:val="nil"/>
              <w:bottom w:val="single" w:sz="4" w:space="0" w:color="auto"/>
              <w:right w:val="single" w:sz="4" w:space="0" w:color="auto"/>
            </w:tcBorders>
            <w:noWrap/>
            <w:vAlign w:val="bottom"/>
            <w:hideMark/>
          </w:tcPr>
          <w:p w14:paraId="4CB473A7"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(15,000,000)</w:t>
            </w:r>
          </w:p>
        </w:tc>
        <w:tc>
          <w:tcPr>
            <w:tcW w:w="1760" w:type="dxa"/>
            <w:tcBorders>
              <w:top w:val="nil"/>
              <w:left w:val="nil"/>
              <w:bottom w:val="single" w:sz="4" w:space="0" w:color="auto"/>
              <w:right w:val="single" w:sz="4" w:space="0" w:color="auto"/>
            </w:tcBorders>
            <w:noWrap/>
            <w:vAlign w:val="bottom"/>
            <w:hideMark/>
          </w:tcPr>
          <w:p w14:paraId="41C5A20A"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10,000,000</w:t>
            </w:r>
          </w:p>
        </w:tc>
        <w:tc>
          <w:tcPr>
            <w:tcW w:w="1440" w:type="dxa"/>
            <w:tcBorders>
              <w:top w:val="nil"/>
              <w:left w:val="nil"/>
              <w:bottom w:val="single" w:sz="4" w:space="0" w:color="auto"/>
              <w:right w:val="single" w:sz="4" w:space="0" w:color="auto"/>
            </w:tcBorders>
            <w:noWrap/>
            <w:vAlign w:val="bottom"/>
            <w:hideMark/>
          </w:tcPr>
          <w:p w14:paraId="55E62157" w14:textId="77777777" w:rsidR="00BB6B73" w:rsidRPr="00BB6B73" w:rsidRDefault="00BB6B73" w:rsidP="00BB6B73">
            <w:pPr>
              <w:spacing w:after="0" w:line="240" w:lineRule="auto"/>
              <w:jc w:val="center"/>
              <w:rPr>
                <w:rFonts w:ascii="Times" w:eastAsia="Times New Roman" w:hAnsi="Times" w:cs="Times"/>
                <w:szCs w:val="24"/>
                <w:lang w:val="" w:eastAsia=""/>
              </w:rPr>
            </w:pPr>
          </w:p>
        </w:tc>
      </w:tr>
      <w:tr w:rsidR="00D30489" w14:paraId="1F041D50" w14:textId="77777777" w:rsidTr="00BB6B73">
        <w:trPr>
          <w:trHeight w:val="300"/>
        </w:trPr>
        <w:tc>
          <w:tcPr>
            <w:tcW w:w="902" w:type="dxa"/>
            <w:tcBorders>
              <w:top w:val="nil"/>
              <w:left w:val="single" w:sz="4" w:space="0" w:color="auto"/>
              <w:bottom w:val="single" w:sz="4" w:space="0" w:color="auto"/>
              <w:right w:val="single" w:sz="4" w:space="0" w:color="auto"/>
            </w:tcBorders>
            <w:noWrap/>
            <w:vAlign w:val="bottom"/>
            <w:hideMark/>
          </w:tcPr>
          <w:p w14:paraId="414A3256"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5</w:t>
            </w:r>
          </w:p>
        </w:tc>
        <w:tc>
          <w:tcPr>
            <w:tcW w:w="1638" w:type="dxa"/>
            <w:tcBorders>
              <w:top w:val="nil"/>
              <w:left w:val="nil"/>
              <w:bottom w:val="single" w:sz="4" w:space="0" w:color="auto"/>
              <w:right w:val="single" w:sz="4" w:space="0" w:color="auto"/>
            </w:tcBorders>
            <w:noWrap/>
            <w:vAlign w:val="bottom"/>
            <w:hideMark/>
          </w:tcPr>
          <w:p w14:paraId="5679F3F8"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5,000,000</w:t>
            </w:r>
          </w:p>
        </w:tc>
        <w:tc>
          <w:tcPr>
            <w:tcW w:w="1980" w:type="dxa"/>
            <w:tcBorders>
              <w:top w:val="nil"/>
              <w:left w:val="nil"/>
              <w:bottom w:val="single" w:sz="4" w:space="0" w:color="auto"/>
              <w:right w:val="single" w:sz="4" w:space="0" w:color="auto"/>
            </w:tcBorders>
            <w:noWrap/>
            <w:vAlign w:val="bottom"/>
            <w:hideMark/>
          </w:tcPr>
          <w:p w14:paraId="1F914C0F"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760" w:type="dxa"/>
            <w:tcBorders>
              <w:top w:val="nil"/>
              <w:left w:val="nil"/>
              <w:bottom w:val="single" w:sz="4" w:space="0" w:color="auto"/>
              <w:right w:val="single" w:sz="4" w:space="0" w:color="auto"/>
            </w:tcBorders>
            <w:noWrap/>
            <w:vAlign w:val="bottom"/>
            <w:hideMark/>
          </w:tcPr>
          <w:p w14:paraId="241FA28F"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440" w:type="dxa"/>
            <w:tcBorders>
              <w:top w:val="nil"/>
              <w:left w:val="nil"/>
              <w:bottom w:val="single" w:sz="4" w:space="0" w:color="auto"/>
              <w:right w:val="single" w:sz="4" w:space="0" w:color="auto"/>
            </w:tcBorders>
            <w:noWrap/>
            <w:vAlign w:val="bottom"/>
            <w:hideMark/>
          </w:tcPr>
          <w:p w14:paraId="6CAC09E2" w14:textId="77777777" w:rsidR="00BB6B73" w:rsidRPr="00BB6B73" w:rsidRDefault="00BB6B73" w:rsidP="00BB6B73">
            <w:pPr>
              <w:spacing w:after="0" w:line="240" w:lineRule="auto"/>
              <w:jc w:val="center"/>
              <w:rPr>
                <w:rFonts w:ascii="Times" w:eastAsia="Times New Roman" w:hAnsi="Times" w:cs="Times"/>
                <w:szCs w:val="24"/>
                <w:lang w:val="" w:eastAsia=""/>
              </w:rPr>
            </w:pPr>
          </w:p>
        </w:tc>
      </w:tr>
      <w:tr w:rsidR="00D30489" w14:paraId="67F2B1E4" w14:textId="77777777" w:rsidTr="00BB6B73">
        <w:trPr>
          <w:trHeight w:val="300"/>
        </w:trPr>
        <w:tc>
          <w:tcPr>
            <w:tcW w:w="902" w:type="dxa"/>
            <w:tcBorders>
              <w:top w:val="nil"/>
              <w:left w:val="single" w:sz="4" w:space="0" w:color="auto"/>
              <w:bottom w:val="single" w:sz="4" w:space="0" w:color="auto"/>
              <w:right w:val="single" w:sz="4" w:space="0" w:color="auto"/>
            </w:tcBorders>
            <w:noWrap/>
            <w:vAlign w:val="bottom"/>
            <w:hideMark/>
          </w:tcPr>
          <w:p w14:paraId="7BE5436D"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638" w:type="dxa"/>
            <w:tcBorders>
              <w:top w:val="nil"/>
              <w:left w:val="nil"/>
              <w:bottom w:val="single" w:sz="4" w:space="0" w:color="auto"/>
              <w:right w:val="single" w:sz="4" w:space="0" w:color="auto"/>
            </w:tcBorders>
            <w:noWrap/>
            <w:vAlign w:val="bottom"/>
            <w:hideMark/>
          </w:tcPr>
          <w:p w14:paraId="2558A3BC"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980" w:type="dxa"/>
            <w:tcBorders>
              <w:top w:val="nil"/>
              <w:left w:val="nil"/>
              <w:bottom w:val="single" w:sz="4" w:space="0" w:color="auto"/>
              <w:right w:val="single" w:sz="4" w:space="0" w:color="auto"/>
            </w:tcBorders>
            <w:noWrap/>
            <w:vAlign w:val="bottom"/>
            <w:hideMark/>
          </w:tcPr>
          <w:p w14:paraId="548E35F1"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760" w:type="dxa"/>
            <w:tcBorders>
              <w:top w:val="nil"/>
              <w:left w:val="nil"/>
              <w:bottom w:val="single" w:sz="4" w:space="0" w:color="auto"/>
              <w:right w:val="single" w:sz="4" w:space="0" w:color="auto"/>
            </w:tcBorders>
            <w:noWrap/>
            <w:vAlign w:val="bottom"/>
            <w:hideMark/>
          </w:tcPr>
          <w:p w14:paraId="6EB845CD"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440" w:type="dxa"/>
            <w:tcBorders>
              <w:top w:val="nil"/>
              <w:left w:val="nil"/>
              <w:bottom w:val="single" w:sz="4" w:space="0" w:color="auto"/>
              <w:right w:val="single" w:sz="4" w:space="0" w:color="auto"/>
            </w:tcBorders>
            <w:noWrap/>
            <w:vAlign w:val="bottom"/>
            <w:hideMark/>
          </w:tcPr>
          <w:p w14:paraId="2E5AAEDA" w14:textId="77777777" w:rsidR="00BB6B73" w:rsidRPr="00BB6B73" w:rsidRDefault="00BB6B73" w:rsidP="00BB6B73">
            <w:pPr>
              <w:spacing w:after="0" w:line="240" w:lineRule="auto"/>
              <w:jc w:val="center"/>
              <w:rPr>
                <w:rFonts w:ascii="Times" w:eastAsia="Times New Roman" w:hAnsi="Times" w:cs="Times"/>
                <w:szCs w:val="24"/>
                <w:lang w:val="" w:eastAsia=""/>
              </w:rPr>
            </w:pPr>
          </w:p>
        </w:tc>
      </w:tr>
      <w:tr w:rsidR="00D30489" w14:paraId="3A482049" w14:textId="77777777" w:rsidTr="00BB6B73">
        <w:trPr>
          <w:trHeight w:val="300"/>
        </w:trPr>
        <w:tc>
          <w:tcPr>
            <w:tcW w:w="902" w:type="dxa"/>
            <w:tcBorders>
              <w:top w:val="nil"/>
              <w:left w:val="single" w:sz="4" w:space="0" w:color="auto"/>
              <w:bottom w:val="single" w:sz="4" w:space="0" w:color="auto"/>
              <w:right w:val="single" w:sz="4" w:space="0" w:color="auto"/>
            </w:tcBorders>
            <w:noWrap/>
            <w:vAlign w:val="bottom"/>
            <w:hideMark/>
          </w:tcPr>
          <w:p w14:paraId="649F69B8"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638" w:type="dxa"/>
            <w:tcBorders>
              <w:top w:val="nil"/>
              <w:left w:val="nil"/>
              <w:bottom w:val="single" w:sz="4" w:space="0" w:color="auto"/>
              <w:right w:val="single" w:sz="4" w:space="0" w:color="auto"/>
            </w:tcBorders>
            <w:noWrap/>
            <w:vAlign w:val="bottom"/>
            <w:hideMark/>
          </w:tcPr>
          <w:p w14:paraId="52A79547"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980" w:type="dxa"/>
            <w:tcBorders>
              <w:top w:val="nil"/>
              <w:left w:val="nil"/>
              <w:bottom w:val="single" w:sz="4" w:space="0" w:color="auto"/>
              <w:right w:val="single" w:sz="4" w:space="0" w:color="auto"/>
            </w:tcBorders>
            <w:noWrap/>
            <w:vAlign w:val="bottom"/>
            <w:hideMark/>
          </w:tcPr>
          <w:p w14:paraId="0216B20B"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760" w:type="dxa"/>
            <w:tcBorders>
              <w:top w:val="nil"/>
              <w:left w:val="nil"/>
              <w:bottom w:val="single" w:sz="4" w:space="0" w:color="auto"/>
              <w:right w:val="single" w:sz="4" w:space="0" w:color="auto"/>
            </w:tcBorders>
            <w:noWrap/>
            <w:vAlign w:val="bottom"/>
            <w:hideMark/>
          </w:tcPr>
          <w:p w14:paraId="3BB8FD07"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440" w:type="dxa"/>
            <w:tcBorders>
              <w:top w:val="nil"/>
              <w:left w:val="nil"/>
              <w:bottom w:val="single" w:sz="4" w:space="0" w:color="auto"/>
              <w:right w:val="single" w:sz="4" w:space="0" w:color="auto"/>
            </w:tcBorders>
            <w:noWrap/>
            <w:vAlign w:val="bottom"/>
            <w:hideMark/>
          </w:tcPr>
          <w:p w14:paraId="42CFD5C1" w14:textId="77777777" w:rsidR="00BB6B73" w:rsidRPr="00BB6B73" w:rsidRDefault="00BB6B73" w:rsidP="00BB6B73">
            <w:pPr>
              <w:spacing w:after="0" w:line="240" w:lineRule="auto"/>
              <w:jc w:val="center"/>
              <w:rPr>
                <w:rFonts w:ascii="Times" w:eastAsia="Times New Roman" w:hAnsi="Times" w:cs="Times"/>
                <w:szCs w:val="24"/>
                <w:lang w:val="" w:eastAsia=""/>
              </w:rPr>
            </w:pPr>
          </w:p>
        </w:tc>
      </w:tr>
      <w:tr w:rsidR="00D30489" w14:paraId="5F124853" w14:textId="77777777" w:rsidTr="00BB6B73">
        <w:trPr>
          <w:trHeight w:val="315"/>
        </w:trPr>
        <w:tc>
          <w:tcPr>
            <w:tcW w:w="902" w:type="dxa"/>
            <w:tcBorders>
              <w:top w:val="nil"/>
              <w:left w:val="nil"/>
              <w:bottom w:val="nil"/>
              <w:right w:val="nil"/>
            </w:tcBorders>
            <w:noWrap/>
            <w:vAlign w:val="bottom"/>
            <w:hideMark/>
          </w:tcPr>
          <w:p w14:paraId="7C0B5BD2"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638" w:type="dxa"/>
            <w:tcBorders>
              <w:top w:val="nil"/>
              <w:left w:val="nil"/>
              <w:bottom w:val="single" w:sz="8" w:space="0" w:color="auto"/>
              <w:right w:val="nil"/>
            </w:tcBorders>
            <w:noWrap/>
            <w:vAlign w:val="bottom"/>
            <w:hideMark/>
          </w:tcPr>
          <w:p w14:paraId="5ACE762E"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15,000,000</w:t>
            </w:r>
          </w:p>
        </w:tc>
        <w:tc>
          <w:tcPr>
            <w:tcW w:w="1980" w:type="dxa"/>
            <w:tcBorders>
              <w:top w:val="nil"/>
              <w:left w:val="nil"/>
              <w:bottom w:val="nil"/>
              <w:right w:val="nil"/>
            </w:tcBorders>
            <w:noWrap/>
            <w:vAlign w:val="bottom"/>
            <w:hideMark/>
          </w:tcPr>
          <w:p w14:paraId="3D98BC52"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0.6000</w:t>
            </w:r>
          </w:p>
        </w:tc>
        <w:tc>
          <w:tcPr>
            <w:tcW w:w="1760" w:type="dxa"/>
            <w:tcBorders>
              <w:top w:val="nil"/>
              <w:left w:val="nil"/>
              <w:bottom w:val="nil"/>
              <w:right w:val="nil"/>
            </w:tcBorders>
            <w:noWrap/>
            <w:vAlign w:val="bottom"/>
            <w:hideMark/>
          </w:tcPr>
          <w:p w14:paraId="277D6810"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440" w:type="dxa"/>
            <w:tcBorders>
              <w:top w:val="nil"/>
              <w:left w:val="nil"/>
              <w:bottom w:val="nil"/>
              <w:right w:val="nil"/>
            </w:tcBorders>
            <w:noWrap/>
            <w:vAlign w:val="bottom"/>
            <w:hideMark/>
          </w:tcPr>
          <w:p w14:paraId="110DF23A" w14:textId="77777777" w:rsidR="00BB6B73" w:rsidRPr="00BB6B73" w:rsidRDefault="00BB6B73" w:rsidP="00BB6B73">
            <w:pPr>
              <w:spacing w:after="0" w:line="240" w:lineRule="auto"/>
              <w:jc w:val="center"/>
              <w:rPr>
                <w:rFonts w:eastAsia="Times New Roman" w:cs="Times New Roman"/>
                <w:sz w:val="20"/>
                <w:szCs w:val="20"/>
                <w:lang w:val="" w:eastAsia=""/>
              </w:rPr>
            </w:pPr>
          </w:p>
        </w:tc>
      </w:tr>
      <w:tr w:rsidR="00D30489" w14:paraId="4B702719" w14:textId="77777777" w:rsidTr="00BB6B73">
        <w:trPr>
          <w:trHeight w:val="300"/>
        </w:trPr>
        <w:tc>
          <w:tcPr>
            <w:tcW w:w="902" w:type="dxa"/>
            <w:tcBorders>
              <w:top w:val="nil"/>
              <w:left w:val="nil"/>
              <w:bottom w:val="nil"/>
              <w:right w:val="nil"/>
            </w:tcBorders>
            <w:noWrap/>
            <w:vAlign w:val="bottom"/>
            <w:hideMark/>
          </w:tcPr>
          <w:p w14:paraId="5B6D8D44" w14:textId="77777777" w:rsidR="00BB6B73" w:rsidRPr="00BB6B73" w:rsidRDefault="00BB6B73" w:rsidP="00BB6B73">
            <w:pPr>
              <w:spacing w:after="0" w:line="240" w:lineRule="auto"/>
              <w:jc w:val="center"/>
              <w:rPr>
                <w:rFonts w:eastAsia="Times New Roman" w:cs="Times New Roman"/>
                <w:sz w:val="20"/>
                <w:szCs w:val="20"/>
                <w:lang w:val="" w:eastAsia=""/>
              </w:rPr>
            </w:pPr>
          </w:p>
        </w:tc>
        <w:tc>
          <w:tcPr>
            <w:tcW w:w="1638" w:type="dxa"/>
            <w:tcBorders>
              <w:top w:val="nil"/>
              <w:left w:val="nil"/>
              <w:bottom w:val="nil"/>
              <w:right w:val="nil"/>
            </w:tcBorders>
            <w:noWrap/>
            <w:vAlign w:val="bottom"/>
            <w:hideMark/>
          </w:tcPr>
          <w:p w14:paraId="14D13FE0"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25,000,000</w:t>
            </w:r>
          </w:p>
        </w:tc>
        <w:tc>
          <w:tcPr>
            <w:tcW w:w="1980" w:type="dxa"/>
            <w:tcBorders>
              <w:top w:val="nil"/>
              <w:left w:val="nil"/>
              <w:bottom w:val="nil"/>
              <w:right w:val="nil"/>
            </w:tcBorders>
            <w:noWrap/>
            <w:vAlign w:val="bottom"/>
            <w:hideMark/>
          </w:tcPr>
          <w:p w14:paraId="3A8C2381"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760" w:type="dxa"/>
            <w:tcBorders>
              <w:top w:val="nil"/>
              <w:left w:val="nil"/>
              <w:bottom w:val="nil"/>
              <w:right w:val="nil"/>
            </w:tcBorders>
            <w:noWrap/>
            <w:vAlign w:val="bottom"/>
            <w:hideMark/>
          </w:tcPr>
          <w:p w14:paraId="2D3AEF5F" w14:textId="77777777" w:rsidR="00BB6B73" w:rsidRPr="00BB6B73" w:rsidRDefault="00BB6B73" w:rsidP="00BB6B73">
            <w:pPr>
              <w:spacing w:after="0" w:line="240" w:lineRule="auto"/>
              <w:jc w:val="center"/>
              <w:rPr>
                <w:rFonts w:eastAsia="Times New Roman" w:cs="Times New Roman"/>
                <w:sz w:val="20"/>
                <w:szCs w:val="20"/>
                <w:lang w:val="" w:eastAsia=""/>
              </w:rPr>
            </w:pPr>
          </w:p>
        </w:tc>
        <w:tc>
          <w:tcPr>
            <w:tcW w:w="1440" w:type="dxa"/>
            <w:tcBorders>
              <w:top w:val="nil"/>
              <w:left w:val="nil"/>
              <w:bottom w:val="nil"/>
              <w:right w:val="nil"/>
            </w:tcBorders>
            <w:noWrap/>
            <w:vAlign w:val="bottom"/>
            <w:hideMark/>
          </w:tcPr>
          <w:p w14:paraId="48FDCB61" w14:textId="77777777" w:rsidR="00BB6B73" w:rsidRPr="00BB6B73" w:rsidRDefault="00BB6B73" w:rsidP="00BB6B73">
            <w:pPr>
              <w:spacing w:after="0" w:line="240" w:lineRule="auto"/>
              <w:jc w:val="center"/>
              <w:rPr>
                <w:rFonts w:eastAsia="Times New Roman" w:cs="Times New Roman"/>
                <w:sz w:val="20"/>
                <w:szCs w:val="20"/>
                <w:lang w:val="" w:eastAsia=""/>
              </w:rPr>
            </w:pPr>
          </w:p>
        </w:tc>
      </w:tr>
      <w:tr w:rsidR="00D30489" w14:paraId="3D8DB441" w14:textId="77777777" w:rsidTr="00BB6B73">
        <w:trPr>
          <w:trHeight w:val="300"/>
        </w:trPr>
        <w:tc>
          <w:tcPr>
            <w:tcW w:w="902" w:type="dxa"/>
            <w:tcBorders>
              <w:top w:val="nil"/>
              <w:left w:val="nil"/>
              <w:bottom w:val="nil"/>
              <w:right w:val="nil"/>
            </w:tcBorders>
            <w:noWrap/>
            <w:vAlign w:val="bottom"/>
            <w:hideMark/>
          </w:tcPr>
          <w:p w14:paraId="2898C246" w14:textId="77777777" w:rsidR="00BB6B73" w:rsidRPr="00BB6B73" w:rsidRDefault="00BB6B73" w:rsidP="00BB6B73">
            <w:pPr>
              <w:spacing w:after="0" w:line="240" w:lineRule="auto"/>
              <w:jc w:val="center"/>
              <w:rPr>
                <w:rFonts w:eastAsia="Times New Roman" w:cs="Times New Roman"/>
                <w:sz w:val="20"/>
                <w:szCs w:val="20"/>
                <w:lang w:val="" w:eastAsia=""/>
              </w:rPr>
            </w:pPr>
          </w:p>
        </w:tc>
        <w:tc>
          <w:tcPr>
            <w:tcW w:w="3618" w:type="dxa"/>
            <w:gridSpan w:val="2"/>
            <w:tcBorders>
              <w:top w:val="nil"/>
              <w:left w:val="nil"/>
              <w:bottom w:val="nil"/>
              <w:right w:val="nil"/>
            </w:tcBorders>
            <w:noWrap/>
            <w:vAlign w:val="bottom"/>
            <w:hideMark/>
          </w:tcPr>
          <w:p w14:paraId="0761C941"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0.6 x 12 months =</w:t>
            </w:r>
          </w:p>
        </w:tc>
        <w:tc>
          <w:tcPr>
            <w:tcW w:w="1760" w:type="dxa"/>
            <w:tcBorders>
              <w:top w:val="nil"/>
              <w:left w:val="nil"/>
              <w:bottom w:val="nil"/>
              <w:right w:val="nil"/>
            </w:tcBorders>
            <w:noWrap/>
            <w:vAlign w:val="bottom"/>
            <w:hideMark/>
          </w:tcPr>
          <w:p w14:paraId="4D728393"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440" w:type="dxa"/>
            <w:tcBorders>
              <w:top w:val="nil"/>
              <w:left w:val="nil"/>
              <w:bottom w:val="nil"/>
              <w:right w:val="nil"/>
            </w:tcBorders>
            <w:noWrap/>
            <w:vAlign w:val="bottom"/>
            <w:hideMark/>
          </w:tcPr>
          <w:p w14:paraId="3D2E8AC0"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7.2000</w:t>
            </w:r>
          </w:p>
        </w:tc>
      </w:tr>
      <w:tr w:rsidR="00D30489" w14:paraId="0A7217A6" w14:textId="77777777" w:rsidTr="00BB6B73">
        <w:trPr>
          <w:trHeight w:val="300"/>
        </w:trPr>
        <w:tc>
          <w:tcPr>
            <w:tcW w:w="902" w:type="dxa"/>
            <w:tcBorders>
              <w:top w:val="nil"/>
              <w:left w:val="nil"/>
              <w:bottom w:val="nil"/>
              <w:right w:val="nil"/>
            </w:tcBorders>
            <w:noWrap/>
            <w:vAlign w:val="bottom"/>
            <w:hideMark/>
          </w:tcPr>
          <w:p w14:paraId="0048E68D"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3618" w:type="dxa"/>
            <w:gridSpan w:val="2"/>
            <w:tcBorders>
              <w:top w:val="nil"/>
              <w:left w:val="nil"/>
              <w:bottom w:val="nil"/>
              <w:right w:val="nil"/>
            </w:tcBorders>
            <w:noWrap/>
            <w:vAlign w:val="bottom"/>
            <w:hideMark/>
          </w:tcPr>
          <w:p w14:paraId="07C166E6"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0.2 x 30 Days =</w:t>
            </w:r>
          </w:p>
        </w:tc>
        <w:tc>
          <w:tcPr>
            <w:tcW w:w="1760" w:type="dxa"/>
            <w:tcBorders>
              <w:top w:val="nil"/>
              <w:left w:val="nil"/>
              <w:bottom w:val="nil"/>
              <w:right w:val="nil"/>
            </w:tcBorders>
            <w:noWrap/>
            <w:vAlign w:val="bottom"/>
            <w:hideMark/>
          </w:tcPr>
          <w:p w14:paraId="21953776"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1440" w:type="dxa"/>
            <w:tcBorders>
              <w:top w:val="nil"/>
              <w:left w:val="nil"/>
              <w:bottom w:val="nil"/>
              <w:right w:val="nil"/>
            </w:tcBorders>
            <w:noWrap/>
            <w:vAlign w:val="bottom"/>
            <w:hideMark/>
          </w:tcPr>
          <w:p w14:paraId="747D6AAB"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6</w:t>
            </w:r>
          </w:p>
        </w:tc>
      </w:tr>
      <w:tr w:rsidR="00D30489" w14:paraId="639C4FAE" w14:textId="77777777" w:rsidTr="00BB6B73">
        <w:trPr>
          <w:trHeight w:val="300"/>
        </w:trPr>
        <w:tc>
          <w:tcPr>
            <w:tcW w:w="902" w:type="dxa"/>
            <w:tcBorders>
              <w:top w:val="nil"/>
              <w:left w:val="nil"/>
              <w:bottom w:val="nil"/>
              <w:right w:val="nil"/>
            </w:tcBorders>
            <w:noWrap/>
            <w:vAlign w:val="bottom"/>
            <w:hideMark/>
          </w:tcPr>
          <w:p w14:paraId="5601FE5D" w14:textId="77777777" w:rsidR="00BB6B73" w:rsidRPr="00BB6B73" w:rsidRDefault="00BB6B73" w:rsidP="00BB6B73">
            <w:pPr>
              <w:spacing w:after="0" w:line="240" w:lineRule="auto"/>
              <w:jc w:val="center"/>
              <w:rPr>
                <w:rFonts w:ascii="Times" w:eastAsia="Times New Roman" w:hAnsi="Times" w:cs="Times"/>
                <w:szCs w:val="24"/>
                <w:lang w:val="" w:eastAsia=""/>
              </w:rPr>
            </w:pPr>
          </w:p>
        </w:tc>
        <w:tc>
          <w:tcPr>
            <w:tcW w:w="5378" w:type="dxa"/>
            <w:gridSpan w:val="3"/>
            <w:tcBorders>
              <w:top w:val="nil"/>
              <w:left w:val="nil"/>
              <w:bottom w:val="nil"/>
              <w:right w:val="nil"/>
            </w:tcBorders>
            <w:noWrap/>
            <w:vAlign w:val="bottom"/>
            <w:hideMark/>
          </w:tcPr>
          <w:p w14:paraId="2588256E" w14:textId="77777777" w:rsidR="00BB6B73" w:rsidRPr="00BB6B73" w:rsidRDefault="00732348" w:rsidP="00BB6B73">
            <w:pPr>
              <w:spacing w:after="0" w:line="240" w:lineRule="auto"/>
              <w:jc w:val="center"/>
              <w:rPr>
                <w:rFonts w:ascii="Times" w:eastAsia="Times New Roman" w:hAnsi="Times" w:cs="Times"/>
                <w:szCs w:val="24"/>
                <w:lang w:val="" w:eastAsia=""/>
              </w:rPr>
            </w:pPr>
            <w:r w:rsidRPr="00BB6B73">
              <w:rPr>
                <w:rFonts w:ascii="Times" w:eastAsia="Times New Roman" w:hAnsi="Times" w:cs="Times"/>
                <w:szCs w:val="24"/>
                <w:lang w:val="" w:eastAsia=""/>
              </w:rPr>
              <w:t>Payback period = 3 years, 7 months, and 6 Days</w:t>
            </w:r>
          </w:p>
        </w:tc>
        <w:tc>
          <w:tcPr>
            <w:tcW w:w="1440" w:type="dxa"/>
            <w:tcBorders>
              <w:top w:val="nil"/>
              <w:left w:val="nil"/>
              <w:bottom w:val="nil"/>
              <w:right w:val="nil"/>
            </w:tcBorders>
            <w:noWrap/>
            <w:vAlign w:val="bottom"/>
            <w:hideMark/>
          </w:tcPr>
          <w:p w14:paraId="7310B929" w14:textId="77777777" w:rsidR="00BB6B73" w:rsidRPr="00BB6B73" w:rsidRDefault="00BB6B73" w:rsidP="00BB6B73">
            <w:pPr>
              <w:spacing w:after="0" w:line="240" w:lineRule="auto"/>
              <w:jc w:val="center"/>
              <w:rPr>
                <w:rFonts w:ascii="Times" w:eastAsia="Times New Roman" w:hAnsi="Times" w:cs="Times"/>
                <w:szCs w:val="24"/>
                <w:lang w:val="" w:eastAsia=""/>
              </w:rPr>
            </w:pPr>
          </w:p>
        </w:tc>
      </w:tr>
    </w:tbl>
    <w:p w14:paraId="7EA9B4BA" w14:textId="77777777" w:rsidR="00BB6B73" w:rsidRDefault="00BB6B73" w:rsidP="00ED3DBF">
      <w:pPr>
        <w:spacing w:line="360" w:lineRule="auto"/>
        <w:rPr>
          <w:rFonts w:ascii="Times" w:hAnsi="Times" w:cs="Times"/>
          <w:b/>
          <w:szCs w:val="24"/>
        </w:rPr>
      </w:pPr>
    </w:p>
    <w:p w14:paraId="4F8740B3" w14:textId="77777777" w:rsidR="00ED3DBF" w:rsidRDefault="00732348" w:rsidP="00ED3DBF">
      <w:pPr>
        <w:spacing w:line="360" w:lineRule="auto"/>
        <w:rPr>
          <w:rFonts w:ascii="Times" w:hAnsi="Times" w:cs="Times"/>
          <w:b/>
          <w:szCs w:val="24"/>
        </w:rPr>
      </w:pPr>
      <w:r>
        <w:rPr>
          <w:rFonts w:ascii="Times" w:hAnsi="Times" w:cs="Times"/>
          <w:b/>
          <w:szCs w:val="24"/>
        </w:rPr>
        <w:lastRenderedPageBreak/>
        <w:t xml:space="preserve">Accounting rate of return </w:t>
      </w:r>
    </w:p>
    <w:p w14:paraId="12C9FA0F" w14:textId="77777777" w:rsidR="001C1C64" w:rsidRPr="007B0851" w:rsidRDefault="00732348" w:rsidP="001C1C64">
      <w:pPr>
        <w:spacing w:line="360" w:lineRule="auto"/>
        <w:rPr>
          <w:rFonts w:ascii="Times" w:hAnsi="Times" w:cs="Times"/>
          <w:szCs w:val="24"/>
        </w:rPr>
      </w:pPr>
      <w:r w:rsidRPr="007B0851">
        <w:rPr>
          <w:rFonts w:ascii="Times" w:hAnsi="Times" w:cs="Times"/>
          <w:szCs w:val="24"/>
        </w:rPr>
        <w:t xml:space="preserve">Depreciation = 50,000,000 / 5 = 10,000,000 annually </w:t>
      </w:r>
    </w:p>
    <w:p w14:paraId="698ABB8F" w14:textId="77777777" w:rsidR="001C1C64" w:rsidRPr="007B0851" w:rsidRDefault="00732348" w:rsidP="001C1C64">
      <w:pPr>
        <w:spacing w:line="360" w:lineRule="auto"/>
        <w:rPr>
          <w:rFonts w:ascii="Times" w:hAnsi="Times" w:cs="Times"/>
          <w:szCs w:val="24"/>
        </w:rPr>
      </w:pPr>
      <w:r w:rsidRPr="007B0851">
        <w:rPr>
          <w:rFonts w:ascii="Times" w:hAnsi="Times" w:cs="Times"/>
          <w:szCs w:val="24"/>
        </w:rPr>
        <w:t>Average cash flow = (</w:t>
      </w:r>
      <w:r w:rsidR="00FE4071" w:rsidRPr="00FE4071">
        <w:rPr>
          <w:rFonts w:ascii="Times" w:hAnsi="Times" w:cs="Times"/>
          <w:szCs w:val="24"/>
        </w:rPr>
        <w:t>(5000000+10000000+20000000+25000000+5000000)</w:t>
      </w:r>
      <w:r w:rsidRPr="007B0851">
        <w:rPr>
          <w:rFonts w:ascii="Times" w:hAnsi="Times" w:cs="Times"/>
          <w:szCs w:val="24"/>
        </w:rPr>
        <w:t>)/5</w:t>
      </w:r>
    </w:p>
    <w:p w14:paraId="0A4A39F0" w14:textId="77777777" w:rsidR="001C1C64" w:rsidRDefault="00732348" w:rsidP="001C1C64">
      <w:pPr>
        <w:spacing w:line="360" w:lineRule="auto"/>
        <w:rPr>
          <w:rFonts w:ascii="Times" w:hAnsi="Times" w:cs="Times"/>
          <w:szCs w:val="24"/>
        </w:rPr>
      </w:pPr>
      <w:r w:rsidRPr="007B0851">
        <w:rPr>
          <w:rFonts w:ascii="Times" w:hAnsi="Times" w:cs="Times"/>
          <w:szCs w:val="24"/>
        </w:rPr>
        <w:t xml:space="preserve">Average cash flow = </w:t>
      </w:r>
      <w:r w:rsidR="00FE4071">
        <w:rPr>
          <w:rFonts w:ascii="Times" w:hAnsi="Times" w:cs="Times"/>
          <w:szCs w:val="24"/>
        </w:rPr>
        <w:t>13</w:t>
      </w:r>
      <w:r>
        <w:rPr>
          <w:rFonts w:ascii="Times" w:hAnsi="Times" w:cs="Times"/>
          <w:szCs w:val="24"/>
        </w:rPr>
        <w:t>,</w:t>
      </w:r>
      <w:r w:rsidR="00FE4071">
        <w:rPr>
          <w:rFonts w:ascii="Times" w:hAnsi="Times" w:cs="Times"/>
          <w:szCs w:val="24"/>
        </w:rPr>
        <w:t>0</w:t>
      </w:r>
      <w:r>
        <w:rPr>
          <w:rFonts w:ascii="Times" w:hAnsi="Times" w:cs="Times"/>
          <w:szCs w:val="24"/>
        </w:rPr>
        <w:t>00,000</w:t>
      </w:r>
    </w:p>
    <w:p w14:paraId="5C9D6F9F" w14:textId="77777777" w:rsidR="001C1C64" w:rsidRDefault="00732348" w:rsidP="001C1C64">
      <w:pPr>
        <w:spacing w:line="360" w:lineRule="auto"/>
        <w:rPr>
          <w:rFonts w:ascii="Times" w:hAnsi="Times" w:cs="Times"/>
          <w:szCs w:val="24"/>
        </w:rPr>
      </w:pPr>
      <w:r>
        <w:rPr>
          <w:rFonts w:ascii="Times" w:hAnsi="Times" w:cs="Times"/>
          <w:szCs w:val="24"/>
        </w:rPr>
        <w:t>Profit = 1</w:t>
      </w:r>
      <w:r w:rsidR="00FE4071">
        <w:rPr>
          <w:rFonts w:ascii="Times" w:hAnsi="Times" w:cs="Times"/>
          <w:szCs w:val="24"/>
        </w:rPr>
        <w:t>3</w:t>
      </w:r>
      <w:r>
        <w:rPr>
          <w:rFonts w:ascii="Times" w:hAnsi="Times" w:cs="Times"/>
          <w:szCs w:val="24"/>
        </w:rPr>
        <w:t>,</w:t>
      </w:r>
      <w:r w:rsidR="00FE4071">
        <w:rPr>
          <w:rFonts w:ascii="Times" w:hAnsi="Times" w:cs="Times"/>
          <w:szCs w:val="24"/>
        </w:rPr>
        <w:t>0</w:t>
      </w:r>
      <w:r>
        <w:rPr>
          <w:rFonts w:ascii="Times" w:hAnsi="Times" w:cs="Times"/>
          <w:szCs w:val="24"/>
        </w:rPr>
        <w:t>00,000 – 10,000,000</w:t>
      </w:r>
    </w:p>
    <w:p w14:paraId="1ED012E3" w14:textId="77777777" w:rsidR="001C1C64" w:rsidRDefault="00732348" w:rsidP="001C1C64">
      <w:pPr>
        <w:spacing w:line="360" w:lineRule="auto"/>
        <w:rPr>
          <w:rFonts w:ascii="Times" w:hAnsi="Times" w:cs="Times"/>
          <w:szCs w:val="24"/>
        </w:rPr>
      </w:pPr>
      <w:r>
        <w:rPr>
          <w:rFonts w:ascii="Times" w:hAnsi="Times" w:cs="Times"/>
          <w:szCs w:val="24"/>
        </w:rPr>
        <w:t xml:space="preserve">Profit = </w:t>
      </w:r>
      <w:r w:rsidR="00FE4071">
        <w:rPr>
          <w:rFonts w:ascii="Times" w:hAnsi="Times" w:cs="Times"/>
          <w:szCs w:val="24"/>
        </w:rPr>
        <w:t>3,0</w:t>
      </w:r>
      <w:r>
        <w:rPr>
          <w:rFonts w:ascii="Times" w:hAnsi="Times" w:cs="Times"/>
          <w:szCs w:val="24"/>
        </w:rPr>
        <w:t>00,000</w:t>
      </w:r>
    </w:p>
    <w:p w14:paraId="2F714610" w14:textId="77777777" w:rsidR="00077C9B" w:rsidRPr="00BF11CB" w:rsidRDefault="00732348" w:rsidP="00ED3DBF">
      <w:pPr>
        <w:spacing w:line="360" w:lineRule="auto"/>
        <w:rPr>
          <w:rFonts w:ascii="Times" w:hAnsi="Times" w:cs="Times"/>
          <w:szCs w:val="24"/>
        </w:rPr>
      </w:pPr>
      <w:r>
        <w:rPr>
          <w:rFonts w:ascii="Times" w:hAnsi="Times" w:cs="Times"/>
          <w:szCs w:val="24"/>
        </w:rPr>
        <w:t xml:space="preserve">Accounting rate of return = </w:t>
      </w:r>
      <w:r w:rsidR="00D943BB">
        <w:rPr>
          <w:rFonts w:ascii="Times" w:hAnsi="Times" w:cs="Times"/>
          <w:szCs w:val="24"/>
        </w:rPr>
        <w:t>3,00</w:t>
      </w:r>
      <w:r>
        <w:rPr>
          <w:rFonts w:ascii="Times" w:hAnsi="Times" w:cs="Times"/>
          <w:szCs w:val="24"/>
        </w:rPr>
        <w:t xml:space="preserve">0,000 / 50,000,000 = </w:t>
      </w:r>
      <w:r w:rsidRPr="00BC7427">
        <w:rPr>
          <w:rFonts w:ascii="Times" w:hAnsi="Times" w:cs="Times"/>
          <w:b/>
          <w:bCs/>
          <w:szCs w:val="24"/>
        </w:rPr>
        <w:t>6%</w:t>
      </w:r>
    </w:p>
    <w:p w14:paraId="2799A51D" w14:textId="77777777" w:rsidR="00ED3DBF" w:rsidRDefault="00732348" w:rsidP="00ED3DBF">
      <w:pPr>
        <w:spacing w:line="360" w:lineRule="auto"/>
        <w:rPr>
          <w:rFonts w:ascii="Times" w:hAnsi="Times" w:cs="Times"/>
          <w:b/>
          <w:szCs w:val="24"/>
        </w:rPr>
      </w:pPr>
      <w:r>
        <w:rPr>
          <w:rFonts w:ascii="Times" w:hAnsi="Times" w:cs="Times"/>
          <w:b/>
          <w:szCs w:val="24"/>
        </w:rPr>
        <w:t>Net present value</w:t>
      </w:r>
    </w:p>
    <w:tbl>
      <w:tblPr>
        <w:tblW w:w="6280" w:type="dxa"/>
        <w:tblLook w:val="04A0" w:firstRow="1" w:lastRow="0" w:firstColumn="1" w:lastColumn="0" w:noHBand="0" w:noVBand="1"/>
      </w:tblPr>
      <w:tblGrid>
        <w:gridCol w:w="887"/>
        <w:gridCol w:w="1653"/>
        <w:gridCol w:w="1980"/>
        <w:gridCol w:w="1760"/>
      </w:tblGrid>
      <w:tr w:rsidR="00D30489" w14:paraId="06695CFA" w14:textId="77777777" w:rsidTr="00BF11CB">
        <w:trPr>
          <w:trHeight w:val="300"/>
        </w:trPr>
        <w:tc>
          <w:tcPr>
            <w:tcW w:w="2540" w:type="dxa"/>
            <w:gridSpan w:val="2"/>
            <w:tcBorders>
              <w:top w:val="nil"/>
              <w:left w:val="nil"/>
              <w:bottom w:val="nil"/>
              <w:right w:val="nil"/>
            </w:tcBorders>
            <w:noWrap/>
            <w:vAlign w:val="bottom"/>
            <w:hideMark/>
          </w:tcPr>
          <w:p w14:paraId="4C600015" w14:textId="77777777" w:rsidR="00BF11CB" w:rsidRPr="00BF11CB" w:rsidRDefault="00732348" w:rsidP="00BF11CB">
            <w:pPr>
              <w:spacing w:after="0" w:line="240" w:lineRule="auto"/>
              <w:jc w:val="left"/>
              <w:rPr>
                <w:rFonts w:ascii="Times" w:eastAsia="Times New Roman" w:hAnsi="Times" w:cs="Times"/>
                <w:b/>
                <w:bCs/>
                <w:color w:val="000000"/>
                <w:szCs w:val="24"/>
                <w:lang w:val="" w:eastAsia=""/>
              </w:rPr>
            </w:pPr>
            <w:r w:rsidRPr="00BF11CB">
              <w:rPr>
                <w:rFonts w:ascii="Times" w:eastAsia="Times New Roman" w:hAnsi="Times" w:cs="Times"/>
                <w:b/>
                <w:bCs/>
                <w:color w:val="000000"/>
                <w:szCs w:val="24"/>
                <w:lang w:val="" w:eastAsia=""/>
              </w:rPr>
              <w:t>Net Present Value</w:t>
            </w:r>
          </w:p>
        </w:tc>
        <w:tc>
          <w:tcPr>
            <w:tcW w:w="1980" w:type="dxa"/>
            <w:tcBorders>
              <w:top w:val="nil"/>
              <w:left w:val="nil"/>
              <w:bottom w:val="nil"/>
              <w:right w:val="nil"/>
            </w:tcBorders>
            <w:noWrap/>
            <w:vAlign w:val="bottom"/>
            <w:hideMark/>
          </w:tcPr>
          <w:p w14:paraId="19F00876" w14:textId="77777777" w:rsidR="00BF11CB" w:rsidRPr="00BF11CB" w:rsidRDefault="00BF11CB" w:rsidP="00BF11CB">
            <w:pPr>
              <w:spacing w:after="0" w:line="240" w:lineRule="auto"/>
              <w:jc w:val="left"/>
              <w:rPr>
                <w:rFonts w:ascii="Times" w:eastAsia="Times New Roman" w:hAnsi="Times" w:cs="Times"/>
                <w:b/>
                <w:bCs/>
                <w:color w:val="000000"/>
                <w:szCs w:val="24"/>
                <w:lang w:val="" w:eastAsia=""/>
              </w:rPr>
            </w:pPr>
          </w:p>
        </w:tc>
        <w:tc>
          <w:tcPr>
            <w:tcW w:w="1760" w:type="dxa"/>
            <w:tcBorders>
              <w:top w:val="nil"/>
              <w:left w:val="nil"/>
              <w:bottom w:val="nil"/>
              <w:right w:val="nil"/>
            </w:tcBorders>
            <w:noWrap/>
            <w:vAlign w:val="bottom"/>
            <w:hideMark/>
          </w:tcPr>
          <w:p w14:paraId="288160C0" w14:textId="77777777" w:rsidR="00BF11CB" w:rsidRPr="00BF11CB" w:rsidRDefault="00BF11CB" w:rsidP="00BF11CB">
            <w:pPr>
              <w:spacing w:after="0" w:line="240" w:lineRule="auto"/>
              <w:jc w:val="left"/>
              <w:rPr>
                <w:rFonts w:eastAsia="Times New Roman" w:cs="Times New Roman"/>
                <w:sz w:val="20"/>
                <w:szCs w:val="20"/>
                <w:lang w:val="" w:eastAsia=""/>
              </w:rPr>
            </w:pPr>
          </w:p>
        </w:tc>
      </w:tr>
      <w:tr w:rsidR="00D30489" w14:paraId="2DCF3906" w14:textId="77777777" w:rsidTr="00BF11CB">
        <w:trPr>
          <w:trHeight w:val="300"/>
        </w:trPr>
        <w:tc>
          <w:tcPr>
            <w:tcW w:w="887" w:type="dxa"/>
            <w:tcBorders>
              <w:top w:val="single" w:sz="4" w:space="0" w:color="auto"/>
              <w:left w:val="single" w:sz="4" w:space="0" w:color="auto"/>
              <w:bottom w:val="nil"/>
              <w:right w:val="single" w:sz="8" w:space="0" w:color="auto"/>
            </w:tcBorders>
            <w:noWrap/>
            <w:vAlign w:val="bottom"/>
            <w:hideMark/>
          </w:tcPr>
          <w:p w14:paraId="13209147" w14:textId="77777777" w:rsidR="00BF11CB" w:rsidRPr="00BF11CB" w:rsidRDefault="00732348" w:rsidP="00BF11CB">
            <w:pPr>
              <w:spacing w:after="0" w:line="240" w:lineRule="auto"/>
              <w:jc w:val="center"/>
              <w:rPr>
                <w:rFonts w:ascii="Times" w:eastAsia="Times New Roman" w:hAnsi="Times" w:cs="Times"/>
                <w:b/>
                <w:bCs/>
                <w:szCs w:val="24"/>
                <w:lang w:val="" w:eastAsia=""/>
              </w:rPr>
            </w:pPr>
            <w:r w:rsidRPr="00BF11CB">
              <w:rPr>
                <w:rFonts w:ascii="Times" w:eastAsia="Times New Roman" w:hAnsi="Times" w:cs="Times"/>
                <w:b/>
                <w:bCs/>
                <w:szCs w:val="24"/>
                <w:lang w:val="" w:eastAsia=""/>
              </w:rPr>
              <w:t>Year</w:t>
            </w:r>
          </w:p>
        </w:tc>
        <w:tc>
          <w:tcPr>
            <w:tcW w:w="1653" w:type="dxa"/>
            <w:vMerge w:val="restart"/>
            <w:tcBorders>
              <w:top w:val="single" w:sz="4" w:space="0" w:color="auto"/>
              <w:left w:val="single" w:sz="8" w:space="0" w:color="auto"/>
              <w:bottom w:val="single" w:sz="8" w:space="0" w:color="000000"/>
              <w:right w:val="single" w:sz="8" w:space="0" w:color="auto"/>
            </w:tcBorders>
            <w:noWrap/>
            <w:vAlign w:val="bottom"/>
            <w:hideMark/>
          </w:tcPr>
          <w:p w14:paraId="63721BF2" w14:textId="77777777" w:rsidR="00BF11CB" w:rsidRPr="00BF11CB" w:rsidRDefault="00732348" w:rsidP="00BF11CB">
            <w:pPr>
              <w:spacing w:after="0" w:line="240" w:lineRule="auto"/>
              <w:jc w:val="center"/>
              <w:rPr>
                <w:rFonts w:ascii="Times" w:eastAsia="Times New Roman" w:hAnsi="Times" w:cs="Times"/>
                <w:b/>
                <w:bCs/>
                <w:szCs w:val="24"/>
                <w:lang w:val="" w:eastAsia=""/>
              </w:rPr>
            </w:pPr>
            <w:r w:rsidRPr="00BF11CB">
              <w:rPr>
                <w:rFonts w:ascii="Times" w:eastAsia="Times New Roman" w:hAnsi="Times" w:cs="Times"/>
                <w:b/>
                <w:bCs/>
                <w:szCs w:val="24"/>
                <w:lang w:val="" w:eastAsia=""/>
              </w:rPr>
              <w:t>Cash Flow</w:t>
            </w:r>
          </w:p>
        </w:tc>
        <w:tc>
          <w:tcPr>
            <w:tcW w:w="1980" w:type="dxa"/>
            <w:tcBorders>
              <w:top w:val="single" w:sz="4" w:space="0" w:color="auto"/>
              <w:left w:val="nil"/>
              <w:bottom w:val="nil"/>
              <w:right w:val="nil"/>
            </w:tcBorders>
            <w:noWrap/>
            <w:vAlign w:val="bottom"/>
            <w:hideMark/>
          </w:tcPr>
          <w:p w14:paraId="2BA6F3DF" w14:textId="77777777" w:rsidR="00BF11CB" w:rsidRPr="00BF11CB" w:rsidRDefault="00732348" w:rsidP="00BF11CB">
            <w:pPr>
              <w:spacing w:after="0" w:line="240" w:lineRule="auto"/>
              <w:jc w:val="center"/>
              <w:rPr>
                <w:rFonts w:ascii="Times" w:eastAsia="Times New Roman" w:hAnsi="Times" w:cs="Times"/>
                <w:b/>
                <w:bCs/>
                <w:szCs w:val="24"/>
                <w:lang w:val="" w:eastAsia=""/>
              </w:rPr>
            </w:pPr>
            <w:r w:rsidRPr="00BF11CB">
              <w:rPr>
                <w:rFonts w:ascii="Times" w:eastAsia="Times New Roman" w:hAnsi="Times" w:cs="Times"/>
                <w:b/>
                <w:bCs/>
                <w:szCs w:val="24"/>
                <w:lang w:val="" w:eastAsia=""/>
              </w:rPr>
              <w:t>DCF</w:t>
            </w:r>
          </w:p>
        </w:tc>
        <w:tc>
          <w:tcPr>
            <w:tcW w:w="1760" w:type="dxa"/>
            <w:vMerge w:val="restart"/>
            <w:tcBorders>
              <w:top w:val="single" w:sz="4" w:space="0" w:color="auto"/>
              <w:left w:val="single" w:sz="8" w:space="0" w:color="auto"/>
              <w:bottom w:val="single" w:sz="8" w:space="0" w:color="000000"/>
              <w:right w:val="single" w:sz="4" w:space="0" w:color="auto"/>
            </w:tcBorders>
            <w:vAlign w:val="bottom"/>
            <w:hideMark/>
          </w:tcPr>
          <w:p w14:paraId="3EE68D80" w14:textId="77777777" w:rsidR="00BF11CB" w:rsidRPr="00BF11CB" w:rsidRDefault="00732348" w:rsidP="00BF11CB">
            <w:pPr>
              <w:spacing w:after="0" w:line="240" w:lineRule="auto"/>
              <w:jc w:val="center"/>
              <w:rPr>
                <w:rFonts w:ascii="Times" w:eastAsia="Times New Roman" w:hAnsi="Times" w:cs="Times"/>
                <w:b/>
                <w:bCs/>
                <w:szCs w:val="24"/>
                <w:lang w:val="" w:eastAsia=""/>
              </w:rPr>
            </w:pPr>
            <w:r w:rsidRPr="00BF11CB">
              <w:rPr>
                <w:rFonts w:ascii="Times" w:eastAsia="Times New Roman" w:hAnsi="Times" w:cs="Times"/>
                <w:b/>
                <w:bCs/>
                <w:szCs w:val="24"/>
                <w:lang w:val="" w:eastAsia=""/>
              </w:rPr>
              <w:t>Present Value of Cash Flows</w:t>
            </w:r>
          </w:p>
        </w:tc>
      </w:tr>
      <w:tr w:rsidR="00D30489" w14:paraId="1974CC3B" w14:textId="77777777" w:rsidTr="00BF11CB">
        <w:trPr>
          <w:trHeight w:val="315"/>
        </w:trPr>
        <w:tc>
          <w:tcPr>
            <w:tcW w:w="887" w:type="dxa"/>
            <w:tcBorders>
              <w:top w:val="nil"/>
              <w:left w:val="single" w:sz="4" w:space="0" w:color="auto"/>
              <w:bottom w:val="single" w:sz="8" w:space="0" w:color="auto"/>
              <w:right w:val="single" w:sz="8" w:space="0" w:color="auto"/>
            </w:tcBorders>
            <w:noWrap/>
            <w:vAlign w:val="bottom"/>
            <w:hideMark/>
          </w:tcPr>
          <w:p w14:paraId="01CB66A3" w14:textId="77777777" w:rsidR="00BF11CB" w:rsidRPr="00BF11CB" w:rsidRDefault="00BF11CB" w:rsidP="00BF11CB">
            <w:pPr>
              <w:spacing w:after="0" w:line="240" w:lineRule="auto"/>
              <w:jc w:val="center"/>
              <w:rPr>
                <w:rFonts w:ascii="Times" w:eastAsia="Times New Roman" w:hAnsi="Times" w:cs="Times"/>
                <w:b/>
                <w:bCs/>
                <w:szCs w:val="24"/>
                <w:lang w:val="" w:eastAsia=""/>
              </w:rPr>
            </w:pPr>
          </w:p>
        </w:tc>
        <w:tc>
          <w:tcPr>
            <w:tcW w:w="1653" w:type="dxa"/>
            <w:vMerge/>
            <w:tcBorders>
              <w:top w:val="single" w:sz="4" w:space="0" w:color="auto"/>
              <w:left w:val="single" w:sz="8" w:space="0" w:color="auto"/>
              <w:bottom w:val="single" w:sz="8" w:space="0" w:color="000000"/>
              <w:right w:val="single" w:sz="8" w:space="0" w:color="auto"/>
            </w:tcBorders>
            <w:vAlign w:val="center"/>
            <w:hideMark/>
          </w:tcPr>
          <w:p w14:paraId="732D2B51" w14:textId="77777777" w:rsidR="00BF11CB" w:rsidRPr="00BF11CB" w:rsidRDefault="00BF11CB" w:rsidP="00BF11CB">
            <w:pPr>
              <w:spacing w:after="0" w:line="240" w:lineRule="auto"/>
              <w:jc w:val="center"/>
              <w:rPr>
                <w:rFonts w:ascii="Times" w:eastAsia="Times New Roman" w:hAnsi="Times" w:cs="Times"/>
                <w:b/>
                <w:bCs/>
                <w:szCs w:val="24"/>
                <w:lang w:val="" w:eastAsia=""/>
              </w:rPr>
            </w:pPr>
          </w:p>
        </w:tc>
        <w:tc>
          <w:tcPr>
            <w:tcW w:w="1980" w:type="dxa"/>
            <w:tcBorders>
              <w:top w:val="nil"/>
              <w:left w:val="nil"/>
              <w:bottom w:val="single" w:sz="8" w:space="0" w:color="auto"/>
              <w:right w:val="single" w:sz="8" w:space="0" w:color="auto"/>
            </w:tcBorders>
            <w:noWrap/>
            <w:vAlign w:val="bottom"/>
            <w:hideMark/>
          </w:tcPr>
          <w:p w14:paraId="26E3B3CC" w14:textId="77777777" w:rsidR="00BF11CB" w:rsidRPr="00BF11CB" w:rsidRDefault="00732348" w:rsidP="00BF11CB">
            <w:pPr>
              <w:spacing w:after="0" w:line="240" w:lineRule="auto"/>
              <w:jc w:val="center"/>
              <w:rPr>
                <w:rFonts w:ascii="Times" w:eastAsia="Times New Roman" w:hAnsi="Times" w:cs="Times"/>
                <w:b/>
                <w:bCs/>
                <w:szCs w:val="24"/>
                <w:lang w:val="" w:eastAsia=""/>
              </w:rPr>
            </w:pPr>
            <w:r w:rsidRPr="00BF11CB">
              <w:rPr>
                <w:rFonts w:ascii="Times" w:eastAsia="Times New Roman" w:hAnsi="Times" w:cs="Times"/>
                <w:b/>
                <w:bCs/>
                <w:szCs w:val="24"/>
                <w:lang w:val="" w:eastAsia=""/>
              </w:rPr>
              <w:t>10%</w:t>
            </w:r>
          </w:p>
        </w:tc>
        <w:tc>
          <w:tcPr>
            <w:tcW w:w="1760" w:type="dxa"/>
            <w:vMerge/>
            <w:tcBorders>
              <w:top w:val="single" w:sz="4" w:space="0" w:color="auto"/>
              <w:left w:val="single" w:sz="8" w:space="0" w:color="auto"/>
              <w:bottom w:val="single" w:sz="8" w:space="0" w:color="000000"/>
              <w:right w:val="single" w:sz="4" w:space="0" w:color="auto"/>
            </w:tcBorders>
            <w:vAlign w:val="center"/>
            <w:hideMark/>
          </w:tcPr>
          <w:p w14:paraId="08755CC6" w14:textId="77777777" w:rsidR="00BF11CB" w:rsidRPr="00BF11CB" w:rsidRDefault="00BF11CB" w:rsidP="00BF11CB">
            <w:pPr>
              <w:spacing w:after="0" w:line="240" w:lineRule="auto"/>
              <w:jc w:val="center"/>
              <w:rPr>
                <w:rFonts w:ascii="Times" w:eastAsia="Times New Roman" w:hAnsi="Times" w:cs="Times"/>
                <w:b/>
                <w:bCs/>
                <w:szCs w:val="24"/>
                <w:lang w:val="" w:eastAsia=""/>
              </w:rPr>
            </w:pPr>
          </w:p>
        </w:tc>
      </w:tr>
      <w:tr w:rsidR="00D30489" w14:paraId="78F18441" w14:textId="77777777" w:rsidTr="00BF11CB">
        <w:trPr>
          <w:trHeight w:val="300"/>
        </w:trPr>
        <w:tc>
          <w:tcPr>
            <w:tcW w:w="887" w:type="dxa"/>
            <w:tcBorders>
              <w:top w:val="nil"/>
              <w:left w:val="single" w:sz="4" w:space="0" w:color="auto"/>
              <w:bottom w:val="nil"/>
              <w:right w:val="nil"/>
            </w:tcBorders>
            <w:noWrap/>
            <w:vAlign w:val="bottom"/>
            <w:hideMark/>
          </w:tcPr>
          <w:p w14:paraId="30CBC508"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0</w:t>
            </w:r>
          </w:p>
        </w:tc>
        <w:tc>
          <w:tcPr>
            <w:tcW w:w="1653" w:type="dxa"/>
            <w:tcBorders>
              <w:top w:val="nil"/>
              <w:left w:val="nil"/>
              <w:bottom w:val="nil"/>
              <w:right w:val="nil"/>
            </w:tcBorders>
            <w:noWrap/>
            <w:vAlign w:val="bottom"/>
            <w:hideMark/>
          </w:tcPr>
          <w:p w14:paraId="14529655"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(50,000,000)</w:t>
            </w:r>
          </w:p>
        </w:tc>
        <w:tc>
          <w:tcPr>
            <w:tcW w:w="1980" w:type="dxa"/>
            <w:tcBorders>
              <w:top w:val="nil"/>
              <w:left w:val="nil"/>
              <w:bottom w:val="nil"/>
              <w:right w:val="nil"/>
            </w:tcBorders>
            <w:noWrap/>
            <w:vAlign w:val="bottom"/>
            <w:hideMark/>
          </w:tcPr>
          <w:p w14:paraId="3F5DE6DD"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1.0000</w:t>
            </w:r>
          </w:p>
        </w:tc>
        <w:tc>
          <w:tcPr>
            <w:tcW w:w="1760" w:type="dxa"/>
            <w:tcBorders>
              <w:top w:val="nil"/>
              <w:left w:val="nil"/>
              <w:bottom w:val="nil"/>
              <w:right w:val="single" w:sz="4" w:space="0" w:color="auto"/>
            </w:tcBorders>
            <w:vAlign w:val="bottom"/>
            <w:hideMark/>
          </w:tcPr>
          <w:p w14:paraId="106E77AB"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(50,000,000)</w:t>
            </w:r>
          </w:p>
        </w:tc>
      </w:tr>
      <w:tr w:rsidR="00D30489" w14:paraId="7793438F" w14:textId="77777777" w:rsidTr="00BF11CB">
        <w:trPr>
          <w:trHeight w:val="315"/>
        </w:trPr>
        <w:tc>
          <w:tcPr>
            <w:tcW w:w="887" w:type="dxa"/>
            <w:tcBorders>
              <w:top w:val="nil"/>
              <w:left w:val="single" w:sz="4" w:space="0" w:color="auto"/>
              <w:bottom w:val="nil"/>
              <w:right w:val="nil"/>
            </w:tcBorders>
            <w:noWrap/>
            <w:vAlign w:val="bottom"/>
            <w:hideMark/>
          </w:tcPr>
          <w:p w14:paraId="646BA719" w14:textId="77777777" w:rsidR="00BF11CB" w:rsidRPr="00BF11CB" w:rsidRDefault="00BF11CB" w:rsidP="00BF11CB">
            <w:pPr>
              <w:spacing w:after="0" w:line="240" w:lineRule="auto"/>
              <w:jc w:val="center"/>
              <w:rPr>
                <w:rFonts w:ascii="Times" w:eastAsia="Times New Roman" w:hAnsi="Times" w:cs="Times"/>
                <w:szCs w:val="24"/>
                <w:lang w:val="" w:eastAsia=""/>
              </w:rPr>
            </w:pPr>
          </w:p>
        </w:tc>
        <w:tc>
          <w:tcPr>
            <w:tcW w:w="1653" w:type="dxa"/>
            <w:tcBorders>
              <w:top w:val="nil"/>
              <w:left w:val="nil"/>
              <w:bottom w:val="nil"/>
              <w:right w:val="nil"/>
            </w:tcBorders>
            <w:noWrap/>
            <w:vAlign w:val="bottom"/>
            <w:hideMark/>
          </w:tcPr>
          <w:p w14:paraId="10F66318" w14:textId="77777777" w:rsidR="00BF11CB" w:rsidRPr="00BF11CB" w:rsidRDefault="00BF11CB" w:rsidP="00BF11CB">
            <w:pPr>
              <w:spacing w:after="0" w:line="240" w:lineRule="auto"/>
              <w:jc w:val="center"/>
              <w:rPr>
                <w:rFonts w:ascii="Times" w:eastAsia="Times New Roman" w:hAnsi="Times" w:cs="Times"/>
                <w:szCs w:val="24"/>
                <w:lang w:val="" w:eastAsia=""/>
              </w:rPr>
            </w:pPr>
          </w:p>
        </w:tc>
        <w:tc>
          <w:tcPr>
            <w:tcW w:w="1980" w:type="dxa"/>
            <w:tcBorders>
              <w:top w:val="nil"/>
              <w:left w:val="nil"/>
              <w:bottom w:val="nil"/>
              <w:right w:val="nil"/>
            </w:tcBorders>
            <w:noWrap/>
            <w:vAlign w:val="bottom"/>
            <w:hideMark/>
          </w:tcPr>
          <w:p w14:paraId="5744509B" w14:textId="77777777" w:rsidR="00BF11CB" w:rsidRPr="00BF11CB" w:rsidRDefault="00BF11CB" w:rsidP="00BF11CB">
            <w:pPr>
              <w:spacing w:after="0" w:line="240" w:lineRule="auto"/>
              <w:jc w:val="center"/>
              <w:rPr>
                <w:rFonts w:eastAsia="Times New Roman" w:cs="Times New Roman"/>
                <w:sz w:val="20"/>
                <w:szCs w:val="20"/>
                <w:lang w:val="" w:eastAsia=""/>
              </w:rPr>
            </w:pPr>
          </w:p>
        </w:tc>
        <w:tc>
          <w:tcPr>
            <w:tcW w:w="1760" w:type="dxa"/>
            <w:tcBorders>
              <w:top w:val="nil"/>
              <w:left w:val="nil"/>
              <w:bottom w:val="nil"/>
              <w:right w:val="single" w:sz="4" w:space="0" w:color="auto"/>
            </w:tcBorders>
            <w:vAlign w:val="bottom"/>
            <w:hideMark/>
          </w:tcPr>
          <w:p w14:paraId="72D52FAF" w14:textId="77777777" w:rsidR="00BF11CB" w:rsidRPr="00BF11CB" w:rsidRDefault="00BF11CB" w:rsidP="00BF11CB">
            <w:pPr>
              <w:spacing w:after="0" w:line="240" w:lineRule="auto"/>
              <w:jc w:val="center"/>
              <w:rPr>
                <w:rFonts w:ascii="Times" w:eastAsia="Times New Roman" w:hAnsi="Times" w:cs="Times"/>
                <w:szCs w:val="24"/>
                <w:lang w:val="" w:eastAsia=""/>
              </w:rPr>
            </w:pPr>
          </w:p>
        </w:tc>
      </w:tr>
      <w:tr w:rsidR="00D30489" w14:paraId="2D8857F2" w14:textId="77777777" w:rsidTr="00BF11CB">
        <w:trPr>
          <w:trHeight w:val="300"/>
        </w:trPr>
        <w:tc>
          <w:tcPr>
            <w:tcW w:w="887" w:type="dxa"/>
            <w:tcBorders>
              <w:top w:val="nil"/>
              <w:left w:val="single" w:sz="4" w:space="0" w:color="auto"/>
              <w:bottom w:val="nil"/>
              <w:right w:val="nil"/>
            </w:tcBorders>
            <w:noWrap/>
            <w:vAlign w:val="bottom"/>
            <w:hideMark/>
          </w:tcPr>
          <w:p w14:paraId="6793AFDF"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1</w:t>
            </w:r>
          </w:p>
        </w:tc>
        <w:tc>
          <w:tcPr>
            <w:tcW w:w="1653" w:type="dxa"/>
            <w:tcBorders>
              <w:top w:val="nil"/>
              <w:left w:val="nil"/>
              <w:bottom w:val="nil"/>
              <w:right w:val="nil"/>
            </w:tcBorders>
            <w:noWrap/>
            <w:vAlign w:val="bottom"/>
            <w:hideMark/>
          </w:tcPr>
          <w:p w14:paraId="27CEDFA5"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5,000,000</w:t>
            </w:r>
          </w:p>
        </w:tc>
        <w:tc>
          <w:tcPr>
            <w:tcW w:w="1980" w:type="dxa"/>
            <w:tcBorders>
              <w:top w:val="nil"/>
              <w:left w:val="nil"/>
              <w:bottom w:val="nil"/>
              <w:right w:val="nil"/>
            </w:tcBorders>
            <w:noWrap/>
            <w:vAlign w:val="bottom"/>
            <w:hideMark/>
          </w:tcPr>
          <w:p w14:paraId="46668A6B"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0.9091</w:t>
            </w:r>
          </w:p>
        </w:tc>
        <w:tc>
          <w:tcPr>
            <w:tcW w:w="1760" w:type="dxa"/>
            <w:tcBorders>
              <w:top w:val="single" w:sz="8" w:space="0" w:color="auto"/>
              <w:left w:val="single" w:sz="8" w:space="0" w:color="auto"/>
              <w:bottom w:val="nil"/>
              <w:right w:val="single" w:sz="4" w:space="0" w:color="auto"/>
            </w:tcBorders>
            <w:vAlign w:val="bottom"/>
            <w:hideMark/>
          </w:tcPr>
          <w:p w14:paraId="66D8FDAA"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4,545,455</w:t>
            </w:r>
          </w:p>
        </w:tc>
      </w:tr>
      <w:tr w:rsidR="00D30489" w14:paraId="53C7CF80" w14:textId="77777777" w:rsidTr="00BF11CB">
        <w:trPr>
          <w:trHeight w:val="300"/>
        </w:trPr>
        <w:tc>
          <w:tcPr>
            <w:tcW w:w="887" w:type="dxa"/>
            <w:tcBorders>
              <w:top w:val="nil"/>
              <w:left w:val="single" w:sz="4" w:space="0" w:color="auto"/>
              <w:bottom w:val="nil"/>
              <w:right w:val="nil"/>
            </w:tcBorders>
            <w:noWrap/>
            <w:vAlign w:val="bottom"/>
            <w:hideMark/>
          </w:tcPr>
          <w:p w14:paraId="62A2BC0C"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2</w:t>
            </w:r>
          </w:p>
        </w:tc>
        <w:tc>
          <w:tcPr>
            <w:tcW w:w="1653" w:type="dxa"/>
            <w:tcBorders>
              <w:top w:val="nil"/>
              <w:left w:val="nil"/>
              <w:bottom w:val="nil"/>
              <w:right w:val="nil"/>
            </w:tcBorders>
            <w:noWrap/>
            <w:vAlign w:val="bottom"/>
            <w:hideMark/>
          </w:tcPr>
          <w:p w14:paraId="18151019"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10,000,000</w:t>
            </w:r>
          </w:p>
        </w:tc>
        <w:tc>
          <w:tcPr>
            <w:tcW w:w="1980" w:type="dxa"/>
            <w:tcBorders>
              <w:top w:val="nil"/>
              <w:left w:val="nil"/>
              <w:bottom w:val="nil"/>
              <w:right w:val="nil"/>
            </w:tcBorders>
            <w:noWrap/>
            <w:vAlign w:val="bottom"/>
            <w:hideMark/>
          </w:tcPr>
          <w:p w14:paraId="7B174C98"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0.8264</w:t>
            </w:r>
          </w:p>
        </w:tc>
        <w:tc>
          <w:tcPr>
            <w:tcW w:w="1760" w:type="dxa"/>
            <w:tcBorders>
              <w:top w:val="nil"/>
              <w:left w:val="single" w:sz="8" w:space="0" w:color="auto"/>
              <w:bottom w:val="nil"/>
              <w:right w:val="single" w:sz="4" w:space="0" w:color="auto"/>
            </w:tcBorders>
            <w:vAlign w:val="bottom"/>
            <w:hideMark/>
          </w:tcPr>
          <w:p w14:paraId="47E2684B"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8,264,463</w:t>
            </w:r>
          </w:p>
        </w:tc>
      </w:tr>
      <w:tr w:rsidR="00D30489" w14:paraId="191747D6" w14:textId="77777777" w:rsidTr="00BF11CB">
        <w:trPr>
          <w:trHeight w:val="300"/>
        </w:trPr>
        <w:tc>
          <w:tcPr>
            <w:tcW w:w="887" w:type="dxa"/>
            <w:tcBorders>
              <w:top w:val="nil"/>
              <w:left w:val="single" w:sz="4" w:space="0" w:color="auto"/>
              <w:bottom w:val="nil"/>
              <w:right w:val="nil"/>
            </w:tcBorders>
            <w:noWrap/>
            <w:vAlign w:val="bottom"/>
            <w:hideMark/>
          </w:tcPr>
          <w:p w14:paraId="33703B91"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3</w:t>
            </w:r>
          </w:p>
        </w:tc>
        <w:tc>
          <w:tcPr>
            <w:tcW w:w="1653" w:type="dxa"/>
            <w:tcBorders>
              <w:top w:val="nil"/>
              <w:left w:val="nil"/>
              <w:bottom w:val="nil"/>
              <w:right w:val="nil"/>
            </w:tcBorders>
            <w:noWrap/>
            <w:vAlign w:val="bottom"/>
            <w:hideMark/>
          </w:tcPr>
          <w:p w14:paraId="73A9E9E3"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20,000,000</w:t>
            </w:r>
          </w:p>
        </w:tc>
        <w:tc>
          <w:tcPr>
            <w:tcW w:w="1980" w:type="dxa"/>
            <w:tcBorders>
              <w:top w:val="nil"/>
              <w:left w:val="nil"/>
              <w:bottom w:val="nil"/>
              <w:right w:val="nil"/>
            </w:tcBorders>
            <w:noWrap/>
            <w:vAlign w:val="bottom"/>
            <w:hideMark/>
          </w:tcPr>
          <w:p w14:paraId="587E9CDA"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0.7513</w:t>
            </w:r>
          </w:p>
        </w:tc>
        <w:tc>
          <w:tcPr>
            <w:tcW w:w="1760" w:type="dxa"/>
            <w:tcBorders>
              <w:top w:val="nil"/>
              <w:left w:val="single" w:sz="8" w:space="0" w:color="auto"/>
              <w:bottom w:val="nil"/>
              <w:right w:val="single" w:sz="4" w:space="0" w:color="auto"/>
            </w:tcBorders>
            <w:vAlign w:val="bottom"/>
            <w:hideMark/>
          </w:tcPr>
          <w:p w14:paraId="0C544CE9"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15,026,296</w:t>
            </w:r>
          </w:p>
        </w:tc>
      </w:tr>
      <w:tr w:rsidR="00D30489" w14:paraId="47BA3B74" w14:textId="77777777" w:rsidTr="00BF11CB">
        <w:trPr>
          <w:trHeight w:val="300"/>
        </w:trPr>
        <w:tc>
          <w:tcPr>
            <w:tcW w:w="887" w:type="dxa"/>
            <w:tcBorders>
              <w:top w:val="nil"/>
              <w:left w:val="single" w:sz="4" w:space="0" w:color="auto"/>
              <w:bottom w:val="nil"/>
              <w:right w:val="nil"/>
            </w:tcBorders>
            <w:noWrap/>
            <w:vAlign w:val="bottom"/>
            <w:hideMark/>
          </w:tcPr>
          <w:p w14:paraId="2D2B9145"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4</w:t>
            </w:r>
          </w:p>
        </w:tc>
        <w:tc>
          <w:tcPr>
            <w:tcW w:w="1653" w:type="dxa"/>
            <w:tcBorders>
              <w:top w:val="nil"/>
              <w:left w:val="nil"/>
              <w:bottom w:val="nil"/>
              <w:right w:val="nil"/>
            </w:tcBorders>
            <w:noWrap/>
            <w:vAlign w:val="bottom"/>
            <w:hideMark/>
          </w:tcPr>
          <w:p w14:paraId="7B70C434"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25,000,000</w:t>
            </w:r>
          </w:p>
        </w:tc>
        <w:tc>
          <w:tcPr>
            <w:tcW w:w="1980" w:type="dxa"/>
            <w:tcBorders>
              <w:top w:val="nil"/>
              <w:left w:val="nil"/>
              <w:bottom w:val="nil"/>
              <w:right w:val="nil"/>
            </w:tcBorders>
            <w:noWrap/>
            <w:vAlign w:val="bottom"/>
            <w:hideMark/>
          </w:tcPr>
          <w:p w14:paraId="3023EB50"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0.6830</w:t>
            </w:r>
          </w:p>
        </w:tc>
        <w:tc>
          <w:tcPr>
            <w:tcW w:w="1760" w:type="dxa"/>
            <w:tcBorders>
              <w:top w:val="nil"/>
              <w:left w:val="single" w:sz="8" w:space="0" w:color="auto"/>
              <w:bottom w:val="nil"/>
              <w:right w:val="single" w:sz="4" w:space="0" w:color="auto"/>
            </w:tcBorders>
            <w:vAlign w:val="bottom"/>
            <w:hideMark/>
          </w:tcPr>
          <w:p w14:paraId="6D072F9B"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17,075,336</w:t>
            </w:r>
          </w:p>
        </w:tc>
      </w:tr>
      <w:tr w:rsidR="00D30489" w14:paraId="6CC89D91" w14:textId="77777777" w:rsidTr="00BF11CB">
        <w:trPr>
          <w:trHeight w:val="315"/>
        </w:trPr>
        <w:tc>
          <w:tcPr>
            <w:tcW w:w="887" w:type="dxa"/>
            <w:tcBorders>
              <w:top w:val="nil"/>
              <w:left w:val="single" w:sz="4" w:space="0" w:color="auto"/>
              <w:bottom w:val="nil"/>
              <w:right w:val="nil"/>
            </w:tcBorders>
            <w:noWrap/>
            <w:vAlign w:val="bottom"/>
            <w:hideMark/>
          </w:tcPr>
          <w:p w14:paraId="4E87AB94"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5</w:t>
            </w:r>
          </w:p>
        </w:tc>
        <w:tc>
          <w:tcPr>
            <w:tcW w:w="1653" w:type="dxa"/>
            <w:tcBorders>
              <w:top w:val="nil"/>
              <w:left w:val="nil"/>
              <w:bottom w:val="nil"/>
              <w:right w:val="nil"/>
            </w:tcBorders>
            <w:noWrap/>
            <w:vAlign w:val="bottom"/>
            <w:hideMark/>
          </w:tcPr>
          <w:p w14:paraId="45CE2FD2"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5,000,000</w:t>
            </w:r>
          </w:p>
        </w:tc>
        <w:tc>
          <w:tcPr>
            <w:tcW w:w="1980" w:type="dxa"/>
            <w:tcBorders>
              <w:top w:val="nil"/>
              <w:left w:val="nil"/>
              <w:bottom w:val="nil"/>
              <w:right w:val="nil"/>
            </w:tcBorders>
            <w:noWrap/>
            <w:vAlign w:val="bottom"/>
            <w:hideMark/>
          </w:tcPr>
          <w:p w14:paraId="120D6A14"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0.6209</w:t>
            </w:r>
          </w:p>
        </w:tc>
        <w:tc>
          <w:tcPr>
            <w:tcW w:w="1760" w:type="dxa"/>
            <w:tcBorders>
              <w:top w:val="nil"/>
              <w:left w:val="single" w:sz="8" w:space="0" w:color="auto"/>
              <w:bottom w:val="nil"/>
              <w:right w:val="single" w:sz="4" w:space="0" w:color="auto"/>
            </w:tcBorders>
            <w:vAlign w:val="bottom"/>
            <w:hideMark/>
          </w:tcPr>
          <w:p w14:paraId="27AB2C20" w14:textId="77777777" w:rsidR="00BF11CB" w:rsidRPr="00BF11CB" w:rsidRDefault="00732348" w:rsidP="00BF11CB">
            <w:pPr>
              <w:spacing w:after="0" w:line="240" w:lineRule="auto"/>
              <w:jc w:val="center"/>
              <w:rPr>
                <w:rFonts w:ascii="Times" w:eastAsia="Times New Roman" w:hAnsi="Times" w:cs="Times"/>
                <w:szCs w:val="24"/>
                <w:lang w:val="" w:eastAsia=""/>
              </w:rPr>
            </w:pPr>
            <w:r w:rsidRPr="00BF11CB">
              <w:rPr>
                <w:rFonts w:ascii="Times" w:eastAsia="Times New Roman" w:hAnsi="Times" w:cs="Times"/>
                <w:szCs w:val="24"/>
                <w:lang w:val="" w:eastAsia=""/>
              </w:rPr>
              <w:t>3,104,607</w:t>
            </w:r>
          </w:p>
        </w:tc>
      </w:tr>
      <w:tr w:rsidR="00D30489" w14:paraId="3161DD72" w14:textId="77777777" w:rsidTr="00BF11CB">
        <w:trPr>
          <w:trHeight w:val="315"/>
        </w:trPr>
        <w:tc>
          <w:tcPr>
            <w:tcW w:w="887" w:type="dxa"/>
            <w:tcBorders>
              <w:top w:val="nil"/>
              <w:left w:val="single" w:sz="4" w:space="0" w:color="auto"/>
              <w:bottom w:val="nil"/>
              <w:right w:val="nil"/>
            </w:tcBorders>
            <w:noWrap/>
            <w:vAlign w:val="bottom"/>
            <w:hideMark/>
          </w:tcPr>
          <w:p w14:paraId="6751AAA0" w14:textId="77777777" w:rsidR="00BF11CB" w:rsidRPr="00BF11CB" w:rsidRDefault="00BF11CB" w:rsidP="00BF11CB">
            <w:pPr>
              <w:spacing w:after="0" w:line="240" w:lineRule="auto"/>
              <w:jc w:val="center"/>
              <w:rPr>
                <w:rFonts w:ascii="Times" w:eastAsia="Times New Roman" w:hAnsi="Times" w:cs="Times"/>
                <w:szCs w:val="24"/>
                <w:lang w:val="" w:eastAsia=""/>
              </w:rPr>
            </w:pPr>
          </w:p>
        </w:tc>
        <w:tc>
          <w:tcPr>
            <w:tcW w:w="1653" w:type="dxa"/>
            <w:tcBorders>
              <w:top w:val="nil"/>
              <w:left w:val="nil"/>
              <w:bottom w:val="nil"/>
              <w:right w:val="nil"/>
            </w:tcBorders>
            <w:noWrap/>
            <w:vAlign w:val="bottom"/>
            <w:hideMark/>
          </w:tcPr>
          <w:p w14:paraId="430BAC25" w14:textId="77777777" w:rsidR="00BF11CB" w:rsidRPr="00BF11CB" w:rsidRDefault="00BF11CB" w:rsidP="00BF11CB">
            <w:pPr>
              <w:spacing w:after="0" w:line="240" w:lineRule="auto"/>
              <w:jc w:val="center"/>
              <w:rPr>
                <w:rFonts w:ascii="Times" w:eastAsia="Times New Roman" w:hAnsi="Times" w:cs="Times"/>
                <w:szCs w:val="24"/>
                <w:lang w:val="" w:eastAsia=""/>
              </w:rPr>
            </w:pPr>
          </w:p>
        </w:tc>
        <w:tc>
          <w:tcPr>
            <w:tcW w:w="1980" w:type="dxa"/>
            <w:tcBorders>
              <w:top w:val="nil"/>
              <w:left w:val="nil"/>
              <w:bottom w:val="nil"/>
              <w:right w:val="nil"/>
            </w:tcBorders>
            <w:noWrap/>
            <w:vAlign w:val="bottom"/>
            <w:hideMark/>
          </w:tcPr>
          <w:p w14:paraId="31D7D01F" w14:textId="77777777" w:rsidR="00BF11CB" w:rsidRPr="00BF11CB" w:rsidRDefault="00BF11CB" w:rsidP="00BF11CB">
            <w:pPr>
              <w:spacing w:after="0" w:line="240" w:lineRule="auto"/>
              <w:jc w:val="center"/>
              <w:rPr>
                <w:rFonts w:eastAsia="Times New Roman" w:cs="Times New Roman"/>
                <w:sz w:val="20"/>
                <w:szCs w:val="20"/>
                <w:lang w:val="" w:eastAsia=""/>
              </w:rPr>
            </w:pPr>
          </w:p>
        </w:tc>
        <w:tc>
          <w:tcPr>
            <w:tcW w:w="1760" w:type="dxa"/>
            <w:tcBorders>
              <w:top w:val="single" w:sz="8" w:space="0" w:color="auto"/>
              <w:left w:val="nil"/>
              <w:bottom w:val="single" w:sz="8" w:space="0" w:color="auto"/>
              <w:right w:val="single" w:sz="4" w:space="0" w:color="auto"/>
            </w:tcBorders>
            <w:noWrap/>
            <w:vAlign w:val="bottom"/>
            <w:hideMark/>
          </w:tcPr>
          <w:p w14:paraId="3F581672" w14:textId="77777777" w:rsidR="00BF11CB" w:rsidRPr="00BF11CB" w:rsidRDefault="00732348" w:rsidP="00BF11CB">
            <w:pPr>
              <w:spacing w:after="0" w:line="240" w:lineRule="auto"/>
              <w:jc w:val="center"/>
              <w:rPr>
                <w:rFonts w:ascii="Times" w:eastAsia="Times New Roman" w:hAnsi="Times" w:cs="Times"/>
                <w:b/>
                <w:bCs/>
                <w:szCs w:val="24"/>
                <w:lang w:val="" w:eastAsia=""/>
              </w:rPr>
            </w:pPr>
            <w:r w:rsidRPr="00BF11CB">
              <w:rPr>
                <w:rFonts w:ascii="Times" w:eastAsia="Times New Roman" w:hAnsi="Times" w:cs="Times"/>
                <w:b/>
                <w:bCs/>
                <w:szCs w:val="24"/>
                <w:lang w:val="" w:eastAsia=""/>
              </w:rPr>
              <w:t>48,016,156</w:t>
            </w:r>
          </w:p>
        </w:tc>
      </w:tr>
      <w:tr w:rsidR="00D30489" w14:paraId="41CAA4E8" w14:textId="77777777" w:rsidTr="00BF11CB">
        <w:trPr>
          <w:trHeight w:val="315"/>
        </w:trPr>
        <w:tc>
          <w:tcPr>
            <w:tcW w:w="887" w:type="dxa"/>
            <w:tcBorders>
              <w:top w:val="nil"/>
              <w:left w:val="single" w:sz="4" w:space="0" w:color="auto"/>
              <w:bottom w:val="nil"/>
              <w:right w:val="nil"/>
            </w:tcBorders>
            <w:noWrap/>
            <w:vAlign w:val="bottom"/>
            <w:hideMark/>
          </w:tcPr>
          <w:p w14:paraId="12792393" w14:textId="77777777" w:rsidR="00BF11CB" w:rsidRPr="00BF11CB" w:rsidRDefault="00BF11CB" w:rsidP="00BF11CB">
            <w:pPr>
              <w:spacing w:after="0" w:line="240" w:lineRule="auto"/>
              <w:jc w:val="center"/>
              <w:rPr>
                <w:rFonts w:ascii="Times" w:eastAsia="Times New Roman" w:hAnsi="Times" w:cs="Times"/>
                <w:szCs w:val="24"/>
                <w:lang w:val="" w:eastAsia=""/>
              </w:rPr>
            </w:pPr>
          </w:p>
        </w:tc>
        <w:tc>
          <w:tcPr>
            <w:tcW w:w="3633" w:type="dxa"/>
            <w:gridSpan w:val="2"/>
            <w:tcBorders>
              <w:top w:val="nil"/>
              <w:left w:val="nil"/>
              <w:bottom w:val="nil"/>
              <w:right w:val="nil"/>
            </w:tcBorders>
            <w:noWrap/>
            <w:vAlign w:val="bottom"/>
            <w:hideMark/>
          </w:tcPr>
          <w:p w14:paraId="4C568AFB" w14:textId="77777777" w:rsidR="00BF11CB" w:rsidRPr="00BF11CB" w:rsidRDefault="00732348" w:rsidP="00BF11CB">
            <w:pPr>
              <w:spacing w:after="0" w:line="240" w:lineRule="auto"/>
              <w:jc w:val="center"/>
              <w:rPr>
                <w:rFonts w:ascii="Times" w:eastAsia="Times New Roman" w:hAnsi="Times" w:cs="Times"/>
                <w:b/>
                <w:bCs/>
                <w:szCs w:val="24"/>
                <w:lang w:val="" w:eastAsia=""/>
              </w:rPr>
            </w:pPr>
            <w:r w:rsidRPr="00BF11CB">
              <w:rPr>
                <w:rFonts w:ascii="Times" w:eastAsia="Times New Roman" w:hAnsi="Times" w:cs="Times"/>
                <w:b/>
                <w:bCs/>
                <w:szCs w:val="24"/>
                <w:lang w:val="" w:eastAsia=""/>
              </w:rPr>
              <w:t>Net Present Value</w:t>
            </w:r>
          </w:p>
        </w:tc>
        <w:tc>
          <w:tcPr>
            <w:tcW w:w="1760" w:type="dxa"/>
            <w:tcBorders>
              <w:top w:val="nil"/>
              <w:left w:val="nil"/>
              <w:bottom w:val="double" w:sz="6" w:space="0" w:color="auto"/>
              <w:right w:val="single" w:sz="4" w:space="0" w:color="auto"/>
            </w:tcBorders>
            <w:noWrap/>
            <w:vAlign w:val="bottom"/>
            <w:hideMark/>
          </w:tcPr>
          <w:p w14:paraId="2F1E8B16" w14:textId="77777777" w:rsidR="00BF11CB" w:rsidRPr="00BF11CB" w:rsidRDefault="00732348" w:rsidP="00BF11CB">
            <w:pPr>
              <w:spacing w:after="0" w:line="240" w:lineRule="auto"/>
              <w:jc w:val="center"/>
              <w:rPr>
                <w:rFonts w:ascii="Times" w:eastAsia="Times New Roman" w:hAnsi="Times" w:cs="Times"/>
                <w:b/>
                <w:bCs/>
                <w:color w:val="FF0000"/>
                <w:szCs w:val="24"/>
                <w:lang w:val="" w:eastAsia=""/>
              </w:rPr>
            </w:pPr>
            <w:r w:rsidRPr="00BF11CB">
              <w:rPr>
                <w:rFonts w:ascii="Times" w:eastAsia="Times New Roman" w:hAnsi="Times" w:cs="Times"/>
                <w:b/>
                <w:bCs/>
                <w:color w:val="FF0000"/>
                <w:szCs w:val="24"/>
                <w:lang w:val="" w:eastAsia=""/>
              </w:rPr>
              <w:t>(1,983,844)</w:t>
            </w:r>
          </w:p>
        </w:tc>
      </w:tr>
      <w:tr w:rsidR="00D30489" w14:paraId="7D2F3D19" w14:textId="77777777" w:rsidTr="00BF11CB">
        <w:trPr>
          <w:trHeight w:val="315"/>
        </w:trPr>
        <w:tc>
          <w:tcPr>
            <w:tcW w:w="887" w:type="dxa"/>
            <w:tcBorders>
              <w:top w:val="nil"/>
              <w:left w:val="single" w:sz="4" w:space="0" w:color="auto"/>
              <w:bottom w:val="single" w:sz="4" w:space="0" w:color="auto"/>
              <w:right w:val="nil"/>
            </w:tcBorders>
            <w:noWrap/>
            <w:vAlign w:val="bottom"/>
            <w:hideMark/>
          </w:tcPr>
          <w:p w14:paraId="162530ED" w14:textId="77777777" w:rsidR="00BF11CB" w:rsidRPr="00BF11CB" w:rsidRDefault="00732348" w:rsidP="00BF11CB">
            <w:pPr>
              <w:spacing w:after="0" w:line="240" w:lineRule="auto"/>
              <w:jc w:val="left"/>
              <w:rPr>
                <w:rFonts w:ascii="Times" w:eastAsia="Times New Roman" w:hAnsi="Times" w:cs="Times"/>
                <w:szCs w:val="24"/>
                <w:lang w:val="" w:eastAsia=""/>
              </w:rPr>
            </w:pPr>
            <w:r w:rsidRPr="00BF11CB">
              <w:rPr>
                <w:rFonts w:ascii="Times" w:eastAsia="Times New Roman" w:hAnsi="Times" w:cs="Times"/>
                <w:szCs w:val="24"/>
                <w:lang w:val="" w:eastAsia=""/>
              </w:rPr>
              <w:t> </w:t>
            </w:r>
          </w:p>
        </w:tc>
        <w:tc>
          <w:tcPr>
            <w:tcW w:w="1653" w:type="dxa"/>
            <w:tcBorders>
              <w:top w:val="nil"/>
              <w:left w:val="nil"/>
              <w:bottom w:val="single" w:sz="4" w:space="0" w:color="auto"/>
              <w:right w:val="nil"/>
            </w:tcBorders>
            <w:noWrap/>
            <w:vAlign w:val="bottom"/>
            <w:hideMark/>
          </w:tcPr>
          <w:p w14:paraId="2BD2A301" w14:textId="77777777" w:rsidR="00BF11CB" w:rsidRPr="00BF11CB" w:rsidRDefault="00732348" w:rsidP="00BF11CB">
            <w:pPr>
              <w:spacing w:after="0" w:line="240" w:lineRule="auto"/>
              <w:jc w:val="left"/>
              <w:rPr>
                <w:rFonts w:ascii="Times" w:eastAsia="Times New Roman" w:hAnsi="Times" w:cs="Times"/>
                <w:szCs w:val="24"/>
                <w:lang w:val="" w:eastAsia=""/>
              </w:rPr>
            </w:pPr>
            <w:r w:rsidRPr="00BF11CB">
              <w:rPr>
                <w:rFonts w:ascii="Times" w:eastAsia="Times New Roman" w:hAnsi="Times" w:cs="Times"/>
                <w:szCs w:val="24"/>
                <w:lang w:val="" w:eastAsia=""/>
              </w:rPr>
              <w:t> </w:t>
            </w:r>
          </w:p>
        </w:tc>
        <w:tc>
          <w:tcPr>
            <w:tcW w:w="1980" w:type="dxa"/>
            <w:tcBorders>
              <w:top w:val="nil"/>
              <w:left w:val="nil"/>
              <w:bottom w:val="single" w:sz="4" w:space="0" w:color="auto"/>
              <w:right w:val="nil"/>
            </w:tcBorders>
            <w:noWrap/>
            <w:vAlign w:val="bottom"/>
            <w:hideMark/>
          </w:tcPr>
          <w:p w14:paraId="4AC42BF6" w14:textId="77777777" w:rsidR="00BF11CB" w:rsidRPr="00BF11CB" w:rsidRDefault="00732348" w:rsidP="00BF11CB">
            <w:pPr>
              <w:spacing w:after="0" w:line="240" w:lineRule="auto"/>
              <w:jc w:val="left"/>
              <w:rPr>
                <w:rFonts w:ascii="Times" w:eastAsia="Times New Roman" w:hAnsi="Times" w:cs="Times"/>
                <w:szCs w:val="24"/>
                <w:lang w:val="" w:eastAsia=""/>
              </w:rPr>
            </w:pPr>
            <w:r w:rsidRPr="00BF11CB">
              <w:rPr>
                <w:rFonts w:ascii="Times" w:eastAsia="Times New Roman" w:hAnsi="Times" w:cs="Times"/>
                <w:szCs w:val="24"/>
                <w:lang w:val="" w:eastAsia=""/>
              </w:rPr>
              <w:t> </w:t>
            </w:r>
          </w:p>
        </w:tc>
        <w:tc>
          <w:tcPr>
            <w:tcW w:w="1760" w:type="dxa"/>
            <w:tcBorders>
              <w:top w:val="nil"/>
              <w:left w:val="nil"/>
              <w:bottom w:val="single" w:sz="4" w:space="0" w:color="auto"/>
              <w:right w:val="single" w:sz="4" w:space="0" w:color="auto"/>
            </w:tcBorders>
            <w:noWrap/>
            <w:vAlign w:val="bottom"/>
            <w:hideMark/>
          </w:tcPr>
          <w:p w14:paraId="62D76AF6" w14:textId="77777777" w:rsidR="00BF11CB" w:rsidRPr="00BF11CB" w:rsidRDefault="00732348" w:rsidP="00BF11CB">
            <w:pPr>
              <w:spacing w:after="0" w:line="240" w:lineRule="auto"/>
              <w:jc w:val="left"/>
              <w:rPr>
                <w:rFonts w:ascii="Times" w:eastAsia="Times New Roman" w:hAnsi="Times" w:cs="Times"/>
                <w:szCs w:val="24"/>
                <w:lang w:val="" w:eastAsia=""/>
              </w:rPr>
            </w:pPr>
            <w:r w:rsidRPr="00BF11CB">
              <w:rPr>
                <w:rFonts w:ascii="Times" w:eastAsia="Times New Roman" w:hAnsi="Times" w:cs="Times"/>
                <w:szCs w:val="24"/>
                <w:lang w:val="" w:eastAsia=""/>
              </w:rPr>
              <w:t> </w:t>
            </w:r>
          </w:p>
        </w:tc>
      </w:tr>
    </w:tbl>
    <w:p w14:paraId="1847F134" w14:textId="77777777" w:rsidR="00BF11CB" w:rsidRDefault="00BF11CB" w:rsidP="00ED3DBF">
      <w:pPr>
        <w:spacing w:line="360" w:lineRule="auto"/>
        <w:rPr>
          <w:rFonts w:ascii="Times" w:hAnsi="Times" w:cs="Times"/>
          <w:b/>
          <w:szCs w:val="24"/>
        </w:rPr>
      </w:pPr>
    </w:p>
    <w:p w14:paraId="1AFD1AF4" w14:textId="77777777" w:rsidR="00ED3DBF" w:rsidRDefault="00732348" w:rsidP="00ED3DBF">
      <w:pPr>
        <w:spacing w:line="360" w:lineRule="auto"/>
        <w:rPr>
          <w:rFonts w:ascii="Times" w:hAnsi="Times" w:cs="Times"/>
          <w:b/>
          <w:szCs w:val="24"/>
        </w:rPr>
      </w:pPr>
      <w:r>
        <w:rPr>
          <w:rFonts w:ascii="Times" w:hAnsi="Times" w:cs="Times"/>
          <w:b/>
          <w:szCs w:val="24"/>
        </w:rPr>
        <w:t>Profitability index</w:t>
      </w:r>
    </w:p>
    <w:p w14:paraId="7AFFCBEB" w14:textId="77777777" w:rsidR="003A2061" w:rsidRPr="000639E9" w:rsidRDefault="00732348" w:rsidP="003A2061">
      <w:pPr>
        <w:spacing w:line="360" w:lineRule="auto"/>
        <w:rPr>
          <w:rFonts w:ascii="Times" w:hAnsi="Times" w:cs="Times"/>
          <w:szCs w:val="24"/>
        </w:rPr>
      </w:pPr>
      <w:r w:rsidRPr="000639E9">
        <w:rPr>
          <w:rFonts w:ascii="Times" w:hAnsi="Times" w:cs="Times"/>
          <w:szCs w:val="24"/>
        </w:rPr>
        <w:t>PI = Present value/investments</w:t>
      </w:r>
    </w:p>
    <w:p w14:paraId="423EE8F0" w14:textId="77777777" w:rsidR="00B802AC" w:rsidRPr="00B802AC" w:rsidRDefault="00732348" w:rsidP="00B802AC">
      <w:pPr>
        <w:spacing w:line="240" w:lineRule="auto"/>
        <w:rPr>
          <w:rFonts w:ascii="Times" w:eastAsia="Times New Roman" w:hAnsi="Times" w:cs="Times"/>
          <w:color w:val="000000"/>
          <w:szCs w:val="24"/>
          <w:lang w:val="" w:eastAsia=""/>
        </w:rPr>
      </w:pPr>
      <w:r w:rsidRPr="000639E9">
        <w:rPr>
          <w:rFonts w:ascii="Times" w:hAnsi="Times" w:cs="Times"/>
          <w:szCs w:val="24"/>
        </w:rPr>
        <w:t xml:space="preserve">PV = </w:t>
      </w:r>
      <w:r w:rsidRPr="00B802AC">
        <w:rPr>
          <w:rFonts w:ascii="Times" w:hAnsi="Times" w:cs="Times"/>
          <w:szCs w:val="24"/>
        </w:rPr>
        <w:t>4545455+8264463+15026296+17075336+3104607</w:t>
      </w:r>
      <w:r w:rsidRPr="000639E9">
        <w:rPr>
          <w:rFonts w:ascii="Times" w:hAnsi="Times" w:cs="Times"/>
          <w:szCs w:val="24"/>
        </w:rPr>
        <w:t xml:space="preserve"> = </w:t>
      </w:r>
      <w:r w:rsidRPr="00B802AC">
        <w:rPr>
          <w:rFonts w:ascii="Times" w:eastAsia="Times New Roman" w:hAnsi="Times" w:cs="Times"/>
          <w:color w:val="000000"/>
          <w:szCs w:val="24"/>
          <w:lang w:val="" w:eastAsia=""/>
        </w:rPr>
        <w:t>4</w:t>
      </w:r>
      <w:r>
        <w:rPr>
          <w:rFonts w:ascii="Times" w:eastAsia="Times New Roman" w:hAnsi="Times" w:cs="Times"/>
          <w:color w:val="000000"/>
          <w:szCs w:val="24"/>
          <w:lang w:val="" w:eastAsia=""/>
        </w:rPr>
        <w:t>,</w:t>
      </w:r>
      <w:r w:rsidRPr="00B802AC">
        <w:rPr>
          <w:rFonts w:ascii="Times" w:eastAsia="Times New Roman" w:hAnsi="Times" w:cs="Times"/>
          <w:color w:val="000000"/>
          <w:szCs w:val="24"/>
          <w:lang w:val="" w:eastAsia=""/>
        </w:rPr>
        <w:t>801</w:t>
      </w:r>
      <w:r>
        <w:rPr>
          <w:rFonts w:ascii="Times" w:eastAsia="Times New Roman" w:hAnsi="Times" w:cs="Times"/>
          <w:color w:val="000000"/>
          <w:szCs w:val="24"/>
          <w:lang w:val="" w:eastAsia=""/>
        </w:rPr>
        <w:t>,</w:t>
      </w:r>
      <w:r w:rsidRPr="00B802AC">
        <w:rPr>
          <w:rFonts w:ascii="Times" w:eastAsia="Times New Roman" w:hAnsi="Times" w:cs="Times"/>
          <w:color w:val="000000"/>
          <w:szCs w:val="24"/>
          <w:lang w:val="" w:eastAsia=""/>
        </w:rPr>
        <w:t>6157</w:t>
      </w:r>
    </w:p>
    <w:p w14:paraId="027B0EB1" w14:textId="77777777" w:rsidR="003A2061" w:rsidRPr="000639E9" w:rsidRDefault="003A2061" w:rsidP="003A2061">
      <w:pPr>
        <w:spacing w:line="240" w:lineRule="auto"/>
        <w:rPr>
          <w:rFonts w:ascii="Times" w:eastAsia="Times New Roman" w:hAnsi="Times" w:cs="Times"/>
          <w:color w:val="000000"/>
          <w:szCs w:val="24"/>
          <w:lang w:val="" w:eastAsia=""/>
        </w:rPr>
      </w:pPr>
    </w:p>
    <w:p w14:paraId="45EF4510" w14:textId="77777777" w:rsidR="003A2061" w:rsidRPr="00AB3969" w:rsidRDefault="00732348" w:rsidP="003A2061">
      <w:pPr>
        <w:spacing w:line="240" w:lineRule="auto"/>
        <w:rPr>
          <w:rFonts w:ascii="Times" w:eastAsia="Times New Roman" w:hAnsi="Times" w:cs="Times"/>
          <w:color w:val="000000"/>
          <w:szCs w:val="24"/>
          <w:lang w:val="" w:eastAsia=""/>
        </w:rPr>
      </w:pPr>
      <w:r w:rsidRPr="000639E9">
        <w:rPr>
          <w:rFonts w:ascii="Times" w:eastAsia="Times New Roman" w:hAnsi="Times" w:cs="Times"/>
          <w:color w:val="000000"/>
          <w:szCs w:val="24"/>
          <w:lang w:val="" w:eastAsia=""/>
        </w:rPr>
        <w:t xml:space="preserve">PI = </w:t>
      </w:r>
      <w:r w:rsidR="00B424F6" w:rsidRPr="00B802AC">
        <w:rPr>
          <w:rFonts w:ascii="Times" w:eastAsia="Times New Roman" w:hAnsi="Times" w:cs="Times"/>
          <w:color w:val="000000"/>
          <w:szCs w:val="24"/>
          <w:lang w:val="" w:eastAsia=""/>
        </w:rPr>
        <w:t>4</w:t>
      </w:r>
      <w:r w:rsidR="00B424F6">
        <w:rPr>
          <w:rFonts w:ascii="Times" w:eastAsia="Times New Roman" w:hAnsi="Times" w:cs="Times"/>
          <w:color w:val="000000"/>
          <w:szCs w:val="24"/>
          <w:lang w:val="" w:eastAsia=""/>
        </w:rPr>
        <w:t>,</w:t>
      </w:r>
      <w:r w:rsidR="00B424F6" w:rsidRPr="00B802AC">
        <w:rPr>
          <w:rFonts w:ascii="Times" w:eastAsia="Times New Roman" w:hAnsi="Times" w:cs="Times"/>
          <w:color w:val="000000"/>
          <w:szCs w:val="24"/>
          <w:lang w:val="" w:eastAsia=""/>
        </w:rPr>
        <w:t>801</w:t>
      </w:r>
      <w:r w:rsidR="00B424F6">
        <w:rPr>
          <w:rFonts w:ascii="Times" w:eastAsia="Times New Roman" w:hAnsi="Times" w:cs="Times"/>
          <w:color w:val="000000"/>
          <w:szCs w:val="24"/>
          <w:lang w:val="" w:eastAsia=""/>
        </w:rPr>
        <w:t>,</w:t>
      </w:r>
      <w:r w:rsidR="00B424F6" w:rsidRPr="00B802AC">
        <w:rPr>
          <w:rFonts w:ascii="Times" w:eastAsia="Times New Roman" w:hAnsi="Times" w:cs="Times"/>
          <w:color w:val="000000"/>
          <w:szCs w:val="24"/>
          <w:lang w:val="" w:eastAsia=""/>
        </w:rPr>
        <w:t>6157</w:t>
      </w:r>
      <w:r w:rsidRPr="000639E9">
        <w:rPr>
          <w:rFonts w:ascii="Times" w:eastAsia="Times New Roman" w:hAnsi="Times" w:cs="Times"/>
          <w:color w:val="000000"/>
          <w:szCs w:val="24"/>
          <w:lang w:val="" w:eastAsia=""/>
        </w:rPr>
        <w:t xml:space="preserve"> / 50000000 = 0.</w:t>
      </w:r>
      <w:r w:rsidR="00B424F6">
        <w:rPr>
          <w:rFonts w:ascii="Times" w:eastAsia="Times New Roman" w:hAnsi="Times" w:cs="Times"/>
          <w:color w:val="000000"/>
          <w:szCs w:val="24"/>
          <w:lang w:val="" w:eastAsia=""/>
        </w:rPr>
        <w:t>96</w:t>
      </w:r>
    </w:p>
    <w:p w14:paraId="07394977" w14:textId="77777777" w:rsidR="003A2061" w:rsidRDefault="003A2061" w:rsidP="00ED3DBF">
      <w:pPr>
        <w:spacing w:line="360" w:lineRule="auto"/>
        <w:rPr>
          <w:rFonts w:ascii="Times" w:hAnsi="Times" w:cs="Times"/>
          <w:b/>
          <w:szCs w:val="24"/>
        </w:rPr>
      </w:pPr>
    </w:p>
    <w:p w14:paraId="3BC40BC2" w14:textId="77777777" w:rsidR="00ED3DBF" w:rsidRDefault="00732348" w:rsidP="00ED3DBF">
      <w:pPr>
        <w:spacing w:line="360" w:lineRule="auto"/>
        <w:rPr>
          <w:rFonts w:ascii="Times" w:hAnsi="Times" w:cs="Times"/>
          <w:b/>
          <w:szCs w:val="24"/>
        </w:rPr>
      </w:pPr>
      <w:r>
        <w:rPr>
          <w:rFonts w:ascii="Times" w:hAnsi="Times" w:cs="Times"/>
          <w:b/>
          <w:szCs w:val="24"/>
        </w:rPr>
        <w:t xml:space="preserve">Internal rate of return </w:t>
      </w:r>
    </w:p>
    <w:p w14:paraId="6B03EDC9" w14:textId="77777777" w:rsidR="003A2061" w:rsidRDefault="00732348" w:rsidP="003A2061">
      <w:pPr>
        <w:spacing w:line="360" w:lineRule="auto"/>
        <w:rPr>
          <w:rFonts w:ascii="Times" w:hAnsi="Times" w:cs="Times"/>
          <w:szCs w:val="24"/>
        </w:rPr>
      </w:pPr>
      <w:r>
        <w:rPr>
          <w:rFonts w:ascii="Times" w:hAnsi="Times" w:cs="Times"/>
          <w:szCs w:val="24"/>
        </w:rPr>
        <w:t>8</w:t>
      </w:r>
      <w:r w:rsidRPr="002049EC">
        <w:rPr>
          <w:rFonts w:ascii="Times" w:hAnsi="Times" w:cs="Times"/>
          <w:szCs w:val="24"/>
        </w:rPr>
        <w:t>.</w:t>
      </w:r>
      <w:r>
        <w:rPr>
          <w:rFonts w:ascii="Times" w:hAnsi="Times" w:cs="Times"/>
          <w:szCs w:val="24"/>
        </w:rPr>
        <w:t>59</w:t>
      </w:r>
      <w:r w:rsidRPr="002049EC">
        <w:rPr>
          <w:rFonts w:ascii="Times" w:hAnsi="Times" w:cs="Times"/>
          <w:szCs w:val="24"/>
        </w:rPr>
        <w:t>% (calculated using Excel formula)</w:t>
      </w:r>
    </w:p>
    <w:p w14:paraId="10C62FD5" w14:textId="77777777" w:rsidR="003A2061" w:rsidRDefault="00732348" w:rsidP="00ED3DBF">
      <w:pPr>
        <w:spacing w:line="360" w:lineRule="auto"/>
        <w:rPr>
          <w:rFonts w:ascii="Times" w:hAnsi="Times" w:cs="Times"/>
          <w:b/>
          <w:bCs/>
          <w:szCs w:val="24"/>
        </w:rPr>
      </w:pPr>
      <w:r>
        <w:rPr>
          <w:rFonts w:ascii="Times" w:hAnsi="Times" w:cs="Times"/>
          <w:b/>
          <w:bCs/>
          <w:szCs w:val="24"/>
        </w:rPr>
        <w:t>Summary</w:t>
      </w:r>
    </w:p>
    <w:tbl>
      <w:tblPr>
        <w:tblW w:w="5400" w:type="dxa"/>
        <w:jc w:val="center"/>
        <w:tblLook w:val="04A0" w:firstRow="1" w:lastRow="0" w:firstColumn="1" w:lastColumn="0" w:noHBand="0" w:noVBand="1"/>
      </w:tblPr>
      <w:tblGrid>
        <w:gridCol w:w="960"/>
        <w:gridCol w:w="1480"/>
        <w:gridCol w:w="1480"/>
        <w:gridCol w:w="1480"/>
      </w:tblGrid>
      <w:tr w:rsidR="00D30489" w14:paraId="7FC96F9E" w14:textId="77777777" w:rsidTr="00E95835">
        <w:trPr>
          <w:trHeight w:val="330"/>
          <w:jc w:val="center"/>
        </w:trPr>
        <w:tc>
          <w:tcPr>
            <w:tcW w:w="960" w:type="dxa"/>
            <w:tcBorders>
              <w:top w:val="single" w:sz="8" w:space="0" w:color="auto"/>
              <w:left w:val="single" w:sz="8" w:space="0" w:color="auto"/>
              <w:bottom w:val="single" w:sz="8" w:space="0" w:color="auto"/>
              <w:right w:val="single" w:sz="8" w:space="0" w:color="auto"/>
            </w:tcBorders>
            <w:noWrap/>
            <w:vAlign w:val="bottom"/>
            <w:hideMark/>
          </w:tcPr>
          <w:p w14:paraId="1E25C2F1" w14:textId="77777777" w:rsidR="00B057CF" w:rsidRPr="00B057CF" w:rsidRDefault="00B057CF" w:rsidP="00E95835">
            <w:pPr>
              <w:spacing w:after="0" w:line="240" w:lineRule="auto"/>
              <w:jc w:val="center"/>
              <w:rPr>
                <w:rFonts w:ascii="Times" w:eastAsia="Times New Roman" w:hAnsi="Times" w:cs="Times"/>
                <w:color w:val="000000"/>
                <w:szCs w:val="24"/>
                <w:lang w:val="" w:eastAsia=""/>
              </w:rPr>
            </w:pPr>
          </w:p>
        </w:tc>
        <w:tc>
          <w:tcPr>
            <w:tcW w:w="1480" w:type="dxa"/>
            <w:tcBorders>
              <w:top w:val="single" w:sz="8" w:space="0" w:color="auto"/>
              <w:left w:val="nil"/>
              <w:bottom w:val="single" w:sz="8" w:space="0" w:color="auto"/>
              <w:right w:val="single" w:sz="8" w:space="0" w:color="auto"/>
            </w:tcBorders>
            <w:noWrap/>
            <w:vAlign w:val="bottom"/>
            <w:hideMark/>
          </w:tcPr>
          <w:p w14:paraId="29B452BF" w14:textId="77777777" w:rsidR="00B057CF" w:rsidRPr="00B057CF" w:rsidRDefault="00732348" w:rsidP="00E95835">
            <w:pPr>
              <w:spacing w:after="0" w:line="240" w:lineRule="auto"/>
              <w:jc w:val="center"/>
              <w:rPr>
                <w:rFonts w:ascii="Times" w:eastAsia="Times New Roman" w:hAnsi="Times" w:cs="Times"/>
                <w:b/>
                <w:bCs/>
                <w:color w:val="000000"/>
                <w:szCs w:val="24"/>
                <w:lang w:val="" w:eastAsia=""/>
              </w:rPr>
            </w:pPr>
            <w:r w:rsidRPr="00B057CF">
              <w:rPr>
                <w:rFonts w:ascii="Times" w:eastAsia="Times New Roman" w:hAnsi="Times" w:cs="Times"/>
                <w:b/>
                <w:bCs/>
                <w:color w:val="000000"/>
                <w:szCs w:val="24"/>
                <w:lang w:val="" w:eastAsia=""/>
              </w:rPr>
              <w:t>Project A</w:t>
            </w:r>
          </w:p>
        </w:tc>
        <w:tc>
          <w:tcPr>
            <w:tcW w:w="1480" w:type="dxa"/>
            <w:tcBorders>
              <w:top w:val="single" w:sz="8" w:space="0" w:color="auto"/>
              <w:left w:val="nil"/>
              <w:bottom w:val="single" w:sz="8" w:space="0" w:color="auto"/>
              <w:right w:val="single" w:sz="8" w:space="0" w:color="auto"/>
            </w:tcBorders>
            <w:noWrap/>
            <w:vAlign w:val="bottom"/>
            <w:hideMark/>
          </w:tcPr>
          <w:p w14:paraId="05D72FE6" w14:textId="77777777" w:rsidR="00B057CF" w:rsidRPr="00B057CF" w:rsidRDefault="00732348" w:rsidP="00E95835">
            <w:pPr>
              <w:spacing w:after="0" w:line="240" w:lineRule="auto"/>
              <w:jc w:val="center"/>
              <w:rPr>
                <w:rFonts w:ascii="Times" w:eastAsia="Times New Roman" w:hAnsi="Times" w:cs="Times"/>
                <w:b/>
                <w:bCs/>
                <w:color w:val="000000"/>
                <w:szCs w:val="24"/>
                <w:lang w:val="" w:eastAsia=""/>
              </w:rPr>
            </w:pPr>
            <w:r w:rsidRPr="00B057CF">
              <w:rPr>
                <w:rFonts w:ascii="Times" w:eastAsia="Times New Roman" w:hAnsi="Times" w:cs="Times"/>
                <w:b/>
                <w:bCs/>
                <w:color w:val="000000"/>
                <w:szCs w:val="24"/>
                <w:lang w:val="" w:eastAsia=""/>
              </w:rPr>
              <w:t>Project B</w:t>
            </w:r>
          </w:p>
        </w:tc>
        <w:tc>
          <w:tcPr>
            <w:tcW w:w="1480" w:type="dxa"/>
            <w:tcBorders>
              <w:top w:val="single" w:sz="8" w:space="0" w:color="auto"/>
              <w:left w:val="nil"/>
              <w:bottom w:val="single" w:sz="8" w:space="0" w:color="auto"/>
              <w:right w:val="single" w:sz="8" w:space="0" w:color="auto"/>
            </w:tcBorders>
            <w:noWrap/>
            <w:vAlign w:val="bottom"/>
            <w:hideMark/>
          </w:tcPr>
          <w:p w14:paraId="2B553B1C" w14:textId="77777777" w:rsidR="00B057CF" w:rsidRPr="00B057CF" w:rsidRDefault="00732348" w:rsidP="00E95835">
            <w:pPr>
              <w:spacing w:after="0" w:line="240" w:lineRule="auto"/>
              <w:jc w:val="center"/>
              <w:rPr>
                <w:rFonts w:ascii="Times" w:eastAsia="Times New Roman" w:hAnsi="Times" w:cs="Times"/>
                <w:b/>
                <w:bCs/>
                <w:color w:val="000000"/>
                <w:szCs w:val="24"/>
                <w:lang w:val="" w:eastAsia=""/>
              </w:rPr>
            </w:pPr>
            <w:r w:rsidRPr="00B057CF">
              <w:rPr>
                <w:rFonts w:ascii="Times" w:eastAsia="Times New Roman" w:hAnsi="Times" w:cs="Times"/>
                <w:b/>
                <w:bCs/>
                <w:color w:val="000000"/>
                <w:szCs w:val="24"/>
                <w:lang w:val="" w:eastAsia=""/>
              </w:rPr>
              <w:t>Project C</w:t>
            </w:r>
          </w:p>
        </w:tc>
      </w:tr>
      <w:tr w:rsidR="00D30489" w14:paraId="786A5B4C" w14:textId="77777777" w:rsidTr="00E95835">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6DCC076B" w14:textId="77777777" w:rsidR="00B057CF" w:rsidRPr="00B057CF" w:rsidRDefault="00732348" w:rsidP="00E95835">
            <w:pPr>
              <w:spacing w:after="0" w:line="240" w:lineRule="auto"/>
              <w:jc w:val="center"/>
              <w:rPr>
                <w:rFonts w:ascii="Times" w:eastAsia="Times New Roman" w:hAnsi="Times" w:cs="Times"/>
                <w:b/>
                <w:bCs/>
                <w:color w:val="000000"/>
                <w:szCs w:val="24"/>
                <w:lang w:val="" w:eastAsia=""/>
              </w:rPr>
            </w:pPr>
            <w:r w:rsidRPr="00B057CF">
              <w:rPr>
                <w:rFonts w:ascii="Times" w:eastAsia="Times New Roman" w:hAnsi="Times" w:cs="Times"/>
                <w:b/>
                <w:bCs/>
                <w:color w:val="000000"/>
                <w:szCs w:val="24"/>
                <w:lang w:val="" w:eastAsia=""/>
              </w:rPr>
              <w:t>PBP</w:t>
            </w:r>
          </w:p>
        </w:tc>
        <w:tc>
          <w:tcPr>
            <w:tcW w:w="1480" w:type="dxa"/>
            <w:tcBorders>
              <w:top w:val="nil"/>
              <w:left w:val="nil"/>
              <w:bottom w:val="single" w:sz="4" w:space="0" w:color="auto"/>
              <w:right w:val="single" w:sz="4" w:space="0" w:color="auto"/>
            </w:tcBorders>
            <w:noWrap/>
            <w:vAlign w:val="bottom"/>
            <w:hideMark/>
          </w:tcPr>
          <w:p w14:paraId="47457A00"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4.5 years</w:t>
            </w:r>
          </w:p>
        </w:tc>
        <w:tc>
          <w:tcPr>
            <w:tcW w:w="1480" w:type="dxa"/>
            <w:tcBorders>
              <w:top w:val="nil"/>
              <w:left w:val="nil"/>
              <w:bottom w:val="single" w:sz="4" w:space="0" w:color="auto"/>
              <w:right w:val="single" w:sz="4" w:space="0" w:color="auto"/>
            </w:tcBorders>
            <w:noWrap/>
            <w:vAlign w:val="bottom"/>
            <w:hideMark/>
          </w:tcPr>
          <w:p w14:paraId="4F661BA7"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4.55 years</w:t>
            </w:r>
          </w:p>
        </w:tc>
        <w:tc>
          <w:tcPr>
            <w:tcW w:w="1480" w:type="dxa"/>
            <w:tcBorders>
              <w:top w:val="nil"/>
              <w:left w:val="nil"/>
              <w:bottom w:val="single" w:sz="4" w:space="0" w:color="auto"/>
              <w:right w:val="single" w:sz="4" w:space="0" w:color="auto"/>
            </w:tcBorders>
            <w:noWrap/>
            <w:vAlign w:val="bottom"/>
            <w:hideMark/>
          </w:tcPr>
          <w:p w14:paraId="1B3FC4B7"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3.6 years</w:t>
            </w:r>
          </w:p>
        </w:tc>
      </w:tr>
      <w:tr w:rsidR="00D30489" w14:paraId="6A1F37A6" w14:textId="77777777" w:rsidTr="00E95835">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233D6301" w14:textId="77777777" w:rsidR="00B057CF" w:rsidRPr="00B057CF" w:rsidRDefault="00732348" w:rsidP="00E95835">
            <w:pPr>
              <w:spacing w:after="0" w:line="240" w:lineRule="auto"/>
              <w:jc w:val="center"/>
              <w:rPr>
                <w:rFonts w:ascii="Times" w:eastAsia="Times New Roman" w:hAnsi="Times" w:cs="Times"/>
                <w:b/>
                <w:bCs/>
                <w:color w:val="000000"/>
                <w:szCs w:val="24"/>
                <w:lang w:val="" w:eastAsia=""/>
              </w:rPr>
            </w:pPr>
            <w:r w:rsidRPr="00B057CF">
              <w:rPr>
                <w:rFonts w:ascii="Times" w:eastAsia="Times New Roman" w:hAnsi="Times" w:cs="Times"/>
                <w:b/>
                <w:bCs/>
                <w:color w:val="000000"/>
                <w:szCs w:val="24"/>
                <w:lang w:val="" w:eastAsia=""/>
              </w:rPr>
              <w:t>ARR</w:t>
            </w:r>
          </w:p>
        </w:tc>
        <w:tc>
          <w:tcPr>
            <w:tcW w:w="1480" w:type="dxa"/>
            <w:tcBorders>
              <w:top w:val="nil"/>
              <w:left w:val="nil"/>
              <w:bottom w:val="single" w:sz="4" w:space="0" w:color="auto"/>
              <w:right w:val="single" w:sz="4" w:space="0" w:color="auto"/>
            </w:tcBorders>
            <w:noWrap/>
            <w:vAlign w:val="bottom"/>
            <w:hideMark/>
          </w:tcPr>
          <w:p w14:paraId="050BE287"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1.60%</w:t>
            </w:r>
          </w:p>
        </w:tc>
        <w:tc>
          <w:tcPr>
            <w:tcW w:w="1480" w:type="dxa"/>
            <w:tcBorders>
              <w:top w:val="nil"/>
              <w:left w:val="nil"/>
              <w:bottom w:val="single" w:sz="4" w:space="0" w:color="auto"/>
              <w:right w:val="single" w:sz="4" w:space="0" w:color="auto"/>
            </w:tcBorders>
            <w:noWrap/>
            <w:vAlign w:val="bottom"/>
            <w:hideMark/>
          </w:tcPr>
          <w:p w14:paraId="33FDFB42"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2%</w:t>
            </w:r>
          </w:p>
        </w:tc>
        <w:tc>
          <w:tcPr>
            <w:tcW w:w="1480" w:type="dxa"/>
            <w:tcBorders>
              <w:top w:val="nil"/>
              <w:left w:val="nil"/>
              <w:bottom w:val="single" w:sz="4" w:space="0" w:color="auto"/>
              <w:right w:val="single" w:sz="4" w:space="0" w:color="auto"/>
            </w:tcBorders>
            <w:noWrap/>
            <w:vAlign w:val="bottom"/>
            <w:hideMark/>
          </w:tcPr>
          <w:p w14:paraId="319CDEE1"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6%</w:t>
            </w:r>
          </w:p>
        </w:tc>
      </w:tr>
      <w:tr w:rsidR="00D30489" w14:paraId="2C143BCD" w14:textId="77777777" w:rsidTr="00E95835">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4AA6DA4F" w14:textId="77777777" w:rsidR="00B057CF" w:rsidRPr="00B057CF" w:rsidRDefault="00732348" w:rsidP="00E95835">
            <w:pPr>
              <w:spacing w:after="0" w:line="240" w:lineRule="auto"/>
              <w:jc w:val="center"/>
              <w:rPr>
                <w:rFonts w:ascii="Times" w:eastAsia="Times New Roman" w:hAnsi="Times" w:cs="Times"/>
                <w:b/>
                <w:bCs/>
                <w:color w:val="000000"/>
                <w:szCs w:val="24"/>
                <w:lang w:val="" w:eastAsia=""/>
              </w:rPr>
            </w:pPr>
            <w:r w:rsidRPr="00B057CF">
              <w:rPr>
                <w:rFonts w:ascii="Times" w:eastAsia="Times New Roman" w:hAnsi="Times" w:cs="Times"/>
                <w:b/>
                <w:bCs/>
                <w:color w:val="000000"/>
                <w:szCs w:val="24"/>
                <w:lang w:val="" w:eastAsia=""/>
              </w:rPr>
              <w:t>NPV</w:t>
            </w:r>
          </w:p>
        </w:tc>
        <w:tc>
          <w:tcPr>
            <w:tcW w:w="1480" w:type="dxa"/>
            <w:tcBorders>
              <w:top w:val="nil"/>
              <w:left w:val="nil"/>
              <w:bottom w:val="single" w:sz="4" w:space="0" w:color="auto"/>
              <w:right w:val="single" w:sz="4" w:space="0" w:color="auto"/>
            </w:tcBorders>
            <w:noWrap/>
            <w:vAlign w:val="bottom"/>
            <w:hideMark/>
          </w:tcPr>
          <w:p w14:paraId="7E11DDF7"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(8,675,823)</w:t>
            </w:r>
          </w:p>
        </w:tc>
        <w:tc>
          <w:tcPr>
            <w:tcW w:w="1480" w:type="dxa"/>
            <w:tcBorders>
              <w:top w:val="nil"/>
              <w:left w:val="nil"/>
              <w:bottom w:val="single" w:sz="4" w:space="0" w:color="auto"/>
              <w:right w:val="single" w:sz="4" w:space="0" w:color="auto"/>
            </w:tcBorders>
            <w:noWrap/>
            <w:vAlign w:val="bottom"/>
            <w:hideMark/>
          </w:tcPr>
          <w:p w14:paraId="0E7D41B2"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(8,301,346)</w:t>
            </w:r>
          </w:p>
        </w:tc>
        <w:tc>
          <w:tcPr>
            <w:tcW w:w="1480" w:type="dxa"/>
            <w:tcBorders>
              <w:top w:val="nil"/>
              <w:left w:val="nil"/>
              <w:bottom w:val="single" w:sz="4" w:space="0" w:color="auto"/>
              <w:right w:val="single" w:sz="4" w:space="0" w:color="auto"/>
            </w:tcBorders>
            <w:noWrap/>
            <w:vAlign w:val="bottom"/>
            <w:hideMark/>
          </w:tcPr>
          <w:p w14:paraId="764E11F8"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(1,983,844)</w:t>
            </w:r>
          </w:p>
        </w:tc>
      </w:tr>
      <w:tr w:rsidR="00D30489" w14:paraId="735D8B91" w14:textId="77777777" w:rsidTr="00E95835">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1F46DFBF" w14:textId="77777777" w:rsidR="00B057CF" w:rsidRPr="00B057CF" w:rsidRDefault="00732348" w:rsidP="00E95835">
            <w:pPr>
              <w:spacing w:after="0" w:line="240" w:lineRule="auto"/>
              <w:jc w:val="center"/>
              <w:rPr>
                <w:rFonts w:ascii="Times" w:eastAsia="Times New Roman" w:hAnsi="Times" w:cs="Times"/>
                <w:b/>
                <w:bCs/>
                <w:color w:val="000000"/>
                <w:szCs w:val="24"/>
                <w:lang w:val="" w:eastAsia=""/>
              </w:rPr>
            </w:pPr>
            <w:r w:rsidRPr="00B057CF">
              <w:rPr>
                <w:rFonts w:ascii="Times" w:eastAsia="Times New Roman" w:hAnsi="Times" w:cs="Times"/>
                <w:b/>
                <w:bCs/>
                <w:color w:val="000000"/>
                <w:szCs w:val="24"/>
                <w:lang w:val="" w:eastAsia=""/>
              </w:rPr>
              <w:t>PI</w:t>
            </w:r>
          </w:p>
        </w:tc>
        <w:tc>
          <w:tcPr>
            <w:tcW w:w="1480" w:type="dxa"/>
            <w:tcBorders>
              <w:top w:val="nil"/>
              <w:left w:val="nil"/>
              <w:bottom w:val="single" w:sz="4" w:space="0" w:color="auto"/>
              <w:right w:val="single" w:sz="4" w:space="0" w:color="auto"/>
            </w:tcBorders>
            <w:noWrap/>
            <w:vAlign w:val="bottom"/>
            <w:hideMark/>
          </w:tcPr>
          <w:p w14:paraId="7D0265AB"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0.83</w:t>
            </w:r>
          </w:p>
        </w:tc>
        <w:tc>
          <w:tcPr>
            <w:tcW w:w="1480" w:type="dxa"/>
            <w:tcBorders>
              <w:top w:val="nil"/>
              <w:left w:val="nil"/>
              <w:bottom w:val="single" w:sz="4" w:space="0" w:color="auto"/>
              <w:right w:val="single" w:sz="4" w:space="0" w:color="auto"/>
            </w:tcBorders>
            <w:noWrap/>
            <w:vAlign w:val="bottom"/>
            <w:hideMark/>
          </w:tcPr>
          <w:p w14:paraId="600355AB"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0.83</w:t>
            </w:r>
          </w:p>
        </w:tc>
        <w:tc>
          <w:tcPr>
            <w:tcW w:w="1480" w:type="dxa"/>
            <w:tcBorders>
              <w:top w:val="nil"/>
              <w:left w:val="nil"/>
              <w:bottom w:val="single" w:sz="4" w:space="0" w:color="auto"/>
              <w:right w:val="single" w:sz="4" w:space="0" w:color="auto"/>
            </w:tcBorders>
            <w:noWrap/>
            <w:vAlign w:val="bottom"/>
            <w:hideMark/>
          </w:tcPr>
          <w:p w14:paraId="7AFA6765"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0.96</w:t>
            </w:r>
          </w:p>
        </w:tc>
      </w:tr>
      <w:tr w:rsidR="00D30489" w14:paraId="34C273EE" w14:textId="77777777" w:rsidTr="00E95835">
        <w:trPr>
          <w:trHeight w:val="315"/>
          <w:jc w:val="center"/>
        </w:trPr>
        <w:tc>
          <w:tcPr>
            <w:tcW w:w="960" w:type="dxa"/>
            <w:tcBorders>
              <w:top w:val="nil"/>
              <w:left w:val="single" w:sz="4" w:space="0" w:color="auto"/>
              <w:bottom w:val="single" w:sz="4" w:space="0" w:color="auto"/>
              <w:right w:val="single" w:sz="4" w:space="0" w:color="auto"/>
            </w:tcBorders>
            <w:noWrap/>
            <w:vAlign w:val="bottom"/>
            <w:hideMark/>
          </w:tcPr>
          <w:p w14:paraId="66C03FDF" w14:textId="77777777" w:rsidR="00B057CF" w:rsidRPr="00B057CF" w:rsidRDefault="00732348" w:rsidP="00E95835">
            <w:pPr>
              <w:spacing w:after="0" w:line="240" w:lineRule="auto"/>
              <w:jc w:val="center"/>
              <w:rPr>
                <w:rFonts w:ascii="Times" w:eastAsia="Times New Roman" w:hAnsi="Times" w:cs="Times"/>
                <w:b/>
                <w:bCs/>
                <w:color w:val="000000"/>
                <w:szCs w:val="24"/>
                <w:lang w:val="" w:eastAsia=""/>
              </w:rPr>
            </w:pPr>
            <w:r w:rsidRPr="00B057CF">
              <w:rPr>
                <w:rFonts w:ascii="Times" w:eastAsia="Times New Roman" w:hAnsi="Times" w:cs="Times"/>
                <w:b/>
                <w:bCs/>
                <w:color w:val="000000"/>
                <w:szCs w:val="24"/>
                <w:lang w:val="" w:eastAsia=""/>
              </w:rPr>
              <w:t>IRR</w:t>
            </w:r>
          </w:p>
        </w:tc>
        <w:tc>
          <w:tcPr>
            <w:tcW w:w="1480" w:type="dxa"/>
            <w:tcBorders>
              <w:top w:val="nil"/>
              <w:left w:val="nil"/>
              <w:bottom w:val="single" w:sz="4" w:space="0" w:color="auto"/>
              <w:right w:val="single" w:sz="4" w:space="0" w:color="auto"/>
            </w:tcBorders>
            <w:noWrap/>
            <w:vAlign w:val="bottom"/>
            <w:hideMark/>
          </w:tcPr>
          <w:p w14:paraId="785F3423"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2.72%</w:t>
            </w:r>
          </w:p>
        </w:tc>
        <w:tc>
          <w:tcPr>
            <w:tcW w:w="1480" w:type="dxa"/>
            <w:tcBorders>
              <w:top w:val="nil"/>
              <w:left w:val="nil"/>
              <w:bottom w:val="single" w:sz="4" w:space="0" w:color="auto"/>
              <w:right w:val="single" w:sz="4" w:space="0" w:color="auto"/>
            </w:tcBorders>
            <w:noWrap/>
            <w:vAlign w:val="bottom"/>
            <w:hideMark/>
          </w:tcPr>
          <w:p w14:paraId="776012A8"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3.26%</w:t>
            </w:r>
          </w:p>
        </w:tc>
        <w:tc>
          <w:tcPr>
            <w:tcW w:w="1480" w:type="dxa"/>
            <w:tcBorders>
              <w:top w:val="nil"/>
              <w:left w:val="nil"/>
              <w:bottom w:val="single" w:sz="4" w:space="0" w:color="auto"/>
              <w:right w:val="single" w:sz="4" w:space="0" w:color="auto"/>
            </w:tcBorders>
            <w:noWrap/>
            <w:vAlign w:val="bottom"/>
            <w:hideMark/>
          </w:tcPr>
          <w:p w14:paraId="3BB89F42" w14:textId="77777777" w:rsidR="00B057CF" w:rsidRPr="00B057CF" w:rsidRDefault="00732348" w:rsidP="00E95835">
            <w:pPr>
              <w:spacing w:after="0" w:line="240" w:lineRule="auto"/>
              <w:jc w:val="center"/>
              <w:rPr>
                <w:rFonts w:ascii="Times" w:eastAsia="Times New Roman" w:hAnsi="Times" w:cs="Times"/>
                <w:color w:val="000000"/>
                <w:szCs w:val="24"/>
                <w:lang w:val="" w:eastAsia=""/>
              </w:rPr>
            </w:pPr>
            <w:r w:rsidRPr="00B057CF">
              <w:rPr>
                <w:rFonts w:ascii="Times" w:eastAsia="Times New Roman" w:hAnsi="Times" w:cs="Times"/>
                <w:color w:val="000000"/>
                <w:szCs w:val="24"/>
                <w:lang w:val="" w:eastAsia=""/>
              </w:rPr>
              <w:t>8.59%</w:t>
            </w:r>
          </w:p>
        </w:tc>
      </w:tr>
    </w:tbl>
    <w:p w14:paraId="22E639D8" w14:textId="77777777" w:rsidR="00B057CF" w:rsidRPr="00545ADF" w:rsidRDefault="00B057CF" w:rsidP="00ED3DBF">
      <w:pPr>
        <w:spacing w:line="360" w:lineRule="auto"/>
        <w:rPr>
          <w:rFonts w:ascii="Times" w:hAnsi="Times" w:cs="Times"/>
          <w:b/>
          <w:bCs/>
          <w:szCs w:val="24"/>
        </w:rPr>
      </w:pPr>
    </w:p>
    <w:p w14:paraId="7545D8C6" w14:textId="77777777" w:rsidR="002049EC" w:rsidRPr="00F22D94" w:rsidRDefault="00732348" w:rsidP="00732348">
      <w:pPr>
        <w:pStyle w:val="Heading2"/>
        <w:numPr>
          <w:ilvl w:val="0"/>
          <w:numId w:val="4"/>
        </w:numPr>
        <w:spacing w:line="360" w:lineRule="auto"/>
        <w:rPr>
          <w:rFonts w:ascii="Times" w:hAnsi="Times" w:cs="Arial"/>
          <w:sz w:val="24"/>
          <w:szCs w:val="24"/>
        </w:rPr>
      </w:pPr>
      <w:bookmarkStart w:id="16" w:name="_Toc224784051"/>
      <w:r w:rsidRPr="00F22D94">
        <w:rPr>
          <w:rFonts w:ascii="Times" w:hAnsi="Times" w:cs="Arial"/>
          <w:sz w:val="24"/>
          <w:szCs w:val="24"/>
        </w:rPr>
        <w:t>Recommendation</w:t>
      </w:r>
      <w:bookmarkEnd w:id="16"/>
      <w:r w:rsidRPr="00F22D94">
        <w:rPr>
          <w:rFonts w:ascii="Times" w:hAnsi="Times" w:cs="Arial"/>
          <w:sz w:val="24"/>
          <w:szCs w:val="24"/>
        </w:rPr>
        <w:t xml:space="preserve"> </w:t>
      </w:r>
    </w:p>
    <w:p w14:paraId="139A24CF" w14:textId="131D7D12" w:rsidR="00ED3DBF" w:rsidRDefault="00732348" w:rsidP="008E0EDA">
      <w:pPr>
        <w:spacing w:line="360" w:lineRule="auto"/>
        <w:rPr>
          <w:rFonts w:ascii="Times" w:hAnsi="Times" w:cs="Times"/>
          <w:szCs w:val="24"/>
        </w:rPr>
      </w:pPr>
      <w:r>
        <w:rPr>
          <w:rFonts w:ascii="Times" w:hAnsi="Times" w:cs="Times"/>
          <w:szCs w:val="24"/>
        </w:rPr>
        <w:t xml:space="preserve">From the provided results of capital </w:t>
      </w:r>
      <w:r w:rsidR="00F20E16">
        <w:rPr>
          <w:rFonts w:ascii="Times" w:hAnsi="Times" w:cs="Times"/>
          <w:szCs w:val="24"/>
        </w:rPr>
        <w:t>budgeting,</w:t>
      </w:r>
      <w:r>
        <w:rPr>
          <w:rFonts w:ascii="Times" w:hAnsi="Times" w:cs="Times"/>
          <w:szCs w:val="24"/>
        </w:rPr>
        <w:t xml:space="preserve"> it has been examined that the project C offers more attractive results; the NPV of all 03 project is negative.</w:t>
      </w:r>
      <w:r w:rsidR="00BD2CC5">
        <w:rPr>
          <w:rFonts w:ascii="Times" w:hAnsi="Times" w:cs="Times"/>
          <w:szCs w:val="24"/>
        </w:rPr>
        <w:t xml:space="preserve"> The investment appraisal methods show that the most suitable option to invest in for Tesla is project C</w:t>
      </w:r>
      <w:r w:rsidR="00F20E16">
        <w:rPr>
          <w:rFonts w:ascii="Times" w:hAnsi="Times" w:cs="Times"/>
          <w:szCs w:val="24"/>
        </w:rPr>
        <w:t xml:space="preserve">. The reason behind the selection of Project C is the better results and performance compared to the other 02 options. From the provided matrix, the accounting rate of return for Project C is higher, i.e. 6% whereas it also </w:t>
      </w:r>
      <w:r w:rsidR="00680CC0">
        <w:rPr>
          <w:rFonts w:ascii="Times" w:hAnsi="Times" w:cs="Times"/>
          <w:szCs w:val="24"/>
        </w:rPr>
        <w:t>offers</w:t>
      </w:r>
      <w:r w:rsidR="00F20E16">
        <w:rPr>
          <w:rFonts w:ascii="Times" w:hAnsi="Times" w:cs="Times"/>
          <w:szCs w:val="24"/>
        </w:rPr>
        <w:t xml:space="preserve"> an internal rate of return of 8.59%</w:t>
      </w:r>
      <w:r w:rsidR="00E67A4C">
        <w:rPr>
          <w:rFonts w:ascii="Times" w:hAnsi="Times" w:cs="Times"/>
          <w:szCs w:val="24"/>
        </w:rPr>
        <w:t xml:space="preserve"> </w:t>
      </w:r>
      <w:r w:rsidR="00E67A4C" w:rsidRPr="00193F00">
        <w:rPr>
          <w:rFonts w:ascii="Times" w:hAnsi="Times" w:cs="Times"/>
          <w:szCs w:val="24"/>
        </w:rPr>
        <w:t>(Awodire et al., 2023).</w:t>
      </w:r>
      <w:r w:rsidR="00F20E16">
        <w:rPr>
          <w:rFonts w:ascii="Times" w:hAnsi="Times" w:cs="Times"/>
          <w:szCs w:val="24"/>
        </w:rPr>
        <w:t xml:space="preserve"> The profitability index of 0.96 is also higher than that of others, whereas the investment returns in 3.6 years.</w:t>
      </w:r>
      <w:r w:rsidR="00680CC0">
        <w:rPr>
          <w:rFonts w:ascii="Times" w:hAnsi="Times" w:cs="Times"/>
          <w:szCs w:val="24"/>
        </w:rPr>
        <w:t xml:space="preserve"> Although Project C also falls short in meeting the requirement of internal rate of return at 8.59% because the available discount rate is 10%, but if compared to the outcomes of other projects, it is the nearest one</w:t>
      </w:r>
      <w:r w:rsidR="00E67A4C">
        <w:rPr>
          <w:rFonts w:ascii="Times" w:hAnsi="Times" w:cs="Times"/>
          <w:szCs w:val="24"/>
        </w:rPr>
        <w:t xml:space="preserve"> </w:t>
      </w:r>
      <w:r w:rsidR="00E67A4C" w:rsidRPr="00193F00">
        <w:rPr>
          <w:rFonts w:ascii="Times" w:hAnsi="Times" w:cs="Times"/>
          <w:szCs w:val="24"/>
        </w:rPr>
        <w:t>(Putri et al., 2026).</w:t>
      </w:r>
      <w:r w:rsidR="00B91952">
        <w:rPr>
          <w:rFonts w:ascii="Times" w:hAnsi="Times" w:cs="Times"/>
          <w:szCs w:val="24"/>
        </w:rPr>
        <w:t xml:space="preserve"> The financial risk is also low in Project C compared to other projects. </w:t>
      </w:r>
    </w:p>
    <w:p w14:paraId="1B82DCDD" w14:textId="532FE610" w:rsidR="00B91952" w:rsidRDefault="00732348" w:rsidP="008E0EDA">
      <w:pPr>
        <w:spacing w:line="360" w:lineRule="auto"/>
        <w:rPr>
          <w:rFonts w:ascii="Times" w:hAnsi="Times" w:cs="Times"/>
          <w:szCs w:val="24"/>
        </w:rPr>
      </w:pPr>
      <w:r>
        <w:rPr>
          <w:rFonts w:ascii="Times" w:hAnsi="Times" w:cs="Times"/>
          <w:szCs w:val="24"/>
        </w:rPr>
        <w:t>In relation to the financial performance, there is a weakening of profits shown by Tesla in 2025 and 2024, where the profit margins, along with ROE and ROA, have been declining since 2024. This shows that the company is facing pressure from increased costs; however, the lower returns are achieved despite making regular investments in asset resources</w:t>
      </w:r>
      <w:r w:rsidR="00E67A4C">
        <w:rPr>
          <w:rFonts w:ascii="Times" w:hAnsi="Times" w:cs="Times"/>
          <w:szCs w:val="24"/>
        </w:rPr>
        <w:t xml:space="preserve"> </w:t>
      </w:r>
      <w:r w:rsidR="00E67A4C" w:rsidRPr="00193F00">
        <w:rPr>
          <w:rFonts w:ascii="Times" w:hAnsi="Times" w:cs="Times"/>
          <w:szCs w:val="24"/>
        </w:rPr>
        <w:t>(Purnamasari and Adriza, 2024).</w:t>
      </w:r>
      <w:r>
        <w:rPr>
          <w:rFonts w:ascii="Times" w:hAnsi="Times" w:cs="Times"/>
          <w:szCs w:val="24"/>
        </w:rPr>
        <w:t xml:space="preserve"> In this scenario, the selection of Project C can be a suitable approach because this investment opportunity provides better returns and the recovery of cash is on an immediate basis (3.6 years</w:t>
      </w:r>
      <w:r w:rsidR="00D2573A">
        <w:rPr>
          <w:rFonts w:ascii="Times" w:hAnsi="Times" w:cs="Times"/>
          <w:szCs w:val="24"/>
        </w:rPr>
        <w:t>); therefore, the project can be said to be strategically suitable for Tesla.</w:t>
      </w:r>
      <w:r w:rsidR="007037BE">
        <w:rPr>
          <w:rFonts w:ascii="Times" w:hAnsi="Times" w:cs="Times"/>
          <w:szCs w:val="24"/>
        </w:rPr>
        <w:t xml:space="preserve"> Since the cash flow of Tesla is showing a weak position, a shorter payback period can assist the company in improving its efficiency in managing working capital</w:t>
      </w:r>
      <w:r w:rsidR="00E67A4C">
        <w:rPr>
          <w:rFonts w:ascii="Times" w:hAnsi="Times" w:cs="Times"/>
          <w:szCs w:val="24"/>
        </w:rPr>
        <w:t xml:space="preserve"> </w:t>
      </w:r>
      <w:r w:rsidR="00E67A4C" w:rsidRPr="00193F00">
        <w:rPr>
          <w:rFonts w:ascii="Times" w:hAnsi="Times" w:cs="Times"/>
          <w:szCs w:val="24"/>
        </w:rPr>
        <w:t>(Nunden et al., 2022).</w:t>
      </w:r>
    </w:p>
    <w:p w14:paraId="065FBE97" w14:textId="250E7BFE" w:rsidR="001F0939" w:rsidRDefault="00732348" w:rsidP="008E0EDA">
      <w:pPr>
        <w:spacing w:line="360" w:lineRule="auto"/>
        <w:rPr>
          <w:rFonts w:ascii="Times" w:hAnsi="Times" w:cs="Times"/>
          <w:iCs/>
          <w:szCs w:val="24"/>
        </w:rPr>
      </w:pPr>
      <w:r>
        <w:rPr>
          <w:rFonts w:ascii="Times" w:hAnsi="Times" w:cs="Times"/>
          <w:szCs w:val="24"/>
        </w:rPr>
        <w:t xml:space="preserve">The liquidity of Tesla can also be improved, whereas the </w:t>
      </w:r>
      <w:r w:rsidR="00EA255F">
        <w:rPr>
          <w:rFonts w:ascii="Times" w:hAnsi="Times" w:cs="Times"/>
          <w:szCs w:val="24"/>
        </w:rPr>
        <w:t>uncertainty</w:t>
      </w:r>
      <w:r>
        <w:rPr>
          <w:rFonts w:ascii="Times" w:hAnsi="Times" w:cs="Times"/>
          <w:szCs w:val="24"/>
        </w:rPr>
        <w:t xml:space="preserve"> from economic conditions can be dealt with strategically.</w:t>
      </w:r>
      <w:r w:rsidR="00EA255F">
        <w:rPr>
          <w:rFonts w:ascii="Times" w:hAnsi="Times" w:cs="Times"/>
          <w:szCs w:val="24"/>
        </w:rPr>
        <w:t xml:space="preserve"> </w:t>
      </w:r>
      <w:r w:rsidR="00EA255F">
        <w:rPr>
          <w:rFonts w:ascii="Times" w:hAnsi="Times" w:cs="Times"/>
          <w:iCs/>
          <w:szCs w:val="24"/>
        </w:rPr>
        <w:t>Considering liquidity in the selection of a project, there is a strong liquidity position of Tesla, which is justified by its current and quick ratios above, showing the improvement over the past 5 years, but the latest decline in the operating cycle of cash shows that the cash of Tesla is stuck in long-term operational activities</w:t>
      </w:r>
      <w:r w:rsidR="00E67A4C">
        <w:rPr>
          <w:rFonts w:ascii="Times" w:hAnsi="Times" w:cs="Times"/>
          <w:iCs/>
          <w:szCs w:val="24"/>
        </w:rPr>
        <w:t xml:space="preserve"> </w:t>
      </w:r>
      <w:r w:rsidR="00E67A4C" w:rsidRPr="00193F00">
        <w:rPr>
          <w:rFonts w:ascii="Times" w:hAnsi="Times" w:cs="Times"/>
          <w:szCs w:val="24"/>
        </w:rPr>
        <w:t>(Gnap and Pitera, 2023).</w:t>
      </w:r>
      <w:r w:rsidR="003C4548">
        <w:rPr>
          <w:rFonts w:ascii="Times" w:hAnsi="Times" w:cs="Times"/>
          <w:iCs/>
          <w:szCs w:val="24"/>
        </w:rPr>
        <w:t xml:space="preserve"> There can be quicker cash inflows from Project C, which will provide support to the </w:t>
      </w:r>
      <w:r w:rsidR="003C4548">
        <w:rPr>
          <w:rFonts w:ascii="Times" w:hAnsi="Times" w:cs="Times"/>
          <w:iCs/>
          <w:szCs w:val="24"/>
        </w:rPr>
        <w:lastRenderedPageBreak/>
        <w:t xml:space="preserve">liquidity by improving the recovery of cash. Thus, the financial pressure for the short term can be improved, whereas there will also be an improvement in the management of working capital. </w:t>
      </w:r>
      <w:r w:rsidR="00E874C7">
        <w:rPr>
          <w:rFonts w:ascii="Times" w:hAnsi="Times" w:cs="Times"/>
          <w:iCs/>
          <w:szCs w:val="24"/>
        </w:rPr>
        <w:t xml:space="preserve"> In terms of risk, there is also the important role of non-financial aspects in making the selection of provided projects</w:t>
      </w:r>
      <w:r w:rsidR="00E67A4C">
        <w:rPr>
          <w:rFonts w:ascii="Times" w:hAnsi="Times" w:cs="Times"/>
          <w:iCs/>
          <w:szCs w:val="24"/>
        </w:rPr>
        <w:t xml:space="preserve"> </w:t>
      </w:r>
      <w:r w:rsidR="00E67A4C" w:rsidRPr="00193F00">
        <w:rPr>
          <w:rFonts w:ascii="Times" w:hAnsi="Times" w:cs="Times"/>
          <w:szCs w:val="24"/>
        </w:rPr>
        <w:t>(Andon et al., 2024).</w:t>
      </w:r>
      <w:r w:rsidR="00E874C7">
        <w:rPr>
          <w:rFonts w:ascii="Times" w:hAnsi="Times" w:cs="Times"/>
          <w:iCs/>
          <w:szCs w:val="24"/>
        </w:rPr>
        <w:t xml:space="preserve"> The international environment of Tesla is highly evolving, in which there are political risks like adjustments in the regulations of each </w:t>
      </w:r>
      <w:r w:rsidR="00387BF6">
        <w:rPr>
          <w:rFonts w:ascii="Times" w:hAnsi="Times" w:cs="Times"/>
          <w:iCs/>
          <w:szCs w:val="24"/>
        </w:rPr>
        <w:t>jurisdiction</w:t>
      </w:r>
      <w:r w:rsidR="00E874C7">
        <w:rPr>
          <w:rFonts w:ascii="Times" w:hAnsi="Times" w:cs="Times"/>
          <w:iCs/>
          <w:szCs w:val="24"/>
        </w:rPr>
        <w:t xml:space="preserve"> in which Tesla operates, trade barriers, and grants for electric vehicles.</w:t>
      </w:r>
    </w:p>
    <w:p w14:paraId="221F5217" w14:textId="10858AA9" w:rsidR="00387BF6" w:rsidRDefault="00732348" w:rsidP="008E0EDA">
      <w:pPr>
        <w:spacing w:line="360" w:lineRule="auto"/>
        <w:rPr>
          <w:rFonts w:ascii="Times" w:hAnsi="Times" w:cs="Times"/>
          <w:iCs/>
          <w:szCs w:val="24"/>
        </w:rPr>
      </w:pPr>
      <w:r>
        <w:rPr>
          <w:rFonts w:ascii="Times" w:hAnsi="Times" w:cs="Times"/>
          <w:iCs/>
          <w:szCs w:val="24"/>
        </w:rPr>
        <w:t>The project, which can provide an immediate return, can decrease the revelation of these challenges because the invested amount is recovered before any change in policy or law that can affect the performance</w:t>
      </w:r>
      <w:r w:rsidR="00E67A4C">
        <w:rPr>
          <w:rFonts w:ascii="Times" w:hAnsi="Times" w:cs="Times"/>
          <w:iCs/>
          <w:szCs w:val="24"/>
        </w:rPr>
        <w:t xml:space="preserve"> </w:t>
      </w:r>
      <w:r w:rsidR="00E67A4C" w:rsidRPr="00193F00">
        <w:rPr>
          <w:rFonts w:ascii="Times" w:hAnsi="Times" w:cs="Times"/>
          <w:szCs w:val="24"/>
        </w:rPr>
        <w:t>(Focacci, 2022).</w:t>
      </w:r>
      <w:r w:rsidR="00673EAC">
        <w:rPr>
          <w:rFonts w:ascii="Times" w:hAnsi="Times" w:cs="Times"/>
          <w:iCs/>
          <w:szCs w:val="24"/>
        </w:rPr>
        <w:t xml:space="preserve"> Moreover, there is also high competition in the electric vehicle market related to customer loyalty.</w:t>
      </w:r>
      <w:r w:rsidR="0068050C">
        <w:rPr>
          <w:rFonts w:ascii="Times" w:hAnsi="Times" w:cs="Times"/>
          <w:iCs/>
          <w:szCs w:val="24"/>
        </w:rPr>
        <w:t xml:space="preserve"> The aggressive pricing strategies are used by new companies to attract more customers and also to provide </w:t>
      </w:r>
      <w:r w:rsidR="00FA6726">
        <w:rPr>
          <w:rFonts w:ascii="Times" w:hAnsi="Times" w:cs="Times"/>
          <w:iCs/>
          <w:szCs w:val="24"/>
        </w:rPr>
        <w:t>substitute</w:t>
      </w:r>
      <w:r w:rsidR="0068050C">
        <w:rPr>
          <w:rFonts w:ascii="Times" w:hAnsi="Times" w:cs="Times"/>
          <w:iCs/>
          <w:szCs w:val="24"/>
        </w:rPr>
        <w:t xml:space="preserve"> products.</w:t>
      </w:r>
      <w:r w:rsidR="00FA6726">
        <w:rPr>
          <w:rFonts w:ascii="Times" w:hAnsi="Times" w:cs="Times"/>
          <w:iCs/>
          <w:szCs w:val="24"/>
        </w:rPr>
        <w:t xml:space="preserve"> There is the option for Tesla to maintain its agility by investing in projects like Project C, whereas the company can also look for reinvestment in innovative products, which can increase the strength of the brand and also customer loyalty</w:t>
      </w:r>
      <w:r w:rsidR="00E67A4C">
        <w:rPr>
          <w:rFonts w:ascii="Times" w:hAnsi="Times" w:cs="Times"/>
          <w:iCs/>
          <w:szCs w:val="24"/>
        </w:rPr>
        <w:t xml:space="preserve"> </w:t>
      </w:r>
      <w:r w:rsidR="00E67A4C" w:rsidRPr="00193F00">
        <w:rPr>
          <w:rFonts w:ascii="Times" w:hAnsi="Times" w:cs="Times"/>
          <w:szCs w:val="24"/>
        </w:rPr>
        <w:t>(Bakri et al., 2022).</w:t>
      </w:r>
      <w:r w:rsidR="00257F11">
        <w:rPr>
          <w:rFonts w:ascii="Times" w:hAnsi="Times" w:cs="Times"/>
          <w:iCs/>
          <w:szCs w:val="24"/>
        </w:rPr>
        <w:t xml:space="preserve"> The cash flows of Project C </w:t>
      </w:r>
      <w:r w:rsidR="006B7B9B">
        <w:rPr>
          <w:rFonts w:ascii="Times" w:hAnsi="Times" w:cs="Times"/>
          <w:iCs/>
          <w:szCs w:val="24"/>
        </w:rPr>
        <w:t>are</w:t>
      </w:r>
      <w:r w:rsidR="00257F11">
        <w:rPr>
          <w:rFonts w:ascii="Times" w:hAnsi="Times" w:cs="Times"/>
          <w:iCs/>
          <w:szCs w:val="24"/>
        </w:rPr>
        <w:t xml:space="preserve"> not stable and are highly dependent on last year's </w:t>
      </w:r>
      <w:r w:rsidR="006B7B9B">
        <w:rPr>
          <w:rFonts w:ascii="Times" w:hAnsi="Times" w:cs="Times"/>
          <w:iCs/>
          <w:szCs w:val="24"/>
        </w:rPr>
        <w:t>inflows.</w:t>
      </w:r>
      <w:r w:rsidR="00257F11">
        <w:rPr>
          <w:rFonts w:ascii="Times" w:hAnsi="Times" w:cs="Times"/>
          <w:iCs/>
          <w:szCs w:val="24"/>
        </w:rPr>
        <w:t xml:space="preserve"> This shows some portion of risk when market </w:t>
      </w:r>
      <w:r w:rsidR="006B7B9B">
        <w:rPr>
          <w:rFonts w:ascii="Times" w:hAnsi="Times" w:cs="Times"/>
          <w:iCs/>
          <w:szCs w:val="24"/>
        </w:rPr>
        <w:t>circumstances</w:t>
      </w:r>
      <w:r w:rsidR="00257F11">
        <w:rPr>
          <w:rFonts w:ascii="Times" w:hAnsi="Times" w:cs="Times"/>
          <w:iCs/>
          <w:szCs w:val="24"/>
        </w:rPr>
        <w:t xml:space="preserve"> change.</w:t>
      </w:r>
      <w:r w:rsidR="006B7B9B">
        <w:rPr>
          <w:rFonts w:ascii="Times" w:hAnsi="Times" w:cs="Times"/>
          <w:iCs/>
          <w:szCs w:val="24"/>
        </w:rPr>
        <w:t xml:space="preserve"> Other than this, the performance of Project C is better than the other two options</w:t>
      </w:r>
      <w:r w:rsidR="006F4DFB">
        <w:rPr>
          <w:rFonts w:ascii="Times" w:hAnsi="Times" w:cs="Times"/>
          <w:iCs/>
          <w:szCs w:val="24"/>
        </w:rPr>
        <w:t>; it is recommended for Tesla</w:t>
      </w:r>
      <w:r w:rsidR="00E67A4C">
        <w:rPr>
          <w:rFonts w:ascii="Times" w:hAnsi="Times" w:cs="Times"/>
          <w:iCs/>
          <w:szCs w:val="24"/>
        </w:rPr>
        <w:t xml:space="preserve"> </w:t>
      </w:r>
      <w:r w:rsidR="00E67A4C" w:rsidRPr="00193F00">
        <w:rPr>
          <w:rFonts w:ascii="Times" w:hAnsi="Times" w:cs="Times"/>
          <w:szCs w:val="24"/>
        </w:rPr>
        <w:t>(Sari and Muslim, 2024).</w:t>
      </w:r>
    </w:p>
    <w:p w14:paraId="269D0EC7" w14:textId="77777777" w:rsidR="00A00C18" w:rsidRDefault="00732348" w:rsidP="00732348">
      <w:pPr>
        <w:pStyle w:val="Heading2"/>
        <w:numPr>
          <w:ilvl w:val="0"/>
          <w:numId w:val="4"/>
        </w:numPr>
        <w:spacing w:line="360" w:lineRule="auto"/>
        <w:rPr>
          <w:rFonts w:ascii="Times" w:hAnsi="Times" w:cs="Arial"/>
          <w:sz w:val="24"/>
          <w:szCs w:val="24"/>
        </w:rPr>
      </w:pPr>
      <w:bookmarkStart w:id="17" w:name="_Toc224784052"/>
      <w:r>
        <w:rPr>
          <w:rFonts w:ascii="Times" w:hAnsi="Times" w:cs="Arial"/>
          <w:sz w:val="24"/>
          <w:szCs w:val="24"/>
        </w:rPr>
        <w:t>A combination of projects using capital rationing</w:t>
      </w:r>
      <w:bookmarkEnd w:id="17"/>
      <w:r>
        <w:rPr>
          <w:rFonts w:ascii="Times" w:hAnsi="Times" w:cs="Arial"/>
          <w:sz w:val="24"/>
          <w:szCs w:val="24"/>
        </w:rPr>
        <w:t xml:space="preserve"> </w:t>
      </w:r>
    </w:p>
    <w:p w14:paraId="724CBAA3" w14:textId="44A53A1A" w:rsidR="00A00C18" w:rsidRDefault="00732348" w:rsidP="00A00C18">
      <w:pPr>
        <w:spacing w:line="360" w:lineRule="auto"/>
        <w:rPr>
          <w:rFonts w:ascii="Times" w:hAnsi="Times" w:cs="Times"/>
          <w:szCs w:val="24"/>
        </w:rPr>
      </w:pPr>
      <w:r w:rsidRPr="00E267A9">
        <w:rPr>
          <w:rFonts w:ascii="Times" w:hAnsi="Times" w:cs="Times"/>
          <w:szCs w:val="24"/>
        </w:rPr>
        <w:t xml:space="preserve">If there is the restriction of having £ 100 million as the available investment budget, </w:t>
      </w:r>
      <w:r w:rsidR="0068640C" w:rsidRPr="00E267A9">
        <w:rPr>
          <w:rFonts w:ascii="Times" w:hAnsi="Times" w:cs="Times"/>
          <w:szCs w:val="24"/>
        </w:rPr>
        <w:t>then</w:t>
      </w:r>
      <w:r w:rsidRPr="00E267A9">
        <w:rPr>
          <w:rFonts w:ascii="Times" w:hAnsi="Times" w:cs="Times"/>
          <w:szCs w:val="24"/>
        </w:rPr>
        <w:t xml:space="preserve"> there is the option available with Tesla to go with the selection of a combination of any 02 availab</w:t>
      </w:r>
      <w:r w:rsidR="002B4F8C" w:rsidRPr="00E267A9">
        <w:rPr>
          <w:rFonts w:ascii="Times" w:hAnsi="Times" w:cs="Times"/>
          <w:szCs w:val="24"/>
        </w:rPr>
        <w:t>le</w:t>
      </w:r>
      <w:r w:rsidRPr="00E267A9">
        <w:rPr>
          <w:rFonts w:ascii="Times" w:hAnsi="Times" w:cs="Times"/>
          <w:szCs w:val="24"/>
        </w:rPr>
        <w:t xml:space="preserve"> projects</w:t>
      </w:r>
      <w:r w:rsidR="002B4F8C" w:rsidRPr="00E267A9">
        <w:rPr>
          <w:rFonts w:ascii="Times" w:hAnsi="Times" w:cs="Times"/>
          <w:szCs w:val="24"/>
        </w:rPr>
        <w:t>, despite investing in a single one.</w:t>
      </w:r>
      <w:r w:rsidR="00E267A9" w:rsidRPr="00E267A9">
        <w:rPr>
          <w:rFonts w:ascii="Times" w:hAnsi="Times" w:cs="Times"/>
          <w:szCs w:val="24"/>
        </w:rPr>
        <w:t xml:space="preserve"> There is a requirement of £ 50 million for every single project</w:t>
      </w:r>
      <w:r w:rsidR="00FA2F5B">
        <w:rPr>
          <w:rFonts w:ascii="Times" w:hAnsi="Times" w:cs="Times"/>
          <w:szCs w:val="24"/>
        </w:rPr>
        <w:t>; there is the option to invest in any 02 project</w:t>
      </w:r>
      <w:r w:rsidR="00E67A4C">
        <w:rPr>
          <w:rFonts w:ascii="Times" w:hAnsi="Times" w:cs="Times"/>
          <w:szCs w:val="24"/>
        </w:rPr>
        <w:t xml:space="preserve"> </w:t>
      </w:r>
      <w:r w:rsidR="00E67A4C" w:rsidRPr="00193F00">
        <w:rPr>
          <w:rFonts w:ascii="Times" w:hAnsi="Times" w:cs="Times"/>
          <w:szCs w:val="24"/>
        </w:rPr>
        <w:t>(Amin and Adil, 2025).</w:t>
      </w:r>
      <w:r w:rsidR="0068640C">
        <w:rPr>
          <w:rFonts w:ascii="Times" w:hAnsi="Times" w:cs="Times"/>
          <w:szCs w:val="24"/>
        </w:rPr>
        <w:t xml:space="preserve"> The goal of using capital rationing is to look for the maximum value of net present value, which can increase the value of shareholders.</w:t>
      </w:r>
    </w:p>
    <w:p w14:paraId="04A0F0F6" w14:textId="77777777" w:rsidR="007F157E" w:rsidRDefault="00732348" w:rsidP="00A00C18">
      <w:pPr>
        <w:spacing w:line="360" w:lineRule="auto"/>
        <w:rPr>
          <w:rFonts w:ascii="Times" w:hAnsi="Times" w:cs="Times"/>
          <w:szCs w:val="24"/>
        </w:rPr>
      </w:pPr>
      <w:r>
        <w:rPr>
          <w:rFonts w:ascii="Times" w:hAnsi="Times" w:cs="Times"/>
          <w:szCs w:val="24"/>
        </w:rPr>
        <w:t xml:space="preserve">Below is the net present value for each project </w:t>
      </w:r>
    </w:p>
    <w:tbl>
      <w:tblPr>
        <w:tblW w:w="5400" w:type="dxa"/>
        <w:jc w:val="center"/>
        <w:tblLook w:val="04A0" w:firstRow="1" w:lastRow="0" w:firstColumn="1" w:lastColumn="0" w:noHBand="0" w:noVBand="1"/>
      </w:tblPr>
      <w:tblGrid>
        <w:gridCol w:w="960"/>
        <w:gridCol w:w="1480"/>
        <w:gridCol w:w="1480"/>
        <w:gridCol w:w="1480"/>
      </w:tblGrid>
      <w:tr w:rsidR="00D30489" w14:paraId="1FDE3CDC" w14:textId="77777777" w:rsidTr="007F157E">
        <w:trPr>
          <w:trHeight w:val="330"/>
          <w:jc w:val="center"/>
        </w:trPr>
        <w:tc>
          <w:tcPr>
            <w:tcW w:w="960" w:type="dxa"/>
            <w:tcBorders>
              <w:top w:val="nil"/>
              <w:left w:val="nil"/>
              <w:bottom w:val="nil"/>
              <w:right w:val="nil"/>
            </w:tcBorders>
            <w:noWrap/>
            <w:vAlign w:val="bottom"/>
            <w:hideMark/>
          </w:tcPr>
          <w:p w14:paraId="2D48B6A7" w14:textId="77777777" w:rsidR="007F157E" w:rsidRPr="007F157E" w:rsidRDefault="007F157E" w:rsidP="007F157E">
            <w:pPr>
              <w:spacing w:after="0" w:line="240" w:lineRule="auto"/>
              <w:jc w:val="left"/>
              <w:rPr>
                <w:rFonts w:eastAsia="Times New Roman" w:cs="Times New Roman"/>
                <w:sz w:val="20"/>
                <w:szCs w:val="24"/>
                <w:lang w:val="" w:eastAsia=""/>
              </w:rPr>
            </w:pPr>
          </w:p>
        </w:tc>
        <w:tc>
          <w:tcPr>
            <w:tcW w:w="1480" w:type="dxa"/>
            <w:tcBorders>
              <w:top w:val="single" w:sz="8" w:space="0" w:color="auto"/>
              <w:left w:val="single" w:sz="8" w:space="0" w:color="auto"/>
              <w:bottom w:val="single" w:sz="8" w:space="0" w:color="auto"/>
              <w:right w:val="single" w:sz="8" w:space="0" w:color="auto"/>
            </w:tcBorders>
            <w:noWrap/>
            <w:vAlign w:val="bottom"/>
            <w:hideMark/>
          </w:tcPr>
          <w:p w14:paraId="599401BA" w14:textId="77777777" w:rsidR="007F157E" w:rsidRPr="007F157E" w:rsidRDefault="00732348" w:rsidP="007F157E">
            <w:pPr>
              <w:spacing w:after="0" w:line="240" w:lineRule="auto"/>
              <w:jc w:val="left"/>
              <w:rPr>
                <w:rFonts w:ascii="Times" w:eastAsia="Times New Roman" w:hAnsi="Times" w:cs="Times"/>
                <w:b/>
                <w:bCs/>
                <w:color w:val="000000"/>
                <w:szCs w:val="24"/>
                <w:lang w:val="" w:eastAsia=""/>
              </w:rPr>
            </w:pPr>
            <w:r w:rsidRPr="007F157E">
              <w:rPr>
                <w:rFonts w:ascii="Times" w:eastAsia="Times New Roman" w:hAnsi="Times" w:cs="Times"/>
                <w:b/>
                <w:bCs/>
                <w:color w:val="000000"/>
                <w:szCs w:val="24"/>
                <w:lang w:val="" w:eastAsia=""/>
              </w:rPr>
              <w:t>Project A</w:t>
            </w:r>
          </w:p>
        </w:tc>
        <w:tc>
          <w:tcPr>
            <w:tcW w:w="1480" w:type="dxa"/>
            <w:tcBorders>
              <w:top w:val="single" w:sz="8" w:space="0" w:color="auto"/>
              <w:left w:val="nil"/>
              <w:bottom w:val="single" w:sz="8" w:space="0" w:color="auto"/>
              <w:right w:val="single" w:sz="8" w:space="0" w:color="auto"/>
            </w:tcBorders>
            <w:noWrap/>
            <w:vAlign w:val="bottom"/>
            <w:hideMark/>
          </w:tcPr>
          <w:p w14:paraId="1E132D57" w14:textId="77777777" w:rsidR="007F157E" w:rsidRPr="007F157E" w:rsidRDefault="00732348" w:rsidP="007F157E">
            <w:pPr>
              <w:spacing w:after="0" w:line="240" w:lineRule="auto"/>
              <w:jc w:val="left"/>
              <w:rPr>
                <w:rFonts w:ascii="Times" w:eastAsia="Times New Roman" w:hAnsi="Times" w:cs="Times"/>
                <w:b/>
                <w:bCs/>
                <w:color w:val="000000"/>
                <w:szCs w:val="24"/>
                <w:lang w:val="" w:eastAsia=""/>
              </w:rPr>
            </w:pPr>
            <w:r w:rsidRPr="007F157E">
              <w:rPr>
                <w:rFonts w:ascii="Times" w:eastAsia="Times New Roman" w:hAnsi="Times" w:cs="Times"/>
                <w:b/>
                <w:bCs/>
                <w:color w:val="000000"/>
                <w:szCs w:val="24"/>
                <w:lang w:val="" w:eastAsia=""/>
              </w:rPr>
              <w:t>Project B</w:t>
            </w:r>
          </w:p>
        </w:tc>
        <w:tc>
          <w:tcPr>
            <w:tcW w:w="1480" w:type="dxa"/>
            <w:tcBorders>
              <w:top w:val="single" w:sz="8" w:space="0" w:color="auto"/>
              <w:left w:val="nil"/>
              <w:bottom w:val="single" w:sz="8" w:space="0" w:color="auto"/>
              <w:right w:val="single" w:sz="8" w:space="0" w:color="auto"/>
            </w:tcBorders>
            <w:noWrap/>
            <w:vAlign w:val="bottom"/>
            <w:hideMark/>
          </w:tcPr>
          <w:p w14:paraId="60BF243E" w14:textId="77777777" w:rsidR="007F157E" w:rsidRPr="007F157E" w:rsidRDefault="00732348" w:rsidP="007F157E">
            <w:pPr>
              <w:spacing w:after="0" w:line="240" w:lineRule="auto"/>
              <w:jc w:val="left"/>
              <w:rPr>
                <w:rFonts w:ascii="Times" w:eastAsia="Times New Roman" w:hAnsi="Times" w:cs="Times"/>
                <w:b/>
                <w:bCs/>
                <w:color w:val="000000"/>
                <w:szCs w:val="24"/>
                <w:lang w:val="" w:eastAsia=""/>
              </w:rPr>
            </w:pPr>
            <w:r w:rsidRPr="007F157E">
              <w:rPr>
                <w:rFonts w:ascii="Times" w:eastAsia="Times New Roman" w:hAnsi="Times" w:cs="Times"/>
                <w:b/>
                <w:bCs/>
                <w:color w:val="000000"/>
                <w:szCs w:val="24"/>
                <w:lang w:val="" w:eastAsia=""/>
              </w:rPr>
              <w:t>Project C</w:t>
            </w:r>
          </w:p>
        </w:tc>
      </w:tr>
      <w:tr w:rsidR="00D30489" w14:paraId="73A81D7C" w14:textId="77777777" w:rsidTr="007F157E">
        <w:trPr>
          <w:trHeight w:val="315"/>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2BD191B3" w14:textId="77777777" w:rsidR="007F157E" w:rsidRPr="007F157E" w:rsidRDefault="00732348" w:rsidP="007F157E">
            <w:pPr>
              <w:spacing w:after="0" w:line="240" w:lineRule="auto"/>
              <w:jc w:val="left"/>
              <w:rPr>
                <w:rFonts w:ascii="Times" w:eastAsia="Times New Roman" w:hAnsi="Times" w:cs="Times"/>
                <w:b/>
                <w:bCs/>
                <w:color w:val="000000"/>
                <w:szCs w:val="24"/>
                <w:lang w:val="" w:eastAsia=""/>
              </w:rPr>
            </w:pPr>
            <w:r w:rsidRPr="007F157E">
              <w:rPr>
                <w:rFonts w:ascii="Times" w:eastAsia="Times New Roman" w:hAnsi="Times" w:cs="Times"/>
                <w:b/>
                <w:bCs/>
                <w:color w:val="000000"/>
                <w:szCs w:val="24"/>
                <w:lang w:val="" w:eastAsia=""/>
              </w:rPr>
              <w:t>NPV</w:t>
            </w:r>
          </w:p>
        </w:tc>
        <w:tc>
          <w:tcPr>
            <w:tcW w:w="1480" w:type="dxa"/>
            <w:tcBorders>
              <w:top w:val="single" w:sz="4" w:space="0" w:color="auto"/>
              <w:left w:val="nil"/>
              <w:bottom w:val="single" w:sz="4" w:space="0" w:color="auto"/>
              <w:right w:val="single" w:sz="4" w:space="0" w:color="auto"/>
            </w:tcBorders>
            <w:noWrap/>
            <w:vAlign w:val="bottom"/>
            <w:hideMark/>
          </w:tcPr>
          <w:p w14:paraId="21CF4856" w14:textId="77777777" w:rsidR="007F157E" w:rsidRPr="007F157E" w:rsidRDefault="00732348" w:rsidP="007F157E">
            <w:pPr>
              <w:spacing w:after="0" w:line="240" w:lineRule="auto"/>
              <w:jc w:val="center"/>
              <w:rPr>
                <w:rFonts w:ascii="Times" w:eastAsia="Times New Roman" w:hAnsi="Times" w:cs="Times"/>
                <w:color w:val="000000"/>
                <w:szCs w:val="24"/>
                <w:lang w:val="" w:eastAsia=""/>
              </w:rPr>
            </w:pPr>
            <w:r w:rsidRPr="007F157E">
              <w:rPr>
                <w:rFonts w:ascii="Times" w:eastAsia="Times New Roman" w:hAnsi="Times" w:cs="Times"/>
                <w:color w:val="000000"/>
                <w:szCs w:val="24"/>
                <w:lang w:val="" w:eastAsia=""/>
              </w:rPr>
              <w:t xml:space="preserve">    (8,675,823)</w:t>
            </w:r>
          </w:p>
        </w:tc>
        <w:tc>
          <w:tcPr>
            <w:tcW w:w="1480" w:type="dxa"/>
            <w:tcBorders>
              <w:top w:val="single" w:sz="4" w:space="0" w:color="auto"/>
              <w:left w:val="nil"/>
              <w:bottom w:val="single" w:sz="4" w:space="0" w:color="auto"/>
              <w:right w:val="single" w:sz="4" w:space="0" w:color="auto"/>
            </w:tcBorders>
            <w:noWrap/>
            <w:vAlign w:val="bottom"/>
            <w:hideMark/>
          </w:tcPr>
          <w:p w14:paraId="2816C996" w14:textId="77777777" w:rsidR="007F157E" w:rsidRPr="007F157E" w:rsidRDefault="00732348" w:rsidP="007F157E">
            <w:pPr>
              <w:spacing w:after="0" w:line="240" w:lineRule="auto"/>
              <w:jc w:val="left"/>
              <w:rPr>
                <w:rFonts w:ascii="Times" w:eastAsia="Times New Roman" w:hAnsi="Times" w:cs="Times"/>
                <w:color w:val="000000"/>
                <w:szCs w:val="24"/>
                <w:lang w:val="" w:eastAsia=""/>
              </w:rPr>
            </w:pPr>
            <w:r w:rsidRPr="007F157E">
              <w:rPr>
                <w:rFonts w:ascii="Times" w:eastAsia="Times New Roman" w:hAnsi="Times" w:cs="Times"/>
                <w:color w:val="000000"/>
                <w:szCs w:val="24"/>
                <w:lang w:val="" w:eastAsia=""/>
              </w:rPr>
              <w:t xml:space="preserve">    (8,301,346)</w:t>
            </w:r>
          </w:p>
        </w:tc>
        <w:tc>
          <w:tcPr>
            <w:tcW w:w="1480" w:type="dxa"/>
            <w:tcBorders>
              <w:top w:val="single" w:sz="4" w:space="0" w:color="auto"/>
              <w:left w:val="nil"/>
              <w:bottom w:val="single" w:sz="4" w:space="0" w:color="auto"/>
              <w:right w:val="single" w:sz="4" w:space="0" w:color="auto"/>
            </w:tcBorders>
            <w:noWrap/>
            <w:vAlign w:val="bottom"/>
            <w:hideMark/>
          </w:tcPr>
          <w:p w14:paraId="0D4037C4" w14:textId="77777777" w:rsidR="007F157E" w:rsidRPr="007F157E" w:rsidRDefault="00732348" w:rsidP="007F157E">
            <w:pPr>
              <w:spacing w:after="0" w:line="240" w:lineRule="auto"/>
              <w:jc w:val="left"/>
              <w:rPr>
                <w:rFonts w:ascii="Times" w:eastAsia="Times New Roman" w:hAnsi="Times" w:cs="Times"/>
                <w:color w:val="000000"/>
                <w:szCs w:val="24"/>
                <w:lang w:val="" w:eastAsia=""/>
              </w:rPr>
            </w:pPr>
            <w:r w:rsidRPr="007F157E">
              <w:rPr>
                <w:rFonts w:ascii="Times" w:eastAsia="Times New Roman" w:hAnsi="Times" w:cs="Times"/>
                <w:color w:val="000000"/>
                <w:szCs w:val="24"/>
                <w:lang w:val="" w:eastAsia=""/>
              </w:rPr>
              <w:t xml:space="preserve">    (1,983,844)</w:t>
            </w:r>
          </w:p>
        </w:tc>
      </w:tr>
    </w:tbl>
    <w:p w14:paraId="13802299" w14:textId="77777777" w:rsidR="007F157E" w:rsidRDefault="00732348" w:rsidP="00A00C18">
      <w:pPr>
        <w:spacing w:line="360" w:lineRule="auto"/>
        <w:rPr>
          <w:rFonts w:ascii="Times" w:hAnsi="Times" w:cs="Times"/>
          <w:szCs w:val="24"/>
        </w:rPr>
      </w:pPr>
      <w:r>
        <w:rPr>
          <w:rFonts w:ascii="Times" w:hAnsi="Times" w:cs="Times"/>
          <w:szCs w:val="24"/>
        </w:rPr>
        <w:t xml:space="preserve">So that there should be the available combinations as mentioned below </w:t>
      </w:r>
    </w:p>
    <w:tbl>
      <w:tblPr>
        <w:tblW w:w="5400" w:type="dxa"/>
        <w:jc w:val="center"/>
        <w:tblLook w:val="04A0" w:firstRow="1" w:lastRow="0" w:firstColumn="1" w:lastColumn="0" w:noHBand="0" w:noVBand="1"/>
      </w:tblPr>
      <w:tblGrid>
        <w:gridCol w:w="960"/>
        <w:gridCol w:w="1480"/>
        <w:gridCol w:w="1480"/>
        <w:gridCol w:w="1480"/>
      </w:tblGrid>
      <w:tr w:rsidR="00D30489" w14:paraId="3E7AF659" w14:textId="77777777" w:rsidTr="00A61AE2">
        <w:trPr>
          <w:trHeight w:val="330"/>
          <w:jc w:val="center"/>
        </w:trPr>
        <w:tc>
          <w:tcPr>
            <w:tcW w:w="960" w:type="dxa"/>
            <w:tcBorders>
              <w:top w:val="nil"/>
              <w:left w:val="nil"/>
              <w:bottom w:val="nil"/>
              <w:right w:val="nil"/>
            </w:tcBorders>
            <w:noWrap/>
            <w:vAlign w:val="bottom"/>
            <w:hideMark/>
          </w:tcPr>
          <w:p w14:paraId="35BC077F" w14:textId="77777777" w:rsidR="00A61AE2" w:rsidRPr="00A61AE2" w:rsidRDefault="00A61AE2" w:rsidP="00A61AE2">
            <w:pPr>
              <w:spacing w:after="0" w:line="240" w:lineRule="auto"/>
              <w:jc w:val="left"/>
              <w:rPr>
                <w:rFonts w:eastAsia="Times New Roman" w:cs="Times New Roman"/>
                <w:sz w:val="20"/>
                <w:szCs w:val="24"/>
                <w:lang w:val="" w:eastAsia=""/>
              </w:rPr>
            </w:pPr>
          </w:p>
        </w:tc>
        <w:tc>
          <w:tcPr>
            <w:tcW w:w="1480" w:type="dxa"/>
            <w:tcBorders>
              <w:top w:val="single" w:sz="8" w:space="0" w:color="auto"/>
              <w:left w:val="single" w:sz="8" w:space="0" w:color="auto"/>
              <w:bottom w:val="single" w:sz="8" w:space="0" w:color="auto"/>
              <w:right w:val="single" w:sz="8" w:space="0" w:color="auto"/>
            </w:tcBorders>
            <w:noWrap/>
            <w:vAlign w:val="bottom"/>
            <w:hideMark/>
          </w:tcPr>
          <w:p w14:paraId="09786AA8"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Project A</w:t>
            </w:r>
          </w:p>
        </w:tc>
        <w:tc>
          <w:tcPr>
            <w:tcW w:w="1480" w:type="dxa"/>
            <w:tcBorders>
              <w:top w:val="single" w:sz="8" w:space="0" w:color="auto"/>
              <w:left w:val="nil"/>
              <w:bottom w:val="single" w:sz="8" w:space="0" w:color="auto"/>
              <w:right w:val="single" w:sz="8" w:space="0" w:color="auto"/>
            </w:tcBorders>
            <w:noWrap/>
            <w:vAlign w:val="bottom"/>
            <w:hideMark/>
          </w:tcPr>
          <w:p w14:paraId="6BA06880"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Project B</w:t>
            </w:r>
          </w:p>
        </w:tc>
        <w:tc>
          <w:tcPr>
            <w:tcW w:w="1480" w:type="dxa"/>
            <w:tcBorders>
              <w:top w:val="single" w:sz="8" w:space="0" w:color="auto"/>
              <w:left w:val="nil"/>
              <w:bottom w:val="single" w:sz="8" w:space="0" w:color="auto"/>
              <w:right w:val="single" w:sz="8" w:space="0" w:color="auto"/>
            </w:tcBorders>
            <w:noWrap/>
            <w:vAlign w:val="bottom"/>
            <w:hideMark/>
          </w:tcPr>
          <w:p w14:paraId="03D5DC8E"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Total</w:t>
            </w:r>
          </w:p>
        </w:tc>
      </w:tr>
      <w:tr w:rsidR="00D30489" w14:paraId="4530EFBB" w14:textId="77777777" w:rsidTr="00A61AE2">
        <w:trPr>
          <w:trHeight w:val="315"/>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0E49881B" w14:textId="77777777" w:rsidR="00A61AE2" w:rsidRPr="00A61AE2" w:rsidRDefault="00732348" w:rsidP="00A61AE2">
            <w:pPr>
              <w:spacing w:after="0" w:line="240" w:lineRule="auto"/>
              <w:jc w:val="left"/>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NPV</w:t>
            </w:r>
          </w:p>
        </w:tc>
        <w:tc>
          <w:tcPr>
            <w:tcW w:w="1480" w:type="dxa"/>
            <w:tcBorders>
              <w:top w:val="single" w:sz="4" w:space="0" w:color="auto"/>
              <w:left w:val="nil"/>
              <w:bottom w:val="single" w:sz="4" w:space="0" w:color="auto"/>
              <w:right w:val="single" w:sz="4" w:space="0" w:color="auto"/>
            </w:tcBorders>
            <w:noWrap/>
            <w:vAlign w:val="bottom"/>
            <w:hideMark/>
          </w:tcPr>
          <w:p w14:paraId="35F72A22" w14:textId="77777777" w:rsidR="00A61AE2" w:rsidRPr="00A61AE2" w:rsidRDefault="00732348" w:rsidP="00A61AE2">
            <w:pPr>
              <w:spacing w:after="0" w:line="240" w:lineRule="auto"/>
              <w:jc w:val="center"/>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(8,675,823)</w:t>
            </w:r>
          </w:p>
        </w:tc>
        <w:tc>
          <w:tcPr>
            <w:tcW w:w="1480" w:type="dxa"/>
            <w:tcBorders>
              <w:top w:val="single" w:sz="4" w:space="0" w:color="auto"/>
              <w:left w:val="nil"/>
              <w:bottom w:val="single" w:sz="4" w:space="0" w:color="auto"/>
              <w:right w:val="single" w:sz="4" w:space="0" w:color="auto"/>
            </w:tcBorders>
            <w:noWrap/>
            <w:vAlign w:val="bottom"/>
            <w:hideMark/>
          </w:tcPr>
          <w:p w14:paraId="66182846" w14:textId="77777777" w:rsidR="00A61AE2" w:rsidRPr="00A61AE2" w:rsidRDefault="00732348" w:rsidP="00A61AE2">
            <w:pPr>
              <w:spacing w:after="0" w:line="240" w:lineRule="auto"/>
              <w:jc w:val="left"/>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(8,301,346)</w:t>
            </w:r>
          </w:p>
        </w:tc>
        <w:tc>
          <w:tcPr>
            <w:tcW w:w="1480" w:type="dxa"/>
            <w:tcBorders>
              <w:top w:val="nil"/>
              <w:left w:val="nil"/>
              <w:bottom w:val="single" w:sz="4" w:space="0" w:color="auto"/>
              <w:right w:val="single" w:sz="4" w:space="0" w:color="auto"/>
            </w:tcBorders>
            <w:noWrap/>
            <w:vAlign w:val="bottom"/>
            <w:hideMark/>
          </w:tcPr>
          <w:p w14:paraId="47CE0209" w14:textId="77777777" w:rsidR="00A61AE2" w:rsidRPr="00A61AE2" w:rsidRDefault="00732348" w:rsidP="00A61AE2">
            <w:pPr>
              <w:spacing w:after="0" w:line="240" w:lineRule="auto"/>
              <w:jc w:val="left"/>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(16,977,169)</w:t>
            </w:r>
          </w:p>
        </w:tc>
      </w:tr>
      <w:tr w:rsidR="00D30489" w14:paraId="0682F9DE" w14:textId="77777777" w:rsidTr="00A61AE2">
        <w:trPr>
          <w:trHeight w:val="315"/>
          <w:jc w:val="center"/>
        </w:trPr>
        <w:tc>
          <w:tcPr>
            <w:tcW w:w="960" w:type="dxa"/>
            <w:tcBorders>
              <w:top w:val="nil"/>
              <w:left w:val="nil"/>
              <w:bottom w:val="nil"/>
              <w:right w:val="nil"/>
            </w:tcBorders>
            <w:noWrap/>
            <w:vAlign w:val="bottom"/>
            <w:hideMark/>
          </w:tcPr>
          <w:p w14:paraId="0169B852" w14:textId="77777777" w:rsidR="00A61AE2" w:rsidRPr="00A61AE2" w:rsidRDefault="00A61AE2" w:rsidP="00A61AE2">
            <w:pPr>
              <w:spacing w:after="0" w:line="240" w:lineRule="auto"/>
              <w:jc w:val="left"/>
              <w:rPr>
                <w:rFonts w:ascii="Times" w:eastAsia="Times New Roman" w:hAnsi="Times" w:cs="Times"/>
                <w:color w:val="000000"/>
                <w:szCs w:val="24"/>
                <w:lang w:val="" w:eastAsia=""/>
              </w:rPr>
            </w:pPr>
          </w:p>
        </w:tc>
        <w:tc>
          <w:tcPr>
            <w:tcW w:w="1480" w:type="dxa"/>
            <w:tcBorders>
              <w:top w:val="nil"/>
              <w:left w:val="nil"/>
              <w:bottom w:val="nil"/>
              <w:right w:val="nil"/>
            </w:tcBorders>
            <w:noWrap/>
            <w:vAlign w:val="bottom"/>
            <w:hideMark/>
          </w:tcPr>
          <w:p w14:paraId="4FD0DE08" w14:textId="77777777" w:rsidR="00A61AE2" w:rsidRPr="00A61AE2" w:rsidRDefault="00A61AE2" w:rsidP="00A61AE2">
            <w:pPr>
              <w:spacing w:after="0" w:line="240" w:lineRule="auto"/>
              <w:jc w:val="left"/>
              <w:rPr>
                <w:rFonts w:eastAsia="Times New Roman" w:cs="Times New Roman"/>
                <w:sz w:val="20"/>
                <w:szCs w:val="20"/>
                <w:lang w:val="" w:eastAsia=""/>
              </w:rPr>
            </w:pPr>
          </w:p>
        </w:tc>
        <w:tc>
          <w:tcPr>
            <w:tcW w:w="1480" w:type="dxa"/>
            <w:tcBorders>
              <w:top w:val="nil"/>
              <w:left w:val="nil"/>
              <w:bottom w:val="nil"/>
              <w:right w:val="nil"/>
            </w:tcBorders>
            <w:noWrap/>
            <w:vAlign w:val="bottom"/>
            <w:hideMark/>
          </w:tcPr>
          <w:p w14:paraId="1AE2B43F" w14:textId="77777777" w:rsidR="00A61AE2" w:rsidRPr="00A61AE2" w:rsidRDefault="00A61AE2" w:rsidP="00A61AE2">
            <w:pPr>
              <w:spacing w:after="0" w:line="240" w:lineRule="auto"/>
              <w:jc w:val="left"/>
              <w:rPr>
                <w:rFonts w:eastAsia="Times New Roman" w:cs="Times New Roman"/>
                <w:sz w:val="20"/>
                <w:szCs w:val="20"/>
                <w:lang w:val="" w:eastAsia=""/>
              </w:rPr>
            </w:pPr>
          </w:p>
        </w:tc>
        <w:tc>
          <w:tcPr>
            <w:tcW w:w="1480" w:type="dxa"/>
            <w:tcBorders>
              <w:top w:val="nil"/>
              <w:left w:val="nil"/>
              <w:bottom w:val="nil"/>
              <w:right w:val="nil"/>
            </w:tcBorders>
            <w:noWrap/>
            <w:vAlign w:val="bottom"/>
            <w:hideMark/>
          </w:tcPr>
          <w:p w14:paraId="0629A3F1" w14:textId="77777777" w:rsidR="00A61AE2" w:rsidRPr="00A61AE2" w:rsidRDefault="00A61AE2" w:rsidP="00A61AE2">
            <w:pPr>
              <w:spacing w:after="0" w:line="240" w:lineRule="auto"/>
              <w:jc w:val="left"/>
              <w:rPr>
                <w:rFonts w:eastAsia="Times New Roman" w:cs="Times New Roman"/>
                <w:sz w:val="20"/>
                <w:szCs w:val="20"/>
                <w:lang w:val="" w:eastAsia=""/>
              </w:rPr>
            </w:pPr>
          </w:p>
        </w:tc>
      </w:tr>
      <w:tr w:rsidR="00D30489" w14:paraId="66D2222A" w14:textId="77777777" w:rsidTr="00A61AE2">
        <w:trPr>
          <w:trHeight w:val="330"/>
          <w:jc w:val="center"/>
        </w:trPr>
        <w:tc>
          <w:tcPr>
            <w:tcW w:w="960" w:type="dxa"/>
            <w:tcBorders>
              <w:top w:val="nil"/>
              <w:left w:val="nil"/>
              <w:bottom w:val="nil"/>
              <w:right w:val="nil"/>
            </w:tcBorders>
            <w:noWrap/>
            <w:vAlign w:val="bottom"/>
            <w:hideMark/>
          </w:tcPr>
          <w:p w14:paraId="69B87EA8" w14:textId="77777777" w:rsidR="00A61AE2" w:rsidRPr="00A61AE2" w:rsidRDefault="00A61AE2" w:rsidP="00A61AE2">
            <w:pPr>
              <w:spacing w:after="0" w:line="240" w:lineRule="auto"/>
              <w:jc w:val="left"/>
              <w:rPr>
                <w:rFonts w:eastAsia="Times New Roman" w:cs="Times New Roman"/>
                <w:sz w:val="20"/>
                <w:szCs w:val="20"/>
                <w:lang w:val="" w:eastAsia=""/>
              </w:rPr>
            </w:pPr>
          </w:p>
        </w:tc>
        <w:tc>
          <w:tcPr>
            <w:tcW w:w="1480" w:type="dxa"/>
            <w:tcBorders>
              <w:top w:val="single" w:sz="8" w:space="0" w:color="auto"/>
              <w:left w:val="single" w:sz="8" w:space="0" w:color="auto"/>
              <w:bottom w:val="single" w:sz="8" w:space="0" w:color="auto"/>
              <w:right w:val="single" w:sz="8" w:space="0" w:color="auto"/>
            </w:tcBorders>
            <w:noWrap/>
            <w:vAlign w:val="bottom"/>
            <w:hideMark/>
          </w:tcPr>
          <w:p w14:paraId="65DFD808"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Project A</w:t>
            </w:r>
          </w:p>
        </w:tc>
        <w:tc>
          <w:tcPr>
            <w:tcW w:w="1480" w:type="dxa"/>
            <w:tcBorders>
              <w:top w:val="single" w:sz="8" w:space="0" w:color="auto"/>
              <w:left w:val="nil"/>
              <w:bottom w:val="single" w:sz="8" w:space="0" w:color="auto"/>
              <w:right w:val="single" w:sz="8" w:space="0" w:color="auto"/>
            </w:tcBorders>
            <w:noWrap/>
            <w:vAlign w:val="bottom"/>
            <w:hideMark/>
          </w:tcPr>
          <w:p w14:paraId="576FA56A"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Project C</w:t>
            </w:r>
          </w:p>
        </w:tc>
        <w:tc>
          <w:tcPr>
            <w:tcW w:w="1480" w:type="dxa"/>
            <w:tcBorders>
              <w:top w:val="single" w:sz="8" w:space="0" w:color="auto"/>
              <w:left w:val="nil"/>
              <w:bottom w:val="single" w:sz="8" w:space="0" w:color="auto"/>
              <w:right w:val="single" w:sz="8" w:space="0" w:color="auto"/>
            </w:tcBorders>
            <w:noWrap/>
            <w:vAlign w:val="bottom"/>
            <w:hideMark/>
          </w:tcPr>
          <w:p w14:paraId="7129ACAB"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Total</w:t>
            </w:r>
          </w:p>
        </w:tc>
      </w:tr>
      <w:tr w:rsidR="00D30489" w14:paraId="43E05BEA" w14:textId="77777777" w:rsidTr="00A61AE2">
        <w:trPr>
          <w:trHeight w:val="315"/>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2675A3D0" w14:textId="77777777" w:rsidR="00A61AE2" w:rsidRPr="00A61AE2" w:rsidRDefault="00732348" w:rsidP="00A61AE2">
            <w:pPr>
              <w:spacing w:after="0" w:line="240" w:lineRule="auto"/>
              <w:jc w:val="left"/>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NPV</w:t>
            </w:r>
          </w:p>
        </w:tc>
        <w:tc>
          <w:tcPr>
            <w:tcW w:w="1480" w:type="dxa"/>
            <w:tcBorders>
              <w:top w:val="single" w:sz="4" w:space="0" w:color="auto"/>
              <w:left w:val="nil"/>
              <w:bottom w:val="single" w:sz="4" w:space="0" w:color="auto"/>
              <w:right w:val="single" w:sz="4" w:space="0" w:color="auto"/>
            </w:tcBorders>
            <w:noWrap/>
            <w:vAlign w:val="bottom"/>
            <w:hideMark/>
          </w:tcPr>
          <w:p w14:paraId="0A1A3463" w14:textId="77777777" w:rsidR="00A61AE2" w:rsidRPr="00A61AE2" w:rsidRDefault="00732348" w:rsidP="00A61AE2">
            <w:pPr>
              <w:spacing w:after="0" w:line="240" w:lineRule="auto"/>
              <w:jc w:val="center"/>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(8,675,823)</w:t>
            </w:r>
          </w:p>
        </w:tc>
        <w:tc>
          <w:tcPr>
            <w:tcW w:w="1480" w:type="dxa"/>
            <w:tcBorders>
              <w:top w:val="single" w:sz="4" w:space="0" w:color="auto"/>
              <w:left w:val="nil"/>
              <w:bottom w:val="single" w:sz="4" w:space="0" w:color="auto"/>
              <w:right w:val="single" w:sz="4" w:space="0" w:color="auto"/>
            </w:tcBorders>
            <w:noWrap/>
            <w:vAlign w:val="bottom"/>
            <w:hideMark/>
          </w:tcPr>
          <w:p w14:paraId="2A587AEE" w14:textId="77777777" w:rsidR="00A61AE2" w:rsidRPr="00A61AE2" w:rsidRDefault="00732348" w:rsidP="00A61AE2">
            <w:pPr>
              <w:spacing w:after="0" w:line="240" w:lineRule="auto"/>
              <w:jc w:val="left"/>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(1,983,844)</w:t>
            </w:r>
          </w:p>
        </w:tc>
        <w:tc>
          <w:tcPr>
            <w:tcW w:w="1480" w:type="dxa"/>
            <w:tcBorders>
              <w:top w:val="nil"/>
              <w:left w:val="nil"/>
              <w:bottom w:val="single" w:sz="4" w:space="0" w:color="auto"/>
              <w:right w:val="single" w:sz="4" w:space="0" w:color="auto"/>
            </w:tcBorders>
            <w:noWrap/>
            <w:vAlign w:val="bottom"/>
            <w:hideMark/>
          </w:tcPr>
          <w:p w14:paraId="1F70C272" w14:textId="77777777" w:rsidR="00A61AE2" w:rsidRPr="00A61AE2" w:rsidRDefault="00732348" w:rsidP="00A61AE2">
            <w:pPr>
              <w:spacing w:after="0" w:line="240" w:lineRule="auto"/>
              <w:jc w:val="left"/>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(10,659,667)</w:t>
            </w:r>
          </w:p>
        </w:tc>
      </w:tr>
      <w:tr w:rsidR="00D30489" w14:paraId="35825CA7" w14:textId="77777777" w:rsidTr="00A61AE2">
        <w:trPr>
          <w:trHeight w:val="315"/>
          <w:jc w:val="center"/>
        </w:trPr>
        <w:tc>
          <w:tcPr>
            <w:tcW w:w="960" w:type="dxa"/>
            <w:tcBorders>
              <w:top w:val="nil"/>
              <w:left w:val="nil"/>
              <w:bottom w:val="nil"/>
              <w:right w:val="nil"/>
            </w:tcBorders>
            <w:noWrap/>
            <w:vAlign w:val="bottom"/>
            <w:hideMark/>
          </w:tcPr>
          <w:p w14:paraId="11330B4F" w14:textId="77777777" w:rsidR="00A61AE2" w:rsidRPr="00A61AE2" w:rsidRDefault="00A61AE2" w:rsidP="00A61AE2">
            <w:pPr>
              <w:spacing w:after="0" w:line="240" w:lineRule="auto"/>
              <w:jc w:val="left"/>
              <w:rPr>
                <w:rFonts w:ascii="Times" w:eastAsia="Times New Roman" w:hAnsi="Times" w:cs="Times"/>
                <w:color w:val="000000"/>
                <w:szCs w:val="24"/>
                <w:lang w:val="" w:eastAsia=""/>
              </w:rPr>
            </w:pPr>
          </w:p>
        </w:tc>
        <w:tc>
          <w:tcPr>
            <w:tcW w:w="1480" w:type="dxa"/>
            <w:tcBorders>
              <w:top w:val="nil"/>
              <w:left w:val="nil"/>
              <w:bottom w:val="nil"/>
              <w:right w:val="nil"/>
            </w:tcBorders>
            <w:noWrap/>
            <w:vAlign w:val="bottom"/>
            <w:hideMark/>
          </w:tcPr>
          <w:p w14:paraId="6E458D5E" w14:textId="77777777" w:rsidR="00A61AE2" w:rsidRPr="00A61AE2" w:rsidRDefault="00A61AE2" w:rsidP="00A61AE2">
            <w:pPr>
              <w:spacing w:after="0" w:line="240" w:lineRule="auto"/>
              <w:jc w:val="left"/>
              <w:rPr>
                <w:rFonts w:eastAsia="Times New Roman" w:cs="Times New Roman"/>
                <w:sz w:val="20"/>
                <w:szCs w:val="20"/>
                <w:lang w:val="" w:eastAsia=""/>
              </w:rPr>
            </w:pPr>
          </w:p>
        </w:tc>
        <w:tc>
          <w:tcPr>
            <w:tcW w:w="1480" w:type="dxa"/>
            <w:tcBorders>
              <w:top w:val="nil"/>
              <w:left w:val="nil"/>
              <w:bottom w:val="nil"/>
              <w:right w:val="nil"/>
            </w:tcBorders>
            <w:noWrap/>
            <w:vAlign w:val="bottom"/>
            <w:hideMark/>
          </w:tcPr>
          <w:p w14:paraId="7D4D4DC6" w14:textId="77777777" w:rsidR="00A61AE2" w:rsidRPr="00A61AE2" w:rsidRDefault="00A61AE2" w:rsidP="00A61AE2">
            <w:pPr>
              <w:spacing w:after="0" w:line="240" w:lineRule="auto"/>
              <w:jc w:val="left"/>
              <w:rPr>
                <w:rFonts w:eastAsia="Times New Roman" w:cs="Times New Roman"/>
                <w:sz w:val="20"/>
                <w:szCs w:val="20"/>
                <w:lang w:val="" w:eastAsia=""/>
              </w:rPr>
            </w:pPr>
          </w:p>
        </w:tc>
        <w:tc>
          <w:tcPr>
            <w:tcW w:w="1480" w:type="dxa"/>
            <w:tcBorders>
              <w:top w:val="nil"/>
              <w:left w:val="nil"/>
              <w:bottom w:val="nil"/>
              <w:right w:val="nil"/>
            </w:tcBorders>
            <w:noWrap/>
            <w:vAlign w:val="bottom"/>
            <w:hideMark/>
          </w:tcPr>
          <w:p w14:paraId="19ADA43C" w14:textId="77777777" w:rsidR="00A61AE2" w:rsidRPr="00A61AE2" w:rsidRDefault="00A61AE2" w:rsidP="00A61AE2">
            <w:pPr>
              <w:spacing w:after="0" w:line="240" w:lineRule="auto"/>
              <w:jc w:val="left"/>
              <w:rPr>
                <w:rFonts w:eastAsia="Times New Roman" w:cs="Times New Roman"/>
                <w:sz w:val="20"/>
                <w:szCs w:val="20"/>
                <w:lang w:val="" w:eastAsia=""/>
              </w:rPr>
            </w:pPr>
          </w:p>
        </w:tc>
      </w:tr>
      <w:tr w:rsidR="00D30489" w14:paraId="2A0B099F" w14:textId="77777777" w:rsidTr="00A61AE2">
        <w:trPr>
          <w:trHeight w:val="330"/>
          <w:jc w:val="center"/>
        </w:trPr>
        <w:tc>
          <w:tcPr>
            <w:tcW w:w="960" w:type="dxa"/>
            <w:tcBorders>
              <w:top w:val="nil"/>
              <w:left w:val="nil"/>
              <w:bottom w:val="nil"/>
              <w:right w:val="nil"/>
            </w:tcBorders>
            <w:noWrap/>
            <w:vAlign w:val="bottom"/>
            <w:hideMark/>
          </w:tcPr>
          <w:p w14:paraId="652937C0" w14:textId="77777777" w:rsidR="00A61AE2" w:rsidRPr="00A61AE2" w:rsidRDefault="00A61AE2" w:rsidP="00A61AE2">
            <w:pPr>
              <w:spacing w:after="0" w:line="240" w:lineRule="auto"/>
              <w:jc w:val="left"/>
              <w:rPr>
                <w:rFonts w:eastAsia="Times New Roman" w:cs="Times New Roman"/>
                <w:sz w:val="20"/>
                <w:szCs w:val="20"/>
                <w:lang w:val="" w:eastAsia=""/>
              </w:rPr>
            </w:pPr>
          </w:p>
        </w:tc>
        <w:tc>
          <w:tcPr>
            <w:tcW w:w="1480" w:type="dxa"/>
            <w:tcBorders>
              <w:top w:val="single" w:sz="8" w:space="0" w:color="auto"/>
              <w:left w:val="single" w:sz="8" w:space="0" w:color="auto"/>
              <w:bottom w:val="single" w:sz="8" w:space="0" w:color="auto"/>
              <w:right w:val="single" w:sz="8" w:space="0" w:color="auto"/>
            </w:tcBorders>
            <w:noWrap/>
            <w:vAlign w:val="bottom"/>
            <w:hideMark/>
          </w:tcPr>
          <w:p w14:paraId="794CACB8"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Project B</w:t>
            </w:r>
          </w:p>
        </w:tc>
        <w:tc>
          <w:tcPr>
            <w:tcW w:w="1480" w:type="dxa"/>
            <w:tcBorders>
              <w:top w:val="single" w:sz="8" w:space="0" w:color="auto"/>
              <w:left w:val="nil"/>
              <w:bottom w:val="single" w:sz="8" w:space="0" w:color="auto"/>
              <w:right w:val="single" w:sz="8" w:space="0" w:color="auto"/>
            </w:tcBorders>
            <w:noWrap/>
            <w:vAlign w:val="bottom"/>
            <w:hideMark/>
          </w:tcPr>
          <w:p w14:paraId="0D8B053C"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Project C</w:t>
            </w:r>
          </w:p>
        </w:tc>
        <w:tc>
          <w:tcPr>
            <w:tcW w:w="1480" w:type="dxa"/>
            <w:tcBorders>
              <w:top w:val="single" w:sz="8" w:space="0" w:color="auto"/>
              <w:left w:val="nil"/>
              <w:bottom w:val="single" w:sz="8" w:space="0" w:color="auto"/>
              <w:right w:val="single" w:sz="8" w:space="0" w:color="auto"/>
            </w:tcBorders>
            <w:noWrap/>
            <w:vAlign w:val="bottom"/>
            <w:hideMark/>
          </w:tcPr>
          <w:p w14:paraId="295481FA" w14:textId="77777777" w:rsidR="00A61AE2" w:rsidRPr="00A61AE2" w:rsidRDefault="00732348" w:rsidP="00A61AE2">
            <w:pPr>
              <w:spacing w:after="0" w:line="240" w:lineRule="auto"/>
              <w:jc w:val="center"/>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Total</w:t>
            </w:r>
          </w:p>
        </w:tc>
      </w:tr>
      <w:tr w:rsidR="00D30489" w14:paraId="68F7A076" w14:textId="77777777" w:rsidTr="00A61AE2">
        <w:trPr>
          <w:trHeight w:val="315"/>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047CDC47" w14:textId="77777777" w:rsidR="00A61AE2" w:rsidRPr="00A61AE2" w:rsidRDefault="00732348" w:rsidP="00A61AE2">
            <w:pPr>
              <w:spacing w:after="0" w:line="240" w:lineRule="auto"/>
              <w:jc w:val="left"/>
              <w:rPr>
                <w:rFonts w:ascii="Times" w:eastAsia="Times New Roman" w:hAnsi="Times" w:cs="Times"/>
                <w:b/>
                <w:bCs/>
                <w:color w:val="000000"/>
                <w:szCs w:val="24"/>
                <w:lang w:val="" w:eastAsia=""/>
              </w:rPr>
            </w:pPr>
            <w:r w:rsidRPr="00A61AE2">
              <w:rPr>
                <w:rFonts w:ascii="Times" w:eastAsia="Times New Roman" w:hAnsi="Times" w:cs="Times"/>
                <w:b/>
                <w:bCs/>
                <w:color w:val="000000"/>
                <w:szCs w:val="24"/>
                <w:lang w:val="" w:eastAsia=""/>
              </w:rPr>
              <w:t>NPV</w:t>
            </w:r>
          </w:p>
        </w:tc>
        <w:tc>
          <w:tcPr>
            <w:tcW w:w="1480" w:type="dxa"/>
            <w:tcBorders>
              <w:top w:val="single" w:sz="4" w:space="0" w:color="auto"/>
              <w:left w:val="nil"/>
              <w:bottom w:val="single" w:sz="4" w:space="0" w:color="auto"/>
              <w:right w:val="single" w:sz="4" w:space="0" w:color="auto"/>
            </w:tcBorders>
            <w:noWrap/>
            <w:vAlign w:val="bottom"/>
            <w:hideMark/>
          </w:tcPr>
          <w:p w14:paraId="451B3628" w14:textId="77777777" w:rsidR="00A61AE2" w:rsidRPr="00A61AE2" w:rsidRDefault="00732348" w:rsidP="00A61AE2">
            <w:pPr>
              <w:spacing w:after="0" w:line="240" w:lineRule="auto"/>
              <w:jc w:val="center"/>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(8,301,346)</w:t>
            </w:r>
          </w:p>
        </w:tc>
        <w:tc>
          <w:tcPr>
            <w:tcW w:w="1480" w:type="dxa"/>
            <w:tcBorders>
              <w:top w:val="single" w:sz="4" w:space="0" w:color="auto"/>
              <w:left w:val="nil"/>
              <w:bottom w:val="single" w:sz="4" w:space="0" w:color="auto"/>
              <w:right w:val="single" w:sz="4" w:space="0" w:color="auto"/>
            </w:tcBorders>
            <w:noWrap/>
            <w:vAlign w:val="bottom"/>
            <w:hideMark/>
          </w:tcPr>
          <w:p w14:paraId="3FF9765F" w14:textId="77777777" w:rsidR="00A61AE2" w:rsidRPr="00A61AE2" w:rsidRDefault="00732348" w:rsidP="00A61AE2">
            <w:pPr>
              <w:spacing w:after="0" w:line="240" w:lineRule="auto"/>
              <w:jc w:val="left"/>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(1,983,844)</w:t>
            </w:r>
          </w:p>
        </w:tc>
        <w:tc>
          <w:tcPr>
            <w:tcW w:w="1480" w:type="dxa"/>
            <w:tcBorders>
              <w:top w:val="nil"/>
              <w:left w:val="nil"/>
              <w:bottom w:val="single" w:sz="4" w:space="0" w:color="auto"/>
              <w:right w:val="single" w:sz="4" w:space="0" w:color="auto"/>
            </w:tcBorders>
            <w:noWrap/>
            <w:vAlign w:val="bottom"/>
            <w:hideMark/>
          </w:tcPr>
          <w:p w14:paraId="603EEC2F" w14:textId="77777777" w:rsidR="00A61AE2" w:rsidRPr="00A61AE2" w:rsidRDefault="00732348" w:rsidP="00A61AE2">
            <w:pPr>
              <w:spacing w:after="0" w:line="240" w:lineRule="auto"/>
              <w:jc w:val="left"/>
              <w:rPr>
                <w:rFonts w:ascii="Times" w:eastAsia="Times New Roman" w:hAnsi="Times" w:cs="Times"/>
                <w:color w:val="000000"/>
                <w:szCs w:val="24"/>
                <w:lang w:val="" w:eastAsia=""/>
              </w:rPr>
            </w:pPr>
            <w:r w:rsidRPr="00A61AE2">
              <w:rPr>
                <w:rFonts w:ascii="Times" w:eastAsia="Times New Roman" w:hAnsi="Times" w:cs="Times"/>
                <w:color w:val="000000"/>
                <w:szCs w:val="24"/>
                <w:lang w:val="" w:eastAsia=""/>
              </w:rPr>
              <w:t xml:space="preserve">  (10,285,189)</w:t>
            </w:r>
          </w:p>
        </w:tc>
      </w:tr>
    </w:tbl>
    <w:p w14:paraId="7ED3C374" w14:textId="77777777" w:rsidR="00A61AE2" w:rsidRDefault="00A61AE2" w:rsidP="00A00C18">
      <w:pPr>
        <w:spacing w:line="360" w:lineRule="auto"/>
        <w:rPr>
          <w:rFonts w:ascii="Times" w:hAnsi="Times" w:cs="Times"/>
          <w:szCs w:val="24"/>
        </w:rPr>
      </w:pPr>
    </w:p>
    <w:p w14:paraId="1CFE2B42" w14:textId="6CD7DAD9" w:rsidR="002C6B44" w:rsidRDefault="00732348" w:rsidP="00DA450C">
      <w:pPr>
        <w:spacing w:line="360" w:lineRule="auto"/>
      </w:pPr>
      <w:r w:rsidRPr="00DA450C">
        <w:t>Considering the selection on the basis of the financial point of view, Tesla should go with the selection of Project B and C as it offers a lower net present value</w:t>
      </w:r>
      <w:r>
        <w:t>, and the combination of these 02 projects can be said as optimal</w:t>
      </w:r>
      <w:r w:rsidR="005720CC">
        <w:t xml:space="preserve"> using capital rationing.</w:t>
      </w:r>
      <w:r w:rsidR="009D7554">
        <w:t xml:space="preserve"> In all the provided combinations, the obtained net present value is negative, but the option of projects B and C has the least destruction of value and can be said to be a rational combination</w:t>
      </w:r>
      <w:r w:rsidR="00E67A4C">
        <w:t xml:space="preserve"> </w:t>
      </w:r>
      <w:r w:rsidR="00E67A4C" w:rsidRPr="00193F00">
        <w:rPr>
          <w:rFonts w:ascii="Times" w:hAnsi="Times" w:cs="Times"/>
          <w:szCs w:val="24"/>
        </w:rPr>
        <w:t>(Al Wahaibi et al., 2024).</w:t>
      </w:r>
      <w:r w:rsidR="0047719A">
        <w:t xml:space="preserve"> The </w:t>
      </w:r>
      <w:r w:rsidR="004059F4">
        <w:t>performance-based</w:t>
      </w:r>
      <w:r w:rsidR="0047719A">
        <w:t xml:space="preserve"> selection shows better returns offered by Project C, having the highest value of all the calculated investment appraisal techniques; however, Project B offers stable and consistent cash flows, in which the company can </w:t>
      </w:r>
      <w:r w:rsidR="004059F4">
        <w:t>receive</w:t>
      </w:r>
      <w:r w:rsidR="0047719A">
        <w:t xml:space="preserve"> annually 11 million, since the value of cash flow is the same, it </w:t>
      </w:r>
      <w:r w:rsidR="004059F4">
        <w:t>reduces</w:t>
      </w:r>
      <w:r w:rsidR="0047719A">
        <w:t xml:space="preserve"> risk and volatility.</w:t>
      </w:r>
    </w:p>
    <w:p w14:paraId="5DCE4F07" w14:textId="61AB65E9" w:rsidR="004059F4" w:rsidRDefault="00732348" w:rsidP="00DA450C">
      <w:pPr>
        <w:spacing w:line="360" w:lineRule="auto"/>
      </w:pPr>
      <w:r>
        <w:t>Conversely, the returns offered by Project A are weaker and have a major contribution towards negative net present value, which means that this option is not suitable to select.</w:t>
      </w:r>
      <w:r w:rsidR="002E1BBB">
        <w:t xml:space="preserve"> The current condition of Tesla from a financial perspective shows that the company is facing reduced profitability in 2024 and 2025; however, cash inflows are also weak</w:t>
      </w:r>
      <w:r w:rsidR="00E67A4C">
        <w:t xml:space="preserve"> </w:t>
      </w:r>
      <w:r w:rsidR="00E67A4C" w:rsidRPr="00193F00">
        <w:rPr>
          <w:rFonts w:ascii="Times" w:hAnsi="Times" w:cs="Times"/>
          <w:szCs w:val="24"/>
        </w:rPr>
        <w:t>(Adhikari, 2022).</w:t>
      </w:r>
      <w:r w:rsidR="002E1BBB">
        <w:t xml:space="preserve"> The combination of Project B and C can provide better returns and a quick recovery of cash, which was injected as investment in these 02 projects.</w:t>
      </w:r>
      <w:r w:rsidR="009223CA">
        <w:t xml:space="preserve"> With the improvement in liquidity, the strength will also be provided to the portfolio as the cash inflows seem predictable</w:t>
      </w:r>
      <w:r w:rsidR="00E67A4C">
        <w:t xml:space="preserve"> </w:t>
      </w:r>
      <w:r w:rsidR="00E67A4C" w:rsidRPr="00193F00">
        <w:rPr>
          <w:rFonts w:ascii="Times" w:hAnsi="Times" w:cs="Times"/>
          <w:szCs w:val="24"/>
        </w:rPr>
        <w:t>(Nurfitriani and Latif, 2025).</w:t>
      </w:r>
      <w:r w:rsidR="009223CA">
        <w:t xml:space="preserve"> Considering the </w:t>
      </w:r>
      <w:r w:rsidR="0024516F">
        <w:t>uncertainties</w:t>
      </w:r>
      <w:r w:rsidR="009223CA">
        <w:t xml:space="preserve"> in the operations of Tesla, this combination of projects can provide stability to the cash flow.</w:t>
      </w:r>
    </w:p>
    <w:p w14:paraId="4EBAA765" w14:textId="188E805F" w:rsidR="0024516F" w:rsidRPr="00DA450C" w:rsidRDefault="00732348" w:rsidP="00DA450C">
      <w:pPr>
        <w:spacing w:line="360" w:lineRule="auto"/>
      </w:pPr>
      <w:r>
        <w:t xml:space="preserve">From a risk point of view, Tesla needs to have diversification. The cash inflows of Project C are not stable, and a major dependency seems to have developed in recent years, which means that there is </w:t>
      </w:r>
      <w:r w:rsidR="006470EA">
        <w:t>ambiguity; the combination of Project C with B can bring stability in cash inflows</w:t>
      </w:r>
      <w:r w:rsidR="00E67A4C">
        <w:t xml:space="preserve"> </w:t>
      </w:r>
      <w:r w:rsidR="00E67A4C" w:rsidRPr="00193F00">
        <w:rPr>
          <w:rFonts w:ascii="Times" w:hAnsi="Times" w:cs="Times"/>
          <w:szCs w:val="24"/>
        </w:rPr>
        <w:t>(Awodire et al., 2023).</w:t>
      </w:r>
      <w:r w:rsidR="006470EA">
        <w:t xml:space="preserve"> The risk can also be balanced by the company, which can arise because of demand fluctuation and regulatory changes.</w:t>
      </w:r>
      <w:r w:rsidR="00353E1D">
        <w:t xml:space="preserve"> The environment in which Tesla operates has high competition because the industry is driven by regular innovations, and it is important to have financial flexibility</w:t>
      </w:r>
      <w:r w:rsidR="00E67A4C">
        <w:t xml:space="preserve"> </w:t>
      </w:r>
      <w:r w:rsidR="00E67A4C" w:rsidRPr="00193F00">
        <w:rPr>
          <w:rFonts w:ascii="Times" w:hAnsi="Times" w:cs="Times"/>
          <w:szCs w:val="24"/>
        </w:rPr>
        <w:t>(Putri et al., 2026).</w:t>
      </w:r>
      <w:r w:rsidR="00E2001A">
        <w:t xml:space="preserve"> Therefore, the optimal decision is to go with the combination of Project B and C.</w:t>
      </w:r>
    </w:p>
    <w:p w14:paraId="69B49E16" w14:textId="77777777" w:rsidR="002C6B44" w:rsidRDefault="00732348" w:rsidP="002C6B44">
      <w:pPr>
        <w:pStyle w:val="Heading2"/>
        <w:spacing w:line="360" w:lineRule="auto"/>
        <w:rPr>
          <w:rFonts w:ascii="Times" w:hAnsi="Times" w:cs="Arial"/>
          <w:sz w:val="24"/>
          <w:szCs w:val="24"/>
        </w:rPr>
      </w:pPr>
      <w:bookmarkStart w:id="18" w:name="_Toc224784053"/>
      <w:r>
        <w:rPr>
          <w:rFonts w:ascii="Times" w:hAnsi="Times" w:cs="Arial"/>
          <w:sz w:val="24"/>
          <w:szCs w:val="24"/>
        </w:rPr>
        <w:lastRenderedPageBreak/>
        <w:t>Conclusion</w:t>
      </w:r>
      <w:bookmarkEnd w:id="18"/>
      <w:r>
        <w:rPr>
          <w:rFonts w:ascii="Times" w:hAnsi="Times" w:cs="Arial"/>
          <w:sz w:val="24"/>
          <w:szCs w:val="24"/>
        </w:rPr>
        <w:t xml:space="preserve"> </w:t>
      </w:r>
    </w:p>
    <w:p w14:paraId="5121AE5F" w14:textId="77777777" w:rsidR="002C6B44" w:rsidRPr="002C6B44" w:rsidRDefault="00732348" w:rsidP="0013325D">
      <w:pPr>
        <w:spacing w:line="360" w:lineRule="auto"/>
      </w:pPr>
      <w:r>
        <w:t>The above-mentioned financial analysis for Tesla for the period of 5 years shows that from 2021 to 2023, the company has a strong financial position with sufficient profit margins and good cash generated from operational activities. There was significant growth achieved in revenue as well.</w:t>
      </w:r>
      <w:r w:rsidR="0057104E">
        <w:t xml:space="preserve"> But the years 2024 and 2025 show a decline in profits and revenue growth due to increased cost pressure and a fall in the demand for electric vehicles.</w:t>
      </w:r>
      <w:r w:rsidR="0013325D">
        <w:t xml:space="preserve"> The working capital and cash flow management of Tesla were also facing high pressure. The company was making continuous efforts to increase its revenue and assets, but returns were not coming as expected.</w:t>
      </w:r>
      <w:r w:rsidR="009B5B47">
        <w:t xml:space="preserve"> The reason for the decline in performance is aggressive pricing strategies and the issues in the international market of Electric vehicles. With the low financial leverage, the liquidity position of Tesla was also strong, but the shareholders' returns were declining in recent years, which emphasizes the need for Tesla to have cost control and better utilization of assets</w:t>
      </w:r>
      <w:r w:rsidR="00922282">
        <w:t>.</w:t>
      </w:r>
    </w:p>
    <w:p w14:paraId="142B606F" w14:textId="77777777" w:rsidR="00A77819" w:rsidRDefault="00A77819" w:rsidP="008E0EDA">
      <w:pPr>
        <w:spacing w:line="360" w:lineRule="auto"/>
        <w:rPr>
          <w:rFonts w:ascii="Times" w:hAnsi="Times" w:cs="Times"/>
          <w:iCs/>
          <w:szCs w:val="24"/>
        </w:rPr>
      </w:pPr>
    </w:p>
    <w:p w14:paraId="4E0ECC3C" w14:textId="77777777" w:rsidR="0097465B" w:rsidRDefault="0097465B" w:rsidP="00E5376B">
      <w:pPr>
        <w:pStyle w:val="Heading2"/>
        <w:spacing w:line="360" w:lineRule="auto"/>
        <w:rPr>
          <w:rFonts w:ascii="Times" w:hAnsi="Times" w:cs="Arial"/>
          <w:sz w:val="24"/>
          <w:szCs w:val="24"/>
        </w:rPr>
      </w:pPr>
    </w:p>
    <w:p w14:paraId="3D5ECC17" w14:textId="77777777" w:rsidR="00BF27ED" w:rsidRDefault="00BF27ED" w:rsidP="00BF27ED"/>
    <w:p w14:paraId="3A102652" w14:textId="77777777" w:rsidR="00BF27ED" w:rsidRDefault="00BF27ED" w:rsidP="00BF27ED"/>
    <w:p w14:paraId="4D788982" w14:textId="77777777" w:rsidR="00BF27ED" w:rsidRDefault="00BF27ED" w:rsidP="00BF27ED"/>
    <w:p w14:paraId="63BDAAED" w14:textId="77777777" w:rsidR="00BF27ED" w:rsidRDefault="00BF27ED" w:rsidP="00BF27ED"/>
    <w:p w14:paraId="1F7E4C1B" w14:textId="77777777" w:rsidR="00BF27ED" w:rsidRDefault="00BF27ED" w:rsidP="00BF27ED"/>
    <w:p w14:paraId="07ED92A3" w14:textId="77777777" w:rsidR="00BF27ED" w:rsidRDefault="00BF27ED" w:rsidP="00BF27ED"/>
    <w:p w14:paraId="57ADB313" w14:textId="77777777" w:rsidR="00BF27ED" w:rsidRDefault="00BF27ED" w:rsidP="00BF27ED"/>
    <w:p w14:paraId="012B3C01" w14:textId="77777777" w:rsidR="00BF27ED" w:rsidRDefault="00BF27ED" w:rsidP="00BF27ED"/>
    <w:p w14:paraId="272A6CED" w14:textId="77777777" w:rsidR="00BF27ED" w:rsidRDefault="00BF27ED" w:rsidP="00BF27ED"/>
    <w:p w14:paraId="77599CDB" w14:textId="77777777" w:rsidR="00BF27ED" w:rsidRDefault="00BF27ED" w:rsidP="00BF27ED"/>
    <w:p w14:paraId="3F0A4C43" w14:textId="77777777" w:rsidR="00BF27ED" w:rsidRPr="00BF27ED" w:rsidRDefault="00BF27ED" w:rsidP="00BF27ED"/>
    <w:p w14:paraId="28BDFFB3" w14:textId="77777777" w:rsidR="00E5376B" w:rsidRDefault="00732348" w:rsidP="00E5376B">
      <w:pPr>
        <w:pStyle w:val="Heading2"/>
        <w:spacing w:line="360" w:lineRule="auto"/>
        <w:rPr>
          <w:rFonts w:ascii="Times" w:hAnsi="Times" w:cs="Arial"/>
          <w:sz w:val="24"/>
          <w:szCs w:val="24"/>
        </w:rPr>
      </w:pPr>
      <w:bookmarkStart w:id="19" w:name="_Toc224784054"/>
      <w:r>
        <w:rPr>
          <w:rFonts w:ascii="Times" w:hAnsi="Times" w:cs="Arial"/>
          <w:sz w:val="24"/>
          <w:szCs w:val="24"/>
        </w:rPr>
        <w:lastRenderedPageBreak/>
        <w:t>References</w:t>
      </w:r>
      <w:bookmarkEnd w:id="19"/>
      <w:r>
        <w:rPr>
          <w:rFonts w:ascii="Times" w:hAnsi="Times" w:cs="Arial"/>
          <w:sz w:val="24"/>
          <w:szCs w:val="24"/>
        </w:rPr>
        <w:t xml:space="preserve"> </w:t>
      </w:r>
    </w:p>
    <w:p w14:paraId="6EB9837F" w14:textId="77777777" w:rsidR="00700086" w:rsidRDefault="00700086" w:rsidP="00700086"/>
    <w:p w14:paraId="42F3690E"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Adhikari, N.R., 2022. Capital Budgeting Technique Used in Nepalese Manufacturing Small and Medium Sized Enterprises. </w:t>
      </w:r>
      <w:r w:rsidRPr="00E67A4C">
        <w:rPr>
          <w:rFonts w:ascii="Times" w:hAnsi="Times" w:cs="Times"/>
          <w:i/>
          <w:iCs/>
          <w:szCs w:val="24"/>
        </w:rPr>
        <w:t>Nepalese Journal of Management Research</w:t>
      </w:r>
      <w:r w:rsidRPr="00E67A4C">
        <w:rPr>
          <w:rFonts w:ascii="Times" w:hAnsi="Times" w:cs="Times"/>
          <w:szCs w:val="24"/>
        </w:rPr>
        <w:t>, </w:t>
      </w:r>
      <w:r w:rsidRPr="00E67A4C">
        <w:rPr>
          <w:rFonts w:ascii="Times" w:hAnsi="Times" w:cs="Times"/>
          <w:i/>
          <w:iCs/>
          <w:szCs w:val="24"/>
        </w:rPr>
        <w:t>2</w:t>
      </w:r>
      <w:r w:rsidRPr="00E67A4C">
        <w:rPr>
          <w:rFonts w:ascii="Times" w:hAnsi="Times" w:cs="Times"/>
          <w:szCs w:val="24"/>
        </w:rPr>
        <w:t>(1), pp.7-11.</w:t>
      </w:r>
    </w:p>
    <w:p w14:paraId="0F120BB8"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Adriana, D., Hartoyo, H., Syarief, R. and Anggraeni, E., 2024. Revisiting causes of firm exit for divestiture spin-off in the last five years: A systematic literature review. </w:t>
      </w:r>
      <w:r w:rsidRPr="00E67A4C">
        <w:rPr>
          <w:rFonts w:ascii="Times" w:hAnsi="Times" w:cs="Times"/>
          <w:i/>
          <w:iCs/>
          <w:szCs w:val="24"/>
        </w:rPr>
        <w:t>Aptisi Transactions on Technopreneurship (ATT)</w:t>
      </w:r>
      <w:r w:rsidRPr="00E67A4C">
        <w:rPr>
          <w:rFonts w:ascii="Times" w:hAnsi="Times" w:cs="Times"/>
          <w:szCs w:val="24"/>
        </w:rPr>
        <w:t>, </w:t>
      </w:r>
      <w:r w:rsidRPr="00E67A4C">
        <w:rPr>
          <w:rFonts w:ascii="Times" w:hAnsi="Times" w:cs="Times"/>
          <w:i/>
          <w:iCs/>
          <w:szCs w:val="24"/>
        </w:rPr>
        <w:t>6</w:t>
      </w:r>
      <w:r w:rsidRPr="00E67A4C">
        <w:rPr>
          <w:rFonts w:ascii="Times" w:hAnsi="Times" w:cs="Times"/>
          <w:szCs w:val="24"/>
        </w:rPr>
        <w:t>(3), pp.458-467.</w:t>
      </w:r>
    </w:p>
    <w:p w14:paraId="42583CDA" w14:textId="77777777" w:rsidR="00E67A4C" w:rsidRPr="00E67A4C" w:rsidRDefault="00E67A4C" w:rsidP="00E67A4C">
      <w:pPr>
        <w:ind w:left="360"/>
        <w:rPr>
          <w:rFonts w:ascii="Times" w:hAnsi="Times" w:cs="Times"/>
          <w:szCs w:val="24"/>
        </w:rPr>
      </w:pPr>
      <w:r w:rsidRPr="00E67A4C">
        <w:rPr>
          <w:rFonts w:ascii="Times" w:hAnsi="Times" w:cs="Times"/>
          <w:szCs w:val="24"/>
        </w:rPr>
        <w:t xml:space="preserve">Ahmad, M., Bashir, R. and Waqas, H., 2022. Working capital management and firm performance: are their effects same in covid 19 compared to financial crisis </w:t>
      </w:r>
      <w:proofErr w:type="gramStart"/>
      <w:r w:rsidRPr="00E67A4C">
        <w:rPr>
          <w:rFonts w:ascii="Times" w:hAnsi="Times" w:cs="Times"/>
          <w:szCs w:val="24"/>
        </w:rPr>
        <w:t>2008?.</w:t>
      </w:r>
      <w:proofErr w:type="gramEnd"/>
      <w:r w:rsidRPr="00E67A4C">
        <w:rPr>
          <w:rFonts w:ascii="Times" w:hAnsi="Times" w:cs="Times"/>
          <w:szCs w:val="24"/>
        </w:rPr>
        <w:t> </w:t>
      </w:r>
      <w:r w:rsidRPr="00E67A4C">
        <w:rPr>
          <w:rFonts w:ascii="Times" w:hAnsi="Times" w:cs="Times"/>
          <w:i/>
          <w:iCs/>
          <w:szCs w:val="24"/>
        </w:rPr>
        <w:t>Cogent Economics &amp; Finance</w:t>
      </w:r>
      <w:r w:rsidRPr="00E67A4C">
        <w:rPr>
          <w:rFonts w:ascii="Times" w:hAnsi="Times" w:cs="Times"/>
          <w:szCs w:val="24"/>
        </w:rPr>
        <w:t>, </w:t>
      </w:r>
      <w:r w:rsidRPr="00E67A4C">
        <w:rPr>
          <w:rFonts w:ascii="Times" w:hAnsi="Times" w:cs="Times"/>
          <w:i/>
          <w:iCs/>
          <w:szCs w:val="24"/>
        </w:rPr>
        <w:t>10</w:t>
      </w:r>
      <w:r w:rsidRPr="00E67A4C">
        <w:rPr>
          <w:rFonts w:ascii="Times" w:hAnsi="Times" w:cs="Times"/>
          <w:szCs w:val="24"/>
        </w:rPr>
        <w:t>(1), p.2101224.</w:t>
      </w:r>
    </w:p>
    <w:p w14:paraId="4E235B13"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Al Wahaibi, M.A.K., Hussainy, S.S., Rajan, R. and Younas, A., 2024. SMEs capital budgeting practices: A review article. </w:t>
      </w:r>
      <w:r w:rsidRPr="00E67A4C">
        <w:rPr>
          <w:rFonts w:ascii="Times" w:hAnsi="Times" w:cs="Times"/>
          <w:i/>
          <w:iCs/>
          <w:szCs w:val="24"/>
        </w:rPr>
        <w:t>Journal of Ecohumanism</w:t>
      </w:r>
      <w:r w:rsidRPr="00E67A4C">
        <w:rPr>
          <w:rFonts w:ascii="Times" w:hAnsi="Times" w:cs="Times"/>
          <w:szCs w:val="24"/>
        </w:rPr>
        <w:t>, </w:t>
      </w:r>
      <w:r w:rsidRPr="00E67A4C">
        <w:rPr>
          <w:rFonts w:ascii="Times" w:hAnsi="Times" w:cs="Times"/>
          <w:i/>
          <w:iCs/>
          <w:szCs w:val="24"/>
        </w:rPr>
        <w:t>3</w:t>
      </w:r>
      <w:r w:rsidRPr="00E67A4C">
        <w:rPr>
          <w:rFonts w:ascii="Times" w:hAnsi="Times" w:cs="Times"/>
          <w:szCs w:val="24"/>
        </w:rPr>
        <w:t>(7), pp.2426-2430.</w:t>
      </w:r>
    </w:p>
    <w:p w14:paraId="3D69C69D" w14:textId="77777777" w:rsidR="00E67A4C" w:rsidRPr="00E67A4C" w:rsidRDefault="00E67A4C" w:rsidP="00E67A4C">
      <w:pPr>
        <w:ind w:left="360"/>
        <w:rPr>
          <w:rFonts w:ascii="Times" w:hAnsi="Times" w:cs="Times"/>
          <w:szCs w:val="24"/>
        </w:rPr>
      </w:pPr>
      <w:r w:rsidRPr="00E67A4C">
        <w:rPr>
          <w:rFonts w:ascii="Times" w:hAnsi="Times" w:cs="Times"/>
          <w:szCs w:val="24"/>
        </w:rPr>
        <w:t>Aldubhani, M.A., Wang, J., Gong, T. and Maudhah, R.A., 2022. Impact of working capital management on profitability: evidence from listed companies in Qatar. </w:t>
      </w:r>
      <w:r w:rsidRPr="00E67A4C">
        <w:rPr>
          <w:rFonts w:ascii="Times" w:hAnsi="Times" w:cs="Times"/>
          <w:i/>
          <w:iCs/>
          <w:szCs w:val="24"/>
        </w:rPr>
        <w:t>Journal of Money and Business</w:t>
      </w:r>
      <w:r w:rsidRPr="00E67A4C">
        <w:rPr>
          <w:rFonts w:ascii="Times" w:hAnsi="Times" w:cs="Times"/>
          <w:szCs w:val="24"/>
        </w:rPr>
        <w:t>, </w:t>
      </w:r>
      <w:r w:rsidRPr="00E67A4C">
        <w:rPr>
          <w:rFonts w:ascii="Times" w:hAnsi="Times" w:cs="Times"/>
          <w:i/>
          <w:iCs/>
          <w:szCs w:val="24"/>
        </w:rPr>
        <w:t>2</w:t>
      </w:r>
      <w:r w:rsidRPr="00E67A4C">
        <w:rPr>
          <w:rFonts w:ascii="Times" w:hAnsi="Times" w:cs="Times"/>
          <w:szCs w:val="24"/>
        </w:rPr>
        <w:t>(1), pp.70-81.</w:t>
      </w:r>
    </w:p>
    <w:p w14:paraId="1DF53F4B"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Al-Filali, I.Y., Abdulaal, R.M., Alawi, S.M. and Makki, A.A., 2024. Modification of strategic planning tools for planning financial sustainability in‎ higher education institutions. </w:t>
      </w:r>
      <w:r w:rsidRPr="00E67A4C">
        <w:rPr>
          <w:rFonts w:ascii="Times" w:hAnsi="Times" w:cs="Times"/>
          <w:i/>
          <w:iCs/>
          <w:szCs w:val="24"/>
        </w:rPr>
        <w:t>Journal of Engineering Research</w:t>
      </w:r>
      <w:r w:rsidRPr="00E67A4C">
        <w:rPr>
          <w:rFonts w:ascii="Times" w:hAnsi="Times" w:cs="Times"/>
          <w:szCs w:val="24"/>
        </w:rPr>
        <w:t>, </w:t>
      </w:r>
      <w:r w:rsidRPr="00E67A4C">
        <w:rPr>
          <w:rFonts w:ascii="Times" w:hAnsi="Times" w:cs="Times"/>
          <w:i/>
          <w:iCs/>
          <w:szCs w:val="24"/>
        </w:rPr>
        <w:t>12</w:t>
      </w:r>
      <w:r w:rsidRPr="00E67A4C">
        <w:rPr>
          <w:rFonts w:ascii="Times" w:hAnsi="Times" w:cs="Times"/>
          <w:szCs w:val="24"/>
        </w:rPr>
        <w:t>(1), pp.192-203.</w:t>
      </w:r>
    </w:p>
    <w:p w14:paraId="6489D3F2"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Alsharari, N.M., 2024. The interplay of strategic management accounting, business strategy and organizational change: as influenced by a configurational theory. </w:t>
      </w:r>
      <w:r w:rsidRPr="00E67A4C">
        <w:rPr>
          <w:rFonts w:ascii="Times" w:hAnsi="Times" w:cs="Times"/>
          <w:i/>
          <w:iCs/>
          <w:szCs w:val="24"/>
        </w:rPr>
        <w:t>Journal of Accounting &amp; Organizational Change</w:t>
      </w:r>
      <w:r w:rsidRPr="00E67A4C">
        <w:rPr>
          <w:rFonts w:ascii="Times" w:hAnsi="Times" w:cs="Times"/>
          <w:szCs w:val="24"/>
        </w:rPr>
        <w:t>, </w:t>
      </w:r>
      <w:r w:rsidRPr="00E67A4C">
        <w:rPr>
          <w:rFonts w:ascii="Times" w:hAnsi="Times" w:cs="Times"/>
          <w:i/>
          <w:iCs/>
          <w:szCs w:val="24"/>
        </w:rPr>
        <w:t>20</w:t>
      </w:r>
      <w:r w:rsidRPr="00E67A4C">
        <w:rPr>
          <w:rFonts w:ascii="Times" w:hAnsi="Times" w:cs="Times"/>
          <w:szCs w:val="24"/>
        </w:rPr>
        <w:t>(1), pp.153-176.</w:t>
      </w:r>
    </w:p>
    <w:p w14:paraId="1694D17E" w14:textId="77777777" w:rsidR="00E67A4C" w:rsidRPr="00E67A4C" w:rsidRDefault="00E67A4C" w:rsidP="00E67A4C">
      <w:pPr>
        <w:ind w:left="360"/>
        <w:rPr>
          <w:rFonts w:ascii="Times" w:hAnsi="Times" w:cs="Times"/>
          <w:szCs w:val="24"/>
        </w:rPr>
      </w:pPr>
      <w:r w:rsidRPr="00E67A4C">
        <w:rPr>
          <w:rFonts w:ascii="Times" w:hAnsi="Times" w:cs="Times"/>
          <w:szCs w:val="24"/>
        </w:rPr>
        <w:t>Alwan, R. and Risman, A., 2023. Determinants of firm's value through capital structure, financial performance, and company growth. </w:t>
      </w:r>
      <w:r w:rsidRPr="00E67A4C">
        <w:rPr>
          <w:rFonts w:ascii="Times" w:hAnsi="Times" w:cs="Times"/>
          <w:i/>
          <w:iCs/>
          <w:szCs w:val="24"/>
        </w:rPr>
        <w:t>Indikator: Jurnal Ilmiah Manajemen dan Bisnis</w:t>
      </w:r>
      <w:r w:rsidRPr="00E67A4C">
        <w:rPr>
          <w:rFonts w:ascii="Times" w:hAnsi="Times" w:cs="Times"/>
          <w:szCs w:val="24"/>
        </w:rPr>
        <w:t>, </w:t>
      </w:r>
      <w:r w:rsidRPr="00E67A4C">
        <w:rPr>
          <w:rFonts w:ascii="Times" w:hAnsi="Times" w:cs="Times"/>
          <w:i/>
          <w:iCs/>
          <w:szCs w:val="24"/>
        </w:rPr>
        <w:t>7</w:t>
      </w:r>
      <w:r w:rsidRPr="00E67A4C">
        <w:rPr>
          <w:rFonts w:ascii="Times" w:hAnsi="Times" w:cs="Times"/>
          <w:szCs w:val="24"/>
        </w:rPr>
        <w:t>(2), pp.81-89.</w:t>
      </w:r>
    </w:p>
    <w:p w14:paraId="66359BCC"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Amin, A.R.S. and Adil, M., 2025. Evaluation of the Relationship Between Capital Budget and Financing Decisions in Firm Growth. </w:t>
      </w:r>
      <w:r w:rsidRPr="00E67A4C">
        <w:rPr>
          <w:rFonts w:ascii="Times" w:hAnsi="Times" w:cs="Times"/>
          <w:i/>
          <w:iCs/>
          <w:szCs w:val="24"/>
        </w:rPr>
        <w:t>Economics and Digital Business Review</w:t>
      </w:r>
      <w:r w:rsidRPr="00E67A4C">
        <w:rPr>
          <w:rFonts w:ascii="Times" w:hAnsi="Times" w:cs="Times"/>
          <w:szCs w:val="24"/>
        </w:rPr>
        <w:t>, </w:t>
      </w:r>
      <w:r w:rsidRPr="00E67A4C">
        <w:rPr>
          <w:rFonts w:ascii="Times" w:hAnsi="Times" w:cs="Times"/>
          <w:i/>
          <w:iCs/>
          <w:szCs w:val="24"/>
        </w:rPr>
        <w:t>6</w:t>
      </w:r>
      <w:r w:rsidRPr="00E67A4C">
        <w:rPr>
          <w:rFonts w:ascii="Times" w:hAnsi="Times" w:cs="Times"/>
          <w:szCs w:val="24"/>
        </w:rPr>
        <w:t>(1).</w:t>
      </w:r>
    </w:p>
    <w:p w14:paraId="31A6D6D3"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lastRenderedPageBreak/>
        <w:t>Andon, P., Baxter, J. and Chua, W.F., 2024. Affect and reason in uncertain accounting settings: The case of capital investment appraisal. </w:t>
      </w:r>
      <w:r w:rsidRPr="00E67A4C">
        <w:rPr>
          <w:rFonts w:ascii="Times" w:hAnsi="Times" w:cs="Times"/>
          <w:i/>
          <w:iCs/>
          <w:szCs w:val="24"/>
        </w:rPr>
        <w:t>Accounting &amp; Finance</w:t>
      </w:r>
      <w:r w:rsidRPr="00E67A4C">
        <w:rPr>
          <w:rFonts w:ascii="Times" w:hAnsi="Times" w:cs="Times"/>
          <w:szCs w:val="24"/>
        </w:rPr>
        <w:t>, </w:t>
      </w:r>
      <w:r w:rsidRPr="00E67A4C">
        <w:rPr>
          <w:rFonts w:ascii="Times" w:hAnsi="Times" w:cs="Times"/>
          <w:i/>
          <w:iCs/>
          <w:szCs w:val="24"/>
        </w:rPr>
        <w:t>64</w:t>
      </w:r>
      <w:r w:rsidRPr="00E67A4C">
        <w:rPr>
          <w:rFonts w:ascii="Times" w:hAnsi="Times" w:cs="Times"/>
          <w:szCs w:val="24"/>
        </w:rPr>
        <w:t>(2), pp.1439-1470.</w:t>
      </w:r>
    </w:p>
    <w:p w14:paraId="688C1DD6"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Aniebonam, E.E., 2024. Strategic management in turbulent markets: A case study of the USA. </w:t>
      </w:r>
      <w:r w:rsidRPr="00E67A4C">
        <w:rPr>
          <w:rFonts w:ascii="Times" w:hAnsi="Times" w:cs="Times"/>
          <w:i/>
          <w:iCs/>
          <w:szCs w:val="24"/>
        </w:rPr>
        <w:t>International Journal of Modern Science and Research Technology</w:t>
      </w:r>
      <w:r w:rsidRPr="00E67A4C">
        <w:rPr>
          <w:rFonts w:ascii="Times" w:hAnsi="Times" w:cs="Times"/>
          <w:szCs w:val="24"/>
        </w:rPr>
        <w:t>, </w:t>
      </w:r>
      <w:r w:rsidRPr="00E67A4C">
        <w:rPr>
          <w:rFonts w:ascii="Times" w:hAnsi="Times" w:cs="Times"/>
          <w:i/>
          <w:iCs/>
          <w:szCs w:val="24"/>
        </w:rPr>
        <w:t>1</w:t>
      </w:r>
      <w:r w:rsidRPr="00E67A4C">
        <w:rPr>
          <w:rFonts w:ascii="Times" w:hAnsi="Times" w:cs="Times"/>
          <w:szCs w:val="24"/>
        </w:rPr>
        <w:t>(8), pp.35-43.</w:t>
      </w:r>
    </w:p>
    <w:p w14:paraId="62619BFE" w14:textId="77777777" w:rsidR="00E67A4C" w:rsidRPr="00E67A4C" w:rsidRDefault="00E67A4C" w:rsidP="00E67A4C">
      <w:pPr>
        <w:ind w:left="360"/>
        <w:rPr>
          <w:rFonts w:ascii="Times" w:hAnsi="Times" w:cs="Times"/>
          <w:szCs w:val="24"/>
        </w:rPr>
      </w:pPr>
      <w:r w:rsidRPr="00E67A4C">
        <w:rPr>
          <w:rFonts w:ascii="Times" w:hAnsi="Times" w:cs="Times"/>
          <w:szCs w:val="24"/>
        </w:rPr>
        <w:t>Anton, S.G. and Nucu, A.E.A., 2022. On the role of institutional factors in shaping working capital management policies: empirical evidence from European listed firms. Economic Systems, 46(2), p.100976.</w:t>
      </w:r>
    </w:p>
    <w:p w14:paraId="55AA45C6"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Awodire, M., Agboola, O., Ogundojutimi, O. and Odumuwagun, O., 2023. Capital budgeting and financial investment appraisal: A review of archival literature. </w:t>
      </w:r>
      <w:r w:rsidRPr="00E67A4C">
        <w:rPr>
          <w:rFonts w:ascii="Times" w:hAnsi="Times" w:cs="Times"/>
          <w:i/>
          <w:iCs/>
          <w:szCs w:val="24"/>
        </w:rPr>
        <w:t>American Journal of Multidisciplinary Research in Africa</w:t>
      </w:r>
      <w:r w:rsidRPr="00E67A4C">
        <w:rPr>
          <w:rFonts w:ascii="Times" w:hAnsi="Times" w:cs="Times"/>
          <w:szCs w:val="24"/>
        </w:rPr>
        <w:t>, </w:t>
      </w:r>
      <w:r w:rsidRPr="00E67A4C">
        <w:rPr>
          <w:rFonts w:ascii="Times" w:hAnsi="Times" w:cs="Times"/>
          <w:i/>
          <w:iCs/>
          <w:szCs w:val="24"/>
        </w:rPr>
        <w:t>3</w:t>
      </w:r>
      <w:r w:rsidRPr="00E67A4C">
        <w:rPr>
          <w:rFonts w:ascii="Times" w:hAnsi="Times" w:cs="Times"/>
          <w:szCs w:val="24"/>
        </w:rPr>
        <w:t>(10.58314).</w:t>
      </w:r>
    </w:p>
    <w:p w14:paraId="0043A95B"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Bakri, A., Fifield, S.G. and Power, D.M., 2022. Capital budgeting practices and political risk: evidence from Lebanon. </w:t>
      </w:r>
      <w:r w:rsidRPr="00E67A4C">
        <w:rPr>
          <w:rFonts w:ascii="Times" w:hAnsi="Times" w:cs="Times"/>
          <w:i/>
          <w:iCs/>
          <w:szCs w:val="24"/>
        </w:rPr>
        <w:t>Qualitative Research in Financial Markets</w:t>
      </w:r>
      <w:r w:rsidRPr="00E67A4C">
        <w:rPr>
          <w:rFonts w:ascii="Times" w:hAnsi="Times" w:cs="Times"/>
          <w:szCs w:val="24"/>
        </w:rPr>
        <w:t>, </w:t>
      </w:r>
      <w:r w:rsidRPr="00E67A4C">
        <w:rPr>
          <w:rFonts w:ascii="Times" w:hAnsi="Times" w:cs="Times"/>
          <w:i/>
          <w:iCs/>
          <w:szCs w:val="24"/>
        </w:rPr>
        <w:t>14</w:t>
      </w:r>
      <w:r w:rsidRPr="00E67A4C">
        <w:rPr>
          <w:rFonts w:ascii="Times" w:hAnsi="Times" w:cs="Times"/>
          <w:szCs w:val="24"/>
        </w:rPr>
        <w:t>(3), pp.483-504.</w:t>
      </w:r>
    </w:p>
    <w:p w14:paraId="3EC4B52A" w14:textId="77777777" w:rsidR="00E67A4C" w:rsidRPr="00E67A4C" w:rsidRDefault="00E67A4C" w:rsidP="00E67A4C">
      <w:pPr>
        <w:ind w:left="360"/>
        <w:rPr>
          <w:rFonts w:ascii="Times" w:hAnsi="Times" w:cs="Times"/>
          <w:szCs w:val="24"/>
        </w:rPr>
      </w:pPr>
      <w:r w:rsidRPr="00E67A4C">
        <w:rPr>
          <w:rFonts w:ascii="Times" w:hAnsi="Times" w:cs="Times"/>
          <w:szCs w:val="24"/>
        </w:rPr>
        <w:t>Banerjee, P. and Guha Deb, S., 2024. Working capital management efficiency, managerial ability, and firm performance: new insights. </w:t>
      </w:r>
      <w:r w:rsidRPr="00E67A4C">
        <w:rPr>
          <w:rFonts w:ascii="Times" w:hAnsi="Times" w:cs="Times"/>
          <w:i/>
          <w:iCs/>
          <w:szCs w:val="24"/>
        </w:rPr>
        <w:t>Applied Economics</w:t>
      </w:r>
      <w:r w:rsidRPr="00E67A4C">
        <w:rPr>
          <w:rFonts w:ascii="Times" w:hAnsi="Times" w:cs="Times"/>
          <w:szCs w:val="24"/>
        </w:rPr>
        <w:t>, </w:t>
      </w:r>
      <w:r w:rsidRPr="00E67A4C">
        <w:rPr>
          <w:rFonts w:ascii="Times" w:hAnsi="Times" w:cs="Times"/>
          <w:i/>
          <w:iCs/>
          <w:szCs w:val="24"/>
        </w:rPr>
        <w:t>56</w:t>
      </w:r>
      <w:r w:rsidRPr="00E67A4C">
        <w:rPr>
          <w:rFonts w:ascii="Times" w:hAnsi="Times" w:cs="Times"/>
          <w:szCs w:val="24"/>
        </w:rPr>
        <w:t>(33), pp.4001-4018.</w:t>
      </w:r>
    </w:p>
    <w:p w14:paraId="1B66F370"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Belling, M., Pidun, U. and zu Knyphausen-Aufseß, D., 2022. Restructuring in family firms: Balancing family objectives and economic prosperity. </w:t>
      </w:r>
      <w:r w:rsidRPr="00E67A4C">
        <w:rPr>
          <w:rFonts w:ascii="Times" w:hAnsi="Times" w:cs="Times"/>
          <w:i/>
          <w:iCs/>
          <w:szCs w:val="24"/>
        </w:rPr>
        <w:t>Long Range Planning</w:t>
      </w:r>
      <w:r w:rsidRPr="00E67A4C">
        <w:rPr>
          <w:rFonts w:ascii="Times" w:hAnsi="Times" w:cs="Times"/>
          <w:szCs w:val="24"/>
        </w:rPr>
        <w:t>, </w:t>
      </w:r>
      <w:r w:rsidRPr="00E67A4C">
        <w:rPr>
          <w:rFonts w:ascii="Times" w:hAnsi="Times" w:cs="Times"/>
          <w:i/>
          <w:iCs/>
          <w:szCs w:val="24"/>
        </w:rPr>
        <w:t>55</w:t>
      </w:r>
      <w:r w:rsidRPr="00E67A4C">
        <w:rPr>
          <w:rFonts w:ascii="Times" w:hAnsi="Times" w:cs="Times"/>
          <w:szCs w:val="24"/>
        </w:rPr>
        <w:t>(6), p.102184.</w:t>
      </w:r>
    </w:p>
    <w:p w14:paraId="5795D61E" w14:textId="77777777" w:rsidR="00E67A4C" w:rsidRPr="00E67A4C" w:rsidRDefault="00E67A4C" w:rsidP="00E67A4C">
      <w:pPr>
        <w:ind w:left="360"/>
        <w:rPr>
          <w:rFonts w:ascii="Times" w:hAnsi="Times" w:cs="Times"/>
          <w:szCs w:val="24"/>
        </w:rPr>
      </w:pPr>
      <w:r w:rsidRPr="00E67A4C">
        <w:rPr>
          <w:rFonts w:ascii="Times" w:hAnsi="Times" w:cs="Times"/>
          <w:szCs w:val="24"/>
        </w:rPr>
        <w:t>Bhadkamar, A. and Bhattacharya, S., 2022. Tesla Inc. stock prediction using sentiment analysis. </w:t>
      </w:r>
      <w:r w:rsidRPr="00E67A4C">
        <w:rPr>
          <w:rFonts w:ascii="Times" w:hAnsi="Times" w:cs="Times"/>
          <w:i/>
          <w:iCs/>
          <w:szCs w:val="24"/>
        </w:rPr>
        <w:t>Australasian Accounting, Business and Finance Journal</w:t>
      </w:r>
      <w:r w:rsidRPr="00E67A4C">
        <w:rPr>
          <w:rFonts w:ascii="Times" w:hAnsi="Times" w:cs="Times"/>
          <w:szCs w:val="24"/>
        </w:rPr>
        <w:t>, </w:t>
      </w:r>
      <w:r w:rsidRPr="00E67A4C">
        <w:rPr>
          <w:rFonts w:ascii="Times" w:hAnsi="Times" w:cs="Times"/>
          <w:i/>
          <w:iCs/>
          <w:szCs w:val="24"/>
        </w:rPr>
        <w:t>16</w:t>
      </w:r>
      <w:r w:rsidRPr="00E67A4C">
        <w:rPr>
          <w:rFonts w:ascii="Times" w:hAnsi="Times" w:cs="Times"/>
          <w:szCs w:val="24"/>
        </w:rPr>
        <w:t>(5).</w:t>
      </w:r>
    </w:p>
    <w:p w14:paraId="2A443336"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Celestin, M., 2022. The Role of Corporate Mergers and Acquisitions in Financial Performance: Analyzing the Success and Failures of Major M&amp;A Deals. </w:t>
      </w:r>
      <w:r w:rsidRPr="00E67A4C">
        <w:rPr>
          <w:rFonts w:ascii="Times" w:hAnsi="Times" w:cs="Times"/>
          <w:i/>
          <w:iCs/>
          <w:szCs w:val="24"/>
        </w:rPr>
        <w:t>Brainae Journal of Business, Sciences and Technology</w:t>
      </w:r>
      <w:r w:rsidRPr="00E67A4C">
        <w:rPr>
          <w:rFonts w:ascii="Times" w:hAnsi="Times" w:cs="Times"/>
          <w:szCs w:val="24"/>
        </w:rPr>
        <w:t>, </w:t>
      </w:r>
      <w:r w:rsidRPr="00E67A4C">
        <w:rPr>
          <w:rFonts w:ascii="Times" w:hAnsi="Times" w:cs="Times"/>
          <w:i/>
          <w:iCs/>
          <w:szCs w:val="24"/>
        </w:rPr>
        <w:t>6</w:t>
      </w:r>
      <w:r w:rsidRPr="00E67A4C">
        <w:rPr>
          <w:rFonts w:ascii="Times" w:hAnsi="Times" w:cs="Times"/>
          <w:szCs w:val="24"/>
        </w:rPr>
        <w:t>(4), pp.930-940.</w:t>
      </w:r>
    </w:p>
    <w:p w14:paraId="156D7131"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Celestin, P., 2024. The Impact of Corporate Bankruptcy Laws on Financial Restructuring and Business Continuity Strategies. </w:t>
      </w:r>
      <w:r w:rsidRPr="00E67A4C">
        <w:rPr>
          <w:rFonts w:ascii="Times" w:hAnsi="Times" w:cs="Times"/>
          <w:i/>
          <w:iCs/>
          <w:szCs w:val="24"/>
        </w:rPr>
        <w:t xml:space="preserve">Mbonigaba, The Impact </w:t>
      </w:r>
      <w:proofErr w:type="gramStart"/>
      <w:r w:rsidRPr="00E67A4C">
        <w:rPr>
          <w:rFonts w:ascii="Times" w:hAnsi="Times" w:cs="Times"/>
          <w:i/>
          <w:iCs/>
          <w:szCs w:val="24"/>
        </w:rPr>
        <w:t>Of</w:t>
      </w:r>
      <w:proofErr w:type="gramEnd"/>
      <w:r w:rsidRPr="00E67A4C">
        <w:rPr>
          <w:rFonts w:ascii="Times" w:hAnsi="Times" w:cs="Times"/>
          <w:i/>
          <w:iCs/>
          <w:szCs w:val="24"/>
        </w:rPr>
        <w:t xml:space="preserve"> Corporate Bankruptcy Laws </w:t>
      </w:r>
      <w:proofErr w:type="gramStart"/>
      <w:r w:rsidRPr="00E67A4C">
        <w:rPr>
          <w:rFonts w:ascii="Times" w:hAnsi="Times" w:cs="Times"/>
          <w:i/>
          <w:iCs/>
          <w:szCs w:val="24"/>
        </w:rPr>
        <w:t>On</w:t>
      </w:r>
      <w:proofErr w:type="gramEnd"/>
      <w:r w:rsidRPr="00E67A4C">
        <w:rPr>
          <w:rFonts w:ascii="Times" w:hAnsi="Times" w:cs="Times"/>
          <w:i/>
          <w:iCs/>
          <w:szCs w:val="24"/>
        </w:rPr>
        <w:t xml:space="preserve"> Financial Restructuring </w:t>
      </w:r>
      <w:proofErr w:type="gramStart"/>
      <w:r w:rsidRPr="00E67A4C">
        <w:rPr>
          <w:rFonts w:ascii="Times" w:hAnsi="Times" w:cs="Times"/>
          <w:i/>
          <w:iCs/>
          <w:szCs w:val="24"/>
        </w:rPr>
        <w:t>And</w:t>
      </w:r>
      <w:proofErr w:type="gramEnd"/>
      <w:r w:rsidRPr="00E67A4C">
        <w:rPr>
          <w:rFonts w:ascii="Times" w:hAnsi="Times" w:cs="Times"/>
          <w:i/>
          <w:iCs/>
          <w:szCs w:val="24"/>
        </w:rPr>
        <w:t xml:space="preserve"> Business Continuity Strategies (October 30, 2024)</w:t>
      </w:r>
      <w:r w:rsidRPr="00E67A4C">
        <w:rPr>
          <w:rFonts w:ascii="Times" w:hAnsi="Times" w:cs="Times"/>
          <w:szCs w:val="24"/>
        </w:rPr>
        <w:t>.</w:t>
      </w:r>
    </w:p>
    <w:p w14:paraId="229C1EB9" w14:textId="77777777" w:rsidR="00E67A4C" w:rsidRPr="00E67A4C" w:rsidRDefault="00E67A4C" w:rsidP="00E67A4C">
      <w:pPr>
        <w:ind w:left="360"/>
        <w:rPr>
          <w:rFonts w:ascii="Times" w:hAnsi="Times" w:cs="Times"/>
          <w:szCs w:val="24"/>
        </w:rPr>
      </w:pPr>
      <w:r w:rsidRPr="00E67A4C">
        <w:rPr>
          <w:rFonts w:ascii="Times" w:hAnsi="Times" w:cs="Times"/>
          <w:szCs w:val="24"/>
        </w:rPr>
        <w:lastRenderedPageBreak/>
        <w:t>Chiu, K.C., 2026. Forecasting financial spillovers in a green supply chain: a deep learning analysis of Tesla and its Taiwanese supplier. </w:t>
      </w:r>
      <w:r w:rsidRPr="00E67A4C">
        <w:rPr>
          <w:rFonts w:ascii="Times" w:hAnsi="Times" w:cs="Times"/>
          <w:i/>
          <w:iCs/>
          <w:szCs w:val="24"/>
        </w:rPr>
        <w:t>Journal of Chinese Economic and Foreign Trade Studies</w:t>
      </w:r>
      <w:r w:rsidRPr="00E67A4C">
        <w:rPr>
          <w:rFonts w:ascii="Times" w:hAnsi="Times" w:cs="Times"/>
          <w:szCs w:val="24"/>
        </w:rPr>
        <w:t>, pp.1-21.</w:t>
      </w:r>
    </w:p>
    <w:p w14:paraId="5A536257" w14:textId="77777777" w:rsidR="00E67A4C" w:rsidRPr="00E67A4C" w:rsidRDefault="00E67A4C" w:rsidP="00E67A4C">
      <w:pPr>
        <w:ind w:left="360"/>
        <w:rPr>
          <w:rFonts w:ascii="Times" w:hAnsi="Times" w:cs="Times"/>
          <w:szCs w:val="24"/>
        </w:rPr>
      </w:pPr>
      <w:r w:rsidRPr="00E67A4C">
        <w:rPr>
          <w:rFonts w:ascii="Times" w:hAnsi="Times" w:cs="Times"/>
          <w:szCs w:val="24"/>
        </w:rPr>
        <w:t>Coelho, R., Jayantilal, S. and Ferreira, J.J., 2023. The impact of social responsibility on corporate financial performance: A systematic literature review. </w:t>
      </w:r>
      <w:r w:rsidRPr="00E67A4C">
        <w:rPr>
          <w:rFonts w:ascii="Times" w:hAnsi="Times" w:cs="Times"/>
          <w:i/>
          <w:iCs/>
          <w:szCs w:val="24"/>
        </w:rPr>
        <w:t>Corporate Social Responsibility and Environmental Management</w:t>
      </w:r>
      <w:r w:rsidRPr="00E67A4C">
        <w:rPr>
          <w:rFonts w:ascii="Times" w:hAnsi="Times" w:cs="Times"/>
          <w:szCs w:val="24"/>
        </w:rPr>
        <w:t>, </w:t>
      </w:r>
      <w:r w:rsidRPr="00E67A4C">
        <w:rPr>
          <w:rFonts w:ascii="Times" w:hAnsi="Times" w:cs="Times"/>
          <w:i/>
          <w:iCs/>
          <w:szCs w:val="24"/>
        </w:rPr>
        <w:t>30</w:t>
      </w:r>
      <w:r w:rsidRPr="00E67A4C">
        <w:rPr>
          <w:rFonts w:ascii="Times" w:hAnsi="Times" w:cs="Times"/>
          <w:szCs w:val="24"/>
        </w:rPr>
        <w:t>(4), pp.1535-1560.</w:t>
      </w:r>
    </w:p>
    <w:p w14:paraId="4BF09A37"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Colliard, J.E. and Gromb, D., 2025. Financial restructuring and resolution of banks. </w:t>
      </w:r>
      <w:r w:rsidRPr="00E67A4C">
        <w:rPr>
          <w:rFonts w:ascii="Times" w:hAnsi="Times" w:cs="Times"/>
          <w:i/>
          <w:iCs/>
          <w:szCs w:val="24"/>
        </w:rPr>
        <w:t>The Review of Financial Studies</w:t>
      </w:r>
      <w:r w:rsidRPr="00E67A4C">
        <w:rPr>
          <w:rFonts w:ascii="Times" w:hAnsi="Times" w:cs="Times"/>
          <w:szCs w:val="24"/>
        </w:rPr>
        <w:t>, p.hhaf113.</w:t>
      </w:r>
    </w:p>
    <w:p w14:paraId="68591E6C"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Feldman, E.R. and Sakhartov, A.V., 2022. Resource redeployment and divestiture as strategic alternatives. </w:t>
      </w:r>
      <w:r w:rsidRPr="00E67A4C">
        <w:rPr>
          <w:rFonts w:ascii="Times" w:hAnsi="Times" w:cs="Times"/>
          <w:i/>
          <w:iCs/>
          <w:szCs w:val="24"/>
        </w:rPr>
        <w:t>Organization Science</w:t>
      </w:r>
      <w:r w:rsidRPr="00E67A4C">
        <w:rPr>
          <w:rFonts w:ascii="Times" w:hAnsi="Times" w:cs="Times"/>
          <w:szCs w:val="24"/>
        </w:rPr>
        <w:t>, </w:t>
      </w:r>
      <w:r w:rsidRPr="00E67A4C">
        <w:rPr>
          <w:rFonts w:ascii="Times" w:hAnsi="Times" w:cs="Times"/>
          <w:i/>
          <w:iCs/>
          <w:szCs w:val="24"/>
        </w:rPr>
        <w:t>33</w:t>
      </w:r>
      <w:r w:rsidRPr="00E67A4C">
        <w:rPr>
          <w:rFonts w:ascii="Times" w:hAnsi="Times" w:cs="Times"/>
          <w:szCs w:val="24"/>
        </w:rPr>
        <w:t>(3), pp.926-945.</w:t>
      </w:r>
    </w:p>
    <w:p w14:paraId="3DF10B66"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Focacci, A., 2022. The investment rate of return at the end of the period: A future worth approach to capital budgeting. </w:t>
      </w:r>
      <w:r w:rsidRPr="00E67A4C">
        <w:rPr>
          <w:rFonts w:ascii="Times" w:hAnsi="Times" w:cs="Times"/>
          <w:i/>
          <w:iCs/>
          <w:szCs w:val="24"/>
        </w:rPr>
        <w:t>International Journal of Revenue Management</w:t>
      </w:r>
      <w:r w:rsidRPr="00E67A4C">
        <w:rPr>
          <w:rFonts w:ascii="Times" w:hAnsi="Times" w:cs="Times"/>
          <w:szCs w:val="24"/>
        </w:rPr>
        <w:t>, </w:t>
      </w:r>
      <w:r w:rsidRPr="00E67A4C">
        <w:rPr>
          <w:rFonts w:ascii="Times" w:hAnsi="Times" w:cs="Times"/>
          <w:i/>
          <w:iCs/>
          <w:szCs w:val="24"/>
        </w:rPr>
        <w:t>13</w:t>
      </w:r>
      <w:r w:rsidRPr="00E67A4C">
        <w:rPr>
          <w:rFonts w:ascii="Times" w:hAnsi="Times" w:cs="Times"/>
          <w:szCs w:val="24"/>
        </w:rPr>
        <w:t>(1-2), pp.79-98.</w:t>
      </w:r>
    </w:p>
    <w:p w14:paraId="634F0CB0"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Gnap, M. and Pitera, R., 2023. The relevance of using cash flows and economic profit-based methods in capital budgeting: A focus on techniques–FCFF, FCFE and EVA. </w:t>
      </w:r>
      <w:r w:rsidRPr="00E67A4C">
        <w:rPr>
          <w:rFonts w:ascii="Times" w:hAnsi="Times" w:cs="Times"/>
          <w:i/>
          <w:iCs/>
          <w:szCs w:val="24"/>
        </w:rPr>
        <w:t>Zeszyty Naukowe. Organizacja i Zarządzanie/Politechnika Śląska</w:t>
      </w:r>
      <w:r w:rsidRPr="00E67A4C">
        <w:rPr>
          <w:rFonts w:ascii="Times" w:hAnsi="Times" w:cs="Times"/>
          <w:szCs w:val="24"/>
        </w:rPr>
        <w:t>, (172), pp.219-238.</w:t>
      </w:r>
    </w:p>
    <w:p w14:paraId="6AA6A476"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Grundy, T., Johnson, G. and Scholes, K., 2022. Strategic Financial Management. </w:t>
      </w:r>
      <w:r w:rsidRPr="00E67A4C">
        <w:rPr>
          <w:rFonts w:ascii="Times" w:hAnsi="Times" w:cs="Times"/>
          <w:i/>
          <w:iCs/>
          <w:szCs w:val="24"/>
        </w:rPr>
        <w:t>Bachelor of Business Administration Programme Code: BBA Duration–3 Years Full Time</w:t>
      </w:r>
      <w:r w:rsidRPr="00E67A4C">
        <w:rPr>
          <w:rFonts w:ascii="Times" w:hAnsi="Times" w:cs="Times"/>
          <w:szCs w:val="24"/>
        </w:rPr>
        <w:t>, </w:t>
      </w:r>
      <w:r w:rsidRPr="00E67A4C">
        <w:rPr>
          <w:rFonts w:ascii="Times" w:hAnsi="Times" w:cs="Times"/>
          <w:i/>
          <w:iCs/>
          <w:szCs w:val="24"/>
        </w:rPr>
        <w:t>2</w:t>
      </w:r>
      <w:r w:rsidRPr="00E67A4C">
        <w:rPr>
          <w:rFonts w:ascii="Times" w:hAnsi="Times" w:cs="Times"/>
          <w:szCs w:val="24"/>
        </w:rPr>
        <w:t>(1), pp.1-575.</w:t>
      </w:r>
    </w:p>
    <w:p w14:paraId="16002B9F" w14:textId="77777777" w:rsidR="00E67A4C" w:rsidRPr="00E67A4C" w:rsidRDefault="00E67A4C" w:rsidP="00E67A4C">
      <w:pPr>
        <w:ind w:left="360"/>
        <w:rPr>
          <w:rFonts w:ascii="Times" w:hAnsi="Times" w:cs="Times"/>
          <w:szCs w:val="24"/>
        </w:rPr>
      </w:pPr>
      <w:r w:rsidRPr="00E67A4C">
        <w:rPr>
          <w:rFonts w:ascii="Times" w:hAnsi="Times" w:cs="Times"/>
          <w:szCs w:val="24"/>
        </w:rPr>
        <w:t>Habib, A.M., 2022. Does the efficiency of working capital management and environmental, social, and governance performance affect a firm’s value? Evidence from the United States. </w:t>
      </w:r>
      <w:r w:rsidRPr="00E67A4C">
        <w:rPr>
          <w:rFonts w:ascii="Times" w:hAnsi="Times" w:cs="Times"/>
          <w:i/>
          <w:iCs/>
          <w:szCs w:val="24"/>
        </w:rPr>
        <w:t>Financial Markets, Institutions and Risks</w:t>
      </w:r>
      <w:r w:rsidRPr="00E67A4C">
        <w:rPr>
          <w:rFonts w:ascii="Times" w:hAnsi="Times" w:cs="Times"/>
          <w:szCs w:val="24"/>
        </w:rPr>
        <w:t>, </w:t>
      </w:r>
      <w:r w:rsidRPr="00E67A4C">
        <w:rPr>
          <w:rFonts w:ascii="Times" w:hAnsi="Times" w:cs="Times"/>
          <w:i/>
          <w:iCs/>
          <w:szCs w:val="24"/>
        </w:rPr>
        <w:t>6</w:t>
      </w:r>
      <w:r w:rsidRPr="00E67A4C">
        <w:rPr>
          <w:rFonts w:ascii="Times" w:hAnsi="Times" w:cs="Times"/>
          <w:szCs w:val="24"/>
        </w:rPr>
        <w:t>(3), pp.18-25.</w:t>
      </w:r>
    </w:p>
    <w:p w14:paraId="1F9623B1" w14:textId="77777777" w:rsidR="00E67A4C" w:rsidRPr="00E67A4C" w:rsidRDefault="00E67A4C" w:rsidP="00E67A4C">
      <w:pPr>
        <w:ind w:left="360"/>
        <w:rPr>
          <w:rFonts w:ascii="Times" w:hAnsi="Times" w:cs="Times"/>
          <w:szCs w:val="24"/>
        </w:rPr>
      </w:pPr>
      <w:r w:rsidRPr="00E67A4C">
        <w:rPr>
          <w:rFonts w:ascii="Times" w:hAnsi="Times" w:cs="Times"/>
          <w:szCs w:val="24"/>
        </w:rPr>
        <w:t>Hamshari, Y.M., Alqam, M.A. and Ali, H.Y., 2022. The impact of the corona epidemic on working capital management for jordanian companies listed on the amman stock exchange. </w:t>
      </w:r>
      <w:r w:rsidRPr="00E67A4C">
        <w:rPr>
          <w:rFonts w:ascii="Times" w:hAnsi="Times" w:cs="Times"/>
          <w:i/>
          <w:iCs/>
          <w:szCs w:val="24"/>
        </w:rPr>
        <w:t>Cogent Economics &amp; Finance</w:t>
      </w:r>
      <w:r w:rsidRPr="00E67A4C">
        <w:rPr>
          <w:rFonts w:ascii="Times" w:hAnsi="Times" w:cs="Times"/>
          <w:szCs w:val="24"/>
        </w:rPr>
        <w:t>, </w:t>
      </w:r>
      <w:r w:rsidRPr="00E67A4C">
        <w:rPr>
          <w:rFonts w:ascii="Times" w:hAnsi="Times" w:cs="Times"/>
          <w:i/>
          <w:iCs/>
          <w:szCs w:val="24"/>
        </w:rPr>
        <w:t>10</w:t>
      </w:r>
      <w:r w:rsidRPr="00E67A4C">
        <w:rPr>
          <w:rFonts w:ascii="Times" w:hAnsi="Times" w:cs="Times"/>
          <w:szCs w:val="24"/>
        </w:rPr>
        <w:t>(1), p.2157541.</w:t>
      </w:r>
    </w:p>
    <w:p w14:paraId="5DE4083A" w14:textId="77777777" w:rsidR="00E67A4C" w:rsidRPr="00E67A4C" w:rsidRDefault="00E67A4C" w:rsidP="00E67A4C">
      <w:pPr>
        <w:ind w:left="360"/>
        <w:rPr>
          <w:rFonts w:ascii="Times" w:hAnsi="Times" w:cs="Times"/>
          <w:szCs w:val="24"/>
        </w:rPr>
      </w:pPr>
      <w:r w:rsidRPr="00E67A4C">
        <w:rPr>
          <w:rFonts w:ascii="Times" w:hAnsi="Times" w:cs="Times"/>
          <w:szCs w:val="24"/>
        </w:rPr>
        <w:lastRenderedPageBreak/>
        <w:t>Li, X., Wang, J. and Yang, C., 2023. Risk prediction in financial management of listed companies based on optimized BP neural network under digital economy. </w:t>
      </w:r>
      <w:r w:rsidRPr="00E67A4C">
        <w:rPr>
          <w:rFonts w:ascii="Times" w:hAnsi="Times" w:cs="Times"/>
          <w:i/>
          <w:iCs/>
          <w:szCs w:val="24"/>
        </w:rPr>
        <w:t>Neural Computing and Applications</w:t>
      </w:r>
      <w:r w:rsidRPr="00E67A4C">
        <w:rPr>
          <w:rFonts w:ascii="Times" w:hAnsi="Times" w:cs="Times"/>
          <w:szCs w:val="24"/>
        </w:rPr>
        <w:t>, </w:t>
      </w:r>
      <w:r w:rsidRPr="00E67A4C">
        <w:rPr>
          <w:rFonts w:ascii="Times" w:hAnsi="Times" w:cs="Times"/>
          <w:i/>
          <w:iCs/>
          <w:szCs w:val="24"/>
        </w:rPr>
        <w:t>35</w:t>
      </w:r>
      <w:r w:rsidRPr="00E67A4C">
        <w:rPr>
          <w:rFonts w:ascii="Times" w:hAnsi="Times" w:cs="Times"/>
          <w:szCs w:val="24"/>
        </w:rPr>
        <w:t>(3), pp.2045-2058.</w:t>
      </w:r>
    </w:p>
    <w:p w14:paraId="101C8B7D" w14:textId="77777777" w:rsidR="00E67A4C" w:rsidRPr="00E67A4C" w:rsidRDefault="00E67A4C" w:rsidP="00E67A4C">
      <w:pPr>
        <w:ind w:left="360"/>
        <w:rPr>
          <w:rFonts w:ascii="Times" w:hAnsi="Times" w:cs="Times"/>
          <w:szCs w:val="24"/>
        </w:rPr>
      </w:pPr>
      <w:r w:rsidRPr="00E67A4C">
        <w:rPr>
          <w:rFonts w:ascii="Times" w:hAnsi="Times" w:cs="Times"/>
          <w:szCs w:val="24"/>
        </w:rPr>
        <w:t>Li, Y., 2025, February. Financial Analysis of the Company Tesla. In </w:t>
      </w:r>
      <w:r w:rsidRPr="00E67A4C">
        <w:rPr>
          <w:rFonts w:ascii="Times" w:hAnsi="Times" w:cs="Times"/>
          <w:i/>
          <w:iCs/>
          <w:szCs w:val="24"/>
        </w:rPr>
        <w:t>International Workshop on Navigating the Digital Business Frontier for Sustainable Financial Innovation (ICDEBA 2024)</w:t>
      </w:r>
      <w:r w:rsidRPr="00E67A4C">
        <w:rPr>
          <w:rFonts w:ascii="Times" w:hAnsi="Times" w:cs="Times"/>
          <w:szCs w:val="24"/>
        </w:rPr>
        <w:t> (pp. 566-575). Atlantis Press.</w:t>
      </w:r>
    </w:p>
    <w:p w14:paraId="321FFBE6" w14:textId="77777777" w:rsidR="00E67A4C" w:rsidRPr="00E67A4C" w:rsidRDefault="00E67A4C" w:rsidP="00E67A4C">
      <w:pPr>
        <w:ind w:left="360"/>
        <w:rPr>
          <w:rFonts w:ascii="Times" w:hAnsi="Times" w:cs="Times"/>
          <w:szCs w:val="24"/>
        </w:rPr>
      </w:pPr>
      <w:r w:rsidRPr="00E67A4C">
        <w:rPr>
          <w:rFonts w:ascii="Times" w:hAnsi="Times" w:cs="Times"/>
          <w:szCs w:val="24"/>
        </w:rPr>
        <w:t>Mandipa, G. and Sibindi, A.B., 2022. Financial performance and working capital management practices in the retail sector: empirical evidence from South Africa. </w:t>
      </w:r>
      <w:r w:rsidRPr="00E67A4C">
        <w:rPr>
          <w:rFonts w:ascii="Times" w:hAnsi="Times" w:cs="Times"/>
          <w:i/>
          <w:iCs/>
          <w:szCs w:val="24"/>
        </w:rPr>
        <w:t>Risks</w:t>
      </w:r>
      <w:r w:rsidRPr="00E67A4C">
        <w:rPr>
          <w:rFonts w:ascii="Times" w:hAnsi="Times" w:cs="Times"/>
          <w:szCs w:val="24"/>
        </w:rPr>
        <w:t>, </w:t>
      </w:r>
      <w:r w:rsidRPr="00E67A4C">
        <w:rPr>
          <w:rFonts w:ascii="Times" w:hAnsi="Times" w:cs="Times"/>
          <w:i/>
          <w:iCs/>
          <w:szCs w:val="24"/>
        </w:rPr>
        <w:t>10</w:t>
      </w:r>
      <w:r w:rsidRPr="00E67A4C">
        <w:rPr>
          <w:rFonts w:ascii="Times" w:hAnsi="Times" w:cs="Times"/>
          <w:szCs w:val="24"/>
        </w:rPr>
        <w:t>(3), p.63.</w:t>
      </w:r>
    </w:p>
    <w:p w14:paraId="100F76F5"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Moridu, I. and Abidin, Z., 2023. Adapting financial management strategies amidst economic turmoil: a case study of gama corporate's liquidity and restructuring initiative. </w:t>
      </w:r>
      <w:r w:rsidRPr="00E67A4C">
        <w:rPr>
          <w:rFonts w:ascii="Times" w:hAnsi="Times" w:cs="Times"/>
          <w:i/>
          <w:iCs/>
          <w:szCs w:val="24"/>
        </w:rPr>
        <w:t>The Eastasouth Management and Business</w:t>
      </w:r>
      <w:r w:rsidRPr="00E67A4C">
        <w:rPr>
          <w:rFonts w:ascii="Times" w:hAnsi="Times" w:cs="Times"/>
          <w:szCs w:val="24"/>
        </w:rPr>
        <w:t>, </w:t>
      </w:r>
      <w:r w:rsidRPr="00E67A4C">
        <w:rPr>
          <w:rFonts w:ascii="Times" w:hAnsi="Times" w:cs="Times"/>
          <w:i/>
          <w:iCs/>
          <w:szCs w:val="24"/>
        </w:rPr>
        <w:t>2</w:t>
      </w:r>
      <w:r w:rsidRPr="00E67A4C">
        <w:rPr>
          <w:rFonts w:ascii="Times" w:hAnsi="Times" w:cs="Times"/>
          <w:szCs w:val="24"/>
        </w:rPr>
        <w:t>(01), pp.34-42.</w:t>
      </w:r>
    </w:p>
    <w:p w14:paraId="3C5344A9"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Nunden, N., Abbana, S., Marimuthu, F. and Sentoo, N., 2022. An assessment of management skills on capital budgeting planning and practices: evidence from the small and medium enterprise sector. </w:t>
      </w:r>
      <w:r w:rsidRPr="00E67A4C">
        <w:rPr>
          <w:rFonts w:ascii="Times" w:hAnsi="Times" w:cs="Times"/>
          <w:i/>
          <w:iCs/>
          <w:szCs w:val="24"/>
        </w:rPr>
        <w:t>Cogent Business &amp; Management</w:t>
      </w:r>
      <w:r w:rsidRPr="00E67A4C">
        <w:rPr>
          <w:rFonts w:ascii="Times" w:hAnsi="Times" w:cs="Times"/>
          <w:szCs w:val="24"/>
        </w:rPr>
        <w:t>, </w:t>
      </w:r>
      <w:r w:rsidRPr="00E67A4C">
        <w:rPr>
          <w:rFonts w:ascii="Times" w:hAnsi="Times" w:cs="Times"/>
          <w:i/>
          <w:iCs/>
          <w:szCs w:val="24"/>
        </w:rPr>
        <w:t>9</w:t>
      </w:r>
      <w:r w:rsidRPr="00E67A4C">
        <w:rPr>
          <w:rFonts w:ascii="Times" w:hAnsi="Times" w:cs="Times"/>
          <w:szCs w:val="24"/>
        </w:rPr>
        <w:t>(1), p.2136481.</w:t>
      </w:r>
    </w:p>
    <w:p w14:paraId="617DCEF3"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Nurfitriani, N. and Latif, I.N., 2025. Sustainable Capital Budgeting: Assessing Long-Term Effects Beyond Profitability. </w:t>
      </w:r>
      <w:r w:rsidRPr="00E67A4C">
        <w:rPr>
          <w:rFonts w:ascii="Times" w:hAnsi="Times" w:cs="Times"/>
          <w:i/>
          <w:iCs/>
          <w:szCs w:val="24"/>
        </w:rPr>
        <w:t>JASF: Journal of Accounting and Strategic Finance</w:t>
      </w:r>
      <w:r w:rsidRPr="00E67A4C">
        <w:rPr>
          <w:rFonts w:ascii="Times" w:hAnsi="Times" w:cs="Times"/>
          <w:szCs w:val="24"/>
        </w:rPr>
        <w:t>, </w:t>
      </w:r>
      <w:r w:rsidRPr="00E67A4C">
        <w:rPr>
          <w:rFonts w:ascii="Times" w:hAnsi="Times" w:cs="Times"/>
          <w:i/>
          <w:iCs/>
          <w:szCs w:val="24"/>
        </w:rPr>
        <w:t>8</w:t>
      </w:r>
      <w:r w:rsidRPr="00E67A4C">
        <w:rPr>
          <w:rFonts w:ascii="Times" w:hAnsi="Times" w:cs="Times"/>
          <w:szCs w:val="24"/>
        </w:rPr>
        <w:t>(1), pp.133-151.</w:t>
      </w:r>
    </w:p>
    <w:p w14:paraId="32792C06" w14:textId="77777777" w:rsidR="00E67A4C" w:rsidRPr="00E67A4C" w:rsidRDefault="00E67A4C" w:rsidP="00E67A4C">
      <w:pPr>
        <w:ind w:left="360"/>
        <w:rPr>
          <w:rFonts w:ascii="Times" w:hAnsi="Times" w:cs="Times"/>
          <w:szCs w:val="24"/>
        </w:rPr>
      </w:pPr>
      <w:r w:rsidRPr="00E67A4C">
        <w:rPr>
          <w:rFonts w:ascii="Times" w:hAnsi="Times" w:cs="Times"/>
          <w:szCs w:val="24"/>
        </w:rPr>
        <w:t>Okanga, B., 2022. Radical and incremental innovations as critical leveragers of a firm's financial performance: Best practices from Tesla and Toyota. </w:t>
      </w:r>
      <w:r w:rsidRPr="00E67A4C">
        <w:rPr>
          <w:rFonts w:ascii="Times" w:hAnsi="Times" w:cs="Times"/>
          <w:i/>
          <w:iCs/>
          <w:szCs w:val="24"/>
        </w:rPr>
        <w:t>Universal Journal of Financial Economics</w:t>
      </w:r>
      <w:r w:rsidRPr="00E67A4C">
        <w:rPr>
          <w:rFonts w:ascii="Times" w:hAnsi="Times" w:cs="Times"/>
          <w:szCs w:val="24"/>
        </w:rPr>
        <w:t>, </w:t>
      </w:r>
      <w:r w:rsidRPr="00E67A4C">
        <w:rPr>
          <w:rFonts w:ascii="Times" w:hAnsi="Times" w:cs="Times"/>
          <w:i/>
          <w:iCs/>
          <w:szCs w:val="24"/>
        </w:rPr>
        <w:t>2</w:t>
      </w:r>
      <w:r w:rsidRPr="00E67A4C">
        <w:rPr>
          <w:rFonts w:ascii="Times" w:hAnsi="Times" w:cs="Times"/>
          <w:szCs w:val="24"/>
        </w:rPr>
        <w:t>(2), pp.1-22.</w:t>
      </w:r>
    </w:p>
    <w:p w14:paraId="6D9AC3A9" w14:textId="77777777" w:rsidR="00E67A4C" w:rsidRPr="00E67A4C" w:rsidRDefault="00E67A4C" w:rsidP="00E67A4C">
      <w:pPr>
        <w:ind w:left="360"/>
        <w:rPr>
          <w:rFonts w:ascii="Times" w:hAnsi="Times" w:cs="Times"/>
          <w:szCs w:val="24"/>
        </w:rPr>
      </w:pPr>
      <w:r w:rsidRPr="00E67A4C">
        <w:rPr>
          <w:rFonts w:ascii="Times" w:hAnsi="Times" w:cs="Times"/>
          <w:szCs w:val="24"/>
        </w:rPr>
        <w:t>Olayinka, A.A., 2022. Financial statement analysis as a tool for investment decisions and assessment of companies’ performance. </w:t>
      </w:r>
      <w:r w:rsidRPr="00E67A4C">
        <w:rPr>
          <w:rFonts w:ascii="Times" w:hAnsi="Times" w:cs="Times"/>
          <w:i/>
          <w:iCs/>
          <w:szCs w:val="24"/>
        </w:rPr>
        <w:t>International Journal of Financial, Accounting, and Management</w:t>
      </w:r>
      <w:r w:rsidRPr="00E67A4C">
        <w:rPr>
          <w:rFonts w:ascii="Times" w:hAnsi="Times" w:cs="Times"/>
          <w:szCs w:val="24"/>
        </w:rPr>
        <w:t>, </w:t>
      </w:r>
      <w:r w:rsidRPr="00E67A4C">
        <w:rPr>
          <w:rFonts w:ascii="Times" w:hAnsi="Times" w:cs="Times"/>
          <w:i/>
          <w:iCs/>
          <w:szCs w:val="24"/>
        </w:rPr>
        <w:t>4</w:t>
      </w:r>
      <w:r w:rsidRPr="00E67A4C">
        <w:rPr>
          <w:rFonts w:ascii="Times" w:hAnsi="Times" w:cs="Times"/>
          <w:szCs w:val="24"/>
        </w:rPr>
        <w:t>(1), pp.49-66.</w:t>
      </w:r>
    </w:p>
    <w:p w14:paraId="6551104C" w14:textId="77777777" w:rsidR="00E67A4C" w:rsidRPr="00E67A4C" w:rsidRDefault="00E67A4C" w:rsidP="00E67A4C">
      <w:pPr>
        <w:ind w:left="360"/>
        <w:rPr>
          <w:rFonts w:ascii="Times" w:hAnsi="Times" w:cs="Times"/>
          <w:szCs w:val="24"/>
        </w:rPr>
      </w:pPr>
      <w:r w:rsidRPr="00E67A4C">
        <w:rPr>
          <w:rFonts w:ascii="Times" w:hAnsi="Times" w:cs="Times"/>
          <w:szCs w:val="24"/>
        </w:rPr>
        <w:lastRenderedPageBreak/>
        <w:t>Olesia, D. and Zhou, J., 2023. Financial risks in mergers and acquisitions (M&amp;A): a case study of SolarCity’s acquisition by Tesla. </w:t>
      </w:r>
      <w:r w:rsidRPr="00E67A4C">
        <w:rPr>
          <w:rFonts w:ascii="Times" w:hAnsi="Times" w:cs="Times"/>
          <w:i/>
          <w:iCs/>
          <w:szCs w:val="24"/>
        </w:rPr>
        <w:t>Front. Bus. Econ. Manage</w:t>
      </w:r>
      <w:r w:rsidRPr="00E67A4C">
        <w:rPr>
          <w:rFonts w:ascii="Times" w:hAnsi="Times" w:cs="Times"/>
          <w:szCs w:val="24"/>
        </w:rPr>
        <w:t>, </w:t>
      </w:r>
      <w:r w:rsidRPr="00E67A4C">
        <w:rPr>
          <w:rFonts w:ascii="Times" w:hAnsi="Times" w:cs="Times"/>
          <w:i/>
          <w:iCs/>
          <w:szCs w:val="24"/>
        </w:rPr>
        <w:t>11</w:t>
      </w:r>
      <w:r w:rsidRPr="00E67A4C">
        <w:rPr>
          <w:rFonts w:ascii="Times" w:hAnsi="Times" w:cs="Times"/>
          <w:szCs w:val="24"/>
        </w:rPr>
        <w:t>(3), pp.99-110.</w:t>
      </w:r>
    </w:p>
    <w:p w14:paraId="71EB0EA5"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Oyeyipo, I., Attipoe, V., Mayienga, B.A., Onwuzulike, O.C., Ayodeji, D.C., Nwaozomudoh, M.O., Isibor, N.J. and Ahmadu, J., 2023. A conceptual framework for transforming corporate finance through strategic growth, profitability, and risk optimization. </w:t>
      </w:r>
      <w:r w:rsidRPr="00E67A4C">
        <w:rPr>
          <w:rFonts w:ascii="Times" w:hAnsi="Times" w:cs="Times"/>
          <w:i/>
          <w:iCs/>
          <w:szCs w:val="24"/>
        </w:rPr>
        <w:t>International Journal of Advanced Multidisciplinary Research and Studies</w:t>
      </w:r>
      <w:r w:rsidRPr="00E67A4C">
        <w:rPr>
          <w:rFonts w:ascii="Times" w:hAnsi="Times" w:cs="Times"/>
          <w:szCs w:val="24"/>
        </w:rPr>
        <w:t>, </w:t>
      </w:r>
      <w:r w:rsidRPr="00E67A4C">
        <w:rPr>
          <w:rFonts w:ascii="Times" w:hAnsi="Times" w:cs="Times"/>
          <w:i/>
          <w:iCs/>
          <w:szCs w:val="24"/>
        </w:rPr>
        <w:t>3</w:t>
      </w:r>
      <w:r w:rsidRPr="00E67A4C">
        <w:rPr>
          <w:rFonts w:ascii="Times" w:hAnsi="Times" w:cs="Times"/>
          <w:szCs w:val="24"/>
        </w:rPr>
        <w:t>(5), pp.1527-1538.</w:t>
      </w:r>
    </w:p>
    <w:p w14:paraId="619DC461"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Purnamasari, P. and Adriza, 2024. Capital budgeting techniques and financial performance: a comparison between SMEs and large listed firms. </w:t>
      </w:r>
      <w:r w:rsidRPr="00E67A4C">
        <w:rPr>
          <w:rFonts w:ascii="Times" w:hAnsi="Times" w:cs="Times"/>
          <w:i/>
          <w:iCs/>
          <w:szCs w:val="24"/>
        </w:rPr>
        <w:t>Cogent Economics &amp; Finance</w:t>
      </w:r>
      <w:r w:rsidRPr="00E67A4C">
        <w:rPr>
          <w:rFonts w:ascii="Times" w:hAnsi="Times" w:cs="Times"/>
          <w:szCs w:val="24"/>
        </w:rPr>
        <w:t>, </w:t>
      </w:r>
      <w:r w:rsidRPr="00E67A4C">
        <w:rPr>
          <w:rFonts w:ascii="Times" w:hAnsi="Times" w:cs="Times"/>
          <w:i/>
          <w:iCs/>
          <w:szCs w:val="24"/>
        </w:rPr>
        <w:t>12</w:t>
      </w:r>
      <w:r w:rsidRPr="00E67A4C">
        <w:rPr>
          <w:rFonts w:ascii="Times" w:hAnsi="Times" w:cs="Times"/>
          <w:szCs w:val="24"/>
        </w:rPr>
        <w:t>(1), p.2404707.</w:t>
      </w:r>
    </w:p>
    <w:p w14:paraId="7C83A190"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Putri, A.M., Permadi, M.A. and Mukhtaruddin, M., 2026. The Influence of Risk Perception, Project Uncertainty, and Investment Appraisal Techniques on Capital Budgeting Decisions: A Systematic Literature Review. </w:t>
      </w:r>
      <w:r w:rsidRPr="00E67A4C">
        <w:rPr>
          <w:rFonts w:ascii="Times" w:hAnsi="Times" w:cs="Times"/>
          <w:i/>
          <w:iCs/>
          <w:szCs w:val="24"/>
        </w:rPr>
        <w:t>Indonesian Interdisciplinary Journal of Sharia Economics (IIJSE)</w:t>
      </w:r>
      <w:r w:rsidRPr="00E67A4C">
        <w:rPr>
          <w:rFonts w:ascii="Times" w:hAnsi="Times" w:cs="Times"/>
          <w:szCs w:val="24"/>
        </w:rPr>
        <w:t>, </w:t>
      </w:r>
      <w:r w:rsidRPr="00E67A4C">
        <w:rPr>
          <w:rFonts w:ascii="Times" w:hAnsi="Times" w:cs="Times"/>
          <w:i/>
          <w:iCs/>
          <w:szCs w:val="24"/>
        </w:rPr>
        <w:t>9</w:t>
      </w:r>
      <w:r w:rsidRPr="00E67A4C">
        <w:rPr>
          <w:rFonts w:ascii="Times" w:hAnsi="Times" w:cs="Times"/>
          <w:szCs w:val="24"/>
        </w:rPr>
        <w:t>(1), pp.1450-1461.</w:t>
      </w:r>
    </w:p>
    <w:p w14:paraId="60DA19D5" w14:textId="77777777" w:rsidR="00E67A4C" w:rsidRPr="00E67A4C" w:rsidRDefault="00E67A4C" w:rsidP="00E67A4C">
      <w:pPr>
        <w:ind w:left="360"/>
        <w:rPr>
          <w:rFonts w:ascii="Times" w:hAnsi="Times" w:cs="Times"/>
          <w:szCs w:val="24"/>
        </w:rPr>
      </w:pPr>
      <w:r w:rsidRPr="00E67A4C">
        <w:rPr>
          <w:rFonts w:ascii="Times" w:hAnsi="Times" w:cs="Times"/>
          <w:szCs w:val="24"/>
        </w:rPr>
        <w:t>Rahmiyati, N., Wahidhani, E.H., Fitrianingsih, D. and Rachmawati, T., 2024. The Effect of Working Capital Management, Operational Efficiency, and Profitability on Financial Sustainability of SMEs. </w:t>
      </w:r>
      <w:r w:rsidRPr="00E67A4C">
        <w:rPr>
          <w:rFonts w:ascii="Times" w:hAnsi="Times" w:cs="Times"/>
          <w:i/>
          <w:iCs/>
          <w:szCs w:val="24"/>
        </w:rPr>
        <w:t>International Journal of Business, Law, and Education</w:t>
      </w:r>
      <w:r w:rsidRPr="00E67A4C">
        <w:rPr>
          <w:rFonts w:ascii="Times" w:hAnsi="Times" w:cs="Times"/>
          <w:szCs w:val="24"/>
        </w:rPr>
        <w:t>, </w:t>
      </w:r>
      <w:r w:rsidRPr="00E67A4C">
        <w:rPr>
          <w:rFonts w:ascii="Times" w:hAnsi="Times" w:cs="Times"/>
          <w:i/>
          <w:iCs/>
          <w:szCs w:val="24"/>
        </w:rPr>
        <w:t>5</w:t>
      </w:r>
      <w:r w:rsidRPr="00E67A4C">
        <w:rPr>
          <w:rFonts w:ascii="Times" w:hAnsi="Times" w:cs="Times"/>
          <w:szCs w:val="24"/>
        </w:rPr>
        <w:t>(2), pp.2683-2693.</w:t>
      </w:r>
    </w:p>
    <w:p w14:paraId="2A1DD86C"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Sari, R. and Muslim, M., 2024. Symbiotic Relationship Between Capital Budgeting and Financing Decision-Making. </w:t>
      </w:r>
      <w:r w:rsidRPr="00E67A4C">
        <w:rPr>
          <w:rFonts w:ascii="Times" w:hAnsi="Times" w:cs="Times"/>
          <w:i/>
          <w:iCs/>
          <w:szCs w:val="24"/>
        </w:rPr>
        <w:t>The Journal of Business and Management Research</w:t>
      </w:r>
      <w:r w:rsidRPr="00E67A4C">
        <w:rPr>
          <w:rFonts w:ascii="Times" w:hAnsi="Times" w:cs="Times"/>
          <w:szCs w:val="24"/>
        </w:rPr>
        <w:t>, </w:t>
      </w:r>
      <w:r w:rsidRPr="00E67A4C">
        <w:rPr>
          <w:rFonts w:ascii="Times" w:hAnsi="Times" w:cs="Times"/>
          <w:i/>
          <w:iCs/>
          <w:szCs w:val="24"/>
        </w:rPr>
        <w:t>7</w:t>
      </w:r>
      <w:r w:rsidRPr="00E67A4C">
        <w:rPr>
          <w:rFonts w:ascii="Times" w:hAnsi="Times" w:cs="Times"/>
          <w:szCs w:val="24"/>
        </w:rPr>
        <w:t>(1), pp.15-26.</w:t>
      </w:r>
    </w:p>
    <w:p w14:paraId="56046B1E" w14:textId="77777777" w:rsidR="00E67A4C" w:rsidRPr="00E67A4C" w:rsidRDefault="00E67A4C" w:rsidP="00E67A4C">
      <w:pPr>
        <w:ind w:left="360"/>
        <w:rPr>
          <w:rFonts w:ascii="Times" w:hAnsi="Times" w:cs="Times"/>
          <w:szCs w:val="24"/>
        </w:rPr>
      </w:pPr>
      <w:r w:rsidRPr="00E67A4C">
        <w:rPr>
          <w:rFonts w:ascii="Times" w:hAnsi="Times" w:cs="Times"/>
          <w:szCs w:val="24"/>
        </w:rPr>
        <w:t>Song, J., 2022, March. Quantitative Analysis of Tesla Inc. in the Context of the Covid-19. In </w:t>
      </w:r>
      <w:r w:rsidRPr="00E67A4C">
        <w:rPr>
          <w:rFonts w:ascii="Times" w:hAnsi="Times" w:cs="Times"/>
          <w:i/>
          <w:iCs/>
          <w:szCs w:val="24"/>
        </w:rPr>
        <w:t>2022 7th International Conference on Financial Innovation and Economic Development (ICFIED 2022)</w:t>
      </w:r>
      <w:r w:rsidRPr="00E67A4C">
        <w:rPr>
          <w:rFonts w:ascii="Times" w:hAnsi="Times" w:cs="Times"/>
          <w:szCs w:val="24"/>
        </w:rPr>
        <w:t> (pp. 662-666). Atlantis Press.</w:t>
      </w:r>
    </w:p>
    <w:p w14:paraId="028E4D79" w14:textId="77777777" w:rsidR="00E67A4C" w:rsidRPr="00E67A4C" w:rsidRDefault="00E67A4C" w:rsidP="00E67A4C">
      <w:pPr>
        <w:ind w:left="360"/>
        <w:rPr>
          <w:rFonts w:ascii="Times" w:hAnsi="Times" w:cs="Times"/>
          <w:szCs w:val="24"/>
        </w:rPr>
      </w:pPr>
      <w:r w:rsidRPr="00E67A4C">
        <w:rPr>
          <w:rFonts w:ascii="Times" w:hAnsi="Times" w:cs="Times"/>
          <w:szCs w:val="24"/>
        </w:rPr>
        <w:t xml:space="preserve">Stanić, M., Cita, M. and Šulentić, M.S., 2023. THE THE INFLUENCE OF WORKING CAPITAL MANAGEMENT ON THE PROFITABILITY OF MANUFACTURING </w:t>
      </w:r>
      <w:r w:rsidRPr="00E67A4C">
        <w:rPr>
          <w:rFonts w:ascii="Times" w:hAnsi="Times" w:cs="Times"/>
          <w:szCs w:val="24"/>
        </w:rPr>
        <w:lastRenderedPageBreak/>
        <w:t>ENTERPRISES-THE CASE OF CROATIA. </w:t>
      </w:r>
      <w:r w:rsidRPr="00E67A4C">
        <w:rPr>
          <w:rFonts w:ascii="Times" w:hAnsi="Times" w:cs="Times"/>
          <w:i/>
          <w:iCs/>
          <w:szCs w:val="24"/>
        </w:rPr>
        <w:t>The South East European Journal of Economics and Business</w:t>
      </w:r>
      <w:r w:rsidRPr="00E67A4C">
        <w:rPr>
          <w:rFonts w:ascii="Times" w:hAnsi="Times" w:cs="Times"/>
          <w:szCs w:val="24"/>
        </w:rPr>
        <w:t>, </w:t>
      </w:r>
      <w:r w:rsidRPr="00E67A4C">
        <w:rPr>
          <w:rFonts w:ascii="Times" w:hAnsi="Times" w:cs="Times"/>
          <w:i/>
          <w:iCs/>
          <w:szCs w:val="24"/>
        </w:rPr>
        <w:t>18</w:t>
      </w:r>
      <w:r w:rsidRPr="00E67A4C">
        <w:rPr>
          <w:rFonts w:ascii="Times" w:hAnsi="Times" w:cs="Times"/>
          <w:szCs w:val="24"/>
        </w:rPr>
        <w:t>(2), pp.126-139.</w:t>
      </w:r>
    </w:p>
    <w:p w14:paraId="283EB9D4"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Taiwo, S.O., 2022. PFAI™: A Predictive Financial Planning and Analysis Intelligence Framework for Transforming Enterprise Decision-Making. </w:t>
      </w:r>
      <w:r w:rsidRPr="00E67A4C">
        <w:rPr>
          <w:rFonts w:ascii="Times" w:hAnsi="Times" w:cs="Times"/>
          <w:i/>
          <w:iCs/>
          <w:szCs w:val="24"/>
        </w:rPr>
        <w:t>International Journal of Scientific Research in Science Engineering and Technology</w:t>
      </w:r>
      <w:r w:rsidRPr="00E67A4C">
        <w:rPr>
          <w:rFonts w:ascii="Times" w:hAnsi="Times" w:cs="Times"/>
          <w:szCs w:val="24"/>
        </w:rPr>
        <w:t>, </w:t>
      </w:r>
      <w:r w:rsidRPr="00E67A4C">
        <w:rPr>
          <w:rFonts w:ascii="Times" w:hAnsi="Times" w:cs="Times"/>
          <w:i/>
          <w:iCs/>
          <w:szCs w:val="24"/>
        </w:rPr>
        <w:t>10</w:t>
      </w:r>
      <w:r w:rsidRPr="00E67A4C">
        <w:rPr>
          <w:rFonts w:ascii="Times" w:hAnsi="Times" w:cs="Times"/>
          <w:szCs w:val="24"/>
        </w:rPr>
        <w:t>.</w:t>
      </w:r>
    </w:p>
    <w:p w14:paraId="096BCD91" w14:textId="77777777" w:rsidR="00E67A4C" w:rsidRPr="00E67A4C" w:rsidRDefault="00E67A4C" w:rsidP="00E67A4C">
      <w:pPr>
        <w:ind w:left="360"/>
        <w:rPr>
          <w:rFonts w:ascii="Times" w:hAnsi="Times" w:cs="Times"/>
          <w:szCs w:val="24"/>
        </w:rPr>
      </w:pPr>
      <w:r w:rsidRPr="00E67A4C">
        <w:rPr>
          <w:rFonts w:ascii="Times" w:hAnsi="Times" w:cs="Times"/>
          <w:szCs w:val="24"/>
        </w:rPr>
        <w:t>Vuković, B., Peštović, K., Mirović, V., Jakšić, D. and Milutinović, S., 2022. The analysis of company growth determinants based on financial statements of the European companies. </w:t>
      </w:r>
      <w:r w:rsidRPr="00E67A4C">
        <w:rPr>
          <w:rFonts w:ascii="Times" w:hAnsi="Times" w:cs="Times"/>
          <w:i/>
          <w:iCs/>
          <w:szCs w:val="24"/>
        </w:rPr>
        <w:t>Sustainability</w:t>
      </w:r>
      <w:r w:rsidRPr="00E67A4C">
        <w:rPr>
          <w:rFonts w:ascii="Times" w:hAnsi="Times" w:cs="Times"/>
          <w:szCs w:val="24"/>
        </w:rPr>
        <w:t>, </w:t>
      </w:r>
      <w:r w:rsidRPr="00E67A4C">
        <w:rPr>
          <w:rFonts w:ascii="Times" w:hAnsi="Times" w:cs="Times"/>
          <w:i/>
          <w:iCs/>
          <w:szCs w:val="24"/>
        </w:rPr>
        <w:t>14</w:t>
      </w:r>
      <w:r w:rsidRPr="00E67A4C">
        <w:rPr>
          <w:rFonts w:ascii="Times" w:hAnsi="Times" w:cs="Times"/>
          <w:szCs w:val="24"/>
        </w:rPr>
        <w:t>(2), p.770.</w:t>
      </w:r>
    </w:p>
    <w:p w14:paraId="07B9EC1A" w14:textId="77777777" w:rsidR="00E67A4C" w:rsidRPr="00E67A4C" w:rsidRDefault="00E67A4C" w:rsidP="00E67A4C">
      <w:pPr>
        <w:ind w:left="360"/>
        <w:rPr>
          <w:rFonts w:ascii="Times" w:hAnsi="Times" w:cs="Times"/>
          <w:szCs w:val="24"/>
        </w:rPr>
      </w:pPr>
      <w:r w:rsidRPr="00E67A4C">
        <w:rPr>
          <w:rFonts w:ascii="Times" w:hAnsi="Times" w:cs="Times"/>
          <w:szCs w:val="24"/>
        </w:rPr>
        <w:t>Wang, A. and Yu, H., 2022. The construction and empirical analysis of the company’s financial early warning model based on data mining algorithms. </w:t>
      </w:r>
      <w:r w:rsidRPr="00E67A4C">
        <w:rPr>
          <w:rFonts w:ascii="Times" w:hAnsi="Times" w:cs="Times"/>
          <w:i/>
          <w:iCs/>
          <w:szCs w:val="24"/>
        </w:rPr>
        <w:t>Journal of Mathematics</w:t>
      </w:r>
      <w:r w:rsidRPr="00E67A4C">
        <w:rPr>
          <w:rFonts w:ascii="Times" w:hAnsi="Times" w:cs="Times"/>
          <w:szCs w:val="24"/>
        </w:rPr>
        <w:t>, </w:t>
      </w:r>
      <w:r w:rsidRPr="00E67A4C">
        <w:rPr>
          <w:rFonts w:ascii="Times" w:hAnsi="Times" w:cs="Times"/>
          <w:i/>
          <w:iCs/>
          <w:szCs w:val="24"/>
        </w:rPr>
        <w:t>2022</w:t>
      </w:r>
      <w:r w:rsidRPr="00E67A4C">
        <w:rPr>
          <w:rFonts w:ascii="Times" w:hAnsi="Times" w:cs="Times"/>
          <w:szCs w:val="24"/>
        </w:rPr>
        <w:t>(1), p.3808895.</w:t>
      </w:r>
    </w:p>
    <w:p w14:paraId="02A34C4F" w14:textId="77777777" w:rsidR="00E67A4C" w:rsidRPr="00E67A4C" w:rsidRDefault="00E67A4C" w:rsidP="00E67A4C">
      <w:pPr>
        <w:ind w:left="360"/>
        <w:rPr>
          <w:rFonts w:ascii="Times" w:hAnsi="Times" w:cs="Times"/>
          <w:szCs w:val="24"/>
        </w:rPr>
      </w:pPr>
      <w:r w:rsidRPr="00E67A4C">
        <w:rPr>
          <w:rFonts w:ascii="Times" w:hAnsi="Times" w:cs="Times"/>
          <w:szCs w:val="24"/>
        </w:rPr>
        <w:t>Wang, X., 2023, August. Financial Analysis and Strategic Forecast of Tesla, Inc. In </w:t>
      </w:r>
      <w:r w:rsidRPr="00E67A4C">
        <w:rPr>
          <w:rFonts w:ascii="Times" w:hAnsi="Times" w:cs="Times"/>
          <w:i/>
          <w:iCs/>
          <w:szCs w:val="24"/>
        </w:rPr>
        <w:t>International Conference on Economic Management and Green Development</w:t>
      </w:r>
      <w:r w:rsidRPr="00E67A4C">
        <w:rPr>
          <w:rFonts w:ascii="Times" w:hAnsi="Times" w:cs="Times"/>
          <w:szCs w:val="24"/>
        </w:rPr>
        <w:t> (pp. 1831-1841). Singapore: Springer Nature Singapore.</w:t>
      </w:r>
    </w:p>
    <w:p w14:paraId="4DB32247" w14:textId="77777777" w:rsidR="00E67A4C" w:rsidRPr="00E67A4C" w:rsidRDefault="00E67A4C" w:rsidP="00E67A4C">
      <w:pPr>
        <w:ind w:left="360"/>
        <w:rPr>
          <w:rFonts w:ascii="Times" w:hAnsi="Times" w:cs="Times"/>
          <w:szCs w:val="24"/>
        </w:rPr>
      </w:pPr>
      <w:r w:rsidRPr="00E67A4C">
        <w:rPr>
          <w:rFonts w:ascii="Times" w:hAnsi="Times" w:cs="Times"/>
          <w:szCs w:val="24"/>
        </w:rPr>
        <w:t>Xiuguo, W. and Shengyong, D., 2022. An analysis on financial statement fraud detection for Chinese listed companies using deep learning. </w:t>
      </w:r>
      <w:r w:rsidRPr="00E67A4C">
        <w:rPr>
          <w:rFonts w:ascii="Times" w:hAnsi="Times" w:cs="Times"/>
          <w:i/>
          <w:iCs/>
          <w:szCs w:val="24"/>
        </w:rPr>
        <w:t>Ieee Access</w:t>
      </w:r>
      <w:r w:rsidRPr="00E67A4C">
        <w:rPr>
          <w:rFonts w:ascii="Times" w:hAnsi="Times" w:cs="Times"/>
          <w:szCs w:val="24"/>
        </w:rPr>
        <w:t>, </w:t>
      </w:r>
      <w:r w:rsidRPr="00E67A4C">
        <w:rPr>
          <w:rFonts w:ascii="Times" w:hAnsi="Times" w:cs="Times"/>
          <w:i/>
          <w:iCs/>
          <w:szCs w:val="24"/>
        </w:rPr>
        <w:t>10</w:t>
      </w:r>
      <w:r w:rsidRPr="00E67A4C">
        <w:rPr>
          <w:rFonts w:ascii="Times" w:hAnsi="Times" w:cs="Times"/>
          <w:szCs w:val="24"/>
        </w:rPr>
        <w:t>, pp.22516-22532.</w:t>
      </w:r>
    </w:p>
    <w:p w14:paraId="6C36E4BF" w14:textId="77777777" w:rsidR="00E67A4C" w:rsidRPr="00E67A4C" w:rsidRDefault="00E67A4C" w:rsidP="00E67A4C">
      <w:pPr>
        <w:spacing w:line="360" w:lineRule="auto"/>
        <w:ind w:left="360"/>
        <w:rPr>
          <w:rFonts w:ascii="Times" w:hAnsi="Times" w:cs="Times"/>
          <w:szCs w:val="24"/>
        </w:rPr>
      </w:pPr>
      <w:r w:rsidRPr="00E67A4C">
        <w:rPr>
          <w:rFonts w:ascii="Times" w:hAnsi="Times" w:cs="Times"/>
          <w:szCs w:val="24"/>
        </w:rPr>
        <w:t>Zaramella, G., 2023. Financial Restructuring: analysis and applications.</w:t>
      </w:r>
    </w:p>
    <w:p w14:paraId="10F253E6" w14:textId="77777777" w:rsidR="00E67A4C" w:rsidRPr="00E67A4C" w:rsidRDefault="00E67A4C" w:rsidP="00E67A4C">
      <w:pPr>
        <w:ind w:left="360"/>
        <w:rPr>
          <w:rFonts w:ascii="Times" w:hAnsi="Times" w:cs="Times"/>
          <w:szCs w:val="24"/>
        </w:rPr>
      </w:pPr>
      <w:r w:rsidRPr="00E67A4C">
        <w:rPr>
          <w:rFonts w:ascii="Times" w:hAnsi="Times" w:cs="Times"/>
          <w:szCs w:val="24"/>
        </w:rPr>
        <w:t>Zheng, X., Zhou, Y. and Iqbal, S., 2022. Working capital management of SMEs in COVID-19: role of managerial personality traits and overconfidence behavior. </w:t>
      </w:r>
      <w:r w:rsidRPr="00E67A4C">
        <w:rPr>
          <w:rFonts w:ascii="Times" w:hAnsi="Times" w:cs="Times"/>
          <w:i/>
          <w:iCs/>
          <w:szCs w:val="24"/>
        </w:rPr>
        <w:t>Economic Analysis and Policy</w:t>
      </w:r>
      <w:r w:rsidRPr="00E67A4C">
        <w:rPr>
          <w:rFonts w:ascii="Times" w:hAnsi="Times" w:cs="Times"/>
          <w:szCs w:val="24"/>
        </w:rPr>
        <w:t>, </w:t>
      </w:r>
      <w:r w:rsidRPr="00E67A4C">
        <w:rPr>
          <w:rFonts w:ascii="Times" w:hAnsi="Times" w:cs="Times"/>
          <w:i/>
          <w:iCs/>
          <w:szCs w:val="24"/>
        </w:rPr>
        <w:t>76</w:t>
      </w:r>
      <w:r w:rsidRPr="00E67A4C">
        <w:rPr>
          <w:rFonts w:ascii="Times" w:hAnsi="Times" w:cs="Times"/>
          <w:szCs w:val="24"/>
        </w:rPr>
        <w:t>, pp.439-451.</w:t>
      </w:r>
    </w:p>
    <w:p w14:paraId="6BC08F98" w14:textId="77777777" w:rsidR="00F36048" w:rsidRPr="00D34F86" w:rsidRDefault="00F36048" w:rsidP="00FA5C1C">
      <w:pPr>
        <w:spacing w:line="360" w:lineRule="auto"/>
        <w:rPr>
          <w:rFonts w:ascii="Times" w:hAnsi="Times" w:cs="Times"/>
          <w:szCs w:val="24"/>
        </w:rPr>
      </w:pPr>
    </w:p>
    <w:p w14:paraId="117C54F9" w14:textId="77777777" w:rsidR="00FA5C1C" w:rsidRPr="00280E65" w:rsidRDefault="00FA5C1C" w:rsidP="00B73C66">
      <w:pPr>
        <w:rPr>
          <w:rFonts w:ascii="Times" w:hAnsi="Times" w:cs="Times"/>
          <w:szCs w:val="24"/>
        </w:rPr>
      </w:pPr>
    </w:p>
    <w:p w14:paraId="5FBDC740" w14:textId="77777777" w:rsidR="00E5376B" w:rsidRPr="00E5376B" w:rsidRDefault="00E5376B" w:rsidP="00E5376B"/>
    <w:p w14:paraId="0E91C66F" w14:textId="77777777" w:rsidR="00E26F0F" w:rsidRPr="00E5376B" w:rsidRDefault="00732348" w:rsidP="00E5376B">
      <w:pPr>
        <w:pStyle w:val="Heading2"/>
        <w:spacing w:line="360" w:lineRule="auto"/>
        <w:rPr>
          <w:rFonts w:ascii="Times" w:hAnsi="Times" w:cs="Arial"/>
          <w:sz w:val="24"/>
          <w:szCs w:val="24"/>
        </w:rPr>
      </w:pPr>
      <w:bookmarkStart w:id="20" w:name="_Toc224784055"/>
      <w:r w:rsidRPr="00E5376B">
        <w:rPr>
          <w:rFonts w:ascii="Times" w:hAnsi="Times" w:cs="Arial"/>
          <w:sz w:val="24"/>
          <w:szCs w:val="24"/>
        </w:rPr>
        <w:lastRenderedPageBreak/>
        <w:t>Appendices</w:t>
      </w:r>
      <w:bookmarkEnd w:id="20"/>
    </w:p>
    <w:tbl>
      <w:tblPr>
        <w:tblW w:w="11320" w:type="dxa"/>
        <w:jc w:val="center"/>
        <w:tblLook w:val="04A0" w:firstRow="1" w:lastRow="0" w:firstColumn="1" w:lastColumn="0" w:noHBand="0" w:noVBand="1"/>
      </w:tblPr>
      <w:tblGrid>
        <w:gridCol w:w="1660"/>
        <w:gridCol w:w="2200"/>
        <w:gridCol w:w="1416"/>
        <w:gridCol w:w="1396"/>
        <w:gridCol w:w="1596"/>
        <w:gridCol w:w="1596"/>
        <w:gridCol w:w="1456"/>
      </w:tblGrid>
      <w:tr w:rsidR="00D30489" w14:paraId="5D7856FD" w14:textId="77777777" w:rsidTr="00525D02">
        <w:trPr>
          <w:trHeight w:val="645"/>
          <w:jc w:val="center"/>
        </w:trPr>
        <w:tc>
          <w:tcPr>
            <w:tcW w:w="1660" w:type="dxa"/>
            <w:tcBorders>
              <w:top w:val="single" w:sz="8" w:space="0" w:color="auto"/>
              <w:left w:val="single" w:sz="8" w:space="0" w:color="auto"/>
              <w:bottom w:val="single" w:sz="8" w:space="0" w:color="auto"/>
              <w:right w:val="single" w:sz="8" w:space="0" w:color="auto"/>
            </w:tcBorders>
            <w:vAlign w:val="bottom"/>
            <w:hideMark/>
          </w:tcPr>
          <w:p w14:paraId="09763E2F" w14:textId="77777777" w:rsidR="00525D02" w:rsidRPr="00525D02" w:rsidRDefault="00732348" w:rsidP="00525D02">
            <w:pPr>
              <w:spacing w:after="0" w:line="240" w:lineRule="auto"/>
              <w:jc w:val="center"/>
              <w:rPr>
                <w:rFonts w:ascii="Arial" w:eastAsia="Times New Roman" w:hAnsi="Arial" w:cs="Arial"/>
                <w:b/>
                <w:bCs/>
                <w:color w:val="000000"/>
                <w:szCs w:val="24"/>
                <w:lang w:val="" w:eastAsia=""/>
              </w:rPr>
            </w:pPr>
            <w:r w:rsidRPr="00525D02">
              <w:rPr>
                <w:rFonts w:ascii="Arial" w:eastAsia="Times New Roman" w:hAnsi="Arial" w:cs="Arial"/>
                <w:b/>
                <w:bCs/>
                <w:color w:val="000000"/>
                <w:szCs w:val="24"/>
                <w:lang w:val="" w:eastAsia=""/>
              </w:rPr>
              <w:t>Profitability Ratios</w:t>
            </w:r>
          </w:p>
        </w:tc>
        <w:tc>
          <w:tcPr>
            <w:tcW w:w="2200" w:type="dxa"/>
            <w:tcBorders>
              <w:top w:val="single" w:sz="8" w:space="0" w:color="auto"/>
              <w:left w:val="nil"/>
              <w:bottom w:val="single" w:sz="8" w:space="0" w:color="auto"/>
              <w:right w:val="single" w:sz="8" w:space="0" w:color="auto"/>
            </w:tcBorders>
            <w:vAlign w:val="bottom"/>
            <w:hideMark/>
          </w:tcPr>
          <w:p w14:paraId="183C4AD9" w14:textId="77777777" w:rsidR="00525D02" w:rsidRPr="00525D02" w:rsidRDefault="00732348" w:rsidP="00525D02">
            <w:pPr>
              <w:spacing w:after="0" w:line="240" w:lineRule="auto"/>
              <w:jc w:val="center"/>
              <w:rPr>
                <w:rFonts w:ascii="Arial" w:eastAsia="Times New Roman" w:hAnsi="Arial" w:cs="Arial"/>
                <w:b/>
                <w:bCs/>
                <w:color w:val="000000"/>
                <w:szCs w:val="24"/>
                <w:lang w:val="" w:eastAsia=""/>
              </w:rPr>
            </w:pPr>
            <w:r w:rsidRPr="00525D02">
              <w:rPr>
                <w:rFonts w:ascii="Arial" w:eastAsia="Times New Roman" w:hAnsi="Arial" w:cs="Arial"/>
                <w:b/>
                <w:bCs/>
                <w:color w:val="000000"/>
                <w:szCs w:val="24"/>
                <w:lang w:val="" w:eastAsia=""/>
              </w:rPr>
              <w:t>Formula</w:t>
            </w:r>
          </w:p>
        </w:tc>
        <w:tc>
          <w:tcPr>
            <w:tcW w:w="1416" w:type="dxa"/>
            <w:tcBorders>
              <w:top w:val="single" w:sz="8" w:space="0" w:color="auto"/>
              <w:left w:val="nil"/>
              <w:bottom w:val="single" w:sz="8" w:space="0" w:color="auto"/>
              <w:right w:val="single" w:sz="8" w:space="0" w:color="auto"/>
            </w:tcBorders>
            <w:vAlign w:val="bottom"/>
            <w:hideMark/>
          </w:tcPr>
          <w:p w14:paraId="5C101C08" w14:textId="77777777" w:rsidR="00525D02" w:rsidRPr="00525D02" w:rsidRDefault="00732348" w:rsidP="00525D02">
            <w:pPr>
              <w:spacing w:after="0" w:line="240" w:lineRule="auto"/>
              <w:jc w:val="center"/>
              <w:rPr>
                <w:rFonts w:ascii="Arial" w:eastAsia="Times New Roman" w:hAnsi="Arial" w:cs="Arial"/>
                <w:b/>
                <w:bCs/>
                <w:color w:val="000000"/>
                <w:szCs w:val="24"/>
                <w:lang w:val="" w:eastAsia=""/>
              </w:rPr>
            </w:pPr>
            <w:r w:rsidRPr="00525D02">
              <w:rPr>
                <w:rFonts w:ascii="Arial" w:eastAsia="Times New Roman" w:hAnsi="Arial" w:cs="Arial"/>
                <w:b/>
                <w:bCs/>
                <w:color w:val="000000"/>
                <w:szCs w:val="24"/>
                <w:lang w:val="" w:eastAsia=""/>
              </w:rPr>
              <w:t>2025</w:t>
            </w:r>
          </w:p>
        </w:tc>
        <w:tc>
          <w:tcPr>
            <w:tcW w:w="1396" w:type="dxa"/>
            <w:tcBorders>
              <w:top w:val="single" w:sz="8" w:space="0" w:color="auto"/>
              <w:left w:val="nil"/>
              <w:bottom w:val="single" w:sz="8" w:space="0" w:color="auto"/>
              <w:right w:val="single" w:sz="8" w:space="0" w:color="auto"/>
            </w:tcBorders>
            <w:vAlign w:val="bottom"/>
            <w:hideMark/>
          </w:tcPr>
          <w:p w14:paraId="71103765" w14:textId="77777777" w:rsidR="00525D02" w:rsidRPr="00525D02" w:rsidRDefault="00732348" w:rsidP="00525D02">
            <w:pPr>
              <w:spacing w:after="0" w:line="240" w:lineRule="auto"/>
              <w:jc w:val="center"/>
              <w:rPr>
                <w:rFonts w:ascii="Arial" w:eastAsia="Times New Roman" w:hAnsi="Arial" w:cs="Arial"/>
                <w:b/>
                <w:bCs/>
                <w:color w:val="000000"/>
                <w:szCs w:val="24"/>
                <w:lang w:val="" w:eastAsia=""/>
              </w:rPr>
            </w:pPr>
            <w:r w:rsidRPr="00525D02">
              <w:rPr>
                <w:rFonts w:ascii="Arial" w:eastAsia="Times New Roman" w:hAnsi="Arial" w:cs="Arial"/>
                <w:b/>
                <w:bCs/>
                <w:color w:val="000000"/>
                <w:szCs w:val="24"/>
                <w:lang w:val="" w:eastAsia=""/>
              </w:rPr>
              <w:t>2024</w:t>
            </w:r>
          </w:p>
        </w:tc>
        <w:tc>
          <w:tcPr>
            <w:tcW w:w="1596" w:type="dxa"/>
            <w:tcBorders>
              <w:top w:val="single" w:sz="8" w:space="0" w:color="auto"/>
              <w:left w:val="nil"/>
              <w:bottom w:val="single" w:sz="8" w:space="0" w:color="auto"/>
              <w:right w:val="single" w:sz="8" w:space="0" w:color="auto"/>
            </w:tcBorders>
            <w:vAlign w:val="bottom"/>
            <w:hideMark/>
          </w:tcPr>
          <w:p w14:paraId="162A0B64" w14:textId="77777777" w:rsidR="00525D02" w:rsidRPr="00525D02" w:rsidRDefault="00732348" w:rsidP="00525D02">
            <w:pPr>
              <w:spacing w:after="0" w:line="240" w:lineRule="auto"/>
              <w:jc w:val="center"/>
              <w:rPr>
                <w:rFonts w:ascii="Arial" w:eastAsia="Times New Roman" w:hAnsi="Arial" w:cs="Arial"/>
                <w:b/>
                <w:bCs/>
                <w:color w:val="000000"/>
                <w:szCs w:val="24"/>
                <w:lang w:val="" w:eastAsia=""/>
              </w:rPr>
            </w:pPr>
            <w:r w:rsidRPr="00525D02">
              <w:rPr>
                <w:rFonts w:ascii="Arial" w:eastAsia="Times New Roman" w:hAnsi="Arial" w:cs="Arial"/>
                <w:b/>
                <w:bCs/>
                <w:color w:val="000000"/>
                <w:szCs w:val="24"/>
                <w:lang w:val="" w:eastAsia=""/>
              </w:rPr>
              <w:t>2023</w:t>
            </w:r>
          </w:p>
        </w:tc>
        <w:tc>
          <w:tcPr>
            <w:tcW w:w="1596" w:type="dxa"/>
            <w:tcBorders>
              <w:top w:val="single" w:sz="8" w:space="0" w:color="auto"/>
              <w:left w:val="nil"/>
              <w:bottom w:val="single" w:sz="8" w:space="0" w:color="auto"/>
              <w:right w:val="single" w:sz="8" w:space="0" w:color="auto"/>
            </w:tcBorders>
            <w:noWrap/>
            <w:vAlign w:val="bottom"/>
            <w:hideMark/>
          </w:tcPr>
          <w:p w14:paraId="6603ABCE" w14:textId="77777777" w:rsidR="00525D02" w:rsidRPr="00525D02" w:rsidRDefault="00732348" w:rsidP="00525D02">
            <w:pPr>
              <w:spacing w:after="0" w:line="240" w:lineRule="auto"/>
              <w:jc w:val="center"/>
              <w:rPr>
                <w:rFonts w:ascii="Arial" w:eastAsia="Times New Roman" w:hAnsi="Arial" w:cs="Arial"/>
                <w:b/>
                <w:bCs/>
                <w:color w:val="000000"/>
                <w:szCs w:val="24"/>
                <w:lang w:val="" w:eastAsia=""/>
              </w:rPr>
            </w:pPr>
            <w:r w:rsidRPr="00525D02">
              <w:rPr>
                <w:rFonts w:ascii="Arial" w:eastAsia="Times New Roman" w:hAnsi="Arial" w:cs="Arial"/>
                <w:b/>
                <w:bCs/>
                <w:color w:val="000000"/>
                <w:szCs w:val="24"/>
                <w:lang w:val="" w:eastAsia=""/>
              </w:rPr>
              <w:t>2022</w:t>
            </w:r>
          </w:p>
        </w:tc>
        <w:tc>
          <w:tcPr>
            <w:tcW w:w="1456" w:type="dxa"/>
            <w:tcBorders>
              <w:top w:val="single" w:sz="8" w:space="0" w:color="auto"/>
              <w:left w:val="nil"/>
              <w:bottom w:val="single" w:sz="8" w:space="0" w:color="auto"/>
              <w:right w:val="single" w:sz="8" w:space="0" w:color="auto"/>
            </w:tcBorders>
            <w:noWrap/>
            <w:vAlign w:val="bottom"/>
            <w:hideMark/>
          </w:tcPr>
          <w:p w14:paraId="35E2EBAF" w14:textId="77777777" w:rsidR="00525D02" w:rsidRPr="00525D02" w:rsidRDefault="00732348" w:rsidP="00525D02">
            <w:pPr>
              <w:spacing w:after="0" w:line="240" w:lineRule="auto"/>
              <w:jc w:val="center"/>
              <w:rPr>
                <w:rFonts w:ascii="Arial" w:eastAsia="Times New Roman" w:hAnsi="Arial" w:cs="Arial"/>
                <w:b/>
                <w:bCs/>
                <w:color w:val="000000"/>
                <w:szCs w:val="24"/>
                <w:lang w:val="" w:eastAsia=""/>
              </w:rPr>
            </w:pPr>
            <w:r w:rsidRPr="00525D02">
              <w:rPr>
                <w:rFonts w:ascii="Arial" w:eastAsia="Times New Roman" w:hAnsi="Arial" w:cs="Arial"/>
                <w:b/>
                <w:bCs/>
                <w:color w:val="000000"/>
                <w:szCs w:val="24"/>
                <w:lang w:val="" w:eastAsia=""/>
              </w:rPr>
              <w:t>2021</w:t>
            </w:r>
          </w:p>
        </w:tc>
      </w:tr>
      <w:tr w:rsidR="00D30489" w14:paraId="6E67993A" w14:textId="77777777" w:rsidTr="00525D02">
        <w:trPr>
          <w:trHeight w:val="900"/>
          <w:jc w:val="center"/>
        </w:trPr>
        <w:tc>
          <w:tcPr>
            <w:tcW w:w="1660" w:type="dxa"/>
            <w:tcBorders>
              <w:top w:val="nil"/>
              <w:left w:val="single" w:sz="4" w:space="0" w:color="auto"/>
              <w:bottom w:val="single" w:sz="4" w:space="0" w:color="auto"/>
              <w:right w:val="single" w:sz="4" w:space="0" w:color="auto"/>
            </w:tcBorders>
            <w:vAlign w:val="center"/>
            <w:hideMark/>
          </w:tcPr>
          <w:p w14:paraId="6CAE0D83"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Net Profit Margin</w:t>
            </w:r>
          </w:p>
        </w:tc>
        <w:tc>
          <w:tcPr>
            <w:tcW w:w="2200" w:type="dxa"/>
            <w:tcBorders>
              <w:top w:val="nil"/>
              <w:left w:val="nil"/>
              <w:bottom w:val="single" w:sz="4" w:space="0" w:color="auto"/>
              <w:right w:val="single" w:sz="4" w:space="0" w:color="auto"/>
            </w:tcBorders>
            <w:vAlign w:val="center"/>
            <w:hideMark/>
          </w:tcPr>
          <w:p w14:paraId="6C49401E"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Net profit / Revenue </w:t>
            </w:r>
          </w:p>
        </w:tc>
        <w:tc>
          <w:tcPr>
            <w:tcW w:w="1416" w:type="dxa"/>
            <w:tcBorders>
              <w:top w:val="nil"/>
              <w:left w:val="nil"/>
              <w:bottom w:val="single" w:sz="4" w:space="0" w:color="auto"/>
              <w:right w:val="single" w:sz="4" w:space="0" w:color="auto"/>
            </w:tcBorders>
            <w:vAlign w:val="bottom"/>
            <w:hideMark/>
          </w:tcPr>
          <w:p w14:paraId="512D9D88"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3855 / 94827 = 4.1%</w:t>
            </w:r>
          </w:p>
        </w:tc>
        <w:tc>
          <w:tcPr>
            <w:tcW w:w="1396" w:type="dxa"/>
            <w:tcBorders>
              <w:top w:val="nil"/>
              <w:left w:val="nil"/>
              <w:bottom w:val="single" w:sz="4" w:space="0" w:color="auto"/>
              <w:right w:val="single" w:sz="4" w:space="0" w:color="auto"/>
            </w:tcBorders>
            <w:vAlign w:val="bottom"/>
            <w:hideMark/>
          </w:tcPr>
          <w:p w14:paraId="5E015421"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7153 / 97690 = 7.3%</w:t>
            </w:r>
          </w:p>
        </w:tc>
        <w:tc>
          <w:tcPr>
            <w:tcW w:w="1596" w:type="dxa"/>
            <w:tcBorders>
              <w:top w:val="nil"/>
              <w:left w:val="nil"/>
              <w:bottom w:val="single" w:sz="4" w:space="0" w:color="auto"/>
              <w:right w:val="single" w:sz="4" w:space="0" w:color="auto"/>
            </w:tcBorders>
            <w:vAlign w:val="bottom"/>
            <w:hideMark/>
          </w:tcPr>
          <w:p w14:paraId="74055B23"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14974 / 96773 = 15.47% </w:t>
            </w:r>
          </w:p>
        </w:tc>
        <w:tc>
          <w:tcPr>
            <w:tcW w:w="1596" w:type="dxa"/>
            <w:tcBorders>
              <w:top w:val="nil"/>
              <w:left w:val="nil"/>
              <w:bottom w:val="single" w:sz="4" w:space="0" w:color="auto"/>
              <w:right w:val="single" w:sz="4" w:space="0" w:color="auto"/>
            </w:tcBorders>
            <w:vAlign w:val="bottom"/>
            <w:hideMark/>
          </w:tcPr>
          <w:p w14:paraId="0C86562A"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12587 / 81462 = 15.45% </w:t>
            </w:r>
          </w:p>
        </w:tc>
        <w:tc>
          <w:tcPr>
            <w:tcW w:w="1456" w:type="dxa"/>
            <w:tcBorders>
              <w:top w:val="nil"/>
              <w:left w:val="nil"/>
              <w:bottom w:val="single" w:sz="4" w:space="0" w:color="auto"/>
              <w:right w:val="single" w:sz="4" w:space="0" w:color="auto"/>
            </w:tcBorders>
            <w:vAlign w:val="bottom"/>
            <w:hideMark/>
          </w:tcPr>
          <w:p w14:paraId="18A433E5"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5644 / 53823 = 10.5% </w:t>
            </w:r>
          </w:p>
        </w:tc>
      </w:tr>
      <w:tr w:rsidR="00D30489" w14:paraId="4079CB44" w14:textId="77777777" w:rsidTr="00525D02">
        <w:trPr>
          <w:trHeight w:val="900"/>
          <w:jc w:val="center"/>
        </w:trPr>
        <w:tc>
          <w:tcPr>
            <w:tcW w:w="1660" w:type="dxa"/>
            <w:tcBorders>
              <w:top w:val="nil"/>
              <w:left w:val="single" w:sz="4" w:space="0" w:color="auto"/>
              <w:bottom w:val="single" w:sz="4" w:space="0" w:color="auto"/>
              <w:right w:val="single" w:sz="4" w:space="0" w:color="auto"/>
            </w:tcBorders>
            <w:vAlign w:val="center"/>
            <w:hideMark/>
          </w:tcPr>
          <w:p w14:paraId="176E3963"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Operating Profit Margin</w:t>
            </w:r>
          </w:p>
        </w:tc>
        <w:tc>
          <w:tcPr>
            <w:tcW w:w="2200" w:type="dxa"/>
            <w:tcBorders>
              <w:top w:val="nil"/>
              <w:left w:val="nil"/>
              <w:bottom w:val="single" w:sz="4" w:space="0" w:color="auto"/>
              <w:right w:val="single" w:sz="4" w:space="0" w:color="auto"/>
            </w:tcBorders>
            <w:vAlign w:val="center"/>
            <w:hideMark/>
          </w:tcPr>
          <w:p w14:paraId="7A9C536B"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Operating profit / Revenue </w:t>
            </w:r>
          </w:p>
        </w:tc>
        <w:tc>
          <w:tcPr>
            <w:tcW w:w="1416" w:type="dxa"/>
            <w:tcBorders>
              <w:top w:val="nil"/>
              <w:left w:val="nil"/>
              <w:bottom w:val="single" w:sz="4" w:space="0" w:color="auto"/>
              <w:right w:val="single" w:sz="4" w:space="0" w:color="auto"/>
            </w:tcBorders>
            <w:vAlign w:val="bottom"/>
            <w:hideMark/>
          </w:tcPr>
          <w:p w14:paraId="5A392283"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4355 / 94827 = 4.6%</w:t>
            </w:r>
          </w:p>
        </w:tc>
        <w:tc>
          <w:tcPr>
            <w:tcW w:w="1396" w:type="dxa"/>
            <w:tcBorders>
              <w:top w:val="nil"/>
              <w:left w:val="nil"/>
              <w:bottom w:val="single" w:sz="4" w:space="0" w:color="auto"/>
              <w:right w:val="single" w:sz="4" w:space="0" w:color="auto"/>
            </w:tcBorders>
            <w:vAlign w:val="bottom"/>
            <w:hideMark/>
          </w:tcPr>
          <w:p w14:paraId="5CEDD221"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7076 / 97690 = 7.2%</w:t>
            </w:r>
          </w:p>
        </w:tc>
        <w:tc>
          <w:tcPr>
            <w:tcW w:w="1596" w:type="dxa"/>
            <w:tcBorders>
              <w:top w:val="nil"/>
              <w:left w:val="nil"/>
              <w:bottom w:val="single" w:sz="4" w:space="0" w:color="auto"/>
              <w:right w:val="single" w:sz="4" w:space="0" w:color="auto"/>
            </w:tcBorders>
            <w:vAlign w:val="bottom"/>
            <w:hideMark/>
          </w:tcPr>
          <w:p w14:paraId="2AA33453"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8891 / 96773 = 9.2% </w:t>
            </w:r>
          </w:p>
        </w:tc>
        <w:tc>
          <w:tcPr>
            <w:tcW w:w="1596" w:type="dxa"/>
            <w:tcBorders>
              <w:top w:val="nil"/>
              <w:left w:val="nil"/>
              <w:bottom w:val="single" w:sz="4" w:space="0" w:color="auto"/>
              <w:right w:val="single" w:sz="4" w:space="0" w:color="auto"/>
            </w:tcBorders>
            <w:vAlign w:val="bottom"/>
            <w:hideMark/>
          </w:tcPr>
          <w:p w14:paraId="521B230D"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13656 / 81462 = 16.8% </w:t>
            </w:r>
          </w:p>
        </w:tc>
        <w:tc>
          <w:tcPr>
            <w:tcW w:w="1456" w:type="dxa"/>
            <w:tcBorders>
              <w:top w:val="nil"/>
              <w:left w:val="nil"/>
              <w:bottom w:val="single" w:sz="4" w:space="0" w:color="auto"/>
              <w:right w:val="single" w:sz="4" w:space="0" w:color="auto"/>
            </w:tcBorders>
            <w:vAlign w:val="bottom"/>
            <w:hideMark/>
          </w:tcPr>
          <w:p w14:paraId="761C8DD3"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6523 / 53823 = 12.1% </w:t>
            </w:r>
          </w:p>
        </w:tc>
      </w:tr>
      <w:tr w:rsidR="00D30489" w14:paraId="27082C0B" w14:textId="77777777" w:rsidTr="00525D02">
        <w:trPr>
          <w:trHeight w:val="900"/>
          <w:jc w:val="center"/>
        </w:trPr>
        <w:tc>
          <w:tcPr>
            <w:tcW w:w="1660" w:type="dxa"/>
            <w:tcBorders>
              <w:top w:val="nil"/>
              <w:left w:val="single" w:sz="4" w:space="0" w:color="auto"/>
              <w:bottom w:val="single" w:sz="4" w:space="0" w:color="auto"/>
              <w:right w:val="single" w:sz="4" w:space="0" w:color="auto"/>
            </w:tcBorders>
            <w:vAlign w:val="center"/>
            <w:hideMark/>
          </w:tcPr>
          <w:p w14:paraId="1B77D409"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ROA</w:t>
            </w:r>
          </w:p>
        </w:tc>
        <w:tc>
          <w:tcPr>
            <w:tcW w:w="2200" w:type="dxa"/>
            <w:tcBorders>
              <w:top w:val="nil"/>
              <w:left w:val="nil"/>
              <w:bottom w:val="single" w:sz="4" w:space="0" w:color="auto"/>
              <w:right w:val="single" w:sz="4" w:space="0" w:color="auto"/>
            </w:tcBorders>
            <w:vAlign w:val="center"/>
            <w:hideMark/>
          </w:tcPr>
          <w:p w14:paraId="5F0E1910"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Net profit / Total Assets</w:t>
            </w:r>
          </w:p>
        </w:tc>
        <w:tc>
          <w:tcPr>
            <w:tcW w:w="1416" w:type="dxa"/>
            <w:tcBorders>
              <w:top w:val="nil"/>
              <w:left w:val="nil"/>
              <w:bottom w:val="single" w:sz="4" w:space="0" w:color="auto"/>
              <w:right w:val="single" w:sz="4" w:space="0" w:color="auto"/>
            </w:tcBorders>
            <w:vAlign w:val="bottom"/>
            <w:hideMark/>
          </w:tcPr>
          <w:p w14:paraId="3AE452B4"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3855 / 137806 = 2.8%</w:t>
            </w:r>
          </w:p>
        </w:tc>
        <w:tc>
          <w:tcPr>
            <w:tcW w:w="1396" w:type="dxa"/>
            <w:tcBorders>
              <w:top w:val="nil"/>
              <w:left w:val="nil"/>
              <w:bottom w:val="single" w:sz="4" w:space="0" w:color="auto"/>
              <w:right w:val="single" w:sz="4" w:space="0" w:color="auto"/>
            </w:tcBorders>
            <w:vAlign w:val="bottom"/>
            <w:hideMark/>
          </w:tcPr>
          <w:p w14:paraId="64459FB3"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7153 / 122070 = 5.9%</w:t>
            </w:r>
          </w:p>
        </w:tc>
        <w:tc>
          <w:tcPr>
            <w:tcW w:w="1596" w:type="dxa"/>
            <w:tcBorders>
              <w:top w:val="nil"/>
              <w:left w:val="nil"/>
              <w:bottom w:val="single" w:sz="4" w:space="0" w:color="auto"/>
              <w:right w:val="single" w:sz="4" w:space="0" w:color="auto"/>
            </w:tcBorders>
            <w:vAlign w:val="bottom"/>
            <w:hideMark/>
          </w:tcPr>
          <w:p w14:paraId="5E0C8DD6"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14974 / 106618 = 14% </w:t>
            </w:r>
          </w:p>
        </w:tc>
        <w:tc>
          <w:tcPr>
            <w:tcW w:w="1596" w:type="dxa"/>
            <w:tcBorders>
              <w:top w:val="nil"/>
              <w:left w:val="nil"/>
              <w:bottom w:val="single" w:sz="4" w:space="0" w:color="auto"/>
              <w:right w:val="single" w:sz="4" w:space="0" w:color="auto"/>
            </w:tcBorders>
            <w:vAlign w:val="bottom"/>
            <w:hideMark/>
          </w:tcPr>
          <w:p w14:paraId="22AA3598"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12587 / 82338 = 15.3% </w:t>
            </w:r>
          </w:p>
        </w:tc>
        <w:tc>
          <w:tcPr>
            <w:tcW w:w="1456" w:type="dxa"/>
            <w:tcBorders>
              <w:top w:val="nil"/>
              <w:left w:val="nil"/>
              <w:bottom w:val="single" w:sz="4" w:space="0" w:color="auto"/>
              <w:right w:val="single" w:sz="4" w:space="0" w:color="auto"/>
            </w:tcBorders>
            <w:vAlign w:val="bottom"/>
            <w:hideMark/>
          </w:tcPr>
          <w:p w14:paraId="76D6BC71"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5644 / 62131 = 9.1% </w:t>
            </w:r>
          </w:p>
        </w:tc>
      </w:tr>
      <w:tr w:rsidR="00D30489" w14:paraId="23F22D29" w14:textId="77777777" w:rsidTr="00525D02">
        <w:trPr>
          <w:trHeight w:val="900"/>
          <w:jc w:val="center"/>
        </w:trPr>
        <w:tc>
          <w:tcPr>
            <w:tcW w:w="1660" w:type="dxa"/>
            <w:tcBorders>
              <w:top w:val="nil"/>
              <w:left w:val="single" w:sz="4" w:space="0" w:color="auto"/>
              <w:bottom w:val="single" w:sz="4" w:space="0" w:color="auto"/>
              <w:right w:val="single" w:sz="4" w:space="0" w:color="auto"/>
            </w:tcBorders>
            <w:vAlign w:val="center"/>
            <w:hideMark/>
          </w:tcPr>
          <w:p w14:paraId="7F8E7889"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RO</w:t>
            </w:r>
            <w:r w:rsidR="00A74C18">
              <w:rPr>
                <w:rFonts w:ascii="Arial" w:eastAsia="Times New Roman" w:hAnsi="Arial" w:cs="Arial"/>
                <w:color w:val="000000"/>
                <w:szCs w:val="24"/>
                <w:lang w:val="" w:eastAsia=""/>
              </w:rPr>
              <w:t>E</w:t>
            </w:r>
          </w:p>
        </w:tc>
        <w:tc>
          <w:tcPr>
            <w:tcW w:w="2200" w:type="dxa"/>
            <w:tcBorders>
              <w:top w:val="nil"/>
              <w:left w:val="nil"/>
              <w:bottom w:val="single" w:sz="4" w:space="0" w:color="auto"/>
              <w:right w:val="single" w:sz="4" w:space="0" w:color="auto"/>
            </w:tcBorders>
            <w:vAlign w:val="center"/>
            <w:hideMark/>
          </w:tcPr>
          <w:p w14:paraId="17B3181B"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Net profit / Total Equities</w:t>
            </w:r>
          </w:p>
        </w:tc>
        <w:tc>
          <w:tcPr>
            <w:tcW w:w="1416" w:type="dxa"/>
            <w:tcBorders>
              <w:top w:val="nil"/>
              <w:left w:val="nil"/>
              <w:bottom w:val="single" w:sz="4" w:space="0" w:color="auto"/>
              <w:right w:val="single" w:sz="4" w:space="0" w:color="auto"/>
            </w:tcBorders>
            <w:vAlign w:val="bottom"/>
            <w:hideMark/>
          </w:tcPr>
          <w:p w14:paraId="4CB092DC"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3855 / 82137 = 4.7%</w:t>
            </w:r>
          </w:p>
        </w:tc>
        <w:tc>
          <w:tcPr>
            <w:tcW w:w="1396" w:type="dxa"/>
            <w:tcBorders>
              <w:top w:val="nil"/>
              <w:left w:val="nil"/>
              <w:bottom w:val="single" w:sz="4" w:space="0" w:color="auto"/>
              <w:right w:val="single" w:sz="4" w:space="0" w:color="auto"/>
            </w:tcBorders>
            <w:vAlign w:val="bottom"/>
            <w:hideMark/>
          </w:tcPr>
          <w:p w14:paraId="2CFECD9A"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7153 / 72913 = 9.8%</w:t>
            </w:r>
          </w:p>
        </w:tc>
        <w:tc>
          <w:tcPr>
            <w:tcW w:w="1596" w:type="dxa"/>
            <w:tcBorders>
              <w:top w:val="nil"/>
              <w:left w:val="nil"/>
              <w:bottom w:val="single" w:sz="4" w:space="0" w:color="auto"/>
              <w:right w:val="single" w:sz="4" w:space="0" w:color="auto"/>
            </w:tcBorders>
            <w:vAlign w:val="bottom"/>
            <w:hideMark/>
          </w:tcPr>
          <w:p w14:paraId="462251F4"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14974 / 62634 = 23.9% </w:t>
            </w:r>
          </w:p>
        </w:tc>
        <w:tc>
          <w:tcPr>
            <w:tcW w:w="1596" w:type="dxa"/>
            <w:tcBorders>
              <w:top w:val="nil"/>
              <w:left w:val="nil"/>
              <w:bottom w:val="single" w:sz="4" w:space="0" w:color="auto"/>
              <w:right w:val="single" w:sz="4" w:space="0" w:color="auto"/>
            </w:tcBorders>
            <w:vAlign w:val="bottom"/>
            <w:hideMark/>
          </w:tcPr>
          <w:p w14:paraId="2DAEE2A5"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12587 / 44704 = 28.2% </w:t>
            </w:r>
          </w:p>
        </w:tc>
        <w:tc>
          <w:tcPr>
            <w:tcW w:w="1456" w:type="dxa"/>
            <w:tcBorders>
              <w:top w:val="nil"/>
              <w:left w:val="nil"/>
              <w:bottom w:val="single" w:sz="4" w:space="0" w:color="auto"/>
              <w:right w:val="single" w:sz="4" w:space="0" w:color="auto"/>
            </w:tcBorders>
            <w:vAlign w:val="bottom"/>
            <w:hideMark/>
          </w:tcPr>
          <w:p w14:paraId="2939A816" w14:textId="77777777" w:rsidR="00525D02" w:rsidRPr="00525D02" w:rsidRDefault="00732348" w:rsidP="00525D02">
            <w:pPr>
              <w:spacing w:after="0" w:line="240" w:lineRule="auto"/>
              <w:jc w:val="center"/>
              <w:rPr>
                <w:rFonts w:ascii="Arial" w:eastAsia="Times New Roman" w:hAnsi="Arial" w:cs="Arial"/>
                <w:color w:val="000000"/>
                <w:szCs w:val="24"/>
                <w:lang w:val="" w:eastAsia=""/>
              </w:rPr>
            </w:pPr>
            <w:r w:rsidRPr="00525D02">
              <w:rPr>
                <w:rFonts w:ascii="Arial" w:eastAsia="Times New Roman" w:hAnsi="Arial" w:cs="Arial"/>
                <w:color w:val="000000"/>
                <w:szCs w:val="24"/>
                <w:lang w:val="" w:eastAsia=""/>
              </w:rPr>
              <w:t xml:space="preserve"> 5644 / 30189 = 18.7% </w:t>
            </w:r>
          </w:p>
        </w:tc>
      </w:tr>
    </w:tbl>
    <w:p w14:paraId="1CBB3738" w14:textId="77777777" w:rsidR="001365D4" w:rsidRPr="00E26F0F" w:rsidRDefault="001365D4" w:rsidP="00E26F0F">
      <w:pPr>
        <w:spacing w:line="360" w:lineRule="auto"/>
        <w:rPr>
          <w:rFonts w:ascii="Times" w:hAnsi="Times" w:cs="Arial"/>
          <w:b/>
          <w:bCs/>
        </w:rPr>
      </w:pPr>
    </w:p>
    <w:p w14:paraId="55421118" w14:textId="77777777" w:rsidR="00BD116C" w:rsidRDefault="00732348" w:rsidP="00230E0B">
      <w:pPr>
        <w:spacing w:line="360" w:lineRule="auto"/>
        <w:jc w:val="center"/>
        <w:rPr>
          <w:rFonts w:ascii="Times" w:hAnsi="Times" w:cs="Arial"/>
          <w:b/>
          <w:bCs/>
        </w:rPr>
      </w:pPr>
      <w:r>
        <w:rPr>
          <w:noProof/>
        </w:rPr>
        <w:drawing>
          <wp:inline distT="0" distB="0" distL="0" distR="0" wp14:anchorId="1C6DA82B" wp14:editId="35D93318">
            <wp:extent cx="6419850" cy="2114550"/>
            <wp:effectExtent l="0" t="0" r="0" b="0"/>
            <wp:docPr id="999202400" name="Chart 1">
              <a:extLst xmlns:a="http://schemas.openxmlformats.org/drawingml/2006/main">
                <a:ext uri="{FF2B5EF4-FFF2-40B4-BE49-F238E27FC236}">
                  <a16:creationId xmlns:a16="http://schemas.microsoft.com/office/drawing/2014/main" id="{F71FEA1A-1E58-E943-D3FE-EF7F74C73D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296B6EF" w14:textId="77777777" w:rsidR="00BD116C" w:rsidRDefault="00BD116C" w:rsidP="009808A9">
      <w:pPr>
        <w:spacing w:line="360" w:lineRule="auto"/>
        <w:rPr>
          <w:rFonts w:ascii="Times" w:hAnsi="Times" w:cs="Arial"/>
          <w:b/>
          <w:bCs/>
        </w:rPr>
      </w:pPr>
    </w:p>
    <w:p w14:paraId="4AF4DA45" w14:textId="77777777" w:rsidR="00230E0B" w:rsidRDefault="00230E0B" w:rsidP="009808A9">
      <w:pPr>
        <w:spacing w:line="360" w:lineRule="auto"/>
        <w:rPr>
          <w:rFonts w:ascii="Times" w:hAnsi="Times" w:cs="Arial"/>
          <w:b/>
          <w:bCs/>
        </w:rPr>
      </w:pPr>
    </w:p>
    <w:tbl>
      <w:tblPr>
        <w:tblW w:w="10140" w:type="dxa"/>
        <w:jc w:val="center"/>
        <w:tblLook w:val="04A0" w:firstRow="1" w:lastRow="0" w:firstColumn="1" w:lastColumn="0" w:noHBand="0" w:noVBand="1"/>
      </w:tblPr>
      <w:tblGrid>
        <w:gridCol w:w="1660"/>
        <w:gridCol w:w="2200"/>
        <w:gridCol w:w="1180"/>
        <w:gridCol w:w="1160"/>
        <w:gridCol w:w="1360"/>
        <w:gridCol w:w="1360"/>
        <w:gridCol w:w="1220"/>
      </w:tblGrid>
      <w:tr w:rsidR="00D30489" w14:paraId="5845FA3C" w14:textId="77777777" w:rsidTr="00230E0B">
        <w:trPr>
          <w:trHeight w:val="645"/>
          <w:jc w:val="center"/>
        </w:trPr>
        <w:tc>
          <w:tcPr>
            <w:tcW w:w="1660" w:type="dxa"/>
            <w:tcBorders>
              <w:top w:val="single" w:sz="8" w:space="0" w:color="auto"/>
              <w:left w:val="single" w:sz="8" w:space="0" w:color="auto"/>
              <w:bottom w:val="single" w:sz="8" w:space="0" w:color="auto"/>
              <w:right w:val="single" w:sz="8" w:space="0" w:color="auto"/>
            </w:tcBorders>
            <w:vAlign w:val="bottom"/>
            <w:hideMark/>
          </w:tcPr>
          <w:p w14:paraId="2E66750A" w14:textId="77777777" w:rsidR="00230E0B" w:rsidRPr="00230E0B" w:rsidRDefault="00732348" w:rsidP="00230E0B">
            <w:pPr>
              <w:spacing w:after="0" w:line="240" w:lineRule="auto"/>
              <w:jc w:val="center"/>
              <w:rPr>
                <w:rFonts w:ascii="Arial" w:eastAsia="Times New Roman" w:hAnsi="Arial" w:cs="Arial"/>
                <w:b/>
                <w:bCs/>
                <w:color w:val="000000"/>
                <w:szCs w:val="24"/>
                <w:lang w:val="" w:eastAsia=""/>
              </w:rPr>
            </w:pPr>
            <w:r w:rsidRPr="00230E0B">
              <w:rPr>
                <w:rFonts w:ascii="Arial" w:eastAsia="Times New Roman" w:hAnsi="Arial" w:cs="Arial"/>
                <w:b/>
                <w:bCs/>
                <w:color w:val="000000"/>
                <w:szCs w:val="24"/>
                <w:lang w:val="" w:eastAsia=""/>
              </w:rPr>
              <w:t>Liquidity Ratios</w:t>
            </w:r>
          </w:p>
        </w:tc>
        <w:tc>
          <w:tcPr>
            <w:tcW w:w="2200" w:type="dxa"/>
            <w:tcBorders>
              <w:top w:val="single" w:sz="8" w:space="0" w:color="auto"/>
              <w:left w:val="nil"/>
              <w:bottom w:val="single" w:sz="8" w:space="0" w:color="auto"/>
              <w:right w:val="single" w:sz="8" w:space="0" w:color="auto"/>
            </w:tcBorders>
            <w:vAlign w:val="bottom"/>
            <w:hideMark/>
          </w:tcPr>
          <w:p w14:paraId="2BA4D0A8" w14:textId="77777777" w:rsidR="00230E0B" w:rsidRPr="00230E0B" w:rsidRDefault="00732348" w:rsidP="00230E0B">
            <w:pPr>
              <w:spacing w:after="0" w:line="240" w:lineRule="auto"/>
              <w:jc w:val="center"/>
              <w:rPr>
                <w:rFonts w:ascii="Arial" w:eastAsia="Times New Roman" w:hAnsi="Arial" w:cs="Arial"/>
                <w:b/>
                <w:bCs/>
                <w:color w:val="000000"/>
                <w:szCs w:val="24"/>
                <w:lang w:val="" w:eastAsia=""/>
              </w:rPr>
            </w:pPr>
            <w:r w:rsidRPr="00230E0B">
              <w:rPr>
                <w:rFonts w:ascii="Arial" w:eastAsia="Times New Roman" w:hAnsi="Arial" w:cs="Arial"/>
                <w:b/>
                <w:bCs/>
                <w:color w:val="000000"/>
                <w:szCs w:val="24"/>
                <w:lang w:val="" w:eastAsia=""/>
              </w:rPr>
              <w:t>Formula</w:t>
            </w:r>
          </w:p>
        </w:tc>
        <w:tc>
          <w:tcPr>
            <w:tcW w:w="1180" w:type="dxa"/>
            <w:tcBorders>
              <w:top w:val="single" w:sz="8" w:space="0" w:color="auto"/>
              <w:left w:val="nil"/>
              <w:bottom w:val="single" w:sz="8" w:space="0" w:color="auto"/>
              <w:right w:val="single" w:sz="8" w:space="0" w:color="auto"/>
            </w:tcBorders>
            <w:vAlign w:val="bottom"/>
            <w:hideMark/>
          </w:tcPr>
          <w:p w14:paraId="6CE59691" w14:textId="77777777" w:rsidR="00230E0B" w:rsidRPr="00230E0B" w:rsidRDefault="00732348" w:rsidP="00230E0B">
            <w:pPr>
              <w:spacing w:after="0" w:line="240" w:lineRule="auto"/>
              <w:jc w:val="center"/>
              <w:rPr>
                <w:rFonts w:ascii="Arial" w:eastAsia="Times New Roman" w:hAnsi="Arial" w:cs="Arial"/>
                <w:b/>
                <w:bCs/>
                <w:color w:val="000000"/>
                <w:szCs w:val="24"/>
                <w:lang w:val="" w:eastAsia=""/>
              </w:rPr>
            </w:pPr>
            <w:r w:rsidRPr="00230E0B">
              <w:rPr>
                <w:rFonts w:ascii="Arial" w:eastAsia="Times New Roman" w:hAnsi="Arial" w:cs="Arial"/>
                <w:b/>
                <w:bCs/>
                <w:color w:val="000000"/>
                <w:szCs w:val="24"/>
                <w:lang w:val="" w:eastAsia=""/>
              </w:rPr>
              <w:t>2025</w:t>
            </w:r>
          </w:p>
        </w:tc>
        <w:tc>
          <w:tcPr>
            <w:tcW w:w="1160" w:type="dxa"/>
            <w:tcBorders>
              <w:top w:val="single" w:sz="8" w:space="0" w:color="auto"/>
              <w:left w:val="nil"/>
              <w:bottom w:val="single" w:sz="8" w:space="0" w:color="auto"/>
              <w:right w:val="single" w:sz="8" w:space="0" w:color="auto"/>
            </w:tcBorders>
            <w:vAlign w:val="bottom"/>
            <w:hideMark/>
          </w:tcPr>
          <w:p w14:paraId="3ECE3B34" w14:textId="77777777" w:rsidR="00230E0B" w:rsidRPr="00230E0B" w:rsidRDefault="00732348" w:rsidP="00230E0B">
            <w:pPr>
              <w:spacing w:after="0" w:line="240" w:lineRule="auto"/>
              <w:jc w:val="center"/>
              <w:rPr>
                <w:rFonts w:ascii="Arial" w:eastAsia="Times New Roman" w:hAnsi="Arial" w:cs="Arial"/>
                <w:b/>
                <w:bCs/>
                <w:color w:val="000000"/>
                <w:szCs w:val="24"/>
                <w:lang w:val="" w:eastAsia=""/>
              </w:rPr>
            </w:pPr>
            <w:r w:rsidRPr="00230E0B">
              <w:rPr>
                <w:rFonts w:ascii="Arial" w:eastAsia="Times New Roman" w:hAnsi="Arial" w:cs="Arial"/>
                <w:b/>
                <w:bCs/>
                <w:color w:val="000000"/>
                <w:szCs w:val="24"/>
                <w:lang w:val="" w:eastAsia=""/>
              </w:rPr>
              <w:t>2024</w:t>
            </w:r>
          </w:p>
        </w:tc>
        <w:tc>
          <w:tcPr>
            <w:tcW w:w="1360" w:type="dxa"/>
            <w:tcBorders>
              <w:top w:val="single" w:sz="8" w:space="0" w:color="auto"/>
              <w:left w:val="nil"/>
              <w:bottom w:val="single" w:sz="8" w:space="0" w:color="auto"/>
              <w:right w:val="single" w:sz="8" w:space="0" w:color="auto"/>
            </w:tcBorders>
            <w:vAlign w:val="bottom"/>
            <w:hideMark/>
          </w:tcPr>
          <w:p w14:paraId="08C1FD8E" w14:textId="77777777" w:rsidR="00230E0B" w:rsidRPr="00230E0B" w:rsidRDefault="00732348" w:rsidP="00230E0B">
            <w:pPr>
              <w:spacing w:after="0" w:line="240" w:lineRule="auto"/>
              <w:jc w:val="center"/>
              <w:rPr>
                <w:rFonts w:ascii="Arial" w:eastAsia="Times New Roman" w:hAnsi="Arial" w:cs="Arial"/>
                <w:b/>
                <w:bCs/>
                <w:color w:val="000000"/>
                <w:szCs w:val="24"/>
                <w:lang w:val="" w:eastAsia=""/>
              </w:rPr>
            </w:pPr>
            <w:r w:rsidRPr="00230E0B">
              <w:rPr>
                <w:rFonts w:ascii="Arial" w:eastAsia="Times New Roman" w:hAnsi="Arial" w:cs="Arial"/>
                <w:b/>
                <w:bCs/>
                <w:color w:val="000000"/>
                <w:szCs w:val="24"/>
                <w:lang w:val="" w:eastAsia=""/>
              </w:rPr>
              <w:t>2023</w:t>
            </w:r>
          </w:p>
        </w:tc>
        <w:tc>
          <w:tcPr>
            <w:tcW w:w="1360" w:type="dxa"/>
            <w:tcBorders>
              <w:top w:val="single" w:sz="8" w:space="0" w:color="auto"/>
              <w:left w:val="nil"/>
              <w:bottom w:val="single" w:sz="8" w:space="0" w:color="auto"/>
              <w:right w:val="single" w:sz="8" w:space="0" w:color="auto"/>
            </w:tcBorders>
            <w:noWrap/>
            <w:vAlign w:val="bottom"/>
            <w:hideMark/>
          </w:tcPr>
          <w:p w14:paraId="1528E4E4" w14:textId="77777777" w:rsidR="00230E0B" w:rsidRPr="00230E0B" w:rsidRDefault="00732348" w:rsidP="00230E0B">
            <w:pPr>
              <w:spacing w:after="0" w:line="240" w:lineRule="auto"/>
              <w:jc w:val="center"/>
              <w:rPr>
                <w:rFonts w:ascii="Arial" w:eastAsia="Times New Roman" w:hAnsi="Arial" w:cs="Arial"/>
                <w:b/>
                <w:bCs/>
                <w:color w:val="000000"/>
                <w:szCs w:val="24"/>
                <w:lang w:val="" w:eastAsia=""/>
              </w:rPr>
            </w:pPr>
            <w:r w:rsidRPr="00230E0B">
              <w:rPr>
                <w:rFonts w:ascii="Arial" w:eastAsia="Times New Roman" w:hAnsi="Arial" w:cs="Arial"/>
                <w:b/>
                <w:bCs/>
                <w:color w:val="000000"/>
                <w:szCs w:val="24"/>
                <w:lang w:val="" w:eastAsia=""/>
              </w:rPr>
              <w:t>2022</w:t>
            </w:r>
          </w:p>
        </w:tc>
        <w:tc>
          <w:tcPr>
            <w:tcW w:w="1220" w:type="dxa"/>
            <w:tcBorders>
              <w:top w:val="single" w:sz="8" w:space="0" w:color="auto"/>
              <w:left w:val="nil"/>
              <w:bottom w:val="single" w:sz="8" w:space="0" w:color="auto"/>
              <w:right w:val="single" w:sz="8" w:space="0" w:color="auto"/>
            </w:tcBorders>
            <w:noWrap/>
            <w:vAlign w:val="bottom"/>
            <w:hideMark/>
          </w:tcPr>
          <w:p w14:paraId="5CE1AA0F" w14:textId="77777777" w:rsidR="00230E0B" w:rsidRPr="00230E0B" w:rsidRDefault="00732348" w:rsidP="00230E0B">
            <w:pPr>
              <w:spacing w:after="0" w:line="240" w:lineRule="auto"/>
              <w:jc w:val="center"/>
              <w:rPr>
                <w:rFonts w:ascii="Arial" w:eastAsia="Times New Roman" w:hAnsi="Arial" w:cs="Arial"/>
                <w:b/>
                <w:bCs/>
                <w:color w:val="000000"/>
                <w:szCs w:val="24"/>
                <w:lang w:val="" w:eastAsia=""/>
              </w:rPr>
            </w:pPr>
            <w:r w:rsidRPr="00230E0B">
              <w:rPr>
                <w:rFonts w:ascii="Arial" w:eastAsia="Times New Roman" w:hAnsi="Arial" w:cs="Arial"/>
                <w:b/>
                <w:bCs/>
                <w:color w:val="000000"/>
                <w:szCs w:val="24"/>
                <w:lang w:val="" w:eastAsia=""/>
              </w:rPr>
              <w:t>2021</w:t>
            </w:r>
          </w:p>
        </w:tc>
      </w:tr>
      <w:tr w:rsidR="00D30489" w14:paraId="51DF425C" w14:textId="77777777" w:rsidTr="00230E0B">
        <w:trPr>
          <w:trHeight w:val="900"/>
          <w:jc w:val="center"/>
        </w:trPr>
        <w:tc>
          <w:tcPr>
            <w:tcW w:w="1660" w:type="dxa"/>
            <w:tcBorders>
              <w:top w:val="nil"/>
              <w:left w:val="single" w:sz="4" w:space="0" w:color="auto"/>
              <w:bottom w:val="single" w:sz="4" w:space="0" w:color="auto"/>
              <w:right w:val="single" w:sz="4" w:space="0" w:color="auto"/>
            </w:tcBorders>
            <w:vAlign w:val="center"/>
            <w:hideMark/>
          </w:tcPr>
          <w:p w14:paraId="0F9DA225"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Current ratio</w:t>
            </w:r>
          </w:p>
        </w:tc>
        <w:tc>
          <w:tcPr>
            <w:tcW w:w="2200" w:type="dxa"/>
            <w:tcBorders>
              <w:top w:val="nil"/>
              <w:left w:val="nil"/>
              <w:bottom w:val="single" w:sz="4" w:space="0" w:color="auto"/>
              <w:right w:val="single" w:sz="4" w:space="0" w:color="auto"/>
            </w:tcBorders>
            <w:vAlign w:val="center"/>
            <w:hideMark/>
          </w:tcPr>
          <w:p w14:paraId="2D6230D2"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Current assets / current liabilities</w:t>
            </w:r>
          </w:p>
        </w:tc>
        <w:tc>
          <w:tcPr>
            <w:tcW w:w="1180" w:type="dxa"/>
            <w:tcBorders>
              <w:top w:val="nil"/>
              <w:left w:val="nil"/>
              <w:bottom w:val="single" w:sz="4" w:space="0" w:color="auto"/>
              <w:right w:val="single" w:sz="4" w:space="0" w:color="auto"/>
            </w:tcBorders>
            <w:vAlign w:val="bottom"/>
            <w:hideMark/>
          </w:tcPr>
          <w:p w14:paraId="2AF7B7CA"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68642 / 31714 = 2.16</w:t>
            </w:r>
          </w:p>
        </w:tc>
        <w:tc>
          <w:tcPr>
            <w:tcW w:w="1160" w:type="dxa"/>
            <w:tcBorders>
              <w:top w:val="nil"/>
              <w:left w:val="nil"/>
              <w:bottom w:val="single" w:sz="4" w:space="0" w:color="auto"/>
              <w:right w:val="single" w:sz="4" w:space="0" w:color="auto"/>
            </w:tcBorders>
            <w:vAlign w:val="bottom"/>
            <w:hideMark/>
          </w:tcPr>
          <w:p w14:paraId="7C528F81"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58360 / 28812 = 2.02</w:t>
            </w:r>
          </w:p>
        </w:tc>
        <w:tc>
          <w:tcPr>
            <w:tcW w:w="1360" w:type="dxa"/>
            <w:tcBorders>
              <w:top w:val="nil"/>
              <w:left w:val="nil"/>
              <w:bottom w:val="single" w:sz="4" w:space="0" w:color="auto"/>
              <w:right w:val="single" w:sz="4" w:space="0" w:color="auto"/>
            </w:tcBorders>
            <w:vAlign w:val="bottom"/>
            <w:hideMark/>
          </w:tcPr>
          <w:p w14:paraId="065840E0"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 xml:space="preserve"> 49616 / 28748 = 1.72 </w:t>
            </w:r>
          </w:p>
        </w:tc>
        <w:tc>
          <w:tcPr>
            <w:tcW w:w="1360" w:type="dxa"/>
            <w:tcBorders>
              <w:top w:val="nil"/>
              <w:left w:val="nil"/>
              <w:bottom w:val="single" w:sz="4" w:space="0" w:color="auto"/>
              <w:right w:val="single" w:sz="4" w:space="0" w:color="auto"/>
            </w:tcBorders>
            <w:vAlign w:val="bottom"/>
            <w:hideMark/>
          </w:tcPr>
          <w:p w14:paraId="02BD9258"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 xml:space="preserve"> 40917 / 26709 = 1.53 </w:t>
            </w:r>
          </w:p>
        </w:tc>
        <w:tc>
          <w:tcPr>
            <w:tcW w:w="1220" w:type="dxa"/>
            <w:tcBorders>
              <w:top w:val="nil"/>
              <w:left w:val="nil"/>
              <w:bottom w:val="single" w:sz="4" w:space="0" w:color="auto"/>
              <w:right w:val="single" w:sz="4" w:space="0" w:color="auto"/>
            </w:tcBorders>
            <w:vAlign w:val="bottom"/>
            <w:hideMark/>
          </w:tcPr>
          <w:p w14:paraId="3DA3D997"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 xml:space="preserve"> 27100 / 19705 = 1.37 </w:t>
            </w:r>
          </w:p>
        </w:tc>
      </w:tr>
      <w:tr w:rsidR="00D30489" w14:paraId="3D9D3090" w14:textId="77777777" w:rsidTr="00230E0B">
        <w:trPr>
          <w:trHeight w:val="1200"/>
          <w:jc w:val="center"/>
        </w:trPr>
        <w:tc>
          <w:tcPr>
            <w:tcW w:w="1660" w:type="dxa"/>
            <w:tcBorders>
              <w:top w:val="nil"/>
              <w:left w:val="single" w:sz="4" w:space="0" w:color="auto"/>
              <w:bottom w:val="single" w:sz="4" w:space="0" w:color="auto"/>
              <w:right w:val="single" w:sz="4" w:space="0" w:color="auto"/>
            </w:tcBorders>
            <w:vAlign w:val="center"/>
            <w:hideMark/>
          </w:tcPr>
          <w:p w14:paraId="7D019F5B"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Quick Ratio</w:t>
            </w:r>
          </w:p>
        </w:tc>
        <w:tc>
          <w:tcPr>
            <w:tcW w:w="2200" w:type="dxa"/>
            <w:tcBorders>
              <w:top w:val="nil"/>
              <w:left w:val="nil"/>
              <w:bottom w:val="single" w:sz="4" w:space="0" w:color="auto"/>
              <w:right w:val="single" w:sz="4" w:space="0" w:color="auto"/>
            </w:tcBorders>
            <w:vAlign w:val="center"/>
            <w:hideMark/>
          </w:tcPr>
          <w:p w14:paraId="424B6164"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(Current assets - inventories) / current liabilities</w:t>
            </w:r>
          </w:p>
        </w:tc>
        <w:tc>
          <w:tcPr>
            <w:tcW w:w="1180" w:type="dxa"/>
            <w:tcBorders>
              <w:top w:val="nil"/>
              <w:left w:val="nil"/>
              <w:bottom w:val="single" w:sz="4" w:space="0" w:color="auto"/>
              <w:right w:val="single" w:sz="4" w:space="0" w:color="auto"/>
            </w:tcBorders>
            <w:vAlign w:val="bottom"/>
            <w:hideMark/>
          </w:tcPr>
          <w:p w14:paraId="60E41291"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(68642 - 12392) / 31714 = 1.77</w:t>
            </w:r>
          </w:p>
        </w:tc>
        <w:tc>
          <w:tcPr>
            <w:tcW w:w="1160" w:type="dxa"/>
            <w:tcBorders>
              <w:top w:val="nil"/>
              <w:left w:val="nil"/>
              <w:bottom w:val="single" w:sz="4" w:space="0" w:color="auto"/>
              <w:right w:val="single" w:sz="4" w:space="0" w:color="auto"/>
            </w:tcBorders>
            <w:vAlign w:val="bottom"/>
            <w:hideMark/>
          </w:tcPr>
          <w:p w14:paraId="28A92B54"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(58360 - 12017) / 28812 = 1.60</w:t>
            </w:r>
          </w:p>
        </w:tc>
        <w:tc>
          <w:tcPr>
            <w:tcW w:w="1360" w:type="dxa"/>
            <w:tcBorders>
              <w:top w:val="nil"/>
              <w:left w:val="nil"/>
              <w:bottom w:val="single" w:sz="4" w:space="0" w:color="auto"/>
              <w:right w:val="single" w:sz="4" w:space="0" w:color="auto"/>
            </w:tcBorders>
            <w:vAlign w:val="bottom"/>
            <w:hideMark/>
          </w:tcPr>
          <w:p w14:paraId="7CF00982"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 xml:space="preserve"> (49616 - 13626) / 28748 = 1.25 </w:t>
            </w:r>
          </w:p>
        </w:tc>
        <w:tc>
          <w:tcPr>
            <w:tcW w:w="1360" w:type="dxa"/>
            <w:tcBorders>
              <w:top w:val="nil"/>
              <w:left w:val="nil"/>
              <w:bottom w:val="single" w:sz="4" w:space="0" w:color="auto"/>
              <w:right w:val="single" w:sz="4" w:space="0" w:color="auto"/>
            </w:tcBorders>
            <w:vAlign w:val="bottom"/>
            <w:hideMark/>
          </w:tcPr>
          <w:p w14:paraId="1FA9B1D2"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 xml:space="preserve"> (40917 - 12839) / 26709 = 1.05 </w:t>
            </w:r>
          </w:p>
        </w:tc>
        <w:tc>
          <w:tcPr>
            <w:tcW w:w="1220" w:type="dxa"/>
            <w:tcBorders>
              <w:top w:val="nil"/>
              <w:left w:val="nil"/>
              <w:bottom w:val="single" w:sz="4" w:space="0" w:color="auto"/>
              <w:right w:val="single" w:sz="4" w:space="0" w:color="auto"/>
            </w:tcBorders>
            <w:vAlign w:val="bottom"/>
            <w:hideMark/>
          </w:tcPr>
          <w:p w14:paraId="4C1786DA" w14:textId="77777777" w:rsidR="00230E0B" w:rsidRPr="00230E0B" w:rsidRDefault="00732348" w:rsidP="00230E0B">
            <w:pPr>
              <w:spacing w:after="0" w:line="240" w:lineRule="auto"/>
              <w:jc w:val="center"/>
              <w:rPr>
                <w:rFonts w:ascii="Arial" w:eastAsia="Times New Roman" w:hAnsi="Arial" w:cs="Arial"/>
                <w:color w:val="000000"/>
                <w:szCs w:val="24"/>
                <w:lang w:val="" w:eastAsia=""/>
              </w:rPr>
            </w:pPr>
            <w:r w:rsidRPr="00230E0B">
              <w:rPr>
                <w:rFonts w:ascii="Arial" w:eastAsia="Times New Roman" w:hAnsi="Arial" w:cs="Arial"/>
                <w:color w:val="000000"/>
                <w:szCs w:val="24"/>
                <w:lang w:val="" w:eastAsia=""/>
              </w:rPr>
              <w:t xml:space="preserve"> (27100 -5757) / 19705 = 1.08 </w:t>
            </w:r>
          </w:p>
        </w:tc>
      </w:tr>
    </w:tbl>
    <w:p w14:paraId="525CD635" w14:textId="77777777" w:rsidR="00C157B9" w:rsidRDefault="00C157B9" w:rsidP="009808A9">
      <w:pPr>
        <w:spacing w:line="360" w:lineRule="auto"/>
        <w:rPr>
          <w:rFonts w:ascii="Times" w:hAnsi="Times" w:cs="Arial"/>
          <w:b/>
          <w:bCs/>
        </w:rPr>
      </w:pPr>
    </w:p>
    <w:p w14:paraId="4E929D8C" w14:textId="77777777" w:rsidR="003B125A" w:rsidRDefault="00732348" w:rsidP="003B125A">
      <w:pPr>
        <w:spacing w:line="360" w:lineRule="auto"/>
        <w:rPr>
          <w:rFonts w:ascii="Times" w:hAnsi="Times" w:cs="Arial"/>
          <w:b/>
          <w:bCs/>
        </w:rPr>
      </w:pPr>
      <w:r>
        <w:rPr>
          <w:noProof/>
        </w:rPr>
        <w:lastRenderedPageBreak/>
        <w:drawing>
          <wp:inline distT="0" distB="0" distL="0" distR="0" wp14:anchorId="6889DF68" wp14:editId="0C4C81C2">
            <wp:extent cx="6105525" cy="2790825"/>
            <wp:effectExtent l="0" t="0" r="9525" b="9525"/>
            <wp:docPr id="1601306176" name="Chart 1">
              <a:extLst xmlns:a="http://schemas.openxmlformats.org/drawingml/2006/main">
                <a:ext uri="{FF2B5EF4-FFF2-40B4-BE49-F238E27FC236}">
                  <a16:creationId xmlns:a16="http://schemas.microsoft.com/office/drawing/2014/main" id="{A585A097-B66A-895C-679C-1A0C1312EB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W w:w="10140" w:type="dxa"/>
        <w:jc w:val="center"/>
        <w:tblLook w:val="04A0" w:firstRow="1" w:lastRow="0" w:firstColumn="1" w:lastColumn="0" w:noHBand="0" w:noVBand="1"/>
      </w:tblPr>
      <w:tblGrid>
        <w:gridCol w:w="1660"/>
        <w:gridCol w:w="2200"/>
        <w:gridCol w:w="1180"/>
        <w:gridCol w:w="1160"/>
        <w:gridCol w:w="1360"/>
        <w:gridCol w:w="1360"/>
        <w:gridCol w:w="1220"/>
      </w:tblGrid>
      <w:tr w:rsidR="00D30489" w14:paraId="08484B55" w14:textId="77777777" w:rsidTr="00811233">
        <w:trPr>
          <w:trHeight w:val="645"/>
          <w:jc w:val="center"/>
        </w:trPr>
        <w:tc>
          <w:tcPr>
            <w:tcW w:w="1660" w:type="dxa"/>
            <w:tcBorders>
              <w:top w:val="single" w:sz="8" w:space="0" w:color="auto"/>
              <w:left w:val="single" w:sz="8" w:space="0" w:color="auto"/>
              <w:bottom w:val="single" w:sz="8" w:space="0" w:color="auto"/>
              <w:right w:val="single" w:sz="8" w:space="0" w:color="auto"/>
            </w:tcBorders>
            <w:vAlign w:val="bottom"/>
            <w:hideMark/>
          </w:tcPr>
          <w:p w14:paraId="69B2EC15" w14:textId="77777777" w:rsidR="00811233" w:rsidRPr="00811233" w:rsidRDefault="00732348" w:rsidP="00811233">
            <w:pPr>
              <w:spacing w:after="0" w:line="240" w:lineRule="auto"/>
              <w:jc w:val="center"/>
              <w:rPr>
                <w:rFonts w:ascii="Arial" w:eastAsia="Times New Roman" w:hAnsi="Arial" w:cs="Arial"/>
                <w:b/>
                <w:bCs/>
                <w:color w:val="000000"/>
                <w:szCs w:val="24"/>
                <w:lang w:val="" w:eastAsia=""/>
              </w:rPr>
            </w:pPr>
            <w:r w:rsidRPr="00811233">
              <w:rPr>
                <w:rFonts w:ascii="Arial" w:eastAsia="Times New Roman" w:hAnsi="Arial" w:cs="Arial"/>
                <w:b/>
                <w:bCs/>
                <w:color w:val="000000"/>
                <w:szCs w:val="24"/>
                <w:lang w:val="" w:eastAsia=""/>
              </w:rPr>
              <w:t>Efficiency Ratios</w:t>
            </w:r>
          </w:p>
        </w:tc>
        <w:tc>
          <w:tcPr>
            <w:tcW w:w="2200" w:type="dxa"/>
            <w:tcBorders>
              <w:top w:val="single" w:sz="8" w:space="0" w:color="auto"/>
              <w:left w:val="nil"/>
              <w:bottom w:val="single" w:sz="8" w:space="0" w:color="auto"/>
              <w:right w:val="single" w:sz="8" w:space="0" w:color="auto"/>
            </w:tcBorders>
            <w:vAlign w:val="bottom"/>
            <w:hideMark/>
          </w:tcPr>
          <w:p w14:paraId="1017D4DF" w14:textId="77777777" w:rsidR="00811233" w:rsidRPr="00811233" w:rsidRDefault="00732348" w:rsidP="00811233">
            <w:pPr>
              <w:spacing w:after="0" w:line="240" w:lineRule="auto"/>
              <w:jc w:val="center"/>
              <w:rPr>
                <w:rFonts w:ascii="Arial" w:eastAsia="Times New Roman" w:hAnsi="Arial" w:cs="Arial"/>
                <w:b/>
                <w:bCs/>
                <w:color w:val="000000"/>
                <w:szCs w:val="24"/>
                <w:lang w:val="" w:eastAsia=""/>
              </w:rPr>
            </w:pPr>
            <w:r w:rsidRPr="00811233">
              <w:rPr>
                <w:rFonts w:ascii="Arial" w:eastAsia="Times New Roman" w:hAnsi="Arial" w:cs="Arial"/>
                <w:b/>
                <w:bCs/>
                <w:color w:val="000000"/>
                <w:szCs w:val="24"/>
                <w:lang w:val="" w:eastAsia=""/>
              </w:rPr>
              <w:t>Formula</w:t>
            </w:r>
          </w:p>
        </w:tc>
        <w:tc>
          <w:tcPr>
            <w:tcW w:w="1180" w:type="dxa"/>
            <w:tcBorders>
              <w:top w:val="single" w:sz="8" w:space="0" w:color="auto"/>
              <w:left w:val="nil"/>
              <w:bottom w:val="single" w:sz="8" w:space="0" w:color="auto"/>
              <w:right w:val="single" w:sz="8" w:space="0" w:color="auto"/>
            </w:tcBorders>
            <w:vAlign w:val="bottom"/>
            <w:hideMark/>
          </w:tcPr>
          <w:p w14:paraId="7D4E306C" w14:textId="77777777" w:rsidR="00811233" w:rsidRPr="00811233" w:rsidRDefault="00732348" w:rsidP="00811233">
            <w:pPr>
              <w:spacing w:after="0" w:line="240" w:lineRule="auto"/>
              <w:jc w:val="center"/>
              <w:rPr>
                <w:rFonts w:ascii="Arial" w:eastAsia="Times New Roman" w:hAnsi="Arial" w:cs="Arial"/>
                <w:b/>
                <w:bCs/>
                <w:color w:val="000000"/>
                <w:szCs w:val="24"/>
                <w:lang w:val="" w:eastAsia=""/>
              </w:rPr>
            </w:pPr>
            <w:r w:rsidRPr="00811233">
              <w:rPr>
                <w:rFonts w:ascii="Arial" w:eastAsia="Times New Roman" w:hAnsi="Arial" w:cs="Arial"/>
                <w:b/>
                <w:bCs/>
                <w:color w:val="000000"/>
                <w:szCs w:val="24"/>
                <w:lang w:val="" w:eastAsia=""/>
              </w:rPr>
              <w:t>2025</w:t>
            </w:r>
          </w:p>
        </w:tc>
        <w:tc>
          <w:tcPr>
            <w:tcW w:w="1160" w:type="dxa"/>
            <w:tcBorders>
              <w:top w:val="single" w:sz="8" w:space="0" w:color="auto"/>
              <w:left w:val="nil"/>
              <w:bottom w:val="single" w:sz="8" w:space="0" w:color="auto"/>
              <w:right w:val="single" w:sz="8" w:space="0" w:color="auto"/>
            </w:tcBorders>
            <w:vAlign w:val="bottom"/>
            <w:hideMark/>
          </w:tcPr>
          <w:p w14:paraId="3BA48F07" w14:textId="77777777" w:rsidR="00811233" w:rsidRPr="00811233" w:rsidRDefault="00732348" w:rsidP="00811233">
            <w:pPr>
              <w:spacing w:after="0" w:line="240" w:lineRule="auto"/>
              <w:jc w:val="center"/>
              <w:rPr>
                <w:rFonts w:ascii="Arial" w:eastAsia="Times New Roman" w:hAnsi="Arial" w:cs="Arial"/>
                <w:b/>
                <w:bCs/>
                <w:color w:val="000000"/>
                <w:szCs w:val="24"/>
                <w:lang w:val="" w:eastAsia=""/>
              </w:rPr>
            </w:pPr>
            <w:r w:rsidRPr="00811233">
              <w:rPr>
                <w:rFonts w:ascii="Arial" w:eastAsia="Times New Roman" w:hAnsi="Arial" w:cs="Arial"/>
                <w:b/>
                <w:bCs/>
                <w:color w:val="000000"/>
                <w:szCs w:val="24"/>
                <w:lang w:val="" w:eastAsia=""/>
              </w:rPr>
              <w:t>2024</w:t>
            </w:r>
          </w:p>
        </w:tc>
        <w:tc>
          <w:tcPr>
            <w:tcW w:w="1360" w:type="dxa"/>
            <w:tcBorders>
              <w:top w:val="single" w:sz="8" w:space="0" w:color="auto"/>
              <w:left w:val="nil"/>
              <w:bottom w:val="single" w:sz="8" w:space="0" w:color="auto"/>
              <w:right w:val="single" w:sz="8" w:space="0" w:color="auto"/>
            </w:tcBorders>
            <w:vAlign w:val="bottom"/>
            <w:hideMark/>
          </w:tcPr>
          <w:p w14:paraId="330FD9AF" w14:textId="77777777" w:rsidR="00811233" w:rsidRPr="00811233" w:rsidRDefault="00732348" w:rsidP="00811233">
            <w:pPr>
              <w:spacing w:after="0" w:line="240" w:lineRule="auto"/>
              <w:jc w:val="center"/>
              <w:rPr>
                <w:rFonts w:ascii="Arial" w:eastAsia="Times New Roman" w:hAnsi="Arial" w:cs="Arial"/>
                <w:b/>
                <w:bCs/>
                <w:color w:val="000000"/>
                <w:szCs w:val="24"/>
                <w:lang w:val="" w:eastAsia=""/>
              </w:rPr>
            </w:pPr>
            <w:r w:rsidRPr="00811233">
              <w:rPr>
                <w:rFonts w:ascii="Arial" w:eastAsia="Times New Roman" w:hAnsi="Arial" w:cs="Arial"/>
                <w:b/>
                <w:bCs/>
                <w:color w:val="000000"/>
                <w:szCs w:val="24"/>
                <w:lang w:val="" w:eastAsia=""/>
              </w:rPr>
              <w:t>2023</w:t>
            </w:r>
          </w:p>
        </w:tc>
        <w:tc>
          <w:tcPr>
            <w:tcW w:w="1360" w:type="dxa"/>
            <w:tcBorders>
              <w:top w:val="single" w:sz="8" w:space="0" w:color="auto"/>
              <w:left w:val="nil"/>
              <w:bottom w:val="single" w:sz="8" w:space="0" w:color="auto"/>
              <w:right w:val="single" w:sz="8" w:space="0" w:color="auto"/>
            </w:tcBorders>
            <w:noWrap/>
            <w:vAlign w:val="bottom"/>
            <w:hideMark/>
          </w:tcPr>
          <w:p w14:paraId="021ED5C3" w14:textId="77777777" w:rsidR="00811233" w:rsidRPr="00811233" w:rsidRDefault="00732348" w:rsidP="00811233">
            <w:pPr>
              <w:spacing w:after="0" w:line="240" w:lineRule="auto"/>
              <w:jc w:val="center"/>
              <w:rPr>
                <w:rFonts w:ascii="Arial" w:eastAsia="Times New Roman" w:hAnsi="Arial" w:cs="Arial"/>
                <w:b/>
                <w:bCs/>
                <w:color w:val="000000"/>
                <w:szCs w:val="24"/>
                <w:lang w:val="" w:eastAsia=""/>
              </w:rPr>
            </w:pPr>
            <w:r w:rsidRPr="00811233">
              <w:rPr>
                <w:rFonts w:ascii="Arial" w:eastAsia="Times New Roman" w:hAnsi="Arial" w:cs="Arial"/>
                <w:b/>
                <w:bCs/>
                <w:color w:val="000000"/>
                <w:szCs w:val="24"/>
                <w:lang w:val="" w:eastAsia=""/>
              </w:rPr>
              <w:t>2022</w:t>
            </w:r>
          </w:p>
        </w:tc>
        <w:tc>
          <w:tcPr>
            <w:tcW w:w="1220" w:type="dxa"/>
            <w:tcBorders>
              <w:top w:val="single" w:sz="8" w:space="0" w:color="auto"/>
              <w:left w:val="nil"/>
              <w:bottom w:val="single" w:sz="8" w:space="0" w:color="auto"/>
              <w:right w:val="single" w:sz="8" w:space="0" w:color="auto"/>
            </w:tcBorders>
            <w:noWrap/>
            <w:vAlign w:val="bottom"/>
            <w:hideMark/>
          </w:tcPr>
          <w:p w14:paraId="73FB3C61" w14:textId="77777777" w:rsidR="00811233" w:rsidRPr="00811233" w:rsidRDefault="00732348" w:rsidP="00811233">
            <w:pPr>
              <w:spacing w:after="0" w:line="240" w:lineRule="auto"/>
              <w:jc w:val="center"/>
              <w:rPr>
                <w:rFonts w:ascii="Arial" w:eastAsia="Times New Roman" w:hAnsi="Arial" w:cs="Arial"/>
                <w:b/>
                <w:bCs/>
                <w:color w:val="000000"/>
                <w:szCs w:val="24"/>
                <w:lang w:val="" w:eastAsia=""/>
              </w:rPr>
            </w:pPr>
            <w:r w:rsidRPr="00811233">
              <w:rPr>
                <w:rFonts w:ascii="Arial" w:eastAsia="Times New Roman" w:hAnsi="Arial" w:cs="Arial"/>
                <w:b/>
                <w:bCs/>
                <w:color w:val="000000"/>
                <w:szCs w:val="24"/>
                <w:lang w:val="" w:eastAsia=""/>
              </w:rPr>
              <w:t>2021</w:t>
            </w:r>
          </w:p>
        </w:tc>
      </w:tr>
      <w:tr w:rsidR="00D30489" w14:paraId="730E1FFD" w14:textId="77777777" w:rsidTr="00811233">
        <w:trPr>
          <w:trHeight w:val="1200"/>
          <w:jc w:val="center"/>
        </w:trPr>
        <w:tc>
          <w:tcPr>
            <w:tcW w:w="1660" w:type="dxa"/>
            <w:tcBorders>
              <w:top w:val="nil"/>
              <w:left w:val="single" w:sz="4" w:space="0" w:color="auto"/>
              <w:bottom w:val="single" w:sz="4" w:space="0" w:color="auto"/>
              <w:right w:val="single" w:sz="4" w:space="0" w:color="auto"/>
            </w:tcBorders>
            <w:vAlign w:val="center"/>
            <w:hideMark/>
          </w:tcPr>
          <w:p w14:paraId="587EAA42"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Receivable turnover (Days)</w:t>
            </w:r>
          </w:p>
        </w:tc>
        <w:tc>
          <w:tcPr>
            <w:tcW w:w="2200" w:type="dxa"/>
            <w:tcBorders>
              <w:top w:val="nil"/>
              <w:left w:val="nil"/>
              <w:bottom w:val="single" w:sz="4" w:space="0" w:color="auto"/>
              <w:right w:val="single" w:sz="4" w:space="0" w:color="auto"/>
            </w:tcBorders>
            <w:vAlign w:val="center"/>
            <w:hideMark/>
          </w:tcPr>
          <w:p w14:paraId="0E569087"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(Receivable / Sales )*365</w:t>
            </w:r>
          </w:p>
        </w:tc>
        <w:tc>
          <w:tcPr>
            <w:tcW w:w="1180" w:type="dxa"/>
            <w:tcBorders>
              <w:top w:val="nil"/>
              <w:left w:val="nil"/>
              <w:bottom w:val="single" w:sz="4" w:space="0" w:color="auto"/>
              <w:right w:val="single" w:sz="4" w:space="0" w:color="auto"/>
            </w:tcBorders>
            <w:vAlign w:val="bottom"/>
            <w:hideMark/>
          </w:tcPr>
          <w:p w14:paraId="29F349C2"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(4576 / 94827)*  365 = 18 Days</w:t>
            </w:r>
          </w:p>
        </w:tc>
        <w:tc>
          <w:tcPr>
            <w:tcW w:w="1160" w:type="dxa"/>
            <w:tcBorders>
              <w:top w:val="nil"/>
              <w:left w:val="nil"/>
              <w:bottom w:val="single" w:sz="4" w:space="0" w:color="auto"/>
              <w:right w:val="single" w:sz="4" w:space="0" w:color="auto"/>
            </w:tcBorders>
            <w:vAlign w:val="bottom"/>
            <w:hideMark/>
          </w:tcPr>
          <w:p w14:paraId="75617296"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(4418 / 97690)* 365 = 17 Days</w:t>
            </w:r>
          </w:p>
        </w:tc>
        <w:tc>
          <w:tcPr>
            <w:tcW w:w="1360" w:type="dxa"/>
            <w:tcBorders>
              <w:top w:val="nil"/>
              <w:left w:val="nil"/>
              <w:bottom w:val="single" w:sz="4" w:space="0" w:color="auto"/>
              <w:right w:val="single" w:sz="4" w:space="0" w:color="auto"/>
            </w:tcBorders>
            <w:vAlign w:val="bottom"/>
            <w:hideMark/>
          </w:tcPr>
          <w:p w14:paraId="3675DFE6"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 xml:space="preserve"> (3508 / 96773)* 365 = 13 Days </w:t>
            </w:r>
          </w:p>
        </w:tc>
        <w:tc>
          <w:tcPr>
            <w:tcW w:w="1360" w:type="dxa"/>
            <w:tcBorders>
              <w:top w:val="nil"/>
              <w:left w:val="nil"/>
              <w:bottom w:val="single" w:sz="4" w:space="0" w:color="auto"/>
              <w:right w:val="single" w:sz="4" w:space="0" w:color="auto"/>
            </w:tcBorders>
            <w:vAlign w:val="bottom"/>
            <w:hideMark/>
          </w:tcPr>
          <w:p w14:paraId="631B5AB0"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 xml:space="preserve"> (2952 / 81462)* 365 = 13 Days </w:t>
            </w:r>
          </w:p>
        </w:tc>
        <w:tc>
          <w:tcPr>
            <w:tcW w:w="1220" w:type="dxa"/>
            <w:tcBorders>
              <w:top w:val="nil"/>
              <w:left w:val="nil"/>
              <w:bottom w:val="single" w:sz="4" w:space="0" w:color="auto"/>
              <w:right w:val="single" w:sz="4" w:space="0" w:color="auto"/>
            </w:tcBorders>
            <w:vAlign w:val="bottom"/>
            <w:hideMark/>
          </w:tcPr>
          <w:p w14:paraId="2B72ED80"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 xml:space="preserve"> (1913 / 53823)* 365 = 13 Days </w:t>
            </w:r>
          </w:p>
        </w:tc>
      </w:tr>
      <w:tr w:rsidR="00D30489" w14:paraId="72196641" w14:textId="77777777" w:rsidTr="00811233">
        <w:trPr>
          <w:trHeight w:val="1200"/>
          <w:jc w:val="center"/>
        </w:trPr>
        <w:tc>
          <w:tcPr>
            <w:tcW w:w="1660" w:type="dxa"/>
            <w:tcBorders>
              <w:top w:val="nil"/>
              <w:left w:val="single" w:sz="4" w:space="0" w:color="auto"/>
              <w:bottom w:val="single" w:sz="4" w:space="0" w:color="auto"/>
              <w:right w:val="single" w:sz="4" w:space="0" w:color="auto"/>
            </w:tcBorders>
            <w:vAlign w:val="center"/>
            <w:hideMark/>
          </w:tcPr>
          <w:p w14:paraId="7FEE1A9A"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Inventory Turnover (in days)</w:t>
            </w:r>
          </w:p>
        </w:tc>
        <w:tc>
          <w:tcPr>
            <w:tcW w:w="2200" w:type="dxa"/>
            <w:tcBorders>
              <w:top w:val="nil"/>
              <w:left w:val="nil"/>
              <w:bottom w:val="single" w:sz="4" w:space="0" w:color="auto"/>
              <w:right w:val="single" w:sz="4" w:space="0" w:color="auto"/>
            </w:tcBorders>
            <w:vAlign w:val="center"/>
            <w:hideMark/>
          </w:tcPr>
          <w:p w14:paraId="6C7F8326"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(Inventory / COGS ) 365</w:t>
            </w:r>
          </w:p>
        </w:tc>
        <w:tc>
          <w:tcPr>
            <w:tcW w:w="1180" w:type="dxa"/>
            <w:tcBorders>
              <w:top w:val="nil"/>
              <w:left w:val="nil"/>
              <w:bottom w:val="single" w:sz="4" w:space="0" w:color="auto"/>
              <w:right w:val="single" w:sz="4" w:space="0" w:color="auto"/>
            </w:tcBorders>
            <w:vAlign w:val="bottom"/>
            <w:hideMark/>
          </w:tcPr>
          <w:p w14:paraId="72D736B9"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(12392 / 77733)* 365 = 58 Days</w:t>
            </w:r>
          </w:p>
        </w:tc>
        <w:tc>
          <w:tcPr>
            <w:tcW w:w="1160" w:type="dxa"/>
            <w:tcBorders>
              <w:top w:val="nil"/>
              <w:left w:val="nil"/>
              <w:bottom w:val="single" w:sz="4" w:space="0" w:color="auto"/>
              <w:right w:val="single" w:sz="4" w:space="0" w:color="auto"/>
            </w:tcBorders>
            <w:vAlign w:val="bottom"/>
            <w:hideMark/>
          </w:tcPr>
          <w:p w14:paraId="455B4307"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(12017 / 80240)* 365 = 55 Days</w:t>
            </w:r>
          </w:p>
        </w:tc>
        <w:tc>
          <w:tcPr>
            <w:tcW w:w="1360" w:type="dxa"/>
            <w:tcBorders>
              <w:top w:val="nil"/>
              <w:left w:val="nil"/>
              <w:bottom w:val="single" w:sz="4" w:space="0" w:color="auto"/>
              <w:right w:val="single" w:sz="4" w:space="0" w:color="auto"/>
            </w:tcBorders>
            <w:vAlign w:val="bottom"/>
            <w:hideMark/>
          </w:tcPr>
          <w:p w14:paraId="59274C11"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 xml:space="preserve"> (13626 / 79113) * 365 = 63 Days </w:t>
            </w:r>
          </w:p>
        </w:tc>
        <w:tc>
          <w:tcPr>
            <w:tcW w:w="1360" w:type="dxa"/>
            <w:tcBorders>
              <w:top w:val="nil"/>
              <w:left w:val="nil"/>
              <w:bottom w:val="single" w:sz="4" w:space="0" w:color="auto"/>
              <w:right w:val="single" w:sz="4" w:space="0" w:color="auto"/>
            </w:tcBorders>
            <w:vAlign w:val="bottom"/>
            <w:hideMark/>
          </w:tcPr>
          <w:p w14:paraId="539E10ED"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 xml:space="preserve"> (12839 / 60609) * 365 = 77 Days </w:t>
            </w:r>
          </w:p>
        </w:tc>
        <w:tc>
          <w:tcPr>
            <w:tcW w:w="1220" w:type="dxa"/>
            <w:tcBorders>
              <w:top w:val="nil"/>
              <w:left w:val="nil"/>
              <w:bottom w:val="single" w:sz="4" w:space="0" w:color="auto"/>
              <w:right w:val="single" w:sz="4" w:space="0" w:color="auto"/>
            </w:tcBorders>
            <w:vAlign w:val="bottom"/>
            <w:hideMark/>
          </w:tcPr>
          <w:p w14:paraId="71FC2B63" w14:textId="77777777" w:rsidR="00811233" w:rsidRPr="00811233" w:rsidRDefault="00732348" w:rsidP="00811233">
            <w:pPr>
              <w:spacing w:after="0" w:line="240" w:lineRule="auto"/>
              <w:jc w:val="center"/>
              <w:rPr>
                <w:rFonts w:ascii="Arial" w:eastAsia="Times New Roman" w:hAnsi="Arial" w:cs="Arial"/>
                <w:color w:val="000000"/>
                <w:szCs w:val="24"/>
                <w:lang w:val="" w:eastAsia=""/>
              </w:rPr>
            </w:pPr>
            <w:r w:rsidRPr="00811233">
              <w:rPr>
                <w:rFonts w:ascii="Arial" w:eastAsia="Times New Roman" w:hAnsi="Arial" w:cs="Arial"/>
                <w:color w:val="000000"/>
                <w:szCs w:val="24"/>
                <w:lang w:val="" w:eastAsia=""/>
              </w:rPr>
              <w:t xml:space="preserve"> (5757 / 40217) * 365 = 52 Days </w:t>
            </w:r>
          </w:p>
        </w:tc>
      </w:tr>
    </w:tbl>
    <w:p w14:paraId="5374BE07" w14:textId="77777777" w:rsidR="00230E0B" w:rsidRDefault="00230E0B" w:rsidP="003B125A">
      <w:pPr>
        <w:spacing w:line="360" w:lineRule="auto"/>
        <w:rPr>
          <w:rFonts w:ascii="Times" w:hAnsi="Times" w:cs="Arial"/>
          <w:b/>
          <w:bCs/>
        </w:rPr>
      </w:pPr>
    </w:p>
    <w:p w14:paraId="40AAFA78" w14:textId="77777777" w:rsidR="007F4810" w:rsidRDefault="00732348" w:rsidP="003B125A">
      <w:pPr>
        <w:spacing w:line="360" w:lineRule="auto"/>
        <w:rPr>
          <w:rFonts w:ascii="Times" w:hAnsi="Times" w:cs="Arial"/>
          <w:b/>
          <w:bCs/>
        </w:rPr>
      </w:pPr>
      <w:r>
        <w:rPr>
          <w:noProof/>
        </w:rPr>
        <w:drawing>
          <wp:inline distT="0" distB="0" distL="0" distR="0" wp14:anchorId="6E1AB54F" wp14:editId="11AA7CA1">
            <wp:extent cx="6076950" cy="2743200"/>
            <wp:effectExtent l="0" t="0" r="0" b="0"/>
            <wp:docPr id="523268794" name="Chart 1">
              <a:extLst xmlns:a="http://schemas.openxmlformats.org/drawingml/2006/main">
                <a:ext uri="{FF2B5EF4-FFF2-40B4-BE49-F238E27FC236}">
                  <a16:creationId xmlns:a16="http://schemas.microsoft.com/office/drawing/2014/main" id="{A18B95E4-9E53-5B97-DEDD-FE149AD4D2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W w:w="10140" w:type="dxa"/>
        <w:jc w:val="center"/>
        <w:tblLook w:val="04A0" w:firstRow="1" w:lastRow="0" w:firstColumn="1" w:lastColumn="0" w:noHBand="0" w:noVBand="1"/>
      </w:tblPr>
      <w:tblGrid>
        <w:gridCol w:w="1660"/>
        <w:gridCol w:w="2200"/>
        <w:gridCol w:w="1180"/>
        <w:gridCol w:w="1160"/>
        <w:gridCol w:w="1360"/>
        <w:gridCol w:w="1360"/>
        <w:gridCol w:w="1220"/>
      </w:tblGrid>
      <w:tr w:rsidR="00D30489" w14:paraId="77F38CD8" w14:textId="77777777" w:rsidTr="003478C1">
        <w:trPr>
          <w:trHeight w:val="645"/>
          <w:jc w:val="center"/>
        </w:trPr>
        <w:tc>
          <w:tcPr>
            <w:tcW w:w="1660" w:type="dxa"/>
            <w:tcBorders>
              <w:top w:val="single" w:sz="8" w:space="0" w:color="auto"/>
              <w:left w:val="single" w:sz="8" w:space="0" w:color="auto"/>
              <w:bottom w:val="single" w:sz="8" w:space="0" w:color="auto"/>
              <w:right w:val="single" w:sz="8" w:space="0" w:color="auto"/>
            </w:tcBorders>
            <w:vAlign w:val="bottom"/>
            <w:hideMark/>
          </w:tcPr>
          <w:p w14:paraId="7A57A4F5" w14:textId="77777777" w:rsidR="003478C1" w:rsidRPr="003478C1" w:rsidRDefault="00732348" w:rsidP="003478C1">
            <w:pPr>
              <w:spacing w:after="0" w:line="240" w:lineRule="auto"/>
              <w:jc w:val="center"/>
              <w:rPr>
                <w:rFonts w:ascii="Arial" w:eastAsia="Times New Roman" w:hAnsi="Arial" w:cs="Arial"/>
                <w:b/>
                <w:bCs/>
                <w:color w:val="000000"/>
                <w:szCs w:val="24"/>
                <w:lang w:val="" w:eastAsia=""/>
              </w:rPr>
            </w:pPr>
            <w:r w:rsidRPr="003478C1">
              <w:rPr>
                <w:rFonts w:ascii="Arial" w:eastAsia="Times New Roman" w:hAnsi="Arial" w:cs="Arial"/>
                <w:b/>
                <w:bCs/>
                <w:color w:val="000000"/>
                <w:szCs w:val="24"/>
                <w:lang w:val="" w:eastAsia=""/>
              </w:rPr>
              <w:t>Gearing Ratios</w:t>
            </w:r>
          </w:p>
        </w:tc>
        <w:tc>
          <w:tcPr>
            <w:tcW w:w="2200" w:type="dxa"/>
            <w:tcBorders>
              <w:top w:val="single" w:sz="8" w:space="0" w:color="auto"/>
              <w:left w:val="nil"/>
              <w:bottom w:val="single" w:sz="8" w:space="0" w:color="auto"/>
              <w:right w:val="single" w:sz="8" w:space="0" w:color="auto"/>
            </w:tcBorders>
            <w:vAlign w:val="bottom"/>
            <w:hideMark/>
          </w:tcPr>
          <w:p w14:paraId="0F604344" w14:textId="77777777" w:rsidR="003478C1" w:rsidRPr="003478C1" w:rsidRDefault="00732348" w:rsidP="003478C1">
            <w:pPr>
              <w:spacing w:after="0" w:line="240" w:lineRule="auto"/>
              <w:jc w:val="center"/>
              <w:rPr>
                <w:rFonts w:ascii="Arial" w:eastAsia="Times New Roman" w:hAnsi="Arial" w:cs="Arial"/>
                <w:b/>
                <w:bCs/>
                <w:color w:val="000000"/>
                <w:szCs w:val="24"/>
                <w:lang w:val="" w:eastAsia=""/>
              </w:rPr>
            </w:pPr>
            <w:r w:rsidRPr="003478C1">
              <w:rPr>
                <w:rFonts w:ascii="Arial" w:eastAsia="Times New Roman" w:hAnsi="Arial" w:cs="Arial"/>
                <w:b/>
                <w:bCs/>
                <w:color w:val="000000"/>
                <w:szCs w:val="24"/>
                <w:lang w:val="" w:eastAsia=""/>
              </w:rPr>
              <w:t>Formula</w:t>
            </w:r>
          </w:p>
        </w:tc>
        <w:tc>
          <w:tcPr>
            <w:tcW w:w="1180" w:type="dxa"/>
            <w:tcBorders>
              <w:top w:val="single" w:sz="8" w:space="0" w:color="auto"/>
              <w:left w:val="nil"/>
              <w:bottom w:val="single" w:sz="8" w:space="0" w:color="auto"/>
              <w:right w:val="single" w:sz="8" w:space="0" w:color="auto"/>
            </w:tcBorders>
            <w:vAlign w:val="bottom"/>
            <w:hideMark/>
          </w:tcPr>
          <w:p w14:paraId="7B014FB5" w14:textId="77777777" w:rsidR="003478C1" w:rsidRPr="003478C1" w:rsidRDefault="00732348" w:rsidP="003478C1">
            <w:pPr>
              <w:spacing w:after="0" w:line="240" w:lineRule="auto"/>
              <w:jc w:val="center"/>
              <w:rPr>
                <w:rFonts w:ascii="Arial" w:eastAsia="Times New Roman" w:hAnsi="Arial" w:cs="Arial"/>
                <w:b/>
                <w:bCs/>
                <w:color w:val="000000"/>
                <w:szCs w:val="24"/>
                <w:lang w:val="" w:eastAsia=""/>
              </w:rPr>
            </w:pPr>
            <w:r w:rsidRPr="003478C1">
              <w:rPr>
                <w:rFonts w:ascii="Arial" w:eastAsia="Times New Roman" w:hAnsi="Arial" w:cs="Arial"/>
                <w:b/>
                <w:bCs/>
                <w:color w:val="000000"/>
                <w:szCs w:val="24"/>
                <w:lang w:val="" w:eastAsia=""/>
              </w:rPr>
              <w:t>2025</w:t>
            </w:r>
          </w:p>
        </w:tc>
        <w:tc>
          <w:tcPr>
            <w:tcW w:w="1160" w:type="dxa"/>
            <w:tcBorders>
              <w:top w:val="single" w:sz="8" w:space="0" w:color="auto"/>
              <w:left w:val="nil"/>
              <w:bottom w:val="single" w:sz="8" w:space="0" w:color="auto"/>
              <w:right w:val="single" w:sz="8" w:space="0" w:color="auto"/>
            </w:tcBorders>
            <w:vAlign w:val="bottom"/>
            <w:hideMark/>
          </w:tcPr>
          <w:p w14:paraId="7C5BC1F2" w14:textId="77777777" w:rsidR="003478C1" w:rsidRPr="003478C1" w:rsidRDefault="00732348" w:rsidP="003478C1">
            <w:pPr>
              <w:spacing w:after="0" w:line="240" w:lineRule="auto"/>
              <w:jc w:val="center"/>
              <w:rPr>
                <w:rFonts w:ascii="Arial" w:eastAsia="Times New Roman" w:hAnsi="Arial" w:cs="Arial"/>
                <w:b/>
                <w:bCs/>
                <w:color w:val="000000"/>
                <w:szCs w:val="24"/>
                <w:lang w:val="" w:eastAsia=""/>
              </w:rPr>
            </w:pPr>
            <w:r w:rsidRPr="003478C1">
              <w:rPr>
                <w:rFonts w:ascii="Arial" w:eastAsia="Times New Roman" w:hAnsi="Arial" w:cs="Arial"/>
                <w:b/>
                <w:bCs/>
                <w:color w:val="000000"/>
                <w:szCs w:val="24"/>
                <w:lang w:val="" w:eastAsia=""/>
              </w:rPr>
              <w:t>2024</w:t>
            </w:r>
          </w:p>
        </w:tc>
        <w:tc>
          <w:tcPr>
            <w:tcW w:w="1360" w:type="dxa"/>
            <w:tcBorders>
              <w:top w:val="single" w:sz="8" w:space="0" w:color="auto"/>
              <w:left w:val="nil"/>
              <w:bottom w:val="single" w:sz="8" w:space="0" w:color="auto"/>
              <w:right w:val="single" w:sz="8" w:space="0" w:color="auto"/>
            </w:tcBorders>
            <w:vAlign w:val="bottom"/>
            <w:hideMark/>
          </w:tcPr>
          <w:p w14:paraId="672C5008" w14:textId="77777777" w:rsidR="003478C1" w:rsidRPr="003478C1" w:rsidRDefault="00732348" w:rsidP="003478C1">
            <w:pPr>
              <w:spacing w:after="0" w:line="240" w:lineRule="auto"/>
              <w:jc w:val="center"/>
              <w:rPr>
                <w:rFonts w:ascii="Arial" w:eastAsia="Times New Roman" w:hAnsi="Arial" w:cs="Arial"/>
                <w:b/>
                <w:bCs/>
                <w:color w:val="000000"/>
                <w:szCs w:val="24"/>
                <w:lang w:val="" w:eastAsia=""/>
              </w:rPr>
            </w:pPr>
            <w:r w:rsidRPr="003478C1">
              <w:rPr>
                <w:rFonts w:ascii="Arial" w:eastAsia="Times New Roman" w:hAnsi="Arial" w:cs="Arial"/>
                <w:b/>
                <w:bCs/>
                <w:color w:val="000000"/>
                <w:szCs w:val="24"/>
                <w:lang w:val="" w:eastAsia=""/>
              </w:rPr>
              <w:t>2023</w:t>
            </w:r>
          </w:p>
        </w:tc>
        <w:tc>
          <w:tcPr>
            <w:tcW w:w="1360" w:type="dxa"/>
            <w:tcBorders>
              <w:top w:val="single" w:sz="8" w:space="0" w:color="auto"/>
              <w:left w:val="nil"/>
              <w:bottom w:val="single" w:sz="8" w:space="0" w:color="auto"/>
              <w:right w:val="single" w:sz="8" w:space="0" w:color="auto"/>
            </w:tcBorders>
            <w:noWrap/>
            <w:vAlign w:val="bottom"/>
            <w:hideMark/>
          </w:tcPr>
          <w:p w14:paraId="2A072B22" w14:textId="77777777" w:rsidR="003478C1" w:rsidRPr="003478C1" w:rsidRDefault="00732348" w:rsidP="003478C1">
            <w:pPr>
              <w:spacing w:after="0" w:line="240" w:lineRule="auto"/>
              <w:jc w:val="center"/>
              <w:rPr>
                <w:rFonts w:ascii="Arial" w:eastAsia="Times New Roman" w:hAnsi="Arial" w:cs="Arial"/>
                <w:b/>
                <w:bCs/>
                <w:color w:val="000000"/>
                <w:szCs w:val="24"/>
                <w:lang w:val="" w:eastAsia=""/>
              </w:rPr>
            </w:pPr>
            <w:r w:rsidRPr="003478C1">
              <w:rPr>
                <w:rFonts w:ascii="Arial" w:eastAsia="Times New Roman" w:hAnsi="Arial" w:cs="Arial"/>
                <w:b/>
                <w:bCs/>
                <w:color w:val="000000"/>
                <w:szCs w:val="24"/>
                <w:lang w:val="" w:eastAsia=""/>
              </w:rPr>
              <w:t>2022</w:t>
            </w:r>
          </w:p>
        </w:tc>
        <w:tc>
          <w:tcPr>
            <w:tcW w:w="1220" w:type="dxa"/>
            <w:tcBorders>
              <w:top w:val="single" w:sz="8" w:space="0" w:color="auto"/>
              <w:left w:val="nil"/>
              <w:bottom w:val="single" w:sz="8" w:space="0" w:color="auto"/>
              <w:right w:val="single" w:sz="8" w:space="0" w:color="auto"/>
            </w:tcBorders>
            <w:noWrap/>
            <w:vAlign w:val="bottom"/>
            <w:hideMark/>
          </w:tcPr>
          <w:p w14:paraId="700E843A" w14:textId="77777777" w:rsidR="003478C1" w:rsidRPr="003478C1" w:rsidRDefault="00732348" w:rsidP="003478C1">
            <w:pPr>
              <w:spacing w:after="0" w:line="240" w:lineRule="auto"/>
              <w:jc w:val="center"/>
              <w:rPr>
                <w:rFonts w:ascii="Arial" w:eastAsia="Times New Roman" w:hAnsi="Arial" w:cs="Arial"/>
                <w:b/>
                <w:bCs/>
                <w:color w:val="000000"/>
                <w:szCs w:val="24"/>
                <w:lang w:val="" w:eastAsia=""/>
              </w:rPr>
            </w:pPr>
            <w:r w:rsidRPr="003478C1">
              <w:rPr>
                <w:rFonts w:ascii="Arial" w:eastAsia="Times New Roman" w:hAnsi="Arial" w:cs="Arial"/>
                <w:b/>
                <w:bCs/>
                <w:color w:val="000000"/>
                <w:szCs w:val="24"/>
                <w:lang w:val="" w:eastAsia=""/>
              </w:rPr>
              <w:t>2021</w:t>
            </w:r>
          </w:p>
        </w:tc>
      </w:tr>
      <w:tr w:rsidR="00D30489" w14:paraId="7D736436" w14:textId="77777777" w:rsidTr="003478C1">
        <w:trPr>
          <w:trHeight w:val="900"/>
          <w:jc w:val="center"/>
        </w:trPr>
        <w:tc>
          <w:tcPr>
            <w:tcW w:w="1660" w:type="dxa"/>
            <w:tcBorders>
              <w:top w:val="nil"/>
              <w:left w:val="single" w:sz="4" w:space="0" w:color="auto"/>
              <w:bottom w:val="single" w:sz="4" w:space="0" w:color="auto"/>
              <w:right w:val="single" w:sz="4" w:space="0" w:color="auto"/>
            </w:tcBorders>
            <w:vAlign w:val="center"/>
            <w:hideMark/>
          </w:tcPr>
          <w:p w14:paraId="556F2A56"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lastRenderedPageBreak/>
              <w:t>Debt to equity</w:t>
            </w:r>
          </w:p>
        </w:tc>
        <w:tc>
          <w:tcPr>
            <w:tcW w:w="2200" w:type="dxa"/>
            <w:tcBorders>
              <w:top w:val="nil"/>
              <w:left w:val="nil"/>
              <w:bottom w:val="single" w:sz="4" w:space="0" w:color="auto"/>
              <w:right w:val="single" w:sz="4" w:space="0" w:color="auto"/>
            </w:tcBorders>
            <w:vAlign w:val="center"/>
            <w:hideMark/>
          </w:tcPr>
          <w:p w14:paraId="24B8066D"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Total Debt / Total Equity</w:t>
            </w:r>
          </w:p>
        </w:tc>
        <w:tc>
          <w:tcPr>
            <w:tcW w:w="1180" w:type="dxa"/>
            <w:tcBorders>
              <w:top w:val="nil"/>
              <w:left w:val="nil"/>
              <w:bottom w:val="single" w:sz="4" w:space="0" w:color="auto"/>
              <w:right w:val="single" w:sz="4" w:space="0" w:color="auto"/>
            </w:tcBorders>
            <w:vAlign w:val="bottom"/>
            <w:hideMark/>
          </w:tcPr>
          <w:p w14:paraId="42DB4DA1"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54941 / 82137 = 67%</w:t>
            </w:r>
          </w:p>
        </w:tc>
        <w:tc>
          <w:tcPr>
            <w:tcW w:w="1160" w:type="dxa"/>
            <w:tcBorders>
              <w:top w:val="nil"/>
              <w:left w:val="nil"/>
              <w:bottom w:val="single" w:sz="4" w:space="0" w:color="auto"/>
              <w:right w:val="single" w:sz="4" w:space="0" w:color="auto"/>
            </w:tcBorders>
            <w:vAlign w:val="bottom"/>
            <w:hideMark/>
          </w:tcPr>
          <w:p w14:paraId="723DDEA5"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48390 / 72913 = 66%</w:t>
            </w:r>
          </w:p>
        </w:tc>
        <w:tc>
          <w:tcPr>
            <w:tcW w:w="1360" w:type="dxa"/>
            <w:tcBorders>
              <w:top w:val="nil"/>
              <w:left w:val="nil"/>
              <w:bottom w:val="single" w:sz="4" w:space="0" w:color="auto"/>
              <w:right w:val="single" w:sz="4" w:space="0" w:color="auto"/>
            </w:tcBorders>
            <w:vAlign w:val="bottom"/>
            <w:hideMark/>
          </w:tcPr>
          <w:p w14:paraId="4A9352E2"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 xml:space="preserve"> 43009 / 62634 = 69% </w:t>
            </w:r>
          </w:p>
        </w:tc>
        <w:tc>
          <w:tcPr>
            <w:tcW w:w="1360" w:type="dxa"/>
            <w:tcBorders>
              <w:top w:val="nil"/>
              <w:left w:val="nil"/>
              <w:bottom w:val="single" w:sz="4" w:space="0" w:color="auto"/>
              <w:right w:val="single" w:sz="4" w:space="0" w:color="auto"/>
            </w:tcBorders>
            <w:vAlign w:val="bottom"/>
            <w:hideMark/>
          </w:tcPr>
          <w:p w14:paraId="10DF7428"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 xml:space="preserve"> 36440 / 44704 = 82% </w:t>
            </w:r>
          </w:p>
        </w:tc>
        <w:tc>
          <w:tcPr>
            <w:tcW w:w="1220" w:type="dxa"/>
            <w:tcBorders>
              <w:top w:val="nil"/>
              <w:left w:val="nil"/>
              <w:bottom w:val="single" w:sz="4" w:space="0" w:color="auto"/>
              <w:right w:val="single" w:sz="4" w:space="0" w:color="auto"/>
            </w:tcBorders>
            <w:vAlign w:val="bottom"/>
            <w:hideMark/>
          </w:tcPr>
          <w:p w14:paraId="6777E404"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 xml:space="preserve"> 30548 / 30189 = 101% </w:t>
            </w:r>
          </w:p>
        </w:tc>
      </w:tr>
      <w:tr w:rsidR="00D30489" w14:paraId="3549D8ED" w14:textId="77777777" w:rsidTr="003478C1">
        <w:trPr>
          <w:trHeight w:val="900"/>
          <w:jc w:val="center"/>
        </w:trPr>
        <w:tc>
          <w:tcPr>
            <w:tcW w:w="1660" w:type="dxa"/>
            <w:tcBorders>
              <w:top w:val="nil"/>
              <w:left w:val="single" w:sz="4" w:space="0" w:color="auto"/>
              <w:bottom w:val="single" w:sz="4" w:space="0" w:color="auto"/>
              <w:right w:val="single" w:sz="4" w:space="0" w:color="auto"/>
            </w:tcBorders>
            <w:vAlign w:val="center"/>
            <w:hideMark/>
          </w:tcPr>
          <w:p w14:paraId="4ED867FF"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Interest Coverage</w:t>
            </w:r>
          </w:p>
        </w:tc>
        <w:tc>
          <w:tcPr>
            <w:tcW w:w="2200" w:type="dxa"/>
            <w:tcBorders>
              <w:top w:val="nil"/>
              <w:left w:val="nil"/>
              <w:bottom w:val="single" w:sz="4" w:space="0" w:color="auto"/>
              <w:right w:val="single" w:sz="4" w:space="0" w:color="auto"/>
            </w:tcBorders>
            <w:vAlign w:val="center"/>
            <w:hideMark/>
          </w:tcPr>
          <w:p w14:paraId="5F1A8F8E"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Operating profit/ Interest Expense</w:t>
            </w:r>
          </w:p>
        </w:tc>
        <w:tc>
          <w:tcPr>
            <w:tcW w:w="1180" w:type="dxa"/>
            <w:tcBorders>
              <w:top w:val="nil"/>
              <w:left w:val="nil"/>
              <w:bottom w:val="single" w:sz="4" w:space="0" w:color="auto"/>
              <w:right w:val="single" w:sz="4" w:space="0" w:color="auto"/>
            </w:tcBorders>
            <w:vAlign w:val="bottom"/>
            <w:hideMark/>
          </w:tcPr>
          <w:p w14:paraId="19022656"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4355 / 338 = 12.88</w:t>
            </w:r>
          </w:p>
        </w:tc>
        <w:tc>
          <w:tcPr>
            <w:tcW w:w="1160" w:type="dxa"/>
            <w:tcBorders>
              <w:top w:val="nil"/>
              <w:left w:val="nil"/>
              <w:bottom w:val="single" w:sz="4" w:space="0" w:color="auto"/>
              <w:right w:val="single" w:sz="4" w:space="0" w:color="auto"/>
            </w:tcBorders>
            <w:vAlign w:val="bottom"/>
            <w:hideMark/>
          </w:tcPr>
          <w:p w14:paraId="02856C5D"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7076 / 350 = 20.22</w:t>
            </w:r>
          </w:p>
        </w:tc>
        <w:tc>
          <w:tcPr>
            <w:tcW w:w="1360" w:type="dxa"/>
            <w:tcBorders>
              <w:top w:val="nil"/>
              <w:left w:val="nil"/>
              <w:bottom w:val="single" w:sz="4" w:space="0" w:color="auto"/>
              <w:right w:val="single" w:sz="4" w:space="0" w:color="auto"/>
            </w:tcBorders>
            <w:vAlign w:val="bottom"/>
            <w:hideMark/>
          </w:tcPr>
          <w:p w14:paraId="539AEB53"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 xml:space="preserve"> 8891 / 156 = 56.99 </w:t>
            </w:r>
          </w:p>
        </w:tc>
        <w:tc>
          <w:tcPr>
            <w:tcW w:w="1360" w:type="dxa"/>
            <w:tcBorders>
              <w:top w:val="nil"/>
              <w:left w:val="nil"/>
              <w:bottom w:val="single" w:sz="4" w:space="0" w:color="auto"/>
              <w:right w:val="single" w:sz="4" w:space="0" w:color="auto"/>
            </w:tcBorders>
            <w:vAlign w:val="bottom"/>
            <w:hideMark/>
          </w:tcPr>
          <w:p w14:paraId="7942AA30"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 xml:space="preserve"> 13656 / 191 = 71.5 </w:t>
            </w:r>
          </w:p>
        </w:tc>
        <w:tc>
          <w:tcPr>
            <w:tcW w:w="1220" w:type="dxa"/>
            <w:tcBorders>
              <w:top w:val="nil"/>
              <w:left w:val="nil"/>
              <w:bottom w:val="single" w:sz="4" w:space="0" w:color="auto"/>
              <w:right w:val="single" w:sz="4" w:space="0" w:color="auto"/>
            </w:tcBorders>
            <w:vAlign w:val="bottom"/>
            <w:hideMark/>
          </w:tcPr>
          <w:p w14:paraId="0D87FEE2" w14:textId="77777777" w:rsidR="003478C1" w:rsidRPr="003478C1" w:rsidRDefault="00732348" w:rsidP="003478C1">
            <w:pPr>
              <w:spacing w:after="0" w:line="240" w:lineRule="auto"/>
              <w:jc w:val="center"/>
              <w:rPr>
                <w:rFonts w:ascii="Arial" w:eastAsia="Times New Roman" w:hAnsi="Arial" w:cs="Arial"/>
                <w:color w:val="000000"/>
                <w:szCs w:val="24"/>
                <w:lang w:val="" w:eastAsia=""/>
              </w:rPr>
            </w:pPr>
            <w:r w:rsidRPr="003478C1">
              <w:rPr>
                <w:rFonts w:ascii="Arial" w:eastAsia="Times New Roman" w:hAnsi="Arial" w:cs="Arial"/>
                <w:color w:val="000000"/>
                <w:szCs w:val="24"/>
                <w:lang w:val="" w:eastAsia=""/>
              </w:rPr>
              <w:t xml:space="preserve"> 6523 / 371 = 17.58 </w:t>
            </w:r>
          </w:p>
        </w:tc>
      </w:tr>
    </w:tbl>
    <w:p w14:paraId="6D13D81B" w14:textId="77777777" w:rsidR="003478C1" w:rsidRDefault="003478C1" w:rsidP="003B125A">
      <w:pPr>
        <w:spacing w:line="360" w:lineRule="auto"/>
        <w:rPr>
          <w:rFonts w:ascii="Times" w:hAnsi="Times" w:cs="Arial"/>
          <w:b/>
          <w:bCs/>
        </w:rPr>
      </w:pPr>
    </w:p>
    <w:p w14:paraId="2D56861C" w14:textId="77777777" w:rsidR="003478C1" w:rsidRDefault="00732348" w:rsidP="003478C1">
      <w:pPr>
        <w:spacing w:line="360" w:lineRule="auto"/>
        <w:jc w:val="center"/>
        <w:rPr>
          <w:rFonts w:ascii="Times" w:hAnsi="Times" w:cs="Arial"/>
          <w:b/>
          <w:bCs/>
        </w:rPr>
      </w:pPr>
      <w:r>
        <w:rPr>
          <w:noProof/>
        </w:rPr>
        <w:drawing>
          <wp:inline distT="0" distB="0" distL="0" distR="0" wp14:anchorId="547BF9BD" wp14:editId="3328ABEA">
            <wp:extent cx="4572000" cy="2743200"/>
            <wp:effectExtent l="0" t="0" r="0" b="0"/>
            <wp:docPr id="597818122" name="Chart 1">
              <a:extLst xmlns:a="http://schemas.openxmlformats.org/drawingml/2006/main">
                <a:ext uri="{FF2B5EF4-FFF2-40B4-BE49-F238E27FC236}">
                  <a16:creationId xmlns:a16="http://schemas.microsoft.com/office/drawing/2014/main" id="{49CB05E9-8344-4022-F4FB-9EBABF57BB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B63B537" w14:textId="77777777" w:rsidR="002B51DE" w:rsidRDefault="002B51DE" w:rsidP="003B125A">
      <w:pPr>
        <w:spacing w:line="360" w:lineRule="auto"/>
        <w:rPr>
          <w:rFonts w:ascii="Times" w:hAnsi="Times" w:cs="Arial"/>
          <w:b/>
          <w:bCs/>
        </w:rPr>
      </w:pPr>
    </w:p>
    <w:p w14:paraId="6B2BDF09" w14:textId="77777777" w:rsidR="00553F70" w:rsidRDefault="00732348" w:rsidP="003478C1">
      <w:pPr>
        <w:spacing w:line="360" w:lineRule="auto"/>
        <w:jc w:val="center"/>
        <w:rPr>
          <w:rFonts w:ascii="Times" w:hAnsi="Times" w:cs="Arial"/>
          <w:b/>
          <w:bCs/>
        </w:rPr>
      </w:pPr>
      <w:r>
        <w:rPr>
          <w:noProof/>
        </w:rPr>
        <w:drawing>
          <wp:inline distT="0" distB="0" distL="0" distR="0" wp14:anchorId="3A580B32" wp14:editId="5EB2592D">
            <wp:extent cx="4572000" cy="2743200"/>
            <wp:effectExtent l="0" t="0" r="0" b="0"/>
            <wp:docPr id="2071060685" name="Chart 1">
              <a:extLst xmlns:a="http://schemas.openxmlformats.org/drawingml/2006/main">
                <a:ext uri="{FF2B5EF4-FFF2-40B4-BE49-F238E27FC236}">
                  <a16:creationId xmlns:a16="http://schemas.microsoft.com/office/drawing/2014/main" id="{1E3A768B-80BE-D9CF-1CE3-A1B3411643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D185761" w14:textId="77777777" w:rsidR="003478C1" w:rsidRDefault="003478C1" w:rsidP="00553F70">
      <w:pPr>
        <w:spacing w:line="360" w:lineRule="auto"/>
        <w:rPr>
          <w:rFonts w:ascii="Times" w:hAnsi="Times" w:cs="Arial"/>
          <w:b/>
          <w:bCs/>
        </w:rPr>
      </w:pPr>
    </w:p>
    <w:tbl>
      <w:tblPr>
        <w:tblW w:w="10140" w:type="dxa"/>
        <w:tblLook w:val="04A0" w:firstRow="1" w:lastRow="0" w:firstColumn="1" w:lastColumn="0" w:noHBand="0" w:noVBand="1"/>
      </w:tblPr>
      <w:tblGrid>
        <w:gridCol w:w="1660"/>
        <w:gridCol w:w="2200"/>
        <w:gridCol w:w="1180"/>
        <w:gridCol w:w="1160"/>
        <w:gridCol w:w="1360"/>
        <w:gridCol w:w="1360"/>
        <w:gridCol w:w="1220"/>
      </w:tblGrid>
      <w:tr w:rsidR="00D30489" w14:paraId="6C15A54D" w14:textId="77777777" w:rsidTr="0020713F">
        <w:trPr>
          <w:trHeight w:val="645"/>
        </w:trPr>
        <w:tc>
          <w:tcPr>
            <w:tcW w:w="1660" w:type="dxa"/>
            <w:tcBorders>
              <w:top w:val="single" w:sz="8" w:space="0" w:color="auto"/>
              <w:left w:val="single" w:sz="8" w:space="0" w:color="auto"/>
              <w:bottom w:val="single" w:sz="8" w:space="0" w:color="auto"/>
              <w:right w:val="single" w:sz="8" w:space="0" w:color="auto"/>
            </w:tcBorders>
            <w:vAlign w:val="bottom"/>
            <w:hideMark/>
          </w:tcPr>
          <w:p w14:paraId="79DCE87F"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Investment Ratios</w:t>
            </w:r>
          </w:p>
        </w:tc>
        <w:tc>
          <w:tcPr>
            <w:tcW w:w="2200" w:type="dxa"/>
            <w:tcBorders>
              <w:top w:val="single" w:sz="8" w:space="0" w:color="auto"/>
              <w:left w:val="nil"/>
              <w:bottom w:val="single" w:sz="8" w:space="0" w:color="auto"/>
              <w:right w:val="single" w:sz="8" w:space="0" w:color="auto"/>
            </w:tcBorders>
            <w:vAlign w:val="bottom"/>
            <w:hideMark/>
          </w:tcPr>
          <w:p w14:paraId="2AD03C2F"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Formula</w:t>
            </w:r>
          </w:p>
        </w:tc>
        <w:tc>
          <w:tcPr>
            <w:tcW w:w="1180" w:type="dxa"/>
            <w:tcBorders>
              <w:top w:val="single" w:sz="8" w:space="0" w:color="auto"/>
              <w:left w:val="nil"/>
              <w:bottom w:val="single" w:sz="8" w:space="0" w:color="auto"/>
              <w:right w:val="single" w:sz="8" w:space="0" w:color="auto"/>
            </w:tcBorders>
            <w:vAlign w:val="bottom"/>
            <w:hideMark/>
          </w:tcPr>
          <w:p w14:paraId="11A1AE38"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2025</w:t>
            </w:r>
          </w:p>
        </w:tc>
        <w:tc>
          <w:tcPr>
            <w:tcW w:w="1160" w:type="dxa"/>
            <w:tcBorders>
              <w:top w:val="single" w:sz="8" w:space="0" w:color="auto"/>
              <w:left w:val="nil"/>
              <w:bottom w:val="single" w:sz="8" w:space="0" w:color="auto"/>
              <w:right w:val="single" w:sz="8" w:space="0" w:color="auto"/>
            </w:tcBorders>
            <w:vAlign w:val="bottom"/>
            <w:hideMark/>
          </w:tcPr>
          <w:p w14:paraId="02A55757"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2024</w:t>
            </w:r>
          </w:p>
        </w:tc>
        <w:tc>
          <w:tcPr>
            <w:tcW w:w="1360" w:type="dxa"/>
            <w:tcBorders>
              <w:top w:val="single" w:sz="8" w:space="0" w:color="auto"/>
              <w:left w:val="nil"/>
              <w:bottom w:val="single" w:sz="8" w:space="0" w:color="auto"/>
              <w:right w:val="single" w:sz="8" w:space="0" w:color="auto"/>
            </w:tcBorders>
            <w:vAlign w:val="bottom"/>
            <w:hideMark/>
          </w:tcPr>
          <w:p w14:paraId="1C14528A"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2023</w:t>
            </w:r>
          </w:p>
        </w:tc>
        <w:tc>
          <w:tcPr>
            <w:tcW w:w="1360" w:type="dxa"/>
            <w:tcBorders>
              <w:top w:val="single" w:sz="8" w:space="0" w:color="auto"/>
              <w:left w:val="nil"/>
              <w:bottom w:val="single" w:sz="8" w:space="0" w:color="auto"/>
              <w:right w:val="single" w:sz="8" w:space="0" w:color="auto"/>
            </w:tcBorders>
            <w:noWrap/>
            <w:vAlign w:val="bottom"/>
            <w:hideMark/>
          </w:tcPr>
          <w:p w14:paraId="52AF38DF"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2022</w:t>
            </w:r>
          </w:p>
        </w:tc>
        <w:tc>
          <w:tcPr>
            <w:tcW w:w="1220" w:type="dxa"/>
            <w:tcBorders>
              <w:top w:val="single" w:sz="8" w:space="0" w:color="auto"/>
              <w:left w:val="nil"/>
              <w:bottom w:val="single" w:sz="8" w:space="0" w:color="auto"/>
              <w:right w:val="single" w:sz="8" w:space="0" w:color="auto"/>
            </w:tcBorders>
            <w:noWrap/>
            <w:vAlign w:val="bottom"/>
            <w:hideMark/>
          </w:tcPr>
          <w:p w14:paraId="2725B175"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2021</w:t>
            </w:r>
          </w:p>
        </w:tc>
      </w:tr>
      <w:tr w:rsidR="00D30489" w14:paraId="109AE1BC" w14:textId="77777777" w:rsidTr="0020713F">
        <w:trPr>
          <w:trHeight w:val="900"/>
        </w:trPr>
        <w:tc>
          <w:tcPr>
            <w:tcW w:w="1660" w:type="dxa"/>
            <w:tcBorders>
              <w:top w:val="nil"/>
              <w:left w:val="single" w:sz="4" w:space="0" w:color="auto"/>
              <w:bottom w:val="single" w:sz="4" w:space="0" w:color="auto"/>
              <w:right w:val="single" w:sz="4" w:space="0" w:color="auto"/>
            </w:tcBorders>
            <w:vAlign w:val="center"/>
            <w:hideMark/>
          </w:tcPr>
          <w:p w14:paraId="157365F9"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lastRenderedPageBreak/>
              <w:t>EPS</w:t>
            </w:r>
          </w:p>
        </w:tc>
        <w:tc>
          <w:tcPr>
            <w:tcW w:w="2200" w:type="dxa"/>
            <w:tcBorders>
              <w:top w:val="nil"/>
              <w:left w:val="nil"/>
              <w:bottom w:val="single" w:sz="4" w:space="0" w:color="auto"/>
              <w:right w:val="single" w:sz="4" w:space="0" w:color="auto"/>
            </w:tcBorders>
            <w:vAlign w:val="center"/>
            <w:hideMark/>
          </w:tcPr>
          <w:p w14:paraId="071BC39F"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Net income / Average shares</w:t>
            </w:r>
          </w:p>
        </w:tc>
        <w:tc>
          <w:tcPr>
            <w:tcW w:w="1180" w:type="dxa"/>
            <w:tcBorders>
              <w:top w:val="nil"/>
              <w:left w:val="nil"/>
              <w:bottom w:val="single" w:sz="4" w:space="0" w:color="auto"/>
              <w:right w:val="single" w:sz="4" w:space="0" w:color="auto"/>
            </w:tcBorders>
            <w:vAlign w:val="bottom"/>
            <w:hideMark/>
          </w:tcPr>
          <w:p w14:paraId="4F2C6D26"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3855 / 3520 = 1.2</w:t>
            </w:r>
          </w:p>
        </w:tc>
        <w:tc>
          <w:tcPr>
            <w:tcW w:w="1160" w:type="dxa"/>
            <w:tcBorders>
              <w:top w:val="nil"/>
              <w:left w:val="nil"/>
              <w:bottom w:val="single" w:sz="4" w:space="0" w:color="auto"/>
              <w:right w:val="single" w:sz="4" w:space="0" w:color="auto"/>
            </w:tcBorders>
            <w:vAlign w:val="bottom"/>
            <w:hideMark/>
          </w:tcPr>
          <w:p w14:paraId="76642218"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7153 / 3197 = 2.24</w:t>
            </w:r>
          </w:p>
        </w:tc>
        <w:tc>
          <w:tcPr>
            <w:tcW w:w="1360" w:type="dxa"/>
            <w:tcBorders>
              <w:top w:val="nil"/>
              <w:left w:val="nil"/>
              <w:bottom w:val="single" w:sz="4" w:space="0" w:color="auto"/>
              <w:right w:val="single" w:sz="4" w:space="0" w:color="auto"/>
            </w:tcBorders>
            <w:vAlign w:val="bottom"/>
            <w:hideMark/>
          </w:tcPr>
          <w:p w14:paraId="7A7CE402"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14974 / 3174 = 4.72 </w:t>
            </w:r>
          </w:p>
        </w:tc>
        <w:tc>
          <w:tcPr>
            <w:tcW w:w="1360" w:type="dxa"/>
            <w:tcBorders>
              <w:top w:val="nil"/>
              <w:left w:val="nil"/>
              <w:bottom w:val="single" w:sz="4" w:space="0" w:color="auto"/>
              <w:right w:val="single" w:sz="4" w:space="0" w:color="auto"/>
            </w:tcBorders>
            <w:vAlign w:val="bottom"/>
            <w:hideMark/>
          </w:tcPr>
          <w:p w14:paraId="24441325"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12587 / 3130 = 4.02 </w:t>
            </w:r>
          </w:p>
        </w:tc>
        <w:tc>
          <w:tcPr>
            <w:tcW w:w="1220" w:type="dxa"/>
            <w:tcBorders>
              <w:top w:val="nil"/>
              <w:left w:val="nil"/>
              <w:bottom w:val="single" w:sz="4" w:space="0" w:color="auto"/>
              <w:right w:val="single" w:sz="4" w:space="0" w:color="auto"/>
            </w:tcBorders>
            <w:vAlign w:val="bottom"/>
            <w:hideMark/>
          </w:tcPr>
          <w:p w14:paraId="629F3400"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5644 / 2959 = 1.91 </w:t>
            </w:r>
          </w:p>
        </w:tc>
      </w:tr>
      <w:tr w:rsidR="00D30489" w14:paraId="0E1A89CD" w14:textId="77777777" w:rsidTr="0020713F">
        <w:trPr>
          <w:trHeight w:val="900"/>
        </w:trPr>
        <w:tc>
          <w:tcPr>
            <w:tcW w:w="1660" w:type="dxa"/>
            <w:tcBorders>
              <w:top w:val="nil"/>
              <w:left w:val="single" w:sz="4" w:space="0" w:color="auto"/>
              <w:bottom w:val="single" w:sz="4" w:space="0" w:color="auto"/>
              <w:right w:val="single" w:sz="4" w:space="0" w:color="auto"/>
            </w:tcBorders>
            <w:vAlign w:val="center"/>
            <w:hideMark/>
          </w:tcPr>
          <w:p w14:paraId="20D294D5"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P/E Ratio</w:t>
            </w:r>
          </w:p>
        </w:tc>
        <w:tc>
          <w:tcPr>
            <w:tcW w:w="2200" w:type="dxa"/>
            <w:tcBorders>
              <w:top w:val="nil"/>
              <w:left w:val="nil"/>
              <w:bottom w:val="single" w:sz="4" w:space="0" w:color="auto"/>
              <w:right w:val="single" w:sz="4" w:space="0" w:color="auto"/>
            </w:tcBorders>
            <w:vAlign w:val="center"/>
            <w:hideMark/>
          </w:tcPr>
          <w:p w14:paraId="49A4774F"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Market Price of Share / EPS</w:t>
            </w:r>
          </w:p>
        </w:tc>
        <w:tc>
          <w:tcPr>
            <w:tcW w:w="1180" w:type="dxa"/>
            <w:tcBorders>
              <w:top w:val="nil"/>
              <w:left w:val="nil"/>
              <w:bottom w:val="single" w:sz="4" w:space="0" w:color="auto"/>
              <w:right w:val="single" w:sz="4" w:space="0" w:color="auto"/>
            </w:tcBorders>
            <w:vAlign w:val="bottom"/>
            <w:hideMark/>
          </w:tcPr>
          <w:p w14:paraId="4581F9ED"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250 / 1.2 = 209.14</w:t>
            </w:r>
          </w:p>
        </w:tc>
        <w:tc>
          <w:tcPr>
            <w:tcW w:w="1160" w:type="dxa"/>
            <w:tcBorders>
              <w:top w:val="nil"/>
              <w:left w:val="nil"/>
              <w:bottom w:val="single" w:sz="4" w:space="0" w:color="auto"/>
              <w:right w:val="single" w:sz="4" w:space="0" w:color="auto"/>
            </w:tcBorders>
            <w:vAlign w:val="bottom"/>
            <w:hideMark/>
          </w:tcPr>
          <w:p w14:paraId="265DC5FA"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250 / 2.24 = 111.74</w:t>
            </w:r>
          </w:p>
        </w:tc>
        <w:tc>
          <w:tcPr>
            <w:tcW w:w="1360" w:type="dxa"/>
            <w:tcBorders>
              <w:top w:val="nil"/>
              <w:left w:val="nil"/>
              <w:bottom w:val="single" w:sz="4" w:space="0" w:color="auto"/>
              <w:right w:val="single" w:sz="4" w:space="0" w:color="auto"/>
            </w:tcBorders>
            <w:vAlign w:val="bottom"/>
            <w:hideMark/>
          </w:tcPr>
          <w:p w14:paraId="7680C93B"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248 / 4.72 = 52.57 </w:t>
            </w:r>
          </w:p>
        </w:tc>
        <w:tc>
          <w:tcPr>
            <w:tcW w:w="1360" w:type="dxa"/>
            <w:tcBorders>
              <w:top w:val="nil"/>
              <w:left w:val="nil"/>
              <w:bottom w:val="single" w:sz="4" w:space="0" w:color="auto"/>
              <w:right w:val="single" w:sz="4" w:space="0" w:color="auto"/>
            </w:tcBorders>
            <w:vAlign w:val="bottom"/>
            <w:hideMark/>
          </w:tcPr>
          <w:p w14:paraId="45B4CC3A"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123 / 4.02 = 30.59 </w:t>
            </w:r>
          </w:p>
        </w:tc>
        <w:tc>
          <w:tcPr>
            <w:tcW w:w="1220" w:type="dxa"/>
            <w:tcBorders>
              <w:top w:val="nil"/>
              <w:left w:val="nil"/>
              <w:bottom w:val="single" w:sz="4" w:space="0" w:color="auto"/>
              <w:right w:val="single" w:sz="4" w:space="0" w:color="auto"/>
            </w:tcBorders>
            <w:vAlign w:val="bottom"/>
            <w:hideMark/>
          </w:tcPr>
          <w:p w14:paraId="440BA736"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352 / 1.91 = 184.54 </w:t>
            </w:r>
          </w:p>
        </w:tc>
      </w:tr>
    </w:tbl>
    <w:p w14:paraId="2B254661" w14:textId="77777777" w:rsidR="00F02AD7" w:rsidRDefault="00F02AD7" w:rsidP="00553F70">
      <w:pPr>
        <w:spacing w:line="360" w:lineRule="auto"/>
        <w:rPr>
          <w:rFonts w:ascii="Times" w:hAnsi="Times" w:cs="Arial"/>
          <w:b/>
          <w:bCs/>
        </w:rPr>
      </w:pPr>
    </w:p>
    <w:tbl>
      <w:tblPr>
        <w:tblW w:w="10140" w:type="dxa"/>
        <w:tblLook w:val="04A0" w:firstRow="1" w:lastRow="0" w:firstColumn="1" w:lastColumn="0" w:noHBand="0" w:noVBand="1"/>
      </w:tblPr>
      <w:tblGrid>
        <w:gridCol w:w="1660"/>
        <w:gridCol w:w="2200"/>
        <w:gridCol w:w="1180"/>
        <w:gridCol w:w="1160"/>
        <w:gridCol w:w="1360"/>
        <w:gridCol w:w="1360"/>
        <w:gridCol w:w="1220"/>
      </w:tblGrid>
      <w:tr w:rsidR="00D30489" w14:paraId="1B022F4D" w14:textId="77777777" w:rsidTr="0020713F">
        <w:trPr>
          <w:trHeight w:val="645"/>
        </w:trPr>
        <w:tc>
          <w:tcPr>
            <w:tcW w:w="1660" w:type="dxa"/>
            <w:tcBorders>
              <w:top w:val="single" w:sz="8" w:space="0" w:color="auto"/>
              <w:left w:val="single" w:sz="8" w:space="0" w:color="auto"/>
              <w:bottom w:val="single" w:sz="8" w:space="0" w:color="auto"/>
              <w:right w:val="single" w:sz="8" w:space="0" w:color="auto"/>
            </w:tcBorders>
            <w:vAlign w:val="bottom"/>
            <w:hideMark/>
          </w:tcPr>
          <w:p w14:paraId="5009C6F6"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Cash Flow Ratios</w:t>
            </w:r>
          </w:p>
        </w:tc>
        <w:tc>
          <w:tcPr>
            <w:tcW w:w="2200" w:type="dxa"/>
            <w:tcBorders>
              <w:top w:val="single" w:sz="8" w:space="0" w:color="auto"/>
              <w:left w:val="nil"/>
              <w:bottom w:val="single" w:sz="8" w:space="0" w:color="auto"/>
              <w:right w:val="single" w:sz="8" w:space="0" w:color="auto"/>
            </w:tcBorders>
            <w:vAlign w:val="bottom"/>
            <w:hideMark/>
          </w:tcPr>
          <w:p w14:paraId="2222AF66"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Formula</w:t>
            </w:r>
          </w:p>
        </w:tc>
        <w:tc>
          <w:tcPr>
            <w:tcW w:w="1180" w:type="dxa"/>
            <w:tcBorders>
              <w:top w:val="single" w:sz="8" w:space="0" w:color="auto"/>
              <w:left w:val="nil"/>
              <w:bottom w:val="single" w:sz="8" w:space="0" w:color="auto"/>
              <w:right w:val="single" w:sz="8" w:space="0" w:color="auto"/>
            </w:tcBorders>
            <w:vAlign w:val="bottom"/>
            <w:hideMark/>
          </w:tcPr>
          <w:p w14:paraId="27AFA257"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2025</w:t>
            </w:r>
          </w:p>
        </w:tc>
        <w:tc>
          <w:tcPr>
            <w:tcW w:w="1160" w:type="dxa"/>
            <w:tcBorders>
              <w:top w:val="single" w:sz="8" w:space="0" w:color="auto"/>
              <w:left w:val="nil"/>
              <w:bottom w:val="single" w:sz="8" w:space="0" w:color="auto"/>
              <w:right w:val="single" w:sz="8" w:space="0" w:color="auto"/>
            </w:tcBorders>
            <w:vAlign w:val="bottom"/>
            <w:hideMark/>
          </w:tcPr>
          <w:p w14:paraId="17F3A59F"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2024</w:t>
            </w:r>
          </w:p>
        </w:tc>
        <w:tc>
          <w:tcPr>
            <w:tcW w:w="1360" w:type="dxa"/>
            <w:tcBorders>
              <w:top w:val="single" w:sz="8" w:space="0" w:color="auto"/>
              <w:left w:val="nil"/>
              <w:bottom w:val="single" w:sz="8" w:space="0" w:color="auto"/>
              <w:right w:val="single" w:sz="8" w:space="0" w:color="auto"/>
            </w:tcBorders>
            <w:vAlign w:val="bottom"/>
            <w:hideMark/>
          </w:tcPr>
          <w:p w14:paraId="79257935"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2023</w:t>
            </w:r>
          </w:p>
        </w:tc>
        <w:tc>
          <w:tcPr>
            <w:tcW w:w="1360" w:type="dxa"/>
            <w:tcBorders>
              <w:top w:val="single" w:sz="8" w:space="0" w:color="auto"/>
              <w:left w:val="nil"/>
              <w:bottom w:val="single" w:sz="8" w:space="0" w:color="auto"/>
              <w:right w:val="single" w:sz="8" w:space="0" w:color="auto"/>
            </w:tcBorders>
            <w:noWrap/>
            <w:vAlign w:val="bottom"/>
            <w:hideMark/>
          </w:tcPr>
          <w:p w14:paraId="2DA7EC27"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2022</w:t>
            </w:r>
          </w:p>
        </w:tc>
        <w:tc>
          <w:tcPr>
            <w:tcW w:w="1220" w:type="dxa"/>
            <w:tcBorders>
              <w:top w:val="single" w:sz="8" w:space="0" w:color="auto"/>
              <w:left w:val="nil"/>
              <w:bottom w:val="single" w:sz="8" w:space="0" w:color="auto"/>
              <w:right w:val="single" w:sz="8" w:space="0" w:color="auto"/>
            </w:tcBorders>
            <w:noWrap/>
            <w:vAlign w:val="bottom"/>
            <w:hideMark/>
          </w:tcPr>
          <w:p w14:paraId="1E1B5E6D" w14:textId="77777777" w:rsidR="0020713F" w:rsidRPr="0020713F" w:rsidRDefault="00732348" w:rsidP="0020713F">
            <w:pPr>
              <w:spacing w:after="0" w:line="240" w:lineRule="auto"/>
              <w:jc w:val="center"/>
              <w:rPr>
                <w:rFonts w:ascii="Arial" w:eastAsia="Times New Roman" w:hAnsi="Arial" w:cs="Arial"/>
                <w:b/>
                <w:bCs/>
                <w:color w:val="000000"/>
                <w:szCs w:val="24"/>
                <w:lang w:val="" w:eastAsia=""/>
              </w:rPr>
            </w:pPr>
            <w:r w:rsidRPr="0020713F">
              <w:rPr>
                <w:rFonts w:ascii="Arial" w:eastAsia="Times New Roman" w:hAnsi="Arial" w:cs="Arial"/>
                <w:b/>
                <w:bCs/>
                <w:color w:val="000000"/>
                <w:szCs w:val="24"/>
                <w:lang w:val="" w:eastAsia=""/>
              </w:rPr>
              <w:t>2021</w:t>
            </w:r>
          </w:p>
        </w:tc>
      </w:tr>
      <w:tr w:rsidR="00D30489" w14:paraId="3C74F023" w14:textId="77777777" w:rsidTr="0020713F">
        <w:trPr>
          <w:trHeight w:val="900"/>
        </w:trPr>
        <w:tc>
          <w:tcPr>
            <w:tcW w:w="1660" w:type="dxa"/>
            <w:tcBorders>
              <w:top w:val="nil"/>
              <w:left w:val="single" w:sz="4" w:space="0" w:color="auto"/>
              <w:bottom w:val="single" w:sz="4" w:space="0" w:color="auto"/>
              <w:right w:val="single" w:sz="4" w:space="0" w:color="auto"/>
            </w:tcBorders>
            <w:vAlign w:val="center"/>
            <w:hideMark/>
          </w:tcPr>
          <w:p w14:paraId="3DDD5D30"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Operating cash flow ratio</w:t>
            </w:r>
          </w:p>
        </w:tc>
        <w:tc>
          <w:tcPr>
            <w:tcW w:w="2200" w:type="dxa"/>
            <w:tcBorders>
              <w:top w:val="nil"/>
              <w:left w:val="nil"/>
              <w:bottom w:val="single" w:sz="4" w:space="0" w:color="auto"/>
              <w:right w:val="single" w:sz="4" w:space="0" w:color="auto"/>
            </w:tcBorders>
            <w:vAlign w:val="center"/>
            <w:hideMark/>
          </w:tcPr>
          <w:p w14:paraId="704CC776"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Operating cash flow / current liabilities </w:t>
            </w:r>
          </w:p>
        </w:tc>
        <w:tc>
          <w:tcPr>
            <w:tcW w:w="1180" w:type="dxa"/>
            <w:tcBorders>
              <w:top w:val="nil"/>
              <w:left w:val="nil"/>
              <w:bottom w:val="single" w:sz="4" w:space="0" w:color="auto"/>
              <w:right w:val="single" w:sz="4" w:space="0" w:color="auto"/>
            </w:tcBorders>
            <w:vAlign w:val="bottom"/>
            <w:hideMark/>
          </w:tcPr>
          <w:p w14:paraId="4C8CEF94"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14747 / 31714 = 46%</w:t>
            </w:r>
          </w:p>
        </w:tc>
        <w:tc>
          <w:tcPr>
            <w:tcW w:w="1160" w:type="dxa"/>
            <w:tcBorders>
              <w:top w:val="nil"/>
              <w:left w:val="nil"/>
              <w:bottom w:val="single" w:sz="4" w:space="0" w:color="auto"/>
              <w:right w:val="single" w:sz="4" w:space="0" w:color="auto"/>
            </w:tcBorders>
            <w:vAlign w:val="bottom"/>
            <w:hideMark/>
          </w:tcPr>
          <w:p w14:paraId="55CFE864"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14923 / 28821 = 52%</w:t>
            </w:r>
          </w:p>
        </w:tc>
        <w:tc>
          <w:tcPr>
            <w:tcW w:w="1360" w:type="dxa"/>
            <w:tcBorders>
              <w:top w:val="nil"/>
              <w:left w:val="nil"/>
              <w:bottom w:val="single" w:sz="4" w:space="0" w:color="auto"/>
              <w:right w:val="single" w:sz="4" w:space="0" w:color="auto"/>
            </w:tcBorders>
            <w:vAlign w:val="bottom"/>
            <w:hideMark/>
          </w:tcPr>
          <w:p w14:paraId="24132630"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13256 / 28748 = 46% </w:t>
            </w:r>
          </w:p>
        </w:tc>
        <w:tc>
          <w:tcPr>
            <w:tcW w:w="1360" w:type="dxa"/>
            <w:tcBorders>
              <w:top w:val="nil"/>
              <w:left w:val="nil"/>
              <w:bottom w:val="single" w:sz="4" w:space="0" w:color="auto"/>
              <w:right w:val="single" w:sz="4" w:space="0" w:color="auto"/>
            </w:tcBorders>
            <w:vAlign w:val="bottom"/>
            <w:hideMark/>
          </w:tcPr>
          <w:p w14:paraId="0DACBB75"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14724 / 26709 = 55% </w:t>
            </w:r>
          </w:p>
        </w:tc>
        <w:tc>
          <w:tcPr>
            <w:tcW w:w="1220" w:type="dxa"/>
            <w:tcBorders>
              <w:top w:val="nil"/>
              <w:left w:val="nil"/>
              <w:bottom w:val="single" w:sz="4" w:space="0" w:color="auto"/>
              <w:right w:val="single" w:sz="4" w:space="0" w:color="auto"/>
            </w:tcBorders>
            <w:vAlign w:val="bottom"/>
            <w:hideMark/>
          </w:tcPr>
          <w:p w14:paraId="36A03DF0"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11497 / 19705 = 58% </w:t>
            </w:r>
          </w:p>
        </w:tc>
      </w:tr>
      <w:tr w:rsidR="00D30489" w14:paraId="2B2187CA" w14:textId="77777777" w:rsidTr="0020713F">
        <w:trPr>
          <w:trHeight w:val="900"/>
        </w:trPr>
        <w:tc>
          <w:tcPr>
            <w:tcW w:w="1660" w:type="dxa"/>
            <w:tcBorders>
              <w:top w:val="nil"/>
              <w:left w:val="single" w:sz="4" w:space="0" w:color="auto"/>
              <w:bottom w:val="single" w:sz="4" w:space="0" w:color="auto"/>
              <w:right w:val="single" w:sz="4" w:space="0" w:color="auto"/>
            </w:tcBorders>
            <w:vAlign w:val="center"/>
            <w:hideMark/>
          </w:tcPr>
          <w:p w14:paraId="6D2D4149"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Cash flow margin ratio</w:t>
            </w:r>
          </w:p>
        </w:tc>
        <w:tc>
          <w:tcPr>
            <w:tcW w:w="2200" w:type="dxa"/>
            <w:tcBorders>
              <w:top w:val="nil"/>
              <w:left w:val="nil"/>
              <w:bottom w:val="single" w:sz="4" w:space="0" w:color="auto"/>
              <w:right w:val="single" w:sz="4" w:space="0" w:color="auto"/>
            </w:tcBorders>
            <w:vAlign w:val="center"/>
            <w:hideMark/>
          </w:tcPr>
          <w:p w14:paraId="7C2E6DCD"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Operating cash flow / Net sales</w:t>
            </w:r>
          </w:p>
        </w:tc>
        <w:tc>
          <w:tcPr>
            <w:tcW w:w="1180" w:type="dxa"/>
            <w:tcBorders>
              <w:top w:val="nil"/>
              <w:left w:val="nil"/>
              <w:bottom w:val="single" w:sz="4" w:space="0" w:color="auto"/>
              <w:right w:val="single" w:sz="4" w:space="0" w:color="auto"/>
            </w:tcBorders>
            <w:vAlign w:val="bottom"/>
            <w:hideMark/>
          </w:tcPr>
          <w:p w14:paraId="1C373B0D"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14747 / 94827 = 16%</w:t>
            </w:r>
          </w:p>
        </w:tc>
        <w:tc>
          <w:tcPr>
            <w:tcW w:w="1160" w:type="dxa"/>
            <w:tcBorders>
              <w:top w:val="nil"/>
              <w:left w:val="nil"/>
              <w:bottom w:val="single" w:sz="4" w:space="0" w:color="auto"/>
              <w:right w:val="single" w:sz="4" w:space="0" w:color="auto"/>
            </w:tcBorders>
            <w:vAlign w:val="bottom"/>
            <w:hideMark/>
          </w:tcPr>
          <w:p w14:paraId="0DE112A7"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14923 / 97690 = 15%</w:t>
            </w:r>
          </w:p>
        </w:tc>
        <w:tc>
          <w:tcPr>
            <w:tcW w:w="1360" w:type="dxa"/>
            <w:tcBorders>
              <w:top w:val="nil"/>
              <w:left w:val="nil"/>
              <w:bottom w:val="single" w:sz="4" w:space="0" w:color="auto"/>
              <w:right w:val="single" w:sz="4" w:space="0" w:color="auto"/>
            </w:tcBorders>
            <w:vAlign w:val="bottom"/>
            <w:hideMark/>
          </w:tcPr>
          <w:p w14:paraId="0E955B99"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13256 / 96773 = 14% </w:t>
            </w:r>
          </w:p>
        </w:tc>
        <w:tc>
          <w:tcPr>
            <w:tcW w:w="1360" w:type="dxa"/>
            <w:tcBorders>
              <w:top w:val="nil"/>
              <w:left w:val="nil"/>
              <w:bottom w:val="single" w:sz="4" w:space="0" w:color="auto"/>
              <w:right w:val="single" w:sz="4" w:space="0" w:color="auto"/>
            </w:tcBorders>
            <w:vAlign w:val="bottom"/>
            <w:hideMark/>
          </w:tcPr>
          <w:p w14:paraId="12E7C8A3"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14724 / 81462 = 18% </w:t>
            </w:r>
          </w:p>
        </w:tc>
        <w:tc>
          <w:tcPr>
            <w:tcW w:w="1220" w:type="dxa"/>
            <w:tcBorders>
              <w:top w:val="nil"/>
              <w:left w:val="nil"/>
              <w:bottom w:val="single" w:sz="4" w:space="0" w:color="auto"/>
              <w:right w:val="single" w:sz="4" w:space="0" w:color="auto"/>
            </w:tcBorders>
            <w:vAlign w:val="bottom"/>
            <w:hideMark/>
          </w:tcPr>
          <w:p w14:paraId="6108D6B3" w14:textId="77777777" w:rsidR="0020713F" w:rsidRPr="0020713F" w:rsidRDefault="00732348" w:rsidP="0020713F">
            <w:pPr>
              <w:spacing w:after="0" w:line="240" w:lineRule="auto"/>
              <w:jc w:val="center"/>
              <w:rPr>
                <w:rFonts w:ascii="Arial" w:eastAsia="Times New Roman" w:hAnsi="Arial" w:cs="Arial"/>
                <w:color w:val="000000"/>
                <w:szCs w:val="24"/>
                <w:lang w:val="" w:eastAsia=""/>
              </w:rPr>
            </w:pPr>
            <w:r w:rsidRPr="0020713F">
              <w:rPr>
                <w:rFonts w:ascii="Arial" w:eastAsia="Times New Roman" w:hAnsi="Arial" w:cs="Arial"/>
                <w:color w:val="000000"/>
                <w:szCs w:val="24"/>
                <w:lang w:val="" w:eastAsia=""/>
              </w:rPr>
              <w:t xml:space="preserve"> 11497 / 53823 = 21% </w:t>
            </w:r>
          </w:p>
        </w:tc>
      </w:tr>
    </w:tbl>
    <w:p w14:paraId="40632667" w14:textId="77777777" w:rsidR="0020713F" w:rsidRDefault="0020713F" w:rsidP="00553F70">
      <w:pPr>
        <w:spacing w:line="360" w:lineRule="auto"/>
        <w:rPr>
          <w:rFonts w:ascii="Times" w:hAnsi="Times" w:cs="Arial"/>
          <w:b/>
          <w:bCs/>
        </w:rPr>
      </w:pPr>
    </w:p>
    <w:p w14:paraId="36C504FA" w14:textId="77777777" w:rsidR="0020713F" w:rsidRPr="00553F70" w:rsidRDefault="00732348" w:rsidP="00C81FE8">
      <w:pPr>
        <w:spacing w:line="360" w:lineRule="auto"/>
        <w:jc w:val="center"/>
        <w:rPr>
          <w:rFonts w:ascii="Times" w:hAnsi="Times" w:cs="Arial"/>
          <w:b/>
          <w:bCs/>
        </w:rPr>
      </w:pPr>
      <w:r>
        <w:rPr>
          <w:noProof/>
        </w:rPr>
        <w:drawing>
          <wp:inline distT="0" distB="0" distL="0" distR="0" wp14:anchorId="7B13EF48" wp14:editId="46CF987D">
            <wp:extent cx="4572000" cy="2743200"/>
            <wp:effectExtent l="0" t="0" r="0" b="0"/>
            <wp:docPr id="576117960" name="Chart 1">
              <a:extLst xmlns:a="http://schemas.openxmlformats.org/drawingml/2006/main">
                <a:ext uri="{FF2B5EF4-FFF2-40B4-BE49-F238E27FC236}">
                  <a16:creationId xmlns:a16="http://schemas.microsoft.com/office/drawing/2014/main" id="{C00A1F8E-81C8-029E-473D-1EC0DEA2F7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sectPr w:rsidR="0020713F" w:rsidRPr="00553F70" w:rsidSect="00D94BF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E93CC" w14:textId="77777777" w:rsidR="008C2F87" w:rsidRDefault="008C2F87" w:rsidP="009C3333">
      <w:pPr>
        <w:spacing w:after="0" w:line="240" w:lineRule="auto"/>
      </w:pPr>
      <w:r>
        <w:separator/>
      </w:r>
    </w:p>
  </w:endnote>
  <w:endnote w:type="continuationSeparator" w:id="0">
    <w:p w14:paraId="4D4AD7DA" w14:textId="77777777" w:rsidR="008C2F87" w:rsidRDefault="008C2F87" w:rsidP="009C3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6248757"/>
      <w:docPartObj>
        <w:docPartGallery w:val="Page Numbers (Bottom of Page)"/>
        <w:docPartUnique/>
      </w:docPartObj>
    </w:sdtPr>
    <w:sdtEndPr>
      <w:rPr>
        <w:noProof/>
      </w:rPr>
    </w:sdtEndPr>
    <w:sdtContent>
      <w:p w14:paraId="740B3F9D" w14:textId="104CC198" w:rsidR="009C1634" w:rsidRDefault="009C1634">
        <w:pPr>
          <w:pStyle w:val="Footer"/>
          <w:jc w:val="center"/>
        </w:pPr>
        <w:r>
          <w:fldChar w:fldCharType="begin"/>
        </w:r>
        <w:r>
          <w:instrText xml:space="preserve"> PAGE   \* MERGEFORMAT </w:instrText>
        </w:r>
        <w:r>
          <w:fldChar w:fldCharType="separate"/>
        </w:r>
        <w:r>
          <w:rPr>
            <w:noProof/>
          </w:rPr>
          <w:t>32</w:t>
        </w:r>
        <w:r>
          <w:rPr>
            <w:noProof/>
          </w:rPr>
          <w:fldChar w:fldCharType="end"/>
        </w:r>
      </w:p>
    </w:sdtContent>
  </w:sdt>
  <w:p w14:paraId="16868844" w14:textId="77777777" w:rsidR="009C3333" w:rsidRDefault="009C3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40A67" w14:textId="77777777" w:rsidR="008C2F87" w:rsidRDefault="008C2F87" w:rsidP="009C3333">
      <w:pPr>
        <w:spacing w:after="0" w:line="240" w:lineRule="auto"/>
      </w:pPr>
      <w:r>
        <w:separator/>
      </w:r>
    </w:p>
  </w:footnote>
  <w:footnote w:type="continuationSeparator" w:id="0">
    <w:p w14:paraId="63B0B77A" w14:textId="77777777" w:rsidR="008C2F87" w:rsidRDefault="008C2F87" w:rsidP="009C3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F4C5D3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E90DF5"/>
    <w:multiLevelType w:val="hybridMultilevel"/>
    <w:tmpl w:val="076C3A22"/>
    <w:lvl w:ilvl="0" w:tplc="7F90304E">
      <w:start w:val="1"/>
      <w:numFmt w:val="decimal"/>
      <w:lvlText w:val="%1-"/>
      <w:lvlJc w:val="left"/>
      <w:pPr>
        <w:ind w:left="720" w:hanging="360"/>
      </w:pPr>
      <w:rPr>
        <w:rFonts w:hint="default"/>
      </w:rPr>
    </w:lvl>
    <w:lvl w:ilvl="1" w:tplc="7FD47156" w:tentative="1">
      <w:start w:val="1"/>
      <w:numFmt w:val="lowerLetter"/>
      <w:lvlText w:val="%2."/>
      <w:lvlJc w:val="left"/>
      <w:pPr>
        <w:ind w:left="1440" w:hanging="360"/>
      </w:pPr>
    </w:lvl>
    <w:lvl w:ilvl="2" w:tplc="6CBCDFC6" w:tentative="1">
      <w:start w:val="1"/>
      <w:numFmt w:val="lowerRoman"/>
      <w:lvlText w:val="%3."/>
      <w:lvlJc w:val="right"/>
      <w:pPr>
        <w:ind w:left="2160" w:hanging="180"/>
      </w:pPr>
    </w:lvl>
    <w:lvl w:ilvl="3" w:tplc="3F20FE36" w:tentative="1">
      <w:start w:val="1"/>
      <w:numFmt w:val="decimal"/>
      <w:lvlText w:val="%4."/>
      <w:lvlJc w:val="left"/>
      <w:pPr>
        <w:ind w:left="2880" w:hanging="360"/>
      </w:pPr>
    </w:lvl>
    <w:lvl w:ilvl="4" w:tplc="228CC0E6" w:tentative="1">
      <w:start w:val="1"/>
      <w:numFmt w:val="lowerLetter"/>
      <w:lvlText w:val="%5."/>
      <w:lvlJc w:val="left"/>
      <w:pPr>
        <w:ind w:left="3600" w:hanging="360"/>
      </w:pPr>
    </w:lvl>
    <w:lvl w:ilvl="5" w:tplc="B1102830" w:tentative="1">
      <w:start w:val="1"/>
      <w:numFmt w:val="lowerRoman"/>
      <w:lvlText w:val="%6."/>
      <w:lvlJc w:val="right"/>
      <w:pPr>
        <w:ind w:left="4320" w:hanging="180"/>
      </w:pPr>
    </w:lvl>
    <w:lvl w:ilvl="6" w:tplc="36A4AED0" w:tentative="1">
      <w:start w:val="1"/>
      <w:numFmt w:val="decimal"/>
      <w:lvlText w:val="%7."/>
      <w:lvlJc w:val="left"/>
      <w:pPr>
        <w:ind w:left="5040" w:hanging="360"/>
      </w:pPr>
    </w:lvl>
    <w:lvl w:ilvl="7" w:tplc="EC60A336" w:tentative="1">
      <w:start w:val="1"/>
      <w:numFmt w:val="lowerLetter"/>
      <w:lvlText w:val="%8."/>
      <w:lvlJc w:val="left"/>
      <w:pPr>
        <w:ind w:left="5760" w:hanging="360"/>
      </w:pPr>
    </w:lvl>
    <w:lvl w:ilvl="8" w:tplc="D2406436" w:tentative="1">
      <w:start w:val="1"/>
      <w:numFmt w:val="lowerRoman"/>
      <w:lvlText w:val="%9."/>
      <w:lvlJc w:val="right"/>
      <w:pPr>
        <w:ind w:left="6480" w:hanging="180"/>
      </w:pPr>
    </w:lvl>
  </w:abstractNum>
  <w:abstractNum w:abstractNumId="2" w15:restartNumberingAfterBreak="0">
    <w:nsid w:val="2AAB15DB"/>
    <w:multiLevelType w:val="hybridMultilevel"/>
    <w:tmpl w:val="3EE2E236"/>
    <w:lvl w:ilvl="0" w:tplc="E0F238D6">
      <w:start w:val="1"/>
      <w:numFmt w:val="bullet"/>
      <w:lvlText w:val=""/>
      <w:lvlJc w:val="left"/>
      <w:pPr>
        <w:ind w:left="720" w:hanging="360"/>
      </w:pPr>
      <w:rPr>
        <w:rFonts w:ascii="Symbol" w:hAnsi="Symbol" w:hint="default"/>
      </w:rPr>
    </w:lvl>
    <w:lvl w:ilvl="1" w:tplc="B6D0E4A8" w:tentative="1">
      <w:start w:val="1"/>
      <w:numFmt w:val="lowerLetter"/>
      <w:lvlText w:val="%2."/>
      <w:lvlJc w:val="left"/>
      <w:pPr>
        <w:ind w:left="1440" w:hanging="360"/>
      </w:pPr>
    </w:lvl>
    <w:lvl w:ilvl="2" w:tplc="A3A80216" w:tentative="1">
      <w:start w:val="1"/>
      <w:numFmt w:val="lowerRoman"/>
      <w:lvlText w:val="%3."/>
      <w:lvlJc w:val="right"/>
      <w:pPr>
        <w:ind w:left="2160" w:hanging="180"/>
      </w:pPr>
    </w:lvl>
    <w:lvl w:ilvl="3" w:tplc="739CAC0A" w:tentative="1">
      <w:start w:val="1"/>
      <w:numFmt w:val="decimal"/>
      <w:lvlText w:val="%4."/>
      <w:lvlJc w:val="left"/>
      <w:pPr>
        <w:ind w:left="2880" w:hanging="360"/>
      </w:pPr>
    </w:lvl>
    <w:lvl w:ilvl="4" w:tplc="95CE79DC" w:tentative="1">
      <w:start w:val="1"/>
      <w:numFmt w:val="lowerLetter"/>
      <w:lvlText w:val="%5."/>
      <w:lvlJc w:val="left"/>
      <w:pPr>
        <w:ind w:left="3600" w:hanging="360"/>
      </w:pPr>
    </w:lvl>
    <w:lvl w:ilvl="5" w:tplc="613A7396" w:tentative="1">
      <w:start w:val="1"/>
      <w:numFmt w:val="lowerRoman"/>
      <w:lvlText w:val="%6."/>
      <w:lvlJc w:val="right"/>
      <w:pPr>
        <w:ind w:left="4320" w:hanging="180"/>
      </w:pPr>
    </w:lvl>
    <w:lvl w:ilvl="6" w:tplc="D3C6E2EC" w:tentative="1">
      <w:start w:val="1"/>
      <w:numFmt w:val="decimal"/>
      <w:lvlText w:val="%7."/>
      <w:lvlJc w:val="left"/>
      <w:pPr>
        <w:ind w:left="5040" w:hanging="360"/>
      </w:pPr>
    </w:lvl>
    <w:lvl w:ilvl="7" w:tplc="00121594" w:tentative="1">
      <w:start w:val="1"/>
      <w:numFmt w:val="lowerLetter"/>
      <w:lvlText w:val="%8."/>
      <w:lvlJc w:val="left"/>
      <w:pPr>
        <w:ind w:left="5760" w:hanging="360"/>
      </w:pPr>
    </w:lvl>
    <w:lvl w:ilvl="8" w:tplc="538A3E7A" w:tentative="1">
      <w:start w:val="1"/>
      <w:numFmt w:val="lowerRoman"/>
      <w:lvlText w:val="%9."/>
      <w:lvlJc w:val="right"/>
      <w:pPr>
        <w:ind w:left="6480" w:hanging="180"/>
      </w:pPr>
    </w:lvl>
  </w:abstractNum>
  <w:abstractNum w:abstractNumId="3" w15:restartNumberingAfterBreak="0">
    <w:nsid w:val="669416FA"/>
    <w:multiLevelType w:val="hybridMultilevel"/>
    <w:tmpl w:val="3476196A"/>
    <w:lvl w:ilvl="0" w:tplc="476EB1EA">
      <w:start w:val="1"/>
      <w:numFmt w:val="bullet"/>
      <w:lvlText w:val=""/>
      <w:lvlJc w:val="left"/>
      <w:pPr>
        <w:ind w:left="1080" w:hanging="360"/>
      </w:pPr>
      <w:rPr>
        <w:rFonts w:ascii="Wingdings" w:hAnsi="Wingdings" w:hint="default"/>
      </w:rPr>
    </w:lvl>
    <w:lvl w:ilvl="1" w:tplc="F3DCF964" w:tentative="1">
      <w:start w:val="1"/>
      <w:numFmt w:val="bullet"/>
      <w:lvlText w:val="o"/>
      <w:lvlJc w:val="left"/>
      <w:pPr>
        <w:ind w:left="1800" w:hanging="360"/>
      </w:pPr>
      <w:rPr>
        <w:rFonts w:ascii="Courier New" w:hAnsi="Courier New" w:cs="Courier New" w:hint="default"/>
      </w:rPr>
    </w:lvl>
    <w:lvl w:ilvl="2" w:tplc="2124CEBC" w:tentative="1">
      <w:start w:val="1"/>
      <w:numFmt w:val="bullet"/>
      <w:lvlText w:val=""/>
      <w:lvlJc w:val="left"/>
      <w:pPr>
        <w:ind w:left="2520" w:hanging="360"/>
      </w:pPr>
      <w:rPr>
        <w:rFonts w:ascii="Wingdings" w:hAnsi="Wingdings" w:hint="default"/>
      </w:rPr>
    </w:lvl>
    <w:lvl w:ilvl="3" w:tplc="B38215C6" w:tentative="1">
      <w:start w:val="1"/>
      <w:numFmt w:val="bullet"/>
      <w:lvlText w:val=""/>
      <w:lvlJc w:val="left"/>
      <w:pPr>
        <w:ind w:left="3240" w:hanging="360"/>
      </w:pPr>
      <w:rPr>
        <w:rFonts w:ascii="Symbol" w:hAnsi="Symbol" w:hint="default"/>
      </w:rPr>
    </w:lvl>
    <w:lvl w:ilvl="4" w:tplc="C83069D8" w:tentative="1">
      <w:start w:val="1"/>
      <w:numFmt w:val="bullet"/>
      <w:lvlText w:val="o"/>
      <w:lvlJc w:val="left"/>
      <w:pPr>
        <w:ind w:left="3960" w:hanging="360"/>
      </w:pPr>
      <w:rPr>
        <w:rFonts w:ascii="Courier New" w:hAnsi="Courier New" w:cs="Courier New" w:hint="default"/>
      </w:rPr>
    </w:lvl>
    <w:lvl w:ilvl="5" w:tplc="DBC49C42" w:tentative="1">
      <w:start w:val="1"/>
      <w:numFmt w:val="bullet"/>
      <w:lvlText w:val=""/>
      <w:lvlJc w:val="left"/>
      <w:pPr>
        <w:ind w:left="4680" w:hanging="360"/>
      </w:pPr>
      <w:rPr>
        <w:rFonts w:ascii="Wingdings" w:hAnsi="Wingdings" w:hint="default"/>
      </w:rPr>
    </w:lvl>
    <w:lvl w:ilvl="6" w:tplc="2E40B06E" w:tentative="1">
      <w:start w:val="1"/>
      <w:numFmt w:val="bullet"/>
      <w:lvlText w:val=""/>
      <w:lvlJc w:val="left"/>
      <w:pPr>
        <w:ind w:left="5400" w:hanging="360"/>
      </w:pPr>
      <w:rPr>
        <w:rFonts w:ascii="Symbol" w:hAnsi="Symbol" w:hint="default"/>
      </w:rPr>
    </w:lvl>
    <w:lvl w:ilvl="7" w:tplc="E930778A" w:tentative="1">
      <w:start w:val="1"/>
      <w:numFmt w:val="bullet"/>
      <w:lvlText w:val="o"/>
      <w:lvlJc w:val="left"/>
      <w:pPr>
        <w:ind w:left="6120" w:hanging="360"/>
      </w:pPr>
      <w:rPr>
        <w:rFonts w:ascii="Courier New" w:hAnsi="Courier New" w:cs="Courier New" w:hint="default"/>
      </w:rPr>
    </w:lvl>
    <w:lvl w:ilvl="8" w:tplc="7EB21108" w:tentative="1">
      <w:start w:val="1"/>
      <w:numFmt w:val="bullet"/>
      <w:lvlText w:val=""/>
      <w:lvlJc w:val="left"/>
      <w:pPr>
        <w:ind w:left="6840" w:hanging="360"/>
      </w:pPr>
      <w:rPr>
        <w:rFonts w:ascii="Wingdings" w:hAnsi="Wingdings" w:hint="default"/>
      </w:rPr>
    </w:lvl>
  </w:abstractNum>
  <w:num w:numId="1" w16cid:durableId="508720651">
    <w:abstractNumId w:val="0"/>
  </w:num>
  <w:num w:numId="2" w16cid:durableId="1390761549">
    <w:abstractNumId w:val="3"/>
  </w:num>
  <w:num w:numId="3" w16cid:durableId="694232115">
    <w:abstractNumId w:val="1"/>
  </w:num>
  <w:num w:numId="4" w16cid:durableId="1071929601">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109D"/>
    <w:rsid w:val="0000035E"/>
    <w:rsid w:val="00000A85"/>
    <w:rsid w:val="00001718"/>
    <w:rsid w:val="00003336"/>
    <w:rsid w:val="0000349F"/>
    <w:rsid w:val="000041EE"/>
    <w:rsid w:val="0000422A"/>
    <w:rsid w:val="00004F59"/>
    <w:rsid w:val="000063E6"/>
    <w:rsid w:val="000073E8"/>
    <w:rsid w:val="00007684"/>
    <w:rsid w:val="000105E2"/>
    <w:rsid w:val="00011255"/>
    <w:rsid w:val="00011454"/>
    <w:rsid w:val="00011813"/>
    <w:rsid w:val="00011C68"/>
    <w:rsid w:val="00012313"/>
    <w:rsid w:val="00012996"/>
    <w:rsid w:val="00012F9B"/>
    <w:rsid w:val="00014778"/>
    <w:rsid w:val="0001514C"/>
    <w:rsid w:val="000152F0"/>
    <w:rsid w:val="000154B2"/>
    <w:rsid w:val="00015A83"/>
    <w:rsid w:val="0001646A"/>
    <w:rsid w:val="00016747"/>
    <w:rsid w:val="00016823"/>
    <w:rsid w:val="00016BC1"/>
    <w:rsid w:val="000176F4"/>
    <w:rsid w:val="000178C2"/>
    <w:rsid w:val="00021500"/>
    <w:rsid w:val="00021AAD"/>
    <w:rsid w:val="00023614"/>
    <w:rsid w:val="00023EFD"/>
    <w:rsid w:val="0002467A"/>
    <w:rsid w:val="000247AA"/>
    <w:rsid w:val="0002505E"/>
    <w:rsid w:val="0002689A"/>
    <w:rsid w:val="00027891"/>
    <w:rsid w:val="00027EBE"/>
    <w:rsid w:val="00030684"/>
    <w:rsid w:val="00031C04"/>
    <w:rsid w:val="00032730"/>
    <w:rsid w:val="00033B95"/>
    <w:rsid w:val="0003413B"/>
    <w:rsid w:val="00034EBF"/>
    <w:rsid w:val="000361DB"/>
    <w:rsid w:val="0003639A"/>
    <w:rsid w:val="0003647C"/>
    <w:rsid w:val="0003672B"/>
    <w:rsid w:val="000371B5"/>
    <w:rsid w:val="000372C4"/>
    <w:rsid w:val="00037F09"/>
    <w:rsid w:val="00041422"/>
    <w:rsid w:val="000416BF"/>
    <w:rsid w:val="000419B6"/>
    <w:rsid w:val="000420B0"/>
    <w:rsid w:val="000424A2"/>
    <w:rsid w:val="00042A1B"/>
    <w:rsid w:val="00042B9D"/>
    <w:rsid w:val="0004398C"/>
    <w:rsid w:val="00043AA4"/>
    <w:rsid w:val="00044B99"/>
    <w:rsid w:val="00045C50"/>
    <w:rsid w:val="00045EEC"/>
    <w:rsid w:val="000460B8"/>
    <w:rsid w:val="00046B89"/>
    <w:rsid w:val="000474BA"/>
    <w:rsid w:val="00047571"/>
    <w:rsid w:val="000512D7"/>
    <w:rsid w:val="000522F4"/>
    <w:rsid w:val="0005329D"/>
    <w:rsid w:val="00053833"/>
    <w:rsid w:val="00054AEA"/>
    <w:rsid w:val="00055060"/>
    <w:rsid w:val="000553A7"/>
    <w:rsid w:val="0005549A"/>
    <w:rsid w:val="00056383"/>
    <w:rsid w:val="000564A5"/>
    <w:rsid w:val="00056AA8"/>
    <w:rsid w:val="000575FF"/>
    <w:rsid w:val="00060591"/>
    <w:rsid w:val="000615CF"/>
    <w:rsid w:val="00061717"/>
    <w:rsid w:val="00061CF0"/>
    <w:rsid w:val="00062BA4"/>
    <w:rsid w:val="00062E0E"/>
    <w:rsid w:val="000639E9"/>
    <w:rsid w:val="00063B16"/>
    <w:rsid w:val="00063C16"/>
    <w:rsid w:val="00063CEB"/>
    <w:rsid w:val="0006428B"/>
    <w:rsid w:val="00064372"/>
    <w:rsid w:val="00065DAD"/>
    <w:rsid w:val="00066753"/>
    <w:rsid w:val="00066F25"/>
    <w:rsid w:val="00067D38"/>
    <w:rsid w:val="00070CA5"/>
    <w:rsid w:val="000722C9"/>
    <w:rsid w:val="00073EC4"/>
    <w:rsid w:val="00075008"/>
    <w:rsid w:val="00075B31"/>
    <w:rsid w:val="00075F91"/>
    <w:rsid w:val="00076A0E"/>
    <w:rsid w:val="00077C9B"/>
    <w:rsid w:val="0008058D"/>
    <w:rsid w:val="00080C36"/>
    <w:rsid w:val="00081F64"/>
    <w:rsid w:val="000822CB"/>
    <w:rsid w:val="0008295C"/>
    <w:rsid w:val="0008306D"/>
    <w:rsid w:val="00083A8A"/>
    <w:rsid w:val="00084A4B"/>
    <w:rsid w:val="0008508A"/>
    <w:rsid w:val="0008725A"/>
    <w:rsid w:val="0008770C"/>
    <w:rsid w:val="00090F81"/>
    <w:rsid w:val="00091014"/>
    <w:rsid w:val="00091094"/>
    <w:rsid w:val="00091965"/>
    <w:rsid w:val="00091BA4"/>
    <w:rsid w:val="00091F39"/>
    <w:rsid w:val="0009213C"/>
    <w:rsid w:val="00092B7B"/>
    <w:rsid w:val="000934D8"/>
    <w:rsid w:val="00093D49"/>
    <w:rsid w:val="00094123"/>
    <w:rsid w:val="000947CB"/>
    <w:rsid w:val="00094C4A"/>
    <w:rsid w:val="00095344"/>
    <w:rsid w:val="000963F5"/>
    <w:rsid w:val="00096B37"/>
    <w:rsid w:val="0009715F"/>
    <w:rsid w:val="000A0312"/>
    <w:rsid w:val="000A42F2"/>
    <w:rsid w:val="000A5311"/>
    <w:rsid w:val="000A558F"/>
    <w:rsid w:val="000A55D7"/>
    <w:rsid w:val="000A591A"/>
    <w:rsid w:val="000A5E74"/>
    <w:rsid w:val="000A5E87"/>
    <w:rsid w:val="000A5F65"/>
    <w:rsid w:val="000A73D7"/>
    <w:rsid w:val="000B000F"/>
    <w:rsid w:val="000B292B"/>
    <w:rsid w:val="000B2D18"/>
    <w:rsid w:val="000B3907"/>
    <w:rsid w:val="000B4A7D"/>
    <w:rsid w:val="000B584D"/>
    <w:rsid w:val="000B6232"/>
    <w:rsid w:val="000B631A"/>
    <w:rsid w:val="000B6466"/>
    <w:rsid w:val="000B6C52"/>
    <w:rsid w:val="000C0354"/>
    <w:rsid w:val="000C0B46"/>
    <w:rsid w:val="000C201D"/>
    <w:rsid w:val="000C2506"/>
    <w:rsid w:val="000C2B8A"/>
    <w:rsid w:val="000C3612"/>
    <w:rsid w:val="000C47CB"/>
    <w:rsid w:val="000C536A"/>
    <w:rsid w:val="000C54C7"/>
    <w:rsid w:val="000C76B9"/>
    <w:rsid w:val="000D07B0"/>
    <w:rsid w:val="000D1186"/>
    <w:rsid w:val="000D36F7"/>
    <w:rsid w:val="000D4DE7"/>
    <w:rsid w:val="000D6884"/>
    <w:rsid w:val="000D6C94"/>
    <w:rsid w:val="000D77F9"/>
    <w:rsid w:val="000E0320"/>
    <w:rsid w:val="000E0809"/>
    <w:rsid w:val="000E0E06"/>
    <w:rsid w:val="000E13AB"/>
    <w:rsid w:val="000E145C"/>
    <w:rsid w:val="000E2C8B"/>
    <w:rsid w:val="000E2F38"/>
    <w:rsid w:val="000E33F1"/>
    <w:rsid w:val="000E3456"/>
    <w:rsid w:val="000E47A8"/>
    <w:rsid w:val="000E5456"/>
    <w:rsid w:val="000E61FC"/>
    <w:rsid w:val="000E6D59"/>
    <w:rsid w:val="000F071D"/>
    <w:rsid w:val="000F096A"/>
    <w:rsid w:val="000F1678"/>
    <w:rsid w:val="000F21AB"/>
    <w:rsid w:val="000F22FB"/>
    <w:rsid w:val="000F243D"/>
    <w:rsid w:val="000F2625"/>
    <w:rsid w:val="000F3E4E"/>
    <w:rsid w:val="000F54CB"/>
    <w:rsid w:val="000F5834"/>
    <w:rsid w:val="000F68B1"/>
    <w:rsid w:val="000F71A3"/>
    <w:rsid w:val="001002D8"/>
    <w:rsid w:val="00100424"/>
    <w:rsid w:val="00100633"/>
    <w:rsid w:val="00100E3E"/>
    <w:rsid w:val="00101045"/>
    <w:rsid w:val="0010116D"/>
    <w:rsid w:val="001012DD"/>
    <w:rsid w:val="00102F32"/>
    <w:rsid w:val="0010453A"/>
    <w:rsid w:val="001049AD"/>
    <w:rsid w:val="00104C1F"/>
    <w:rsid w:val="00105496"/>
    <w:rsid w:val="00106C13"/>
    <w:rsid w:val="00111D81"/>
    <w:rsid w:val="00111DF4"/>
    <w:rsid w:val="0011208E"/>
    <w:rsid w:val="001146AE"/>
    <w:rsid w:val="00115134"/>
    <w:rsid w:val="00115BDF"/>
    <w:rsid w:val="00116A27"/>
    <w:rsid w:val="0011738F"/>
    <w:rsid w:val="00120160"/>
    <w:rsid w:val="00120632"/>
    <w:rsid w:val="00120974"/>
    <w:rsid w:val="00121A08"/>
    <w:rsid w:val="00121FA6"/>
    <w:rsid w:val="001231B5"/>
    <w:rsid w:val="001236CC"/>
    <w:rsid w:val="001238D3"/>
    <w:rsid w:val="00123B1A"/>
    <w:rsid w:val="00124C14"/>
    <w:rsid w:val="00126F3F"/>
    <w:rsid w:val="00127612"/>
    <w:rsid w:val="00127862"/>
    <w:rsid w:val="0013037A"/>
    <w:rsid w:val="00130883"/>
    <w:rsid w:val="00130927"/>
    <w:rsid w:val="00130D2C"/>
    <w:rsid w:val="0013165B"/>
    <w:rsid w:val="001317F0"/>
    <w:rsid w:val="0013189D"/>
    <w:rsid w:val="001318A3"/>
    <w:rsid w:val="00131A02"/>
    <w:rsid w:val="00131B2B"/>
    <w:rsid w:val="00131E92"/>
    <w:rsid w:val="00132AE3"/>
    <w:rsid w:val="001331E8"/>
    <w:rsid w:val="00133235"/>
    <w:rsid w:val="0013325D"/>
    <w:rsid w:val="00134E14"/>
    <w:rsid w:val="00134FCB"/>
    <w:rsid w:val="0013538C"/>
    <w:rsid w:val="00135CF9"/>
    <w:rsid w:val="001365D4"/>
    <w:rsid w:val="001367F0"/>
    <w:rsid w:val="00136C8F"/>
    <w:rsid w:val="001402CF"/>
    <w:rsid w:val="00140512"/>
    <w:rsid w:val="00141F07"/>
    <w:rsid w:val="00141FFC"/>
    <w:rsid w:val="00145529"/>
    <w:rsid w:val="00145C86"/>
    <w:rsid w:val="001463FA"/>
    <w:rsid w:val="00147B0B"/>
    <w:rsid w:val="00147F35"/>
    <w:rsid w:val="00150354"/>
    <w:rsid w:val="00151639"/>
    <w:rsid w:val="00151F35"/>
    <w:rsid w:val="001536E0"/>
    <w:rsid w:val="0015375D"/>
    <w:rsid w:val="00153E66"/>
    <w:rsid w:val="00154174"/>
    <w:rsid w:val="00154681"/>
    <w:rsid w:val="0015470A"/>
    <w:rsid w:val="00156262"/>
    <w:rsid w:val="00156AC7"/>
    <w:rsid w:val="00156BF1"/>
    <w:rsid w:val="00160822"/>
    <w:rsid w:val="00160DBF"/>
    <w:rsid w:val="0016105C"/>
    <w:rsid w:val="00161D55"/>
    <w:rsid w:val="00164D67"/>
    <w:rsid w:val="00164F68"/>
    <w:rsid w:val="0016509F"/>
    <w:rsid w:val="001661A4"/>
    <w:rsid w:val="00166361"/>
    <w:rsid w:val="00166F03"/>
    <w:rsid w:val="00167B2A"/>
    <w:rsid w:val="00167F9B"/>
    <w:rsid w:val="001702CE"/>
    <w:rsid w:val="00171130"/>
    <w:rsid w:val="00171FB5"/>
    <w:rsid w:val="001727FB"/>
    <w:rsid w:val="00173712"/>
    <w:rsid w:val="00173CD8"/>
    <w:rsid w:val="00174BFD"/>
    <w:rsid w:val="00175766"/>
    <w:rsid w:val="00175A99"/>
    <w:rsid w:val="00175DA2"/>
    <w:rsid w:val="00176D88"/>
    <w:rsid w:val="00177515"/>
    <w:rsid w:val="0018082A"/>
    <w:rsid w:val="0018124A"/>
    <w:rsid w:val="00181695"/>
    <w:rsid w:val="00181FA0"/>
    <w:rsid w:val="00182486"/>
    <w:rsid w:val="00182572"/>
    <w:rsid w:val="00184091"/>
    <w:rsid w:val="0018495B"/>
    <w:rsid w:val="00184B44"/>
    <w:rsid w:val="0018573B"/>
    <w:rsid w:val="00185BFC"/>
    <w:rsid w:val="00187090"/>
    <w:rsid w:val="00187A49"/>
    <w:rsid w:val="001909F3"/>
    <w:rsid w:val="0019196D"/>
    <w:rsid w:val="0019264E"/>
    <w:rsid w:val="00193151"/>
    <w:rsid w:val="00193278"/>
    <w:rsid w:val="001939D4"/>
    <w:rsid w:val="0019440D"/>
    <w:rsid w:val="00195038"/>
    <w:rsid w:val="00196D7F"/>
    <w:rsid w:val="00197B71"/>
    <w:rsid w:val="00197EE5"/>
    <w:rsid w:val="001A15AF"/>
    <w:rsid w:val="001A18E9"/>
    <w:rsid w:val="001A1CA2"/>
    <w:rsid w:val="001A1DAD"/>
    <w:rsid w:val="001A27DF"/>
    <w:rsid w:val="001A3B58"/>
    <w:rsid w:val="001A3ED4"/>
    <w:rsid w:val="001A4539"/>
    <w:rsid w:val="001A4B3C"/>
    <w:rsid w:val="001A5035"/>
    <w:rsid w:val="001B0A6C"/>
    <w:rsid w:val="001B32AA"/>
    <w:rsid w:val="001B52A5"/>
    <w:rsid w:val="001B5BBD"/>
    <w:rsid w:val="001B6639"/>
    <w:rsid w:val="001B68F3"/>
    <w:rsid w:val="001B6C7B"/>
    <w:rsid w:val="001B6CC4"/>
    <w:rsid w:val="001B6D1C"/>
    <w:rsid w:val="001C00AF"/>
    <w:rsid w:val="001C0454"/>
    <w:rsid w:val="001C0507"/>
    <w:rsid w:val="001C09B1"/>
    <w:rsid w:val="001C0FCB"/>
    <w:rsid w:val="001C1C64"/>
    <w:rsid w:val="001C1F1B"/>
    <w:rsid w:val="001C1F9B"/>
    <w:rsid w:val="001C24C2"/>
    <w:rsid w:val="001C2A9E"/>
    <w:rsid w:val="001C4973"/>
    <w:rsid w:val="001C4F19"/>
    <w:rsid w:val="001C4F39"/>
    <w:rsid w:val="001C5065"/>
    <w:rsid w:val="001C548C"/>
    <w:rsid w:val="001C5556"/>
    <w:rsid w:val="001C5575"/>
    <w:rsid w:val="001C5652"/>
    <w:rsid w:val="001C56D0"/>
    <w:rsid w:val="001C64EC"/>
    <w:rsid w:val="001C6CFB"/>
    <w:rsid w:val="001C6F7E"/>
    <w:rsid w:val="001D141C"/>
    <w:rsid w:val="001D1650"/>
    <w:rsid w:val="001D2FF0"/>
    <w:rsid w:val="001D3A3B"/>
    <w:rsid w:val="001D3F75"/>
    <w:rsid w:val="001D402D"/>
    <w:rsid w:val="001D47DA"/>
    <w:rsid w:val="001D577C"/>
    <w:rsid w:val="001D59E8"/>
    <w:rsid w:val="001D5DB5"/>
    <w:rsid w:val="001D63B7"/>
    <w:rsid w:val="001D6D40"/>
    <w:rsid w:val="001D78D4"/>
    <w:rsid w:val="001E0154"/>
    <w:rsid w:val="001E0222"/>
    <w:rsid w:val="001E0451"/>
    <w:rsid w:val="001E0DC5"/>
    <w:rsid w:val="001E1548"/>
    <w:rsid w:val="001E1624"/>
    <w:rsid w:val="001E3291"/>
    <w:rsid w:val="001E59F8"/>
    <w:rsid w:val="001E5A7A"/>
    <w:rsid w:val="001E5D77"/>
    <w:rsid w:val="001E5F3E"/>
    <w:rsid w:val="001E63AF"/>
    <w:rsid w:val="001E63DF"/>
    <w:rsid w:val="001E6762"/>
    <w:rsid w:val="001E747E"/>
    <w:rsid w:val="001F051C"/>
    <w:rsid w:val="001F0939"/>
    <w:rsid w:val="001F1A82"/>
    <w:rsid w:val="001F23DB"/>
    <w:rsid w:val="001F2989"/>
    <w:rsid w:val="001F37A7"/>
    <w:rsid w:val="001F3DB5"/>
    <w:rsid w:val="001F4394"/>
    <w:rsid w:val="001F449A"/>
    <w:rsid w:val="001F47AB"/>
    <w:rsid w:val="001F540F"/>
    <w:rsid w:val="001F54EB"/>
    <w:rsid w:val="001F594A"/>
    <w:rsid w:val="001F5E85"/>
    <w:rsid w:val="001F6B22"/>
    <w:rsid w:val="001F6C3F"/>
    <w:rsid w:val="0020006D"/>
    <w:rsid w:val="002014E6"/>
    <w:rsid w:val="002015FE"/>
    <w:rsid w:val="00201F07"/>
    <w:rsid w:val="00203489"/>
    <w:rsid w:val="00203AA9"/>
    <w:rsid w:val="00203F9F"/>
    <w:rsid w:val="002049BE"/>
    <w:rsid w:val="002049EC"/>
    <w:rsid w:val="00205DDB"/>
    <w:rsid w:val="0020713F"/>
    <w:rsid w:val="00207CF6"/>
    <w:rsid w:val="00210562"/>
    <w:rsid w:val="00211038"/>
    <w:rsid w:val="002113E8"/>
    <w:rsid w:val="00211AAF"/>
    <w:rsid w:val="00211B0D"/>
    <w:rsid w:val="00211DD3"/>
    <w:rsid w:val="00211E89"/>
    <w:rsid w:val="00213231"/>
    <w:rsid w:val="00213A79"/>
    <w:rsid w:val="00213EAC"/>
    <w:rsid w:val="00214C07"/>
    <w:rsid w:val="00215F63"/>
    <w:rsid w:val="00216378"/>
    <w:rsid w:val="0021741C"/>
    <w:rsid w:val="002175EE"/>
    <w:rsid w:val="00217E07"/>
    <w:rsid w:val="00220A92"/>
    <w:rsid w:val="00220E93"/>
    <w:rsid w:val="002224E9"/>
    <w:rsid w:val="00222BA5"/>
    <w:rsid w:val="002231EC"/>
    <w:rsid w:val="00223AC7"/>
    <w:rsid w:val="00223C60"/>
    <w:rsid w:val="00223E0E"/>
    <w:rsid w:val="00224650"/>
    <w:rsid w:val="0022479F"/>
    <w:rsid w:val="00224ECE"/>
    <w:rsid w:val="00224F26"/>
    <w:rsid w:val="00225052"/>
    <w:rsid w:val="00225272"/>
    <w:rsid w:val="00230008"/>
    <w:rsid w:val="00230E0B"/>
    <w:rsid w:val="002317B2"/>
    <w:rsid w:val="00231BC0"/>
    <w:rsid w:val="0023220D"/>
    <w:rsid w:val="0023385C"/>
    <w:rsid w:val="00233B0F"/>
    <w:rsid w:val="00233EB6"/>
    <w:rsid w:val="00234227"/>
    <w:rsid w:val="002348E5"/>
    <w:rsid w:val="0023535F"/>
    <w:rsid w:val="002357F3"/>
    <w:rsid w:val="002359CD"/>
    <w:rsid w:val="00236EB6"/>
    <w:rsid w:val="00237B89"/>
    <w:rsid w:val="00237D6A"/>
    <w:rsid w:val="002403F6"/>
    <w:rsid w:val="00240898"/>
    <w:rsid w:val="00241750"/>
    <w:rsid w:val="00241D18"/>
    <w:rsid w:val="00242A35"/>
    <w:rsid w:val="002436C6"/>
    <w:rsid w:val="00244622"/>
    <w:rsid w:val="0024516F"/>
    <w:rsid w:val="002468E0"/>
    <w:rsid w:val="0024698C"/>
    <w:rsid w:val="0024797F"/>
    <w:rsid w:val="00247A87"/>
    <w:rsid w:val="00250DFD"/>
    <w:rsid w:val="0025197E"/>
    <w:rsid w:val="00251B87"/>
    <w:rsid w:val="00253394"/>
    <w:rsid w:val="00253E94"/>
    <w:rsid w:val="002545C2"/>
    <w:rsid w:val="00254CAD"/>
    <w:rsid w:val="00255D71"/>
    <w:rsid w:val="00257661"/>
    <w:rsid w:val="00257685"/>
    <w:rsid w:val="00257DCD"/>
    <w:rsid w:val="00257EE6"/>
    <w:rsid w:val="00257F11"/>
    <w:rsid w:val="00261849"/>
    <w:rsid w:val="00261B4C"/>
    <w:rsid w:val="002642B8"/>
    <w:rsid w:val="00264BA3"/>
    <w:rsid w:val="00265909"/>
    <w:rsid w:val="00265C52"/>
    <w:rsid w:val="00265F44"/>
    <w:rsid w:val="00267A14"/>
    <w:rsid w:val="0027178F"/>
    <w:rsid w:val="00271B99"/>
    <w:rsid w:val="002728E8"/>
    <w:rsid w:val="0027337B"/>
    <w:rsid w:val="00274613"/>
    <w:rsid w:val="00275006"/>
    <w:rsid w:val="0027643E"/>
    <w:rsid w:val="00277297"/>
    <w:rsid w:val="00277D3A"/>
    <w:rsid w:val="00277E5B"/>
    <w:rsid w:val="002806B8"/>
    <w:rsid w:val="002807BF"/>
    <w:rsid w:val="0028143D"/>
    <w:rsid w:val="00281BFC"/>
    <w:rsid w:val="00282999"/>
    <w:rsid w:val="00283D83"/>
    <w:rsid w:val="002840C2"/>
    <w:rsid w:val="002844AF"/>
    <w:rsid w:val="0028499B"/>
    <w:rsid w:val="00284BCF"/>
    <w:rsid w:val="0028548D"/>
    <w:rsid w:val="00286597"/>
    <w:rsid w:val="00287FC9"/>
    <w:rsid w:val="00290E08"/>
    <w:rsid w:val="0029184E"/>
    <w:rsid w:val="00291DB4"/>
    <w:rsid w:val="00292C4B"/>
    <w:rsid w:val="00293E9F"/>
    <w:rsid w:val="00294D3C"/>
    <w:rsid w:val="0029503D"/>
    <w:rsid w:val="00295DB1"/>
    <w:rsid w:val="00295E23"/>
    <w:rsid w:val="00296366"/>
    <w:rsid w:val="00296878"/>
    <w:rsid w:val="0029694F"/>
    <w:rsid w:val="00297883"/>
    <w:rsid w:val="002A0AF9"/>
    <w:rsid w:val="002A0D17"/>
    <w:rsid w:val="002A0EDC"/>
    <w:rsid w:val="002A1C65"/>
    <w:rsid w:val="002A2FC4"/>
    <w:rsid w:val="002A330A"/>
    <w:rsid w:val="002A4939"/>
    <w:rsid w:val="002A4A93"/>
    <w:rsid w:val="002A4FBD"/>
    <w:rsid w:val="002A50C5"/>
    <w:rsid w:val="002A595D"/>
    <w:rsid w:val="002A63A0"/>
    <w:rsid w:val="002A6FB7"/>
    <w:rsid w:val="002B0132"/>
    <w:rsid w:val="002B0371"/>
    <w:rsid w:val="002B0636"/>
    <w:rsid w:val="002B06A3"/>
    <w:rsid w:val="002B15FD"/>
    <w:rsid w:val="002B2DE4"/>
    <w:rsid w:val="002B41FD"/>
    <w:rsid w:val="002B4675"/>
    <w:rsid w:val="002B48B0"/>
    <w:rsid w:val="002B4BDF"/>
    <w:rsid w:val="002B4CE8"/>
    <w:rsid w:val="002B4F8C"/>
    <w:rsid w:val="002B51DE"/>
    <w:rsid w:val="002B59F1"/>
    <w:rsid w:val="002B5C00"/>
    <w:rsid w:val="002B6AD4"/>
    <w:rsid w:val="002B737C"/>
    <w:rsid w:val="002B76FC"/>
    <w:rsid w:val="002C19A8"/>
    <w:rsid w:val="002C21CB"/>
    <w:rsid w:val="002C25B3"/>
    <w:rsid w:val="002C2791"/>
    <w:rsid w:val="002C2AEB"/>
    <w:rsid w:val="002C316A"/>
    <w:rsid w:val="002C3E38"/>
    <w:rsid w:val="002C415C"/>
    <w:rsid w:val="002C53B0"/>
    <w:rsid w:val="002C5627"/>
    <w:rsid w:val="002C671C"/>
    <w:rsid w:val="002C6A4F"/>
    <w:rsid w:val="002C6B44"/>
    <w:rsid w:val="002C7432"/>
    <w:rsid w:val="002C771C"/>
    <w:rsid w:val="002D0DBF"/>
    <w:rsid w:val="002D2599"/>
    <w:rsid w:val="002D263D"/>
    <w:rsid w:val="002D2DFC"/>
    <w:rsid w:val="002D3D9C"/>
    <w:rsid w:val="002D4182"/>
    <w:rsid w:val="002D4561"/>
    <w:rsid w:val="002D4E57"/>
    <w:rsid w:val="002D5781"/>
    <w:rsid w:val="002D581A"/>
    <w:rsid w:val="002D6DBA"/>
    <w:rsid w:val="002D6F76"/>
    <w:rsid w:val="002E02F9"/>
    <w:rsid w:val="002E0355"/>
    <w:rsid w:val="002E0545"/>
    <w:rsid w:val="002E0C9F"/>
    <w:rsid w:val="002E1BBB"/>
    <w:rsid w:val="002E1BD0"/>
    <w:rsid w:val="002E2EE5"/>
    <w:rsid w:val="002E33B6"/>
    <w:rsid w:val="002E3CDA"/>
    <w:rsid w:val="002E42D5"/>
    <w:rsid w:val="002E44D5"/>
    <w:rsid w:val="002E4D6F"/>
    <w:rsid w:val="002E527F"/>
    <w:rsid w:val="002E561E"/>
    <w:rsid w:val="002E5DD9"/>
    <w:rsid w:val="002E6E7C"/>
    <w:rsid w:val="002F013B"/>
    <w:rsid w:val="002F0CA5"/>
    <w:rsid w:val="002F1957"/>
    <w:rsid w:val="002F1BF9"/>
    <w:rsid w:val="002F262E"/>
    <w:rsid w:val="002F2CEB"/>
    <w:rsid w:val="002F711B"/>
    <w:rsid w:val="002F71C8"/>
    <w:rsid w:val="002F78A1"/>
    <w:rsid w:val="002F79AD"/>
    <w:rsid w:val="002F79CA"/>
    <w:rsid w:val="003002C9"/>
    <w:rsid w:val="00300A60"/>
    <w:rsid w:val="00301985"/>
    <w:rsid w:val="00302B2E"/>
    <w:rsid w:val="00302B76"/>
    <w:rsid w:val="00303C73"/>
    <w:rsid w:val="00303CCB"/>
    <w:rsid w:val="003045CB"/>
    <w:rsid w:val="00304926"/>
    <w:rsid w:val="00305DFE"/>
    <w:rsid w:val="003070E7"/>
    <w:rsid w:val="00307388"/>
    <w:rsid w:val="0030796A"/>
    <w:rsid w:val="003106E2"/>
    <w:rsid w:val="0031129D"/>
    <w:rsid w:val="003114F2"/>
    <w:rsid w:val="003144D6"/>
    <w:rsid w:val="003149F3"/>
    <w:rsid w:val="00317299"/>
    <w:rsid w:val="00320BEA"/>
    <w:rsid w:val="003211AE"/>
    <w:rsid w:val="00321888"/>
    <w:rsid w:val="00322327"/>
    <w:rsid w:val="00322A91"/>
    <w:rsid w:val="00323FF7"/>
    <w:rsid w:val="00324198"/>
    <w:rsid w:val="0032691A"/>
    <w:rsid w:val="00327D26"/>
    <w:rsid w:val="00327E58"/>
    <w:rsid w:val="00330ACD"/>
    <w:rsid w:val="00330C0B"/>
    <w:rsid w:val="00331A43"/>
    <w:rsid w:val="003322C7"/>
    <w:rsid w:val="003325CD"/>
    <w:rsid w:val="0033282F"/>
    <w:rsid w:val="00333BC4"/>
    <w:rsid w:val="00334082"/>
    <w:rsid w:val="003345A9"/>
    <w:rsid w:val="00334F94"/>
    <w:rsid w:val="0033536F"/>
    <w:rsid w:val="00335B9F"/>
    <w:rsid w:val="00335C87"/>
    <w:rsid w:val="00335CD0"/>
    <w:rsid w:val="00336484"/>
    <w:rsid w:val="00336609"/>
    <w:rsid w:val="00336CE3"/>
    <w:rsid w:val="00337B17"/>
    <w:rsid w:val="003405F6"/>
    <w:rsid w:val="00340827"/>
    <w:rsid w:val="00340FA1"/>
    <w:rsid w:val="0034102C"/>
    <w:rsid w:val="003412E5"/>
    <w:rsid w:val="00341829"/>
    <w:rsid w:val="0034192A"/>
    <w:rsid w:val="0034323F"/>
    <w:rsid w:val="00343359"/>
    <w:rsid w:val="00343F1A"/>
    <w:rsid w:val="0034567E"/>
    <w:rsid w:val="00345D16"/>
    <w:rsid w:val="00346069"/>
    <w:rsid w:val="0034608D"/>
    <w:rsid w:val="00346427"/>
    <w:rsid w:val="00347492"/>
    <w:rsid w:val="003478C1"/>
    <w:rsid w:val="003479BA"/>
    <w:rsid w:val="0035050F"/>
    <w:rsid w:val="00350914"/>
    <w:rsid w:val="00350D2A"/>
    <w:rsid w:val="00351449"/>
    <w:rsid w:val="0035226B"/>
    <w:rsid w:val="003527DE"/>
    <w:rsid w:val="003532F0"/>
    <w:rsid w:val="003534A7"/>
    <w:rsid w:val="003538CD"/>
    <w:rsid w:val="00353E1D"/>
    <w:rsid w:val="003546AA"/>
    <w:rsid w:val="00356EEF"/>
    <w:rsid w:val="0035729E"/>
    <w:rsid w:val="003575F2"/>
    <w:rsid w:val="003578DB"/>
    <w:rsid w:val="00360404"/>
    <w:rsid w:val="00360440"/>
    <w:rsid w:val="00360B1B"/>
    <w:rsid w:val="00360E0E"/>
    <w:rsid w:val="00362F7E"/>
    <w:rsid w:val="00363395"/>
    <w:rsid w:val="003636AF"/>
    <w:rsid w:val="0036470C"/>
    <w:rsid w:val="003658B3"/>
    <w:rsid w:val="003674CB"/>
    <w:rsid w:val="0037138C"/>
    <w:rsid w:val="00371DD4"/>
    <w:rsid w:val="0037289C"/>
    <w:rsid w:val="00373930"/>
    <w:rsid w:val="00373D8D"/>
    <w:rsid w:val="00374407"/>
    <w:rsid w:val="00374D09"/>
    <w:rsid w:val="00374D6B"/>
    <w:rsid w:val="0037537E"/>
    <w:rsid w:val="00376487"/>
    <w:rsid w:val="00381049"/>
    <w:rsid w:val="00381652"/>
    <w:rsid w:val="003821D2"/>
    <w:rsid w:val="00382D9C"/>
    <w:rsid w:val="00385F8E"/>
    <w:rsid w:val="003866E6"/>
    <w:rsid w:val="003869D9"/>
    <w:rsid w:val="0038711F"/>
    <w:rsid w:val="0038714F"/>
    <w:rsid w:val="00387BF6"/>
    <w:rsid w:val="00387F00"/>
    <w:rsid w:val="00391516"/>
    <w:rsid w:val="00391C66"/>
    <w:rsid w:val="00391FEB"/>
    <w:rsid w:val="00393149"/>
    <w:rsid w:val="003932E4"/>
    <w:rsid w:val="00393E0C"/>
    <w:rsid w:val="003947A3"/>
    <w:rsid w:val="00394C7D"/>
    <w:rsid w:val="00394E2E"/>
    <w:rsid w:val="00395142"/>
    <w:rsid w:val="00395B3A"/>
    <w:rsid w:val="00395E44"/>
    <w:rsid w:val="00396277"/>
    <w:rsid w:val="00396A8E"/>
    <w:rsid w:val="00396C4C"/>
    <w:rsid w:val="00396CC9"/>
    <w:rsid w:val="0039705B"/>
    <w:rsid w:val="00397350"/>
    <w:rsid w:val="00397597"/>
    <w:rsid w:val="0039771A"/>
    <w:rsid w:val="003A05A2"/>
    <w:rsid w:val="003A0C4D"/>
    <w:rsid w:val="003A2061"/>
    <w:rsid w:val="003A20A1"/>
    <w:rsid w:val="003A21EB"/>
    <w:rsid w:val="003A2597"/>
    <w:rsid w:val="003A37BA"/>
    <w:rsid w:val="003A3B73"/>
    <w:rsid w:val="003A59B0"/>
    <w:rsid w:val="003A604D"/>
    <w:rsid w:val="003A7BA5"/>
    <w:rsid w:val="003B09C8"/>
    <w:rsid w:val="003B125A"/>
    <w:rsid w:val="003B250F"/>
    <w:rsid w:val="003B33F8"/>
    <w:rsid w:val="003B3FB0"/>
    <w:rsid w:val="003B4BCE"/>
    <w:rsid w:val="003B580F"/>
    <w:rsid w:val="003B70AB"/>
    <w:rsid w:val="003B72D4"/>
    <w:rsid w:val="003B79CA"/>
    <w:rsid w:val="003C0032"/>
    <w:rsid w:val="003C068F"/>
    <w:rsid w:val="003C1C56"/>
    <w:rsid w:val="003C1EAB"/>
    <w:rsid w:val="003C292F"/>
    <w:rsid w:val="003C4345"/>
    <w:rsid w:val="003C4548"/>
    <w:rsid w:val="003C7401"/>
    <w:rsid w:val="003D00BF"/>
    <w:rsid w:val="003D181C"/>
    <w:rsid w:val="003D1937"/>
    <w:rsid w:val="003D1981"/>
    <w:rsid w:val="003D2BB7"/>
    <w:rsid w:val="003D3468"/>
    <w:rsid w:val="003D3DE0"/>
    <w:rsid w:val="003D3DF2"/>
    <w:rsid w:val="003D487E"/>
    <w:rsid w:val="003D4B56"/>
    <w:rsid w:val="003D5D5F"/>
    <w:rsid w:val="003D6FB3"/>
    <w:rsid w:val="003E04D8"/>
    <w:rsid w:val="003E1CC3"/>
    <w:rsid w:val="003E1D35"/>
    <w:rsid w:val="003E208E"/>
    <w:rsid w:val="003E23B6"/>
    <w:rsid w:val="003E2B63"/>
    <w:rsid w:val="003E3BE2"/>
    <w:rsid w:val="003E583E"/>
    <w:rsid w:val="003E6DD7"/>
    <w:rsid w:val="003E7715"/>
    <w:rsid w:val="003F05C2"/>
    <w:rsid w:val="003F1100"/>
    <w:rsid w:val="003F18BD"/>
    <w:rsid w:val="003F1A99"/>
    <w:rsid w:val="003F1CA4"/>
    <w:rsid w:val="003F1D3C"/>
    <w:rsid w:val="003F1E01"/>
    <w:rsid w:val="003F2598"/>
    <w:rsid w:val="003F2F25"/>
    <w:rsid w:val="003F2F62"/>
    <w:rsid w:val="003F3F95"/>
    <w:rsid w:val="003F43CE"/>
    <w:rsid w:val="003F4D85"/>
    <w:rsid w:val="003F5317"/>
    <w:rsid w:val="003F53C7"/>
    <w:rsid w:val="003F540F"/>
    <w:rsid w:val="003F5F34"/>
    <w:rsid w:val="00400B25"/>
    <w:rsid w:val="00402A36"/>
    <w:rsid w:val="00402C27"/>
    <w:rsid w:val="004053E4"/>
    <w:rsid w:val="004059F4"/>
    <w:rsid w:val="00405BD5"/>
    <w:rsid w:val="00407D47"/>
    <w:rsid w:val="00407E54"/>
    <w:rsid w:val="0041062E"/>
    <w:rsid w:val="00411002"/>
    <w:rsid w:val="0041196E"/>
    <w:rsid w:val="004119BE"/>
    <w:rsid w:val="00411FCE"/>
    <w:rsid w:val="00412F4E"/>
    <w:rsid w:val="00413335"/>
    <w:rsid w:val="00413480"/>
    <w:rsid w:val="00413C80"/>
    <w:rsid w:val="00414202"/>
    <w:rsid w:val="00414BE6"/>
    <w:rsid w:val="004176EC"/>
    <w:rsid w:val="00417B99"/>
    <w:rsid w:val="00420228"/>
    <w:rsid w:val="0042030F"/>
    <w:rsid w:val="00420922"/>
    <w:rsid w:val="004209D2"/>
    <w:rsid w:val="00421281"/>
    <w:rsid w:val="004214C6"/>
    <w:rsid w:val="00421525"/>
    <w:rsid w:val="004215CC"/>
    <w:rsid w:val="004218DA"/>
    <w:rsid w:val="0042225A"/>
    <w:rsid w:val="004223BE"/>
    <w:rsid w:val="0042266B"/>
    <w:rsid w:val="00423D41"/>
    <w:rsid w:val="00423FBC"/>
    <w:rsid w:val="0042446F"/>
    <w:rsid w:val="0042545B"/>
    <w:rsid w:val="004256BF"/>
    <w:rsid w:val="00425BF4"/>
    <w:rsid w:val="00425EFA"/>
    <w:rsid w:val="00425FB6"/>
    <w:rsid w:val="00426032"/>
    <w:rsid w:val="004263DF"/>
    <w:rsid w:val="00426F27"/>
    <w:rsid w:val="00426FF5"/>
    <w:rsid w:val="00427A3A"/>
    <w:rsid w:val="00430216"/>
    <w:rsid w:val="004306C5"/>
    <w:rsid w:val="0043189D"/>
    <w:rsid w:val="00432045"/>
    <w:rsid w:val="00432199"/>
    <w:rsid w:val="00432CE6"/>
    <w:rsid w:val="00432D32"/>
    <w:rsid w:val="004331C5"/>
    <w:rsid w:val="00433C5D"/>
    <w:rsid w:val="00433D0E"/>
    <w:rsid w:val="00433E16"/>
    <w:rsid w:val="004341D0"/>
    <w:rsid w:val="00434635"/>
    <w:rsid w:val="0043690D"/>
    <w:rsid w:val="00436B3B"/>
    <w:rsid w:val="00437111"/>
    <w:rsid w:val="004377CD"/>
    <w:rsid w:val="0044005F"/>
    <w:rsid w:val="0044063E"/>
    <w:rsid w:val="004407BD"/>
    <w:rsid w:val="00440E08"/>
    <w:rsid w:val="00440FF3"/>
    <w:rsid w:val="00441163"/>
    <w:rsid w:val="00441319"/>
    <w:rsid w:val="00441A35"/>
    <w:rsid w:val="00442194"/>
    <w:rsid w:val="00442445"/>
    <w:rsid w:val="004429AD"/>
    <w:rsid w:val="00444B7D"/>
    <w:rsid w:val="00445D39"/>
    <w:rsid w:val="00445FCC"/>
    <w:rsid w:val="00446283"/>
    <w:rsid w:val="00446B5E"/>
    <w:rsid w:val="004471CD"/>
    <w:rsid w:val="004476D6"/>
    <w:rsid w:val="0044770F"/>
    <w:rsid w:val="00450646"/>
    <w:rsid w:val="00450A5F"/>
    <w:rsid w:val="0045114C"/>
    <w:rsid w:val="0045153F"/>
    <w:rsid w:val="00451BEE"/>
    <w:rsid w:val="00453036"/>
    <w:rsid w:val="004540ED"/>
    <w:rsid w:val="00455CEC"/>
    <w:rsid w:val="0045619F"/>
    <w:rsid w:val="0045622D"/>
    <w:rsid w:val="00460DAE"/>
    <w:rsid w:val="004622D5"/>
    <w:rsid w:val="00462E28"/>
    <w:rsid w:val="00462FD8"/>
    <w:rsid w:val="00463361"/>
    <w:rsid w:val="00463C9F"/>
    <w:rsid w:val="0046492E"/>
    <w:rsid w:val="00465526"/>
    <w:rsid w:val="004660C6"/>
    <w:rsid w:val="0046667E"/>
    <w:rsid w:val="00470892"/>
    <w:rsid w:val="004714D1"/>
    <w:rsid w:val="00471CB5"/>
    <w:rsid w:val="004729BF"/>
    <w:rsid w:val="004730D1"/>
    <w:rsid w:val="00474C88"/>
    <w:rsid w:val="004767AF"/>
    <w:rsid w:val="0047694A"/>
    <w:rsid w:val="00476F9E"/>
    <w:rsid w:val="0047719A"/>
    <w:rsid w:val="00477957"/>
    <w:rsid w:val="00477B38"/>
    <w:rsid w:val="00477F87"/>
    <w:rsid w:val="00480E55"/>
    <w:rsid w:val="00480F40"/>
    <w:rsid w:val="0048162B"/>
    <w:rsid w:val="004816E5"/>
    <w:rsid w:val="00481B16"/>
    <w:rsid w:val="004822A1"/>
    <w:rsid w:val="004830C0"/>
    <w:rsid w:val="00484382"/>
    <w:rsid w:val="004845DB"/>
    <w:rsid w:val="00485899"/>
    <w:rsid w:val="0048600E"/>
    <w:rsid w:val="004864CC"/>
    <w:rsid w:val="004870C5"/>
    <w:rsid w:val="0049009F"/>
    <w:rsid w:val="004900A9"/>
    <w:rsid w:val="0049010E"/>
    <w:rsid w:val="00490292"/>
    <w:rsid w:val="004906B7"/>
    <w:rsid w:val="004915B5"/>
    <w:rsid w:val="0049203B"/>
    <w:rsid w:val="004924F3"/>
    <w:rsid w:val="00493734"/>
    <w:rsid w:val="00496BD3"/>
    <w:rsid w:val="004A06E1"/>
    <w:rsid w:val="004A1757"/>
    <w:rsid w:val="004A3618"/>
    <w:rsid w:val="004A44D9"/>
    <w:rsid w:val="004A4CC6"/>
    <w:rsid w:val="004A55E4"/>
    <w:rsid w:val="004A584F"/>
    <w:rsid w:val="004A6140"/>
    <w:rsid w:val="004A6A5B"/>
    <w:rsid w:val="004A6F7B"/>
    <w:rsid w:val="004A775C"/>
    <w:rsid w:val="004A79F1"/>
    <w:rsid w:val="004B041D"/>
    <w:rsid w:val="004B0B46"/>
    <w:rsid w:val="004B2B8F"/>
    <w:rsid w:val="004B3966"/>
    <w:rsid w:val="004B3EBD"/>
    <w:rsid w:val="004B3F55"/>
    <w:rsid w:val="004B4E37"/>
    <w:rsid w:val="004B52D9"/>
    <w:rsid w:val="004B5383"/>
    <w:rsid w:val="004B543E"/>
    <w:rsid w:val="004B755F"/>
    <w:rsid w:val="004C1439"/>
    <w:rsid w:val="004C1745"/>
    <w:rsid w:val="004C19E5"/>
    <w:rsid w:val="004C1B5D"/>
    <w:rsid w:val="004C27CD"/>
    <w:rsid w:val="004C28B8"/>
    <w:rsid w:val="004C2C8D"/>
    <w:rsid w:val="004C4FB8"/>
    <w:rsid w:val="004C52D7"/>
    <w:rsid w:val="004C540D"/>
    <w:rsid w:val="004C5CFB"/>
    <w:rsid w:val="004C66A3"/>
    <w:rsid w:val="004C6BFD"/>
    <w:rsid w:val="004C6C40"/>
    <w:rsid w:val="004C7915"/>
    <w:rsid w:val="004D08C0"/>
    <w:rsid w:val="004D1C8B"/>
    <w:rsid w:val="004D253C"/>
    <w:rsid w:val="004D356B"/>
    <w:rsid w:val="004D35CB"/>
    <w:rsid w:val="004D426B"/>
    <w:rsid w:val="004D494D"/>
    <w:rsid w:val="004D5F94"/>
    <w:rsid w:val="004D61F9"/>
    <w:rsid w:val="004D6569"/>
    <w:rsid w:val="004E00A6"/>
    <w:rsid w:val="004E1FE8"/>
    <w:rsid w:val="004E2D5E"/>
    <w:rsid w:val="004E3CD6"/>
    <w:rsid w:val="004E5B4C"/>
    <w:rsid w:val="004E61A6"/>
    <w:rsid w:val="004E6786"/>
    <w:rsid w:val="004E68AD"/>
    <w:rsid w:val="004E6EBA"/>
    <w:rsid w:val="004E7746"/>
    <w:rsid w:val="004E7CC9"/>
    <w:rsid w:val="004F037D"/>
    <w:rsid w:val="004F20B7"/>
    <w:rsid w:val="004F2107"/>
    <w:rsid w:val="004F2A04"/>
    <w:rsid w:val="004F2BFE"/>
    <w:rsid w:val="004F32BE"/>
    <w:rsid w:val="004F340A"/>
    <w:rsid w:val="004F3BC0"/>
    <w:rsid w:val="004F45A0"/>
    <w:rsid w:val="004F5D85"/>
    <w:rsid w:val="004F6100"/>
    <w:rsid w:val="004F6CE8"/>
    <w:rsid w:val="004F7BC8"/>
    <w:rsid w:val="0050003A"/>
    <w:rsid w:val="0050027C"/>
    <w:rsid w:val="005016CF"/>
    <w:rsid w:val="00501BF5"/>
    <w:rsid w:val="00502E7F"/>
    <w:rsid w:val="005033D5"/>
    <w:rsid w:val="00503AC4"/>
    <w:rsid w:val="005041BB"/>
    <w:rsid w:val="0050445F"/>
    <w:rsid w:val="00505AD5"/>
    <w:rsid w:val="00505FC3"/>
    <w:rsid w:val="00506C7E"/>
    <w:rsid w:val="005112FD"/>
    <w:rsid w:val="00511375"/>
    <w:rsid w:val="00511586"/>
    <w:rsid w:val="00512F60"/>
    <w:rsid w:val="00513532"/>
    <w:rsid w:val="005157D9"/>
    <w:rsid w:val="00515E06"/>
    <w:rsid w:val="00516593"/>
    <w:rsid w:val="00516685"/>
    <w:rsid w:val="00517394"/>
    <w:rsid w:val="00517443"/>
    <w:rsid w:val="005178A8"/>
    <w:rsid w:val="00521077"/>
    <w:rsid w:val="00521BD5"/>
    <w:rsid w:val="005225B1"/>
    <w:rsid w:val="00525207"/>
    <w:rsid w:val="005257D2"/>
    <w:rsid w:val="00525D02"/>
    <w:rsid w:val="00526CE0"/>
    <w:rsid w:val="00527AE9"/>
    <w:rsid w:val="00527C8D"/>
    <w:rsid w:val="005337FF"/>
    <w:rsid w:val="00533CB2"/>
    <w:rsid w:val="00533E7F"/>
    <w:rsid w:val="0053416E"/>
    <w:rsid w:val="00534302"/>
    <w:rsid w:val="0053474B"/>
    <w:rsid w:val="00535C31"/>
    <w:rsid w:val="00536135"/>
    <w:rsid w:val="00537128"/>
    <w:rsid w:val="00537211"/>
    <w:rsid w:val="00540028"/>
    <w:rsid w:val="005407C4"/>
    <w:rsid w:val="0054126C"/>
    <w:rsid w:val="005417A6"/>
    <w:rsid w:val="00541CE6"/>
    <w:rsid w:val="00541EEC"/>
    <w:rsid w:val="005425FD"/>
    <w:rsid w:val="00542995"/>
    <w:rsid w:val="00544D28"/>
    <w:rsid w:val="00545ADF"/>
    <w:rsid w:val="00546CC0"/>
    <w:rsid w:val="00546F85"/>
    <w:rsid w:val="005470C4"/>
    <w:rsid w:val="005471B4"/>
    <w:rsid w:val="005471C5"/>
    <w:rsid w:val="005475A2"/>
    <w:rsid w:val="00547797"/>
    <w:rsid w:val="00547A2D"/>
    <w:rsid w:val="00550020"/>
    <w:rsid w:val="005500D5"/>
    <w:rsid w:val="00550350"/>
    <w:rsid w:val="00550740"/>
    <w:rsid w:val="00550C4A"/>
    <w:rsid w:val="0055147A"/>
    <w:rsid w:val="00551885"/>
    <w:rsid w:val="0055273B"/>
    <w:rsid w:val="005527F9"/>
    <w:rsid w:val="005532D5"/>
    <w:rsid w:val="00553576"/>
    <w:rsid w:val="005536F6"/>
    <w:rsid w:val="00553F70"/>
    <w:rsid w:val="00554426"/>
    <w:rsid w:val="0055503A"/>
    <w:rsid w:val="00555400"/>
    <w:rsid w:val="00556BF4"/>
    <w:rsid w:val="00556FB1"/>
    <w:rsid w:val="0055787D"/>
    <w:rsid w:val="0056035D"/>
    <w:rsid w:val="00560B1E"/>
    <w:rsid w:val="00561379"/>
    <w:rsid w:val="00562330"/>
    <w:rsid w:val="00562ABF"/>
    <w:rsid w:val="00562C69"/>
    <w:rsid w:val="00562DD3"/>
    <w:rsid w:val="00562ED0"/>
    <w:rsid w:val="00563230"/>
    <w:rsid w:val="00565128"/>
    <w:rsid w:val="00566358"/>
    <w:rsid w:val="00567629"/>
    <w:rsid w:val="00567D31"/>
    <w:rsid w:val="0057104E"/>
    <w:rsid w:val="005713CC"/>
    <w:rsid w:val="00571A00"/>
    <w:rsid w:val="00571D6F"/>
    <w:rsid w:val="005720CC"/>
    <w:rsid w:val="00572629"/>
    <w:rsid w:val="00572A2B"/>
    <w:rsid w:val="00573DA1"/>
    <w:rsid w:val="0057470C"/>
    <w:rsid w:val="00576C10"/>
    <w:rsid w:val="00576D36"/>
    <w:rsid w:val="00576FAF"/>
    <w:rsid w:val="005770BF"/>
    <w:rsid w:val="00577677"/>
    <w:rsid w:val="005808FB"/>
    <w:rsid w:val="00581775"/>
    <w:rsid w:val="005825F5"/>
    <w:rsid w:val="00582BF1"/>
    <w:rsid w:val="00583584"/>
    <w:rsid w:val="00583EF3"/>
    <w:rsid w:val="005875DA"/>
    <w:rsid w:val="00587654"/>
    <w:rsid w:val="0058792D"/>
    <w:rsid w:val="00587DBB"/>
    <w:rsid w:val="00587FB6"/>
    <w:rsid w:val="00590115"/>
    <w:rsid w:val="0059024C"/>
    <w:rsid w:val="00591115"/>
    <w:rsid w:val="00591525"/>
    <w:rsid w:val="00592F58"/>
    <w:rsid w:val="00593320"/>
    <w:rsid w:val="00594C1E"/>
    <w:rsid w:val="00594E00"/>
    <w:rsid w:val="00595D22"/>
    <w:rsid w:val="005961A4"/>
    <w:rsid w:val="005962D3"/>
    <w:rsid w:val="005978C3"/>
    <w:rsid w:val="0059798D"/>
    <w:rsid w:val="005A0139"/>
    <w:rsid w:val="005A09E0"/>
    <w:rsid w:val="005A1008"/>
    <w:rsid w:val="005A2158"/>
    <w:rsid w:val="005A2780"/>
    <w:rsid w:val="005A32C4"/>
    <w:rsid w:val="005A33FE"/>
    <w:rsid w:val="005A3B75"/>
    <w:rsid w:val="005A428D"/>
    <w:rsid w:val="005A56A7"/>
    <w:rsid w:val="005A5801"/>
    <w:rsid w:val="005A690A"/>
    <w:rsid w:val="005A754E"/>
    <w:rsid w:val="005A7DEA"/>
    <w:rsid w:val="005B01B5"/>
    <w:rsid w:val="005B0560"/>
    <w:rsid w:val="005B0DE5"/>
    <w:rsid w:val="005B163D"/>
    <w:rsid w:val="005B17FB"/>
    <w:rsid w:val="005B3555"/>
    <w:rsid w:val="005B4119"/>
    <w:rsid w:val="005B5541"/>
    <w:rsid w:val="005B5883"/>
    <w:rsid w:val="005B6EBA"/>
    <w:rsid w:val="005B76DC"/>
    <w:rsid w:val="005C010F"/>
    <w:rsid w:val="005C165E"/>
    <w:rsid w:val="005C26D0"/>
    <w:rsid w:val="005C29A3"/>
    <w:rsid w:val="005C3DC0"/>
    <w:rsid w:val="005C5735"/>
    <w:rsid w:val="005C66DA"/>
    <w:rsid w:val="005C7EF1"/>
    <w:rsid w:val="005D018F"/>
    <w:rsid w:val="005D0CFE"/>
    <w:rsid w:val="005D13F3"/>
    <w:rsid w:val="005D1B47"/>
    <w:rsid w:val="005D1CE4"/>
    <w:rsid w:val="005D21CE"/>
    <w:rsid w:val="005D2726"/>
    <w:rsid w:val="005D2E95"/>
    <w:rsid w:val="005D380C"/>
    <w:rsid w:val="005D467A"/>
    <w:rsid w:val="005D4F20"/>
    <w:rsid w:val="005D5600"/>
    <w:rsid w:val="005D600E"/>
    <w:rsid w:val="005E11E0"/>
    <w:rsid w:val="005E2133"/>
    <w:rsid w:val="005E37B9"/>
    <w:rsid w:val="005E73E1"/>
    <w:rsid w:val="005F0170"/>
    <w:rsid w:val="005F160E"/>
    <w:rsid w:val="005F16E4"/>
    <w:rsid w:val="005F212A"/>
    <w:rsid w:val="005F235A"/>
    <w:rsid w:val="005F37CA"/>
    <w:rsid w:val="005F557A"/>
    <w:rsid w:val="005F6E52"/>
    <w:rsid w:val="005F6FDD"/>
    <w:rsid w:val="006004EF"/>
    <w:rsid w:val="00601386"/>
    <w:rsid w:val="0060191F"/>
    <w:rsid w:val="00601943"/>
    <w:rsid w:val="006024FE"/>
    <w:rsid w:val="00602FA5"/>
    <w:rsid w:val="00603D33"/>
    <w:rsid w:val="00604798"/>
    <w:rsid w:val="006048AA"/>
    <w:rsid w:val="00604FEA"/>
    <w:rsid w:val="00605628"/>
    <w:rsid w:val="00605E9D"/>
    <w:rsid w:val="0060691E"/>
    <w:rsid w:val="006078D7"/>
    <w:rsid w:val="00607E13"/>
    <w:rsid w:val="006104D9"/>
    <w:rsid w:val="00610F7F"/>
    <w:rsid w:val="00611ED9"/>
    <w:rsid w:val="00612065"/>
    <w:rsid w:val="006132BE"/>
    <w:rsid w:val="00613826"/>
    <w:rsid w:val="006139AB"/>
    <w:rsid w:val="006155BE"/>
    <w:rsid w:val="00615A79"/>
    <w:rsid w:val="006161D6"/>
    <w:rsid w:val="006162E3"/>
    <w:rsid w:val="0061648C"/>
    <w:rsid w:val="0062050F"/>
    <w:rsid w:val="0062080C"/>
    <w:rsid w:val="00620CB0"/>
    <w:rsid w:val="006233E1"/>
    <w:rsid w:val="006249C8"/>
    <w:rsid w:val="0062686E"/>
    <w:rsid w:val="00627A01"/>
    <w:rsid w:val="00627EA5"/>
    <w:rsid w:val="006301B8"/>
    <w:rsid w:val="006303F2"/>
    <w:rsid w:val="0063116D"/>
    <w:rsid w:val="0063218A"/>
    <w:rsid w:val="00632416"/>
    <w:rsid w:val="00633FAA"/>
    <w:rsid w:val="0063400D"/>
    <w:rsid w:val="006344BD"/>
    <w:rsid w:val="00634583"/>
    <w:rsid w:val="00634680"/>
    <w:rsid w:val="00635932"/>
    <w:rsid w:val="00635EFF"/>
    <w:rsid w:val="00637556"/>
    <w:rsid w:val="006376A5"/>
    <w:rsid w:val="006409C2"/>
    <w:rsid w:val="00642275"/>
    <w:rsid w:val="00642D1E"/>
    <w:rsid w:val="00644663"/>
    <w:rsid w:val="0064553B"/>
    <w:rsid w:val="00645EC3"/>
    <w:rsid w:val="00645FFD"/>
    <w:rsid w:val="0064692C"/>
    <w:rsid w:val="00646A60"/>
    <w:rsid w:val="006470EA"/>
    <w:rsid w:val="00647CD0"/>
    <w:rsid w:val="00647E22"/>
    <w:rsid w:val="00647F32"/>
    <w:rsid w:val="006502E3"/>
    <w:rsid w:val="00650788"/>
    <w:rsid w:val="0065149B"/>
    <w:rsid w:val="00651507"/>
    <w:rsid w:val="00651AE7"/>
    <w:rsid w:val="006522F2"/>
    <w:rsid w:val="00652DD0"/>
    <w:rsid w:val="006530EC"/>
    <w:rsid w:val="00655FCB"/>
    <w:rsid w:val="006562D0"/>
    <w:rsid w:val="00656727"/>
    <w:rsid w:val="00656758"/>
    <w:rsid w:val="00656BBD"/>
    <w:rsid w:val="00657AD8"/>
    <w:rsid w:val="00657BB2"/>
    <w:rsid w:val="00657F9A"/>
    <w:rsid w:val="00660B2A"/>
    <w:rsid w:val="00660E47"/>
    <w:rsid w:val="006618E3"/>
    <w:rsid w:val="00662427"/>
    <w:rsid w:val="00663C3E"/>
    <w:rsid w:val="00665EE0"/>
    <w:rsid w:val="006668B1"/>
    <w:rsid w:val="00667C99"/>
    <w:rsid w:val="00672896"/>
    <w:rsid w:val="00673CC2"/>
    <w:rsid w:val="00673EAC"/>
    <w:rsid w:val="006746EF"/>
    <w:rsid w:val="006757C2"/>
    <w:rsid w:val="0067618C"/>
    <w:rsid w:val="006764CB"/>
    <w:rsid w:val="0068050C"/>
    <w:rsid w:val="00680CC0"/>
    <w:rsid w:val="00680CFC"/>
    <w:rsid w:val="0068171A"/>
    <w:rsid w:val="00681B47"/>
    <w:rsid w:val="00682AB4"/>
    <w:rsid w:val="00682C45"/>
    <w:rsid w:val="00683DB8"/>
    <w:rsid w:val="00685271"/>
    <w:rsid w:val="00685CF3"/>
    <w:rsid w:val="0068640C"/>
    <w:rsid w:val="00686441"/>
    <w:rsid w:val="0068656F"/>
    <w:rsid w:val="00686A05"/>
    <w:rsid w:val="00690784"/>
    <w:rsid w:val="00691305"/>
    <w:rsid w:val="00692779"/>
    <w:rsid w:val="0069283A"/>
    <w:rsid w:val="00692A3C"/>
    <w:rsid w:val="00692CE5"/>
    <w:rsid w:val="00694466"/>
    <w:rsid w:val="006945DC"/>
    <w:rsid w:val="0069467C"/>
    <w:rsid w:val="00694EAF"/>
    <w:rsid w:val="0069564E"/>
    <w:rsid w:val="00695FD0"/>
    <w:rsid w:val="00696BD2"/>
    <w:rsid w:val="00697071"/>
    <w:rsid w:val="00697124"/>
    <w:rsid w:val="0069749C"/>
    <w:rsid w:val="00697652"/>
    <w:rsid w:val="00697AD2"/>
    <w:rsid w:val="006A0946"/>
    <w:rsid w:val="006A1050"/>
    <w:rsid w:val="006A2C3F"/>
    <w:rsid w:val="006A2CE2"/>
    <w:rsid w:val="006A3484"/>
    <w:rsid w:val="006A4A10"/>
    <w:rsid w:val="006A4EB4"/>
    <w:rsid w:val="006A4EEB"/>
    <w:rsid w:val="006A565B"/>
    <w:rsid w:val="006A5792"/>
    <w:rsid w:val="006A5D24"/>
    <w:rsid w:val="006A5F7F"/>
    <w:rsid w:val="006A6108"/>
    <w:rsid w:val="006B0CC9"/>
    <w:rsid w:val="006B1232"/>
    <w:rsid w:val="006B2009"/>
    <w:rsid w:val="006B3415"/>
    <w:rsid w:val="006B3DDD"/>
    <w:rsid w:val="006B6CB7"/>
    <w:rsid w:val="006B733D"/>
    <w:rsid w:val="006B7B9B"/>
    <w:rsid w:val="006C03F4"/>
    <w:rsid w:val="006C0AC0"/>
    <w:rsid w:val="006C10A3"/>
    <w:rsid w:val="006C15EF"/>
    <w:rsid w:val="006C1A08"/>
    <w:rsid w:val="006C1B4D"/>
    <w:rsid w:val="006C22CB"/>
    <w:rsid w:val="006C392C"/>
    <w:rsid w:val="006C3AA1"/>
    <w:rsid w:val="006C5491"/>
    <w:rsid w:val="006C6F36"/>
    <w:rsid w:val="006C71D8"/>
    <w:rsid w:val="006C72FA"/>
    <w:rsid w:val="006D0285"/>
    <w:rsid w:val="006D07EE"/>
    <w:rsid w:val="006D0BA2"/>
    <w:rsid w:val="006D11E3"/>
    <w:rsid w:val="006D4366"/>
    <w:rsid w:val="006D4D08"/>
    <w:rsid w:val="006D5352"/>
    <w:rsid w:val="006D7BB1"/>
    <w:rsid w:val="006E07D6"/>
    <w:rsid w:val="006E16C6"/>
    <w:rsid w:val="006E1A99"/>
    <w:rsid w:val="006E1AB7"/>
    <w:rsid w:val="006E1E4D"/>
    <w:rsid w:val="006E41EA"/>
    <w:rsid w:val="006E5B9F"/>
    <w:rsid w:val="006E63BC"/>
    <w:rsid w:val="006E63DC"/>
    <w:rsid w:val="006E6441"/>
    <w:rsid w:val="006E6D49"/>
    <w:rsid w:val="006E6FB9"/>
    <w:rsid w:val="006E7342"/>
    <w:rsid w:val="006E76AB"/>
    <w:rsid w:val="006E7F43"/>
    <w:rsid w:val="006F248B"/>
    <w:rsid w:val="006F2B15"/>
    <w:rsid w:val="006F421F"/>
    <w:rsid w:val="006F484E"/>
    <w:rsid w:val="006F4DFB"/>
    <w:rsid w:val="006F57D9"/>
    <w:rsid w:val="006F5BDA"/>
    <w:rsid w:val="006F5D78"/>
    <w:rsid w:val="006F750B"/>
    <w:rsid w:val="006F7686"/>
    <w:rsid w:val="00700086"/>
    <w:rsid w:val="00700089"/>
    <w:rsid w:val="00700342"/>
    <w:rsid w:val="007003BC"/>
    <w:rsid w:val="007026DF"/>
    <w:rsid w:val="007032FF"/>
    <w:rsid w:val="007033AB"/>
    <w:rsid w:val="0070351F"/>
    <w:rsid w:val="0070368F"/>
    <w:rsid w:val="007037BE"/>
    <w:rsid w:val="00703B0F"/>
    <w:rsid w:val="00703CAE"/>
    <w:rsid w:val="00704EF5"/>
    <w:rsid w:val="0070607D"/>
    <w:rsid w:val="007066F5"/>
    <w:rsid w:val="007067A8"/>
    <w:rsid w:val="00706EF0"/>
    <w:rsid w:val="00707C72"/>
    <w:rsid w:val="00711034"/>
    <w:rsid w:val="007111A0"/>
    <w:rsid w:val="00711FD4"/>
    <w:rsid w:val="00713BAE"/>
    <w:rsid w:val="0071538B"/>
    <w:rsid w:val="00715F9E"/>
    <w:rsid w:val="00716703"/>
    <w:rsid w:val="00716B25"/>
    <w:rsid w:val="00716C02"/>
    <w:rsid w:val="00716C2F"/>
    <w:rsid w:val="00716C79"/>
    <w:rsid w:val="00716E75"/>
    <w:rsid w:val="0071797A"/>
    <w:rsid w:val="007179A2"/>
    <w:rsid w:val="00717B06"/>
    <w:rsid w:val="00721B8E"/>
    <w:rsid w:val="00722714"/>
    <w:rsid w:val="00722A42"/>
    <w:rsid w:val="00722F9E"/>
    <w:rsid w:val="00723740"/>
    <w:rsid w:val="00723A99"/>
    <w:rsid w:val="00724666"/>
    <w:rsid w:val="0072584B"/>
    <w:rsid w:val="0072614E"/>
    <w:rsid w:val="00727BE2"/>
    <w:rsid w:val="00727D02"/>
    <w:rsid w:val="00730BBF"/>
    <w:rsid w:val="00730D6C"/>
    <w:rsid w:val="007312B6"/>
    <w:rsid w:val="00732348"/>
    <w:rsid w:val="007335B3"/>
    <w:rsid w:val="00733680"/>
    <w:rsid w:val="00733E18"/>
    <w:rsid w:val="00734E00"/>
    <w:rsid w:val="0073525F"/>
    <w:rsid w:val="00735EAD"/>
    <w:rsid w:val="00735F9B"/>
    <w:rsid w:val="0073661A"/>
    <w:rsid w:val="0073701D"/>
    <w:rsid w:val="00737841"/>
    <w:rsid w:val="00740DA2"/>
    <w:rsid w:val="007412E6"/>
    <w:rsid w:val="0074161A"/>
    <w:rsid w:val="007417E5"/>
    <w:rsid w:val="007425D0"/>
    <w:rsid w:val="00743277"/>
    <w:rsid w:val="007435EC"/>
    <w:rsid w:val="00743BBF"/>
    <w:rsid w:val="00744A1D"/>
    <w:rsid w:val="00745EB5"/>
    <w:rsid w:val="00746DBD"/>
    <w:rsid w:val="0074744A"/>
    <w:rsid w:val="00747679"/>
    <w:rsid w:val="00747CC4"/>
    <w:rsid w:val="00750212"/>
    <w:rsid w:val="00750597"/>
    <w:rsid w:val="0075068A"/>
    <w:rsid w:val="007510E1"/>
    <w:rsid w:val="00751701"/>
    <w:rsid w:val="007522DA"/>
    <w:rsid w:val="0075274B"/>
    <w:rsid w:val="0075341C"/>
    <w:rsid w:val="00754080"/>
    <w:rsid w:val="00754372"/>
    <w:rsid w:val="007543A1"/>
    <w:rsid w:val="007544A7"/>
    <w:rsid w:val="00755E69"/>
    <w:rsid w:val="00757023"/>
    <w:rsid w:val="00757402"/>
    <w:rsid w:val="00757F46"/>
    <w:rsid w:val="00760B9A"/>
    <w:rsid w:val="00762FA0"/>
    <w:rsid w:val="00763254"/>
    <w:rsid w:val="00763730"/>
    <w:rsid w:val="0076458E"/>
    <w:rsid w:val="007659A4"/>
    <w:rsid w:val="0076689A"/>
    <w:rsid w:val="00766AD6"/>
    <w:rsid w:val="00766D8E"/>
    <w:rsid w:val="00770B5B"/>
    <w:rsid w:val="00770E48"/>
    <w:rsid w:val="007714DB"/>
    <w:rsid w:val="007716CD"/>
    <w:rsid w:val="007720BB"/>
    <w:rsid w:val="00772336"/>
    <w:rsid w:val="00772D63"/>
    <w:rsid w:val="00773051"/>
    <w:rsid w:val="007734F1"/>
    <w:rsid w:val="00773FF2"/>
    <w:rsid w:val="007746AA"/>
    <w:rsid w:val="00774A38"/>
    <w:rsid w:val="00775020"/>
    <w:rsid w:val="0077504A"/>
    <w:rsid w:val="00775AE1"/>
    <w:rsid w:val="00775BD9"/>
    <w:rsid w:val="007765CC"/>
    <w:rsid w:val="00780E64"/>
    <w:rsid w:val="00781294"/>
    <w:rsid w:val="00782E05"/>
    <w:rsid w:val="00782FE8"/>
    <w:rsid w:val="00783091"/>
    <w:rsid w:val="007837E7"/>
    <w:rsid w:val="00783817"/>
    <w:rsid w:val="00783A3E"/>
    <w:rsid w:val="0078425F"/>
    <w:rsid w:val="00784497"/>
    <w:rsid w:val="00784953"/>
    <w:rsid w:val="00784A2E"/>
    <w:rsid w:val="00784E6E"/>
    <w:rsid w:val="007853D5"/>
    <w:rsid w:val="007854A2"/>
    <w:rsid w:val="007857A9"/>
    <w:rsid w:val="00785E34"/>
    <w:rsid w:val="007860A7"/>
    <w:rsid w:val="00787BFB"/>
    <w:rsid w:val="00787E68"/>
    <w:rsid w:val="0079110C"/>
    <w:rsid w:val="007919A7"/>
    <w:rsid w:val="0079201A"/>
    <w:rsid w:val="007929F1"/>
    <w:rsid w:val="00792DF1"/>
    <w:rsid w:val="00792E4E"/>
    <w:rsid w:val="00792E7B"/>
    <w:rsid w:val="00793ED6"/>
    <w:rsid w:val="007942D9"/>
    <w:rsid w:val="007944F1"/>
    <w:rsid w:val="00794791"/>
    <w:rsid w:val="0079489E"/>
    <w:rsid w:val="00794C04"/>
    <w:rsid w:val="0079588D"/>
    <w:rsid w:val="00795992"/>
    <w:rsid w:val="0079608E"/>
    <w:rsid w:val="00796236"/>
    <w:rsid w:val="007963B1"/>
    <w:rsid w:val="00796CB9"/>
    <w:rsid w:val="007974E2"/>
    <w:rsid w:val="007A07A1"/>
    <w:rsid w:val="007A07B4"/>
    <w:rsid w:val="007A1CEA"/>
    <w:rsid w:val="007A31A4"/>
    <w:rsid w:val="007A39B5"/>
    <w:rsid w:val="007A4050"/>
    <w:rsid w:val="007A4A31"/>
    <w:rsid w:val="007A4CB4"/>
    <w:rsid w:val="007A6962"/>
    <w:rsid w:val="007A7195"/>
    <w:rsid w:val="007A7C72"/>
    <w:rsid w:val="007A7D4F"/>
    <w:rsid w:val="007B0714"/>
    <w:rsid w:val="007B0851"/>
    <w:rsid w:val="007B09A3"/>
    <w:rsid w:val="007B0FBE"/>
    <w:rsid w:val="007B25CB"/>
    <w:rsid w:val="007B2E1A"/>
    <w:rsid w:val="007B2F81"/>
    <w:rsid w:val="007B32A2"/>
    <w:rsid w:val="007B4FB6"/>
    <w:rsid w:val="007B7189"/>
    <w:rsid w:val="007B74C5"/>
    <w:rsid w:val="007C04A5"/>
    <w:rsid w:val="007C058B"/>
    <w:rsid w:val="007C0C53"/>
    <w:rsid w:val="007C1591"/>
    <w:rsid w:val="007C1A89"/>
    <w:rsid w:val="007C2D93"/>
    <w:rsid w:val="007C3B55"/>
    <w:rsid w:val="007C4302"/>
    <w:rsid w:val="007C574F"/>
    <w:rsid w:val="007C6FC9"/>
    <w:rsid w:val="007C727F"/>
    <w:rsid w:val="007C7353"/>
    <w:rsid w:val="007C7C46"/>
    <w:rsid w:val="007D05A7"/>
    <w:rsid w:val="007D0926"/>
    <w:rsid w:val="007D0D4E"/>
    <w:rsid w:val="007D1BF5"/>
    <w:rsid w:val="007D3175"/>
    <w:rsid w:val="007D3699"/>
    <w:rsid w:val="007D3D71"/>
    <w:rsid w:val="007D3ED7"/>
    <w:rsid w:val="007D4AF3"/>
    <w:rsid w:val="007D666C"/>
    <w:rsid w:val="007D6BB4"/>
    <w:rsid w:val="007D73AE"/>
    <w:rsid w:val="007D791F"/>
    <w:rsid w:val="007E0A78"/>
    <w:rsid w:val="007E108E"/>
    <w:rsid w:val="007E22A6"/>
    <w:rsid w:val="007E2810"/>
    <w:rsid w:val="007E28AC"/>
    <w:rsid w:val="007E2F14"/>
    <w:rsid w:val="007E3324"/>
    <w:rsid w:val="007E4139"/>
    <w:rsid w:val="007E4C6E"/>
    <w:rsid w:val="007E4F67"/>
    <w:rsid w:val="007E782B"/>
    <w:rsid w:val="007E7B19"/>
    <w:rsid w:val="007E7B49"/>
    <w:rsid w:val="007F0B66"/>
    <w:rsid w:val="007F0C6B"/>
    <w:rsid w:val="007F157E"/>
    <w:rsid w:val="007F1813"/>
    <w:rsid w:val="007F1DFE"/>
    <w:rsid w:val="007F237F"/>
    <w:rsid w:val="007F242D"/>
    <w:rsid w:val="007F385E"/>
    <w:rsid w:val="007F47DF"/>
    <w:rsid w:val="007F4810"/>
    <w:rsid w:val="007F4A6C"/>
    <w:rsid w:val="007F61CA"/>
    <w:rsid w:val="007F636E"/>
    <w:rsid w:val="007F6599"/>
    <w:rsid w:val="007F685B"/>
    <w:rsid w:val="007F6884"/>
    <w:rsid w:val="007F7016"/>
    <w:rsid w:val="007F7A68"/>
    <w:rsid w:val="007F7C13"/>
    <w:rsid w:val="0080244A"/>
    <w:rsid w:val="00802839"/>
    <w:rsid w:val="00803170"/>
    <w:rsid w:val="008041BF"/>
    <w:rsid w:val="0080502B"/>
    <w:rsid w:val="00805A01"/>
    <w:rsid w:val="00805AEB"/>
    <w:rsid w:val="00810235"/>
    <w:rsid w:val="0081067A"/>
    <w:rsid w:val="0081079C"/>
    <w:rsid w:val="00811233"/>
    <w:rsid w:val="00812108"/>
    <w:rsid w:val="00812155"/>
    <w:rsid w:val="0081277C"/>
    <w:rsid w:val="00813369"/>
    <w:rsid w:val="00813FAE"/>
    <w:rsid w:val="0081435E"/>
    <w:rsid w:val="0081622F"/>
    <w:rsid w:val="00816FA2"/>
    <w:rsid w:val="00817A3F"/>
    <w:rsid w:val="00817C0A"/>
    <w:rsid w:val="00817F59"/>
    <w:rsid w:val="00820126"/>
    <w:rsid w:val="0082051F"/>
    <w:rsid w:val="00820F24"/>
    <w:rsid w:val="00821981"/>
    <w:rsid w:val="0082285E"/>
    <w:rsid w:val="00822B69"/>
    <w:rsid w:val="00822FA0"/>
    <w:rsid w:val="00823677"/>
    <w:rsid w:val="0082382D"/>
    <w:rsid w:val="008239A1"/>
    <w:rsid w:val="0082432E"/>
    <w:rsid w:val="008250B9"/>
    <w:rsid w:val="008256E4"/>
    <w:rsid w:val="00825723"/>
    <w:rsid w:val="00825B6F"/>
    <w:rsid w:val="00826883"/>
    <w:rsid w:val="008277CC"/>
    <w:rsid w:val="00827823"/>
    <w:rsid w:val="00827BA4"/>
    <w:rsid w:val="008301D7"/>
    <w:rsid w:val="008310E1"/>
    <w:rsid w:val="0083133D"/>
    <w:rsid w:val="00831411"/>
    <w:rsid w:val="00832826"/>
    <w:rsid w:val="0083284A"/>
    <w:rsid w:val="008332F5"/>
    <w:rsid w:val="008348A5"/>
    <w:rsid w:val="00835656"/>
    <w:rsid w:val="008366EF"/>
    <w:rsid w:val="00836A35"/>
    <w:rsid w:val="00836ED9"/>
    <w:rsid w:val="008370C2"/>
    <w:rsid w:val="008371D6"/>
    <w:rsid w:val="00837409"/>
    <w:rsid w:val="0083797A"/>
    <w:rsid w:val="0084062A"/>
    <w:rsid w:val="0084218D"/>
    <w:rsid w:val="00842D67"/>
    <w:rsid w:val="00843AA6"/>
    <w:rsid w:val="00843B41"/>
    <w:rsid w:val="008440B2"/>
    <w:rsid w:val="00844490"/>
    <w:rsid w:val="008459CE"/>
    <w:rsid w:val="008467A1"/>
    <w:rsid w:val="0084791A"/>
    <w:rsid w:val="00850112"/>
    <w:rsid w:val="00851FC9"/>
    <w:rsid w:val="00854DF6"/>
    <w:rsid w:val="00854E5F"/>
    <w:rsid w:val="00854FDD"/>
    <w:rsid w:val="00855C08"/>
    <w:rsid w:val="008562CA"/>
    <w:rsid w:val="00856854"/>
    <w:rsid w:val="00856B09"/>
    <w:rsid w:val="00857760"/>
    <w:rsid w:val="00860715"/>
    <w:rsid w:val="008613A8"/>
    <w:rsid w:val="008621CF"/>
    <w:rsid w:val="00862404"/>
    <w:rsid w:val="008634B3"/>
    <w:rsid w:val="00863668"/>
    <w:rsid w:val="00865063"/>
    <w:rsid w:val="008653D6"/>
    <w:rsid w:val="00865921"/>
    <w:rsid w:val="008667EE"/>
    <w:rsid w:val="00866A9A"/>
    <w:rsid w:val="00866E1B"/>
    <w:rsid w:val="00867404"/>
    <w:rsid w:val="00867452"/>
    <w:rsid w:val="00867A94"/>
    <w:rsid w:val="00870E17"/>
    <w:rsid w:val="00871A25"/>
    <w:rsid w:val="00872084"/>
    <w:rsid w:val="008720D7"/>
    <w:rsid w:val="00872953"/>
    <w:rsid w:val="00872CF4"/>
    <w:rsid w:val="00872E8A"/>
    <w:rsid w:val="00873236"/>
    <w:rsid w:val="008733A7"/>
    <w:rsid w:val="008745FF"/>
    <w:rsid w:val="0087599C"/>
    <w:rsid w:val="00876961"/>
    <w:rsid w:val="00876DC4"/>
    <w:rsid w:val="00877091"/>
    <w:rsid w:val="00877B64"/>
    <w:rsid w:val="00877E9C"/>
    <w:rsid w:val="00880324"/>
    <w:rsid w:val="008807BE"/>
    <w:rsid w:val="00880EE6"/>
    <w:rsid w:val="00880F05"/>
    <w:rsid w:val="00881348"/>
    <w:rsid w:val="00881591"/>
    <w:rsid w:val="00881879"/>
    <w:rsid w:val="00881B5B"/>
    <w:rsid w:val="00882280"/>
    <w:rsid w:val="00883A2D"/>
    <w:rsid w:val="00884D28"/>
    <w:rsid w:val="00885262"/>
    <w:rsid w:val="00885703"/>
    <w:rsid w:val="00885B2A"/>
    <w:rsid w:val="00886C7C"/>
    <w:rsid w:val="008871A8"/>
    <w:rsid w:val="00891122"/>
    <w:rsid w:val="0089121E"/>
    <w:rsid w:val="008916A0"/>
    <w:rsid w:val="0089177A"/>
    <w:rsid w:val="008918D8"/>
    <w:rsid w:val="00891911"/>
    <w:rsid w:val="00892128"/>
    <w:rsid w:val="008922F8"/>
    <w:rsid w:val="00892AAE"/>
    <w:rsid w:val="00892C08"/>
    <w:rsid w:val="0089376D"/>
    <w:rsid w:val="00894300"/>
    <w:rsid w:val="008952B3"/>
    <w:rsid w:val="00895D21"/>
    <w:rsid w:val="00896A4C"/>
    <w:rsid w:val="00897485"/>
    <w:rsid w:val="008977D6"/>
    <w:rsid w:val="00897C16"/>
    <w:rsid w:val="00897EC3"/>
    <w:rsid w:val="008A0250"/>
    <w:rsid w:val="008A049D"/>
    <w:rsid w:val="008A1C2B"/>
    <w:rsid w:val="008A1D82"/>
    <w:rsid w:val="008A2396"/>
    <w:rsid w:val="008A27D6"/>
    <w:rsid w:val="008A2E22"/>
    <w:rsid w:val="008A3CB3"/>
    <w:rsid w:val="008A5673"/>
    <w:rsid w:val="008A7384"/>
    <w:rsid w:val="008A75E5"/>
    <w:rsid w:val="008A7C67"/>
    <w:rsid w:val="008B01E5"/>
    <w:rsid w:val="008B09E7"/>
    <w:rsid w:val="008B0E61"/>
    <w:rsid w:val="008B0FC5"/>
    <w:rsid w:val="008B10C5"/>
    <w:rsid w:val="008B1A8F"/>
    <w:rsid w:val="008B378C"/>
    <w:rsid w:val="008B3874"/>
    <w:rsid w:val="008B392C"/>
    <w:rsid w:val="008B40CB"/>
    <w:rsid w:val="008B4E0B"/>
    <w:rsid w:val="008B5156"/>
    <w:rsid w:val="008C096D"/>
    <w:rsid w:val="008C0FC3"/>
    <w:rsid w:val="008C1530"/>
    <w:rsid w:val="008C1631"/>
    <w:rsid w:val="008C2CAB"/>
    <w:rsid w:val="008C2F87"/>
    <w:rsid w:val="008C3942"/>
    <w:rsid w:val="008C5953"/>
    <w:rsid w:val="008C65A4"/>
    <w:rsid w:val="008C6C16"/>
    <w:rsid w:val="008C7752"/>
    <w:rsid w:val="008C7831"/>
    <w:rsid w:val="008C78A7"/>
    <w:rsid w:val="008D09BB"/>
    <w:rsid w:val="008D0A87"/>
    <w:rsid w:val="008D2116"/>
    <w:rsid w:val="008D30A4"/>
    <w:rsid w:val="008D3145"/>
    <w:rsid w:val="008D324B"/>
    <w:rsid w:val="008D3717"/>
    <w:rsid w:val="008D3BC3"/>
    <w:rsid w:val="008D3EB1"/>
    <w:rsid w:val="008D481F"/>
    <w:rsid w:val="008D4C7C"/>
    <w:rsid w:val="008D55F9"/>
    <w:rsid w:val="008D5605"/>
    <w:rsid w:val="008D5BF7"/>
    <w:rsid w:val="008D5C7D"/>
    <w:rsid w:val="008D5D71"/>
    <w:rsid w:val="008E0EDA"/>
    <w:rsid w:val="008E1A1B"/>
    <w:rsid w:val="008E4576"/>
    <w:rsid w:val="008E4D60"/>
    <w:rsid w:val="008E6C25"/>
    <w:rsid w:val="008E7053"/>
    <w:rsid w:val="008E7941"/>
    <w:rsid w:val="008F1374"/>
    <w:rsid w:val="008F20E5"/>
    <w:rsid w:val="008F331A"/>
    <w:rsid w:val="008F3A3E"/>
    <w:rsid w:val="008F5D19"/>
    <w:rsid w:val="008F5D7D"/>
    <w:rsid w:val="008F6EDD"/>
    <w:rsid w:val="008F72D0"/>
    <w:rsid w:val="00900604"/>
    <w:rsid w:val="00900CE7"/>
    <w:rsid w:val="0090278C"/>
    <w:rsid w:val="00902F38"/>
    <w:rsid w:val="00903506"/>
    <w:rsid w:val="00903B6F"/>
    <w:rsid w:val="009049BF"/>
    <w:rsid w:val="009052CC"/>
    <w:rsid w:val="00905C1F"/>
    <w:rsid w:val="009062AA"/>
    <w:rsid w:val="00907945"/>
    <w:rsid w:val="00907B90"/>
    <w:rsid w:val="00907BCC"/>
    <w:rsid w:val="009102F9"/>
    <w:rsid w:val="00910BC8"/>
    <w:rsid w:val="0091362D"/>
    <w:rsid w:val="00913852"/>
    <w:rsid w:val="00913DF4"/>
    <w:rsid w:val="00914343"/>
    <w:rsid w:val="0091613D"/>
    <w:rsid w:val="00916CAA"/>
    <w:rsid w:val="00916F6D"/>
    <w:rsid w:val="0091722A"/>
    <w:rsid w:val="009213BD"/>
    <w:rsid w:val="00922282"/>
    <w:rsid w:val="009223CA"/>
    <w:rsid w:val="00922632"/>
    <w:rsid w:val="00922F82"/>
    <w:rsid w:val="00923E6C"/>
    <w:rsid w:val="00924143"/>
    <w:rsid w:val="00926D9F"/>
    <w:rsid w:val="00926E87"/>
    <w:rsid w:val="0093105B"/>
    <w:rsid w:val="009314ED"/>
    <w:rsid w:val="00932009"/>
    <w:rsid w:val="00932D0A"/>
    <w:rsid w:val="00932DBC"/>
    <w:rsid w:val="00933550"/>
    <w:rsid w:val="00933D28"/>
    <w:rsid w:val="009347B6"/>
    <w:rsid w:val="009348CB"/>
    <w:rsid w:val="00934D1D"/>
    <w:rsid w:val="00934FC7"/>
    <w:rsid w:val="00935FD0"/>
    <w:rsid w:val="0093606E"/>
    <w:rsid w:val="009373C5"/>
    <w:rsid w:val="009379CB"/>
    <w:rsid w:val="00937F7D"/>
    <w:rsid w:val="00940291"/>
    <w:rsid w:val="00940A63"/>
    <w:rsid w:val="00942184"/>
    <w:rsid w:val="0094276A"/>
    <w:rsid w:val="009429B8"/>
    <w:rsid w:val="00942A2E"/>
    <w:rsid w:val="009436A4"/>
    <w:rsid w:val="00943753"/>
    <w:rsid w:val="00943BEC"/>
    <w:rsid w:val="00944067"/>
    <w:rsid w:val="00944B47"/>
    <w:rsid w:val="00944BB2"/>
    <w:rsid w:val="009452AC"/>
    <w:rsid w:val="009455A8"/>
    <w:rsid w:val="00945827"/>
    <w:rsid w:val="00950612"/>
    <w:rsid w:val="0095077F"/>
    <w:rsid w:val="00950E12"/>
    <w:rsid w:val="00951361"/>
    <w:rsid w:val="00953758"/>
    <w:rsid w:val="009540AF"/>
    <w:rsid w:val="00955EA8"/>
    <w:rsid w:val="009566AB"/>
    <w:rsid w:val="00956DFC"/>
    <w:rsid w:val="00957742"/>
    <w:rsid w:val="00960815"/>
    <w:rsid w:val="00960A1A"/>
    <w:rsid w:val="00960EE4"/>
    <w:rsid w:val="00961E38"/>
    <w:rsid w:val="00962F70"/>
    <w:rsid w:val="009631C1"/>
    <w:rsid w:val="009634D1"/>
    <w:rsid w:val="00963E0E"/>
    <w:rsid w:val="00964362"/>
    <w:rsid w:val="009665DF"/>
    <w:rsid w:val="00966E58"/>
    <w:rsid w:val="00966FD0"/>
    <w:rsid w:val="009674A4"/>
    <w:rsid w:val="00967947"/>
    <w:rsid w:val="0097129C"/>
    <w:rsid w:val="009727D6"/>
    <w:rsid w:val="00973331"/>
    <w:rsid w:val="009734DB"/>
    <w:rsid w:val="009735C0"/>
    <w:rsid w:val="009742A4"/>
    <w:rsid w:val="0097459F"/>
    <w:rsid w:val="0097465B"/>
    <w:rsid w:val="0097494D"/>
    <w:rsid w:val="00974F64"/>
    <w:rsid w:val="009750C4"/>
    <w:rsid w:val="0097537E"/>
    <w:rsid w:val="00975699"/>
    <w:rsid w:val="00975BC2"/>
    <w:rsid w:val="00976287"/>
    <w:rsid w:val="0097662F"/>
    <w:rsid w:val="00976A08"/>
    <w:rsid w:val="0097702C"/>
    <w:rsid w:val="009808A9"/>
    <w:rsid w:val="00980CAB"/>
    <w:rsid w:val="00980F66"/>
    <w:rsid w:val="00981034"/>
    <w:rsid w:val="009811FA"/>
    <w:rsid w:val="009825DE"/>
    <w:rsid w:val="00982BA4"/>
    <w:rsid w:val="009835B8"/>
    <w:rsid w:val="0098460A"/>
    <w:rsid w:val="00984730"/>
    <w:rsid w:val="0098559B"/>
    <w:rsid w:val="009863AD"/>
    <w:rsid w:val="0098733E"/>
    <w:rsid w:val="009874ED"/>
    <w:rsid w:val="00990914"/>
    <w:rsid w:val="009910BF"/>
    <w:rsid w:val="0099192B"/>
    <w:rsid w:val="009924A2"/>
    <w:rsid w:val="00992B63"/>
    <w:rsid w:val="00993403"/>
    <w:rsid w:val="009939A6"/>
    <w:rsid w:val="00994973"/>
    <w:rsid w:val="00994A39"/>
    <w:rsid w:val="00994A6A"/>
    <w:rsid w:val="00995466"/>
    <w:rsid w:val="00995A5F"/>
    <w:rsid w:val="009961FA"/>
    <w:rsid w:val="00996440"/>
    <w:rsid w:val="00996A46"/>
    <w:rsid w:val="009975FF"/>
    <w:rsid w:val="009A1EC2"/>
    <w:rsid w:val="009A2187"/>
    <w:rsid w:val="009A3D6D"/>
    <w:rsid w:val="009A4903"/>
    <w:rsid w:val="009A641F"/>
    <w:rsid w:val="009A6425"/>
    <w:rsid w:val="009A6C48"/>
    <w:rsid w:val="009A74F2"/>
    <w:rsid w:val="009B054D"/>
    <w:rsid w:val="009B07E7"/>
    <w:rsid w:val="009B1226"/>
    <w:rsid w:val="009B1428"/>
    <w:rsid w:val="009B168C"/>
    <w:rsid w:val="009B196C"/>
    <w:rsid w:val="009B2906"/>
    <w:rsid w:val="009B377A"/>
    <w:rsid w:val="009B525D"/>
    <w:rsid w:val="009B581F"/>
    <w:rsid w:val="009B5B47"/>
    <w:rsid w:val="009B5B61"/>
    <w:rsid w:val="009B6367"/>
    <w:rsid w:val="009B73D1"/>
    <w:rsid w:val="009C0D1F"/>
    <w:rsid w:val="009C0E66"/>
    <w:rsid w:val="009C0F13"/>
    <w:rsid w:val="009C1634"/>
    <w:rsid w:val="009C23D6"/>
    <w:rsid w:val="009C3236"/>
    <w:rsid w:val="009C3333"/>
    <w:rsid w:val="009C4F35"/>
    <w:rsid w:val="009C5194"/>
    <w:rsid w:val="009C548E"/>
    <w:rsid w:val="009C60E1"/>
    <w:rsid w:val="009C6FCE"/>
    <w:rsid w:val="009C705C"/>
    <w:rsid w:val="009C7583"/>
    <w:rsid w:val="009C7D98"/>
    <w:rsid w:val="009D06EF"/>
    <w:rsid w:val="009D093C"/>
    <w:rsid w:val="009D2695"/>
    <w:rsid w:val="009D2F0D"/>
    <w:rsid w:val="009D4CF8"/>
    <w:rsid w:val="009D5F9C"/>
    <w:rsid w:val="009D6056"/>
    <w:rsid w:val="009D6F16"/>
    <w:rsid w:val="009D733D"/>
    <w:rsid w:val="009D7554"/>
    <w:rsid w:val="009D7D58"/>
    <w:rsid w:val="009E0252"/>
    <w:rsid w:val="009E049D"/>
    <w:rsid w:val="009E0D3B"/>
    <w:rsid w:val="009E1121"/>
    <w:rsid w:val="009E11B2"/>
    <w:rsid w:val="009E24CA"/>
    <w:rsid w:val="009E28B8"/>
    <w:rsid w:val="009E2F9D"/>
    <w:rsid w:val="009E36A8"/>
    <w:rsid w:val="009E3F7B"/>
    <w:rsid w:val="009E41AB"/>
    <w:rsid w:val="009E640F"/>
    <w:rsid w:val="009E76E0"/>
    <w:rsid w:val="009E7F0C"/>
    <w:rsid w:val="009F012B"/>
    <w:rsid w:val="009F04A6"/>
    <w:rsid w:val="009F0A82"/>
    <w:rsid w:val="009F0CD7"/>
    <w:rsid w:val="009F1CC5"/>
    <w:rsid w:val="009F24A9"/>
    <w:rsid w:val="009F3D4C"/>
    <w:rsid w:val="009F3F2E"/>
    <w:rsid w:val="009F43EA"/>
    <w:rsid w:val="009F4F5A"/>
    <w:rsid w:val="009F568E"/>
    <w:rsid w:val="009F5D4E"/>
    <w:rsid w:val="009F7AA1"/>
    <w:rsid w:val="00A00C18"/>
    <w:rsid w:val="00A01488"/>
    <w:rsid w:val="00A02445"/>
    <w:rsid w:val="00A03223"/>
    <w:rsid w:val="00A05BC3"/>
    <w:rsid w:val="00A05EBD"/>
    <w:rsid w:val="00A06B10"/>
    <w:rsid w:val="00A07117"/>
    <w:rsid w:val="00A104E6"/>
    <w:rsid w:val="00A105D4"/>
    <w:rsid w:val="00A11796"/>
    <w:rsid w:val="00A11BF8"/>
    <w:rsid w:val="00A12F60"/>
    <w:rsid w:val="00A13465"/>
    <w:rsid w:val="00A13E4E"/>
    <w:rsid w:val="00A15771"/>
    <w:rsid w:val="00A16600"/>
    <w:rsid w:val="00A169F7"/>
    <w:rsid w:val="00A1742A"/>
    <w:rsid w:val="00A213BA"/>
    <w:rsid w:val="00A21405"/>
    <w:rsid w:val="00A2151E"/>
    <w:rsid w:val="00A2186B"/>
    <w:rsid w:val="00A21A20"/>
    <w:rsid w:val="00A21A2D"/>
    <w:rsid w:val="00A222AC"/>
    <w:rsid w:val="00A22E39"/>
    <w:rsid w:val="00A23643"/>
    <w:rsid w:val="00A243F6"/>
    <w:rsid w:val="00A24939"/>
    <w:rsid w:val="00A251EC"/>
    <w:rsid w:val="00A256FB"/>
    <w:rsid w:val="00A26F21"/>
    <w:rsid w:val="00A27313"/>
    <w:rsid w:val="00A273B5"/>
    <w:rsid w:val="00A30536"/>
    <w:rsid w:val="00A30CB2"/>
    <w:rsid w:val="00A3133E"/>
    <w:rsid w:val="00A31B46"/>
    <w:rsid w:val="00A31D70"/>
    <w:rsid w:val="00A3244A"/>
    <w:rsid w:val="00A32DE8"/>
    <w:rsid w:val="00A33766"/>
    <w:rsid w:val="00A35D8B"/>
    <w:rsid w:val="00A361DD"/>
    <w:rsid w:val="00A36864"/>
    <w:rsid w:val="00A36A9F"/>
    <w:rsid w:val="00A37713"/>
    <w:rsid w:val="00A405DC"/>
    <w:rsid w:val="00A408E2"/>
    <w:rsid w:val="00A4109D"/>
    <w:rsid w:val="00A41912"/>
    <w:rsid w:val="00A41E5B"/>
    <w:rsid w:val="00A4370E"/>
    <w:rsid w:val="00A4379F"/>
    <w:rsid w:val="00A4391B"/>
    <w:rsid w:val="00A45541"/>
    <w:rsid w:val="00A460FB"/>
    <w:rsid w:val="00A4641A"/>
    <w:rsid w:val="00A46CF1"/>
    <w:rsid w:val="00A47472"/>
    <w:rsid w:val="00A47676"/>
    <w:rsid w:val="00A4775B"/>
    <w:rsid w:val="00A47E78"/>
    <w:rsid w:val="00A50046"/>
    <w:rsid w:val="00A52AA2"/>
    <w:rsid w:val="00A54F92"/>
    <w:rsid w:val="00A5508F"/>
    <w:rsid w:val="00A557B4"/>
    <w:rsid w:val="00A55AE3"/>
    <w:rsid w:val="00A57059"/>
    <w:rsid w:val="00A57639"/>
    <w:rsid w:val="00A57B52"/>
    <w:rsid w:val="00A60DCE"/>
    <w:rsid w:val="00A61450"/>
    <w:rsid w:val="00A61AE2"/>
    <w:rsid w:val="00A61BB6"/>
    <w:rsid w:val="00A63E58"/>
    <w:rsid w:val="00A63FDD"/>
    <w:rsid w:val="00A643A7"/>
    <w:rsid w:val="00A65D07"/>
    <w:rsid w:val="00A66FF6"/>
    <w:rsid w:val="00A70194"/>
    <w:rsid w:val="00A7073C"/>
    <w:rsid w:val="00A718D8"/>
    <w:rsid w:val="00A71D30"/>
    <w:rsid w:val="00A7257C"/>
    <w:rsid w:val="00A72817"/>
    <w:rsid w:val="00A72907"/>
    <w:rsid w:val="00A73065"/>
    <w:rsid w:val="00A73EEF"/>
    <w:rsid w:val="00A745F7"/>
    <w:rsid w:val="00A74A08"/>
    <w:rsid w:val="00A74C18"/>
    <w:rsid w:val="00A74EEF"/>
    <w:rsid w:val="00A77819"/>
    <w:rsid w:val="00A778ED"/>
    <w:rsid w:val="00A77C7C"/>
    <w:rsid w:val="00A803D0"/>
    <w:rsid w:val="00A807E1"/>
    <w:rsid w:val="00A81AED"/>
    <w:rsid w:val="00A8277D"/>
    <w:rsid w:val="00A82922"/>
    <w:rsid w:val="00A82B58"/>
    <w:rsid w:val="00A838BD"/>
    <w:rsid w:val="00A84162"/>
    <w:rsid w:val="00A85CC6"/>
    <w:rsid w:val="00A86C9A"/>
    <w:rsid w:val="00A873B3"/>
    <w:rsid w:val="00A8756B"/>
    <w:rsid w:val="00A87900"/>
    <w:rsid w:val="00A87B29"/>
    <w:rsid w:val="00A87C9E"/>
    <w:rsid w:val="00A902F7"/>
    <w:rsid w:val="00A907C0"/>
    <w:rsid w:val="00A90F31"/>
    <w:rsid w:val="00A91010"/>
    <w:rsid w:val="00A91DAB"/>
    <w:rsid w:val="00A91F27"/>
    <w:rsid w:val="00A92B2C"/>
    <w:rsid w:val="00A94AE6"/>
    <w:rsid w:val="00A94B8C"/>
    <w:rsid w:val="00A95465"/>
    <w:rsid w:val="00A968D9"/>
    <w:rsid w:val="00A97DC1"/>
    <w:rsid w:val="00AA055C"/>
    <w:rsid w:val="00AA104B"/>
    <w:rsid w:val="00AA15BF"/>
    <w:rsid w:val="00AA19AD"/>
    <w:rsid w:val="00AA20DB"/>
    <w:rsid w:val="00AA3EBE"/>
    <w:rsid w:val="00AA48E7"/>
    <w:rsid w:val="00AA5655"/>
    <w:rsid w:val="00AA5829"/>
    <w:rsid w:val="00AA75E8"/>
    <w:rsid w:val="00AB07D9"/>
    <w:rsid w:val="00AB20F0"/>
    <w:rsid w:val="00AB24EE"/>
    <w:rsid w:val="00AB2BCB"/>
    <w:rsid w:val="00AB3969"/>
    <w:rsid w:val="00AB4F3F"/>
    <w:rsid w:val="00AB51E6"/>
    <w:rsid w:val="00AB5287"/>
    <w:rsid w:val="00AB5E50"/>
    <w:rsid w:val="00AB6665"/>
    <w:rsid w:val="00AB6AAF"/>
    <w:rsid w:val="00AB7ADA"/>
    <w:rsid w:val="00AC0884"/>
    <w:rsid w:val="00AC098A"/>
    <w:rsid w:val="00AC0CD6"/>
    <w:rsid w:val="00AC1537"/>
    <w:rsid w:val="00AC1ACC"/>
    <w:rsid w:val="00AC266C"/>
    <w:rsid w:val="00AC2A07"/>
    <w:rsid w:val="00AC2EF1"/>
    <w:rsid w:val="00AC31F1"/>
    <w:rsid w:val="00AC34DC"/>
    <w:rsid w:val="00AC419A"/>
    <w:rsid w:val="00AC4817"/>
    <w:rsid w:val="00AC4D8E"/>
    <w:rsid w:val="00AC5648"/>
    <w:rsid w:val="00AC6246"/>
    <w:rsid w:val="00AC6B7D"/>
    <w:rsid w:val="00AC7447"/>
    <w:rsid w:val="00AD069A"/>
    <w:rsid w:val="00AD08E3"/>
    <w:rsid w:val="00AD0F60"/>
    <w:rsid w:val="00AD2C47"/>
    <w:rsid w:val="00AD46AB"/>
    <w:rsid w:val="00AD483D"/>
    <w:rsid w:val="00AD4E45"/>
    <w:rsid w:val="00AD59CD"/>
    <w:rsid w:val="00AD5DD6"/>
    <w:rsid w:val="00AD6321"/>
    <w:rsid w:val="00AD7A12"/>
    <w:rsid w:val="00AD7A81"/>
    <w:rsid w:val="00AD7CCA"/>
    <w:rsid w:val="00AE02C9"/>
    <w:rsid w:val="00AE0BDF"/>
    <w:rsid w:val="00AE0CF7"/>
    <w:rsid w:val="00AE13F2"/>
    <w:rsid w:val="00AE1568"/>
    <w:rsid w:val="00AE258A"/>
    <w:rsid w:val="00AE27D7"/>
    <w:rsid w:val="00AE2A5C"/>
    <w:rsid w:val="00AE430C"/>
    <w:rsid w:val="00AE4EE0"/>
    <w:rsid w:val="00AE5504"/>
    <w:rsid w:val="00AE67B8"/>
    <w:rsid w:val="00AE710F"/>
    <w:rsid w:val="00AE7F25"/>
    <w:rsid w:val="00AF0564"/>
    <w:rsid w:val="00AF0F5F"/>
    <w:rsid w:val="00AF1160"/>
    <w:rsid w:val="00AF2389"/>
    <w:rsid w:val="00AF28FF"/>
    <w:rsid w:val="00AF328F"/>
    <w:rsid w:val="00AF377E"/>
    <w:rsid w:val="00AF419D"/>
    <w:rsid w:val="00AF6EF0"/>
    <w:rsid w:val="00AF73EE"/>
    <w:rsid w:val="00AF7847"/>
    <w:rsid w:val="00AF79A8"/>
    <w:rsid w:val="00AF7D25"/>
    <w:rsid w:val="00B00137"/>
    <w:rsid w:val="00B00536"/>
    <w:rsid w:val="00B0082E"/>
    <w:rsid w:val="00B00892"/>
    <w:rsid w:val="00B0094A"/>
    <w:rsid w:val="00B00B6B"/>
    <w:rsid w:val="00B00CCD"/>
    <w:rsid w:val="00B01BA4"/>
    <w:rsid w:val="00B026A6"/>
    <w:rsid w:val="00B0417B"/>
    <w:rsid w:val="00B046C1"/>
    <w:rsid w:val="00B057CF"/>
    <w:rsid w:val="00B05934"/>
    <w:rsid w:val="00B0614F"/>
    <w:rsid w:val="00B0651A"/>
    <w:rsid w:val="00B069E1"/>
    <w:rsid w:val="00B06B5C"/>
    <w:rsid w:val="00B06EA0"/>
    <w:rsid w:val="00B0747B"/>
    <w:rsid w:val="00B074A1"/>
    <w:rsid w:val="00B075A0"/>
    <w:rsid w:val="00B0764C"/>
    <w:rsid w:val="00B10409"/>
    <w:rsid w:val="00B105C4"/>
    <w:rsid w:val="00B111D7"/>
    <w:rsid w:val="00B12150"/>
    <w:rsid w:val="00B13AC8"/>
    <w:rsid w:val="00B13F48"/>
    <w:rsid w:val="00B15274"/>
    <w:rsid w:val="00B162A5"/>
    <w:rsid w:val="00B169D9"/>
    <w:rsid w:val="00B173C0"/>
    <w:rsid w:val="00B17C38"/>
    <w:rsid w:val="00B20377"/>
    <w:rsid w:val="00B209C9"/>
    <w:rsid w:val="00B20ABE"/>
    <w:rsid w:val="00B21ABA"/>
    <w:rsid w:val="00B21AC0"/>
    <w:rsid w:val="00B21B99"/>
    <w:rsid w:val="00B21F5F"/>
    <w:rsid w:val="00B21FD5"/>
    <w:rsid w:val="00B2304A"/>
    <w:rsid w:val="00B2364C"/>
    <w:rsid w:val="00B23E7C"/>
    <w:rsid w:val="00B241BF"/>
    <w:rsid w:val="00B24ABF"/>
    <w:rsid w:val="00B25519"/>
    <w:rsid w:val="00B25C3B"/>
    <w:rsid w:val="00B30FBB"/>
    <w:rsid w:val="00B319AC"/>
    <w:rsid w:val="00B31BD6"/>
    <w:rsid w:val="00B31C43"/>
    <w:rsid w:val="00B31F02"/>
    <w:rsid w:val="00B3202C"/>
    <w:rsid w:val="00B32CA0"/>
    <w:rsid w:val="00B3350B"/>
    <w:rsid w:val="00B33558"/>
    <w:rsid w:val="00B335A1"/>
    <w:rsid w:val="00B336EF"/>
    <w:rsid w:val="00B355B6"/>
    <w:rsid w:val="00B3673D"/>
    <w:rsid w:val="00B375CF"/>
    <w:rsid w:val="00B40330"/>
    <w:rsid w:val="00B40C13"/>
    <w:rsid w:val="00B424F6"/>
    <w:rsid w:val="00B43517"/>
    <w:rsid w:val="00B4401F"/>
    <w:rsid w:val="00B44110"/>
    <w:rsid w:val="00B45B93"/>
    <w:rsid w:val="00B45BDD"/>
    <w:rsid w:val="00B45EC7"/>
    <w:rsid w:val="00B463D4"/>
    <w:rsid w:val="00B46910"/>
    <w:rsid w:val="00B472A2"/>
    <w:rsid w:val="00B50BAE"/>
    <w:rsid w:val="00B51493"/>
    <w:rsid w:val="00B53472"/>
    <w:rsid w:val="00B53877"/>
    <w:rsid w:val="00B53ED6"/>
    <w:rsid w:val="00B545AD"/>
    <w:rsid w:val="00B547D6"/>
    <w:rsid w:val="00B54D6E"/>
    <w:rsid w:val="00B54FFA"/>
    <w:rsid w:val="00B559D6"/>
    <w:rsid w:val="00B55B21"/>
    <w:rsid w:val="00B56574"/>
    <w:rsid w:val="00B5732A"/>
    <w:rsid w:val="00B60D33"/>
    <w:rsid w:val="00B6191F"/>
    <w:rsid w:val="00B61C09"/>
    <w:rsid w:val="00B6271E"/>
    <w:rsid w:val="00B62F33"/>
    <w:rsid w:val="00B641E0"/>
    <w:rsid w:val="00B67BF7"/>
    <w:rsid w:val="00B67FEA"/>
    <w:rsid w:val="00B70097"/>
    <w:rsid w:val="00B707AF"/>
    <w:rsid w:val="00B71926"/>
    <w:rsid w:val="00B71EDE"/>
    <w:rsid w:val="00B72543"/>
    <w:rsid w:val="00B72B45"/>
    <w:rsid w:val="00B734CB"/>
    <w:rsid w:val="00B73C66"/>
    <w:rsid w:val="00B73EA3"/>
    <w:rsid w:val="00B74930"/>
    <w:rsid w:val="00B7646F"/>
    <w:rsid w:val="00B76F4F"/>
    <w:rsid w:val="00B77ACF"/>
    <w:rsid w:val="00B77F8D"/>
    <w:rsid w:val="00B802AC"/>
    <w:rsid w:val="00B80F16"/>
    <w:rsid w:val="00B812A4"/>
    <w:rsid w:val="00B813C0"/>
    <w:rsid w:val="00B815C3"/>
    <w:rsid w:val="00B8172C"/>
    <w:rsid w:val="00B818B2"/>
    <w:rsid w:val="00B818E2"/>
    <w:rsid w:val="00B81B3F"/>
    <w:rsid w:val="00B81E9B"/>
    <w:rsid w:val="00B837CF"/>
    <w:rsid w:val="00B83A39"/>
    <w:rsid w:val="00B8493D"/>
    <w:rsid w:val="00B873DD"/>
    <w:rsid w:val="00B87E08"/>
    <w:rsid w:val="00B87F99"/>
    <w:rsid w:val="00B90922"/>
    <w:rsid w:val="00B91952"/>
    <w:rsid w:val="00B92AB4"/>
    <w:rsid w:val="00B92BEB"/>
    <w:rsid w:val="00B9312E"/>
    <w:rsid w:val="00B9361B"/>
    <w:rsid w:val="00B94377"/>
    <w:rsid w:val="00B94E60"/>
    <w:rsid w:val="00B95104"/>
    <w:rsid w:val="00BA0A0E"/>
    <w:rsid w:val="00BA0CF7"/>
    <w:rsid w:val="00BA3C5D"/>
    <w:rsid w:val="00BA49D6"/>
    <w:rsid w:val="00BA5705"/>
    <w:rsid w:val="00BA5957"/>
    <w:rsid w:val="00BA5B03"/>
    <w:rsid w:val="00BA6508"/>
    <w:rsid w:val="00BA6946"/>
    <w:rsid w:val="00BB0750"/>
    <w:rsid w:val="00BB13A2"/>
    <w:rsid w:val="00BB2011"/>
    <w:rsid w:val="00BB2256"/>
    <w:rsid w:val="00BB2305"/>
    <w:rsid w:val="00BB3770"/>
    <w:rsid w:val="00BB4465"/>
    <w:rsid w:val="00BB47E6"/>
    <w:rsid w:val="00BB4C10"/>
    <w:rsid w:val="00BB4C28"/>
    <w:rsid w:val="00BB56E0"/>
    <w:rsid w:val="00BB5809"/>
    <w:rsid w:val="00BB65DA"/>
    <w:rsid w:val="00BB6B73"/>
    <w:rsid w:val="00BB6FB6"/>
    <w:rsid w:val="00BB732F"/>
    <w:rsid w:val="00BB75AF"/>
    <w:rsid w:val="00BB77F7"/>
    <w:rsid w:val="00BB7A65"/>
    <w:rsid w:val="00BC07B6"/>
    <w:rsid w:val="00BC1434"/>
    <w:rsid w:val="00BC1848"/>
    <w:rsid w:val="00BC1AD6"/>
    <w:rsid w:val="00BC1E39"/>
    <w:rsid w:val="00BC224D"/>
    <w:rsid w:val="00BC2A40"/>
    <w:rsid w:val="00BC30AF"/>
    <w:rsid w:val="00BC33B2"/>
    <w:rsid w:val="00BC3520"/>
    <w:rsid w:val="00BC44FD"/>
    <w:rsid w:val="00BC52BC"/>
    <w:rsid w:val="00BC63C4"/>
    <w:rsid w:val="00BC6EC2"/>
    <w:rsid w:val="00BC7427"/>
    <w:rsid w:val="00BD053D"/>
    <w:rsid w:val="00BD116C"/>
    <w:rsid w:val="00BD15F0"/>
    <w:rsid w:val="00BD18E9"/>
    <w:rsid w:val="00BD29D3"/>
    <w:rsid w:val="00BD2AED"/>
    <w:rsid w:val="00BD2CC5"/>
    <w:rsid w:val="00BD31E7"/>
    <w:rsid w:val="00BD3A3A"/>
    <w:rsid w:val="00BD3BA3"/>
    <w:rsid w:val="00BD42EE"/>
    <w:rsid w:val="00BD4EAD"/>
    <w:rsid w:val="00BD5485"/>
    <w:rsid w:val="00BD6345"/>
    <w:rsid w:val="00BD7051"/>
    <w:rsid w:val="00BD7259"/>
    <w:rsid w:val="00BE0600"/>
    <w:rsid w:val="00BE0999"/>
    <w:rsid w:val="00BE17C1"/>
    <w:rsid w:val="00BE2066"/>
    <w:rsid w:val="00BE3AD8"/>
    <w:rsid w:val="00BE3E7F"/>
    <w:rsid w:val="00BE403A"/>
    <w:rsid w:val="00BE552F"/>
    <w:rsid w:val="00BE5720"/>
    <w:rsid w:val="00BE5CD1"/>
    <w:rsid w:val="00BE6A49"/>
    <w:rsid w:val="00BE7282"/>
    <w:rsid w:val="00BE74DF"/>
    <w:rsid w:val="00BE771D"/>
    <w:rsid w:val="00BE7FDF"/>
    <w:rsid w:val="00BF11CB"/>
    <w:rsid w:val="00BF16D0"/>
    <w:rsid w:val="00BF241B"/>
    <w:rsid w:val="00BF27ED"/>
    <w:rsid w:val="00BF3331"/>
    <w:rsid w:val="00BF364A"/>
    <w:rsid w:val="00BF38A9"/>
    <w:rsid w:val="00BF3C1E"/>
    <w:rsid w:val="00BF4711"/>
    <w:rsid w:val="00BF4A1F"/>
    <w:rsid w:val="00BF4DBE"/>
    <w:rsid w:val="00BF59A0"/>
    <w:rsid w:val="00BF5F4C"/>
    <w:rsid w:val="00BF66B9"/>
    <w:rsid w:val="00BF6ABB"/>
    <w:rsid w:val="00BF6BA1"/>
    <w:rsid w:val="00BF7232"/>
    <w:rsid w:val="00BF7348"/>
    <w:rsid w:val="00BF76C7"/>
    <w:rsid w:val="00BF7B6D"/>
    <w:rsid w:val="00C00263"/>
    <w:rsid w:val="00C00A7F"/>
    <w:rsid w:val="00C00FDE"/>
    <w:rsid w:val="00C01037"/>
    <w:rsid w:val="00C01BB8"/>
    <w:rsid w:val="00C01C2C"/>
    <w:rsid w:val="00C0215C"/>
    <w:rsid w:val="00C0255B"/>
    <w:rsid w:val="00C028E3"/>
    <w:rsid w:val="00C02B49"/>
    <w:rsid w:val="00C039A0"/>
    <w:rsid w:val="00C048DB"/>
    <w:rsid w:val="00C04A26"/>
    <w:rsid w:val="00C04ADD"/>
    <w:rsid w:val="00C06E95"/>
    <w:rsid w:val="00C0734E"/>
    <w:rsid w:val="00C07EC6"/>
    <w:rsid w:val="00C10919"/>
    <w:rsid w:val="00C10CBB"/>
    <w:rsid w:val="00C11A8B"/>
    <w:rsid w:val="00C11CCC"/>
    <w:rsid w:val="00C1351B"/>
    <w:rsid w:val="00C1368C"/>
    <w:rsid w:val="00C13818"/>
    <w:rsid w:val="00C13D47"/>
    <w:rsid w:val="00C14197"/>
    <w:rsid w:val="00C1447D"/>
    <w:rsid w:val="00C147FB"/>
    <w:rsid w:val="00C15694"/>
    <w:rsid w:val="00C157B9"/>
    <w:rsid w:val="00C15F8D"/>
    <w:rsid w:val="00C16BE8"/>
    <w:rsid w:val="00C175CF"/>
    <w:rsid w:val="00C17BC4"/>
    <w:rsid w:val="00C21A9C"/>
    <w:rsid w:val="00C21DD1"/>
    <w:rsid w:val="00C22276"/>
    <w:rsid w:val="00C22291"/>
    <w:rsid w:val="00C22B4D"/>
    <w:rsid w:val="00C2421A"/>
    <w:rsid w:val="00C25A96"/>
    <w:rsid w:val="00C25C38"/>
    <w:rsid w:val="00C3016D"/>
    <w:rsid w:val="00C303D1"/>
    <w:rsid w:val="00C30630"/>
    <w:rsid w:val="00C317FA"/>
    <w:rsid w:val="00C32431"/>
    <w:rsid w:val="00C324B4"/>
    <w:rsid w:val="00C326AE"/>
    <w:rsid w:val="00C32B7E"/>
    <w:rsid w:val="00C33176"/>
    <w:rsid w:val="00C334D3"/>
    <w:rsid w:val="00C346CB"/>
    <w:rsid w:val="00C34C6A"/>
    <w:rsid w:val="00C34E77"/>
    <w:rsid w:val="00C351B3"/>
    <w:rsid w:val="00C35973"/>
    <w:rsid w:val="00C35AB4"/>
    <w:rsid w:val="00C37137"/>
    <w:rsid w:val="00C37305"/>
    <w:rsid w:val="00C378BF"/>
    <w:rsid w:val="00C37BE5"/>
    <w:rsid w:val="00C40175"/>
    <w:rsid w:val="00C40A4F"/>
    <w:rsid w:val="00C41603"/>
    <w:rsid w:val="00C41B23"/>
    <w:rsid w:val="00C424AF"/>
    <w:rsid w:val="00C426E4"/>
    <w:rsid w:val="00C42DB2"/>
    <w:rsid w:val="00C437B8"/>
    <w:rsid w:val="00C44779"/>
    <w:rsid w:val="00C44954"/>
    <w:rsid w:val="00C45DFB"/>
    <w:rsid w:val="00C45EF1"/>
    <w:rsid w:val="00C47179"/>
    <w:rsid w:val="00C502C2"/>
    <w:rsid w:val="00C506A1"/>
    <w:rsid w:val="00C50C47"/>
    <w:rsid w:val="00C50F11"/>
    <w:rsid w:val="00C510A9"/>
    <w:rsid w:val="00C51172"/>
    <w:rsid w:val="00C51868"/>
    <w:rsid w:val="00C51FAA"/>
    <w:rsid w:val="00C5284E"/>
    <w:rsid w:val="00C54A76"/>
    <w:rsid w:val="00C556B9"/>
    <w:rsid w:val="00C5579E"/>
    <w:rsid w:val="00C56F25"/>
    <w:rsid w:val="00C57A4F"/>
    <w:rsid w:val="00C57C62"/>
    <w:rsid w:val="00C6008E"/>
    <w:rsid w:val="00C60226"/>
    <w:rsid w:val="00C628EF"/>
    <w:rsid w:val="00C6392E"/>
    <w:rsid w:val="00C64338"/>
    <w:rsid w:val="00C66E2B"/>
    <w:rsid w:val="00C66EEC"/>
    <w:rsid w:val="00C67CF4"/>
    <w:rsid w:val="00C706FA"/>
    <w:rsid w:val="00C70921"/>
    <w:rsid w:val="00C7093C"/>
    <w:rsid w:val="00C713BD"/>
    <w:rsid w:val="00C71932"/>
    <w:rsid w:val="00C7277C"/>
    <w:rsid w:val="00C72B9D"/>
    <w:rsid w:val="00C74BFA"/>
    <w:rsid w:val="00C74D72"/>
    <w:rsid w:val="00C74E92"/>
    <w:rsid w:val="00C75683"/>
    <w:rsid w:val="00C75716"/>
    <w:rsid w:val="00C75C55"/>
    <w:rsid w:val="00C775F1"/>
    <w:rsid w:val="00C81FE8"/>
    <w:rsid w:val="00C82139"/>
    <w:rsid w:val="00C8288A"/>
    <w:rsid w:val="00C83CD0"/>
    <w:rsid w:val="00C83D1E"/>
    <w:rsid w:val="00C83E9B"/>
    <w:rsid w:val="00C85173"/>
    <w:rsid w:val="00C85588"/>
    <w:rsid w:val="00C85DBC"/>
    <w:rsid w:val="00C862A0"/>
    <w:rsid w:val="00C8712D"/>
    <w:rsid w:val="00C875E3"/>
    <w:rsid w:val="00C90C03"/>
    <w:rsid w:val="00C9111B"/>
    <w:rsid w:val="00C919DF"/>
    <w:rsid w:val="00C91D6A"/>
    <w:rsid w:val="00C91E39"/>
    <w:rsid w:val="00C92333"/>
    <w:rsid w:val="00C92A75"/>
    <w:rsid w:val="00C936C2"/>
    <w:rsid w:val="00C93F4D"/>
    <w:rsid w:val="00C94B5E"/>
    <w:rsid w:val="00C95A6B"/>
    <w:rsid w:val="00C96E4C"/>
    <w:rsid w:val="00C970B0"/>
    <w:rsid w:val="00C97825"/>
    <w:rsid w:val="00CA003A"/>
    <w:rsid w:val="00CA0A10"/>
    <w:rsid w:val="00CA10ED"/>
    <w:rsid w:val="00CA1D1C"/>
    <w:rsid w:val="00CA2601"/>
    <w:rsid w:val="00CA575D"/>
    <w:rsid w:val="00CA6094"/>
    <w:rsid w:val="00CA6668"/>
    <w:rsid w:val="00CA67B9"/>
    <w:rsid w:val="00CA75B0"/>
    <w:rsid w:val="00CB1327"/>
    <w:rsid w:val="00CB156F"/>
    <w:rsid w:val="00CB1875"/>
    <w:rsid w:val="00CB1A88"/>
    <w:rsid w:val="00CB1C49"/>
    <w:rsid w:val="00CB1FB1"/>
    <w:rsid w:val="00CB2418"/>
    <w:rsid w:val="00CB2965"/>
    <w:rsid w:val="00CB2D1D"/>
    <w:rsid w:val="00CB373E"/>
    <w:rsid w:val="00CB37DC"/>
    <w:rsid w:val="00CB4D0F"/>
    <w:rsid w:val="00CB54C0"/>
    <w:rsid w:val="00CB5BC1"/>
    <w:rsid w:val="00CB616E"/>
    <w:rsid w:val="00CB6E08"/>
    <w:rsid w:val="00CB71D0"/>
    <w:rsid w:val="00CB72E8"/>
    <w:rsid w:val="00CB73F9"/>
    <w:rsid w:val="00CC0131"/>
    <w:rsid w:val="00CC148F"/>
    <w:rsid w:val="00CC1DCB"/>
    <w:rsid w:val="00CC34E7"/>
    <w:rsid w:val="00CC3609"/>
    <w:rsid w:val="00CC4573"/>
    <w:rsid w:val="00CC4D27"/>
    <w:rsid w:val="00CC57E6"/>
    <w:rsid w:val="00CC6034"/>
    <w:rsid w:val="00CC6991"/>
    <w:rsid w:val="00CC6D31"/>
    <w:rsid w:val="00CD003B"/>
    <w:rsid w:val="00CD064D"/>
    <w:rsid w:val="00CD1D37"/>
    <w:rsid w:val="00CD1EC4"/>
    <w:rsid w:val="00CD5079"/>
    <w:rsid w:val="00CD6F61"/>
    <w:rsid w:val="00CE0222"/>
    <w:rsid w:val="00CE05BA"/>
    <w:rsid w:val="00CE0A01"/>
    <w:rsid w:val="00CE0EE0"/>
    <w:rsid w:val="00CE1426"/>
    <w:rsid w:val="00CE20C9"/>
    <w:rsid w:val="00CE22C9"/>
    <w:rsid w:val="00CE2BED"/>
    <w:rsid w:val="00CE3DBB"/>
    <w:rsid w:val="00CE5115"/>
    <w:rsid w:val="00CE66F9"/>
    <w:rsid w:val="00CE7437"/>
    <w:rsid w:val="00CE7E7D"/>
    <w:rsid w:val="00CF0F46"/>
    <w:rsid w:val="00CF1D3A"/>
    <w:rsid w:val="00CF2DC8"/>
    <w:rsid w:val="00CF2FEB"/>
    <w:rsid w:val="00CF30FE"/>
    <w:rsid w:val="00CF393C"/>
    <w:rsid w:val="00CF483B"/>
    <w:rsid w:val="00CF4ECC"/>
    <w:rsid w:val="00CF623F"/>
    <w:rsid w:val="00CF65FA"/>
    <w:rsid w:val="00CF6FDD"/>
    <w:rsid w:val="00CF7504"/>
    <w:rsid w:val="00D001D1"/>
    <w:rsid w:val="00D001E6"/>
    <w:rsid w:val="00D005B8"/>
    <w:rsid w:val="00D00C73"/>
    <w:rsid w:val="00D01699"/>
    <w:rsid w:val="00D02973"/>
    <w:rsid w:val="00D03D21"/>
    <w:rsid w:val="00D063DA"/>
    <w:rsid w:val="00D0661E"/>
    <w:rsid w:val="00D10F18"/>
    <w:rsid w:val="00D12738"/>
    <w:rsid w:val="00D1278E"/>
    <w:rsid w:val="00D12A65"/>
    <w:rsid w:val="00D1343E"/>
    <w:rsid w:val="00D13E4B"/>
    <w:rsid w:val="00D1453D"/>
    <w:rsid w:val="00D15CBA"/>
    <w:rsid w:val="00D167D1"/>
    <w:rsid w:val="00D21A91"/>
    <w:rsid w:val="00D21ED7"/>
    <w:rsid w:val="00D223FB"/>
    <w:rsid w:val="00D22B6F"/>
    <w:rsid w:val="00D24473"/>
    <w:rsid w:val="00D2456D"/>
    <w:rsid w:val="00D2573A"/>
    <w:rsid w:val="00D2578C"/>
    <w:rsid w:val="00D26222"/>
    <w:rsid w:val="00D26674"/>
    <w:rsid w:val="00D267FA"/>
    <w:rsid w:val="00D268A5"/>
    <w:rsid w:val="00D27611"/>
    <w:rsid w:val="00D302A6"/>
    <w:rsid w:val="00D30489"/>
    <w:rsid w:val="00D306A1"/>
    <w:rsid w:val="00D33509"/>
    <w:rsid w:val="00D33F07"/>
    <w:rsid w:val="00D33F62"/>
    <w:rsid w:val="00D359E9"/>
    <w:rsid w:val="00D35CC8"/>
    <w:rsid w:val="00D35E99"/>
    <w:rsid w:val="00D36953"/>
    <w:rsid w:val="00D36BB6"/>
    <w:rsid w:val="00D36BE6"/>
    <w:rsid w:val="00D36C13"/>
    <w:rsid w:val="00D37576"/>
    <w:rsid w:val="00D37945"/>
    <w:rsid w:val="00D40C9F"/>
    <w:rsid w:val="00D4112B"/>
    <w:rsid w:val="00D41AAB"/>
    <w:rsid w:val="00D422E0"/>
    <w:rsid w:val="00D42AD1"/>
    <w:rsid w:val="00D42DD3"/>
    <w:rsid w:val="00D445CE"/>
    <w:rsid w:val="00D44DE9"/>
    <w:rsid w:val="00D450B0"/>
    <w:rsid w:val="00D451A9"/>
    <w:rsid w:val="00D458CB"/>
    <w:rsid w:val="00D45EC3"/>
    <w:rsid w:val="00D46BB7"/>
    <w:rsid w:val="00D47533"/>
    <w:rsid w:val="00D47750"/>
    <w:rsid w:val="00D47B12"/>
    <w:rsid w:val="00D50AA7"/>
    <w:rsid w:val="00D50F77"/>
    <w:rsid w:val="00D5119B"/>
    <w:rsid w:val="00D51641"/>
    <w:rsid w:val="00D525C3"/>
    <w:rsid w:val="00D53018"/>
    <w:rsid w:val="00D53CC5"/>
    <w:rsid w:val="00D552A1"/>
    <w:rsid w:val="00D56130"/>
    <w:rsid w:val="00D56C47"/>
    <w:rsid w:val="00D60231"/>
    <w:rsid w:val="00D616B7"/>
    <w:rsid w:val="00D61C4B"/>
    <w:rsid w:val="00D62349"/>
    <w:rsid w:val="00D63410"/>
    <w:rsid w:val="00D63985"/>
    <w:rsid w:val="00D645E7"/>
    <w:rsid w:val="00D6496B"/>
    <w:rsid w:val="00D64B4E"/>
    <w:rsid w:val="00D64C6F"/>
    <w:rsid w:val="00D656AD"/>
    <w:rsid w:val="00D669FE"/>
    <w:rsid w:val="00D66E91"/>
    <w:rsid w:val="00D678FE"/>
    <w:rsid w:val="00D67930"/>
    <w:rsid w:val="00D70627"/>
    <w:rsid w:val="00D707B0"/>
    <w:rsid w:val="00D70B92"/>
    <w:rsid w:val="00D7252A"/>
    <w:rsid w:val="00D73D87"/>
    <w:rsid w:val="00D73F97"/>
    <w:rsid w:val="00D74122"/>
    <w:rsid w:val="00D74454"/>
    <w:rsid w:val="00D74E0D"/>
    <w:rsid w:val="00D7552F"/>
    <w:rsid w:val="00D77D5E"/>
    <w:rsid w:val="00D80528"/>
    <w:rsid w:val="00D80569"/>
    <w:rsid w:val="00D805AB"/>
    <w:rsid w:val="00D80811"/>
    <w:rsid w:val="00D80BA4"/>
    <w:rsid w:val="00D81607"/>
    <w:rsid w:val="00D82DC0"/>
    <w:rsid w:val="00D82DFF"/>
    <w:rsid w:val="00D830E3"/>
    <w:rsid w:val="00D83618"/>
    <w:rsid w:val="00D83CA4"/>
    <w:rsid w:val="00D83F59"/>
    <w:rsid w:val="00D8442B"/>
    <w:rsid w:val="00D85CE4"/>
    <w:rsid w:val="00D85CFD"/>
    <w:rsid w:val="00D86753"/>
    <w:rsid w:val="00D87203"/>
    <w:rsid w:val="00D872E3"/>
    <w:rsid w:val="00D876E7"/>
    <w:rsid w:val="00D87723"/>
    <w:rsid w:val="00D90722"/>
    <w:rsid w:val="00D90994"/>
    <w:rsid w:val="00D919D9"/>
    <w:rsid w:val="00D92A5E"/>
    <w:rsid w:val="00D93DEE"/>
    <w:rsid w:val="00D9423A"/>
    <w:rsid w:val="00D943BB"/>
    <w:rsid w:val="00D94638"/>
    <w:rsid w:val="00D94BF9"/>
    <w:rsid w:val="00D9506E"/>
    <w:rsid w:val="00D964AB"/>
    <w:rsid w:val="00D976AD"/>
    <w:rsid w:val="00DA04FB"/>
    <w:rsid w:val="00DA0FE5"/>
    <w:rsid w:val="00DA1236"/>
    <w:rsid w:val="00DA1401"/>
    <w:rsid w:val="00DA1578"/>
    <w:rsid w:val="00DA21AD"/>
    <w:rsid w:val="00DA2F8C"/>
    <w:rsid w:val="00DA3838"/>
    <w:rsid w:val="00DA3F02"/>
    <w:rsid w:val="00DA450C"/>
    <w:rsid w:val="00DA5772"/>
    <w:rsid w:val="00DA5F70"/>
    <w:rsid w:val="00DA5FAB"/>
    <w:rsid w:val="00DA65CA"/>
    <w:rsid w:val="00DA6C8A"/>
    <w:rsid w:val="00DA6F9A"/>
    <w:rsid w:val="00DA703A"/>
    <w:rsid w:val="00DA75A9"/>
    <w:rsid w:val="00DA7661"/>
    <w:rsid w:val="00DB031C"/>
    <w:rsid w:val="00DB0370"/>
    <w:rsid w:val="00DB058E"/>
    <w:rsid w:val="00DB0E8F"/>
    <w:rsid w:val="00DB0F1D"/>
    <w:rsid w:val="00DB2A0E"/>
    <w:rsid w:val="00DB313D"/>
    <w:rsid w:val="00DB3696"/>
    <w:rsid w:val="00DB37B4"/>
    <w:rsid w:val="00DB3E5B"/>
    <w:rsid w:val="00DB46E0"/>
    <w:rsid w:val="00DB590F"/>
    <w:rsid w:val="00DB5BD7"/>
    <w:rsid w:val="00DB5D89"/>
    <w:rsid w:val="00DB6573"/>
    <w:rsid w:val="00DB657E"/>
    <w:rsid w:val="00DB75B4"/>
    <w:rsid w:val="00DC1064"/>
    <w:rsid w:val="00DC14BB"/>
    <w:rsid w:val="00DC2266"/>
    <w:rsid w:val="00DC5BE1"/>
    <w:rsid w:val="00DC63E7"/>
    <w:rsid w:val="00DC6B77"/>
    <w:rsid w:val="00DD1710"/>
    <w:rsid w:val="00DD2EE8"/>
    <w:rsid w:val="00DD3404"/>
    <w:rsid w:val="00DD3C2E"/>
    <w:rsid w:val="00DD42ED"/>
    <w:rsid w:val="00DD46E7"/>
    <w:rsid w:val="00DD4796"/>
    <w:rsid w:val="00DD52BC"/>
    <w:rsid w:val="00DD5464"/>
    <w:rsid w:val="00DD610D"/>
    <w:rsid w:val="00DD669D"/>
    <w:rsid w:val="00DD684D"/>
    <w:rsid w:val="00DD6DBF"/>
    <w:rsid w:val="00DD76A1"/>
    <w:rsid w:val="00DE14E0"/>
    <w:rsid w:val="00DE1542"/>
    <w:rsid w:val="00DE20DF"/>
    <w:rsid w:val="00DE2693"/>
    <w:rsid w:val="00DE2C2A"/>
    <w:rsid w:val="00DE5190"/>
    <w:rsid w:val="00DE623D"/>
    <w:rsid w:val="00DE6F2D"/>
    <w:rsid w:val="00DE780E"/>
    <w:rsid w:val="00DE7B3D"/>
    <w:rsid w:val="00DE7E85"/>
    <w:rsid w:val="00DF1971"/>
    <w:rsid w:val="00DF3154"/>
    <w:rsid w:val="00DF4001"/>
    <w:rsid w:val="00DF4175"/>
    <w:rsid w:val="00DF4746"/>
    <w:rsid w:val="00DF5114"/>
    <w:rsid w:val="00DF643A"/>
    <w:rsid w:val="00DF75A7"/>
    <w:rsid w:val="00DF7E6C"/>
    <w:rsid w:val="00E0050B"/>
    <w:rsid w:val="00E007AB"/>
    <w:rsid w:val="00E008D6"/>
    <w:rsid w:val="00E00E6C"/>
    <w:rsid w:val="00E01371"/>
    <w:rsid w:val="00E02E9A"/>
    <w:rsid w:val="00E03C58"/>
    <w:rsid w:val="00E05474"/>
    <w:rsid w:val="00E05516"/>
    <w:rsid w:val="00E05E6D"/>
    <w:rsid w:val="00E064C7"/>
    <w:rsid w:val="00E0684E"/>
    <w:rsid w:val="00E06FDF"/>
    <w:rsid w:val="00E078A8"/>
    <w:rsid w:val="00E10084"/>
    <w:rsid w:val="00E1150A"/>
    <w:rsid w:val="00E11CF3"/>
    <w:rsid w:val="00E12381"/>
    <w:rsid w:val="00E12DEB"/>
    <w:rsid w:val="00E14224"/>
    <w:rsid w:val="00E14605"/>
    <w:rsid w:val="00E14C80"/>
    <w:rsid w:val="00E15756"/>
    <w:rsid w:val="00E15BFC"/>
    <w:rsid w:val="00E15CC8"/>
    <w:rsid w:val="00E15D28"/>
    <w:rsid w:val="00E16E37"/>
    <w:rsid w:val="00E16F30"/>
    <w:rsid w:val="00E176D1"/>
    <w:rsid w:val="00E2001A"/>
    <w:rsid w:val="00E2182C"/>
    <w:rsid w:val="00E219B3"/>
    <w:rsid w:val="00E2285C"/>
    <w:rsid w:val="00E22C63"/>
    <w:rsid w:val="00E2421B"/>
    <w:rsid w:val="00E267A9"/>
    <w:rsid w:val="00E26C78"/>
    <w:rsid w:val="00E26F0F"/>
    <w:rsid w:val="00E27AF5"/>
    <w:rsid w:val="00E30E9D"/>
    <w:rsid w:val="00E30F04"/>
    <w:rsid w:val="00E31354"/>
    <w:rsid w:val="00E324C6"/>
    <w:rsid w:val="00E32DEA"/>
    <w:rsid w:val="00E32F16"/>
    <w:rsid w:val="00E337C5"/>
    <w:rsid w:val="00E33A7B"/>
    <w:rsid w:val="00E3543A"/>
    <w:rsid w:val="00E3551B"/>
    <w:rsid w:val="00E35B92"/>
    <w:rsid w:val="00E36333"/>
    <w:rsid w:val="00E37AC3"/>
    <w:rsid w:val="00E37FBD"/>
    <w:rsid w:val="00E40660"/>
    <w:rsid w:val="00E40B67"/>
    <w:rsid w:val="00E40F55"/>
    <w:rsid w:val="00E41368"/>
    <w:rsid w:val="00E4292E"/>
    <w:rsid w:val="00E4306D"/>
    <w:rsid w:val="00E44A91"/>
    <w:rsid w:val="00E44C14"/>
    <w:rsid w:val="00E44DC1"/>
    <w:rsid w:val="00E451ED"/>
    <w:rsid w:val="00E453D2"/>
    <w:rsid w:val="00E46893"/>
    <w:rsid w:val="00E47015"/>
    <w:rsid w:val="00E50EEA"/>
    <w:rsid w:val="00E5119B"/>
    <w:rsid w:val="00E51EA8"/>
    <w:rsid w:val="00E51F16"/>
    <w:rsid w:val="00E525AA"/>
    <w:rsid w:val="00E52918"/>
    <w:rsid w:val="00E5376B"/>
    <w:rsid w:val="00E53FD1"/>
    <w:rsid w:val="00E54306"/>
    <w:rsid w:val="00E54F6D"/>
    <w:rsid w:val="00E55426"/>
    <w:rsid w:val="00E5579E"/>
    <w:rsid w:val="00E55901"/>
    <w:rsid w:val="00E564AC"/>
    <w:rsid w:val="00E578EF"/>
    <w:rsid w:val="00E57D69"/>
    <w:rsid w:val="00E6028A"/>
    <w:rsid w:val="00E605C2"/>
    <w:rsid w:val="00E6083F"/>
    <w:rsid w:val="00E6142F"/>
    <w:rsid w:val="00E61835"/>
    <w:rsid w:val="00E618A2"/>
    <w:rsid w:val="00E61F4D"/>
    <w:rsid w:val="00E621A0"/>
    <w:rsid w:val="00E6384E"/>
    <w:rsid w:val="00E63AB1"/>
    <w:rsid w:val="00E64532"/>
    <w:rsid w:val="00E645D8"/>
    <w:rsid w:val="00E64B5F"/>
    <w:rsid w:val="00E64D2A"/>
    <w:rsid w:val="00E65002"/>
    <w:rsid w:val="00E66807"/>
    <w:rsid w:val="00E66906"/>
    <w:rsid w:val="00E678C7"/>
    <w:rsid w:val="00E67A4C"/>
    <w:rsid w:val="00E70B99"/>
    <w:rsid w:val="00E71770"/>
    <w:rsid w:val="00E73636"/>
    <w:rsid w:val="00E74230"/>
    <w:rsid w:val="00E74CDD"/>
    <w:rsid w:val="00E75329"/>
    <w:rsid w:val="00E753B8"/>
    <w:rsid w:val="00E757BC"/>
    <w:rsid w:val="00E767D6"/>
    <w:rsid w:val="00E76D4C"/>
    <w:rsid w:val="00E777AD"/>
    <w:rsid w:val="00E80AB2"/>
    <w:rsid w:val="00E811E5"/>
    <w:rsid w:val="00E82438"/>
    <w:rsid w:val="00E82CA6"/>
    <w:rsid w:val="00E83D2E"/>
    <w:rsid w:val="00E83FD8"/>
    <w:rsid w:val="00E85AC8"/>
    <w:rsid w:val="00E874C7"/>
    <w:rsid w:val="00E87619"/>
    <w:rsid w:val="00E87668"/>
    <w:rsid w:val="00E901DA"/>
    <w:rsid w:val="00E906D0"/>
    <w:rsid w:val="00E91C2C"/>
    <w:rsid w:val="00E91DC4"/>
    <w:rsid w:val="00E91F91"/>
    <w:rsid w:val="00E9236F"/>
    <w:rsid w:val="00E926AD"/>
    <w:rsid w:val="00E92942"/>
    <w:rsid w:val="00E92ACD"/>
    <w:rsid w:val="00E92C59"/>
    <w:rsid w:val="00E92D7C"/>
    <w:rsid w:val="00E94C05"/>
    <w:rsid w:val="00E94CB5"/>
    <w:rsid w:val="00E94F9C"/>
    <w:rsid w:val="00E94FB6"/>
    <w:rsid w:val="00E95835"/>
    <w:rsid w:val="00E962ED"/>
    <w:rsid w:val="00E979E6"/>
    <w:rsid w:val="00E97E7E"/>
    <w:rsid w:val="00EA07BD"/>
    <w:rsid w:val="00EA0F00"/>
    <w:rsid w:val="00EA251D"/>
    <w:rsid w:val="00EA255F"/>
    <w:rsid w:val="00EA3FC0"/>
    <w:rsid w:val="00EA4052"/>
    <w:rsid w:val="00EA4F4F"/>
    <w:rsid w:val="00EA539A"/>
    <w:rsid w:val="00EA6742"/>
    <w:rsid w:val="00EA7489"/>
    <w:rsid w:val="00EB0340"/>
    <w:rsid w:val="00EB0743"/>
    <w:rsid w:val="00EB20EE"/>
    <w:rsid w:val="00EB272B"/>
    <w:rsid w:val="00EB2D43"/>
    <w:rsid w:val="00EB3ED1"/>
    <w:rsid w:val="00EB4A63"/>
    <w:rsid w:val="00EB5029"/>
    <w:rsid w:val="00EB6349"/>
    <w:rsid w:val="00EB7970"/>
    <w:rsid w:val="00EC0BA3"/>
    <w:rsid w:val="00EC1CCF"/>
    <w:rsid w:val="00EC23F1"/>
    <w:rsid w:val="00EC28B0"/>
    <w:rsid w:val="00EC2E5B"/>
    <w:rsid w:val="00EC37E9"/>
    <w:rsid w:val="00EC3D82"/>
    <w:rsid w:val="00EC5158"/>
    <w:rsid w:val="00EC6759"/>
    <w:rsid w:val="00EC67CE"/>
    <w:rsid w:val="00EC71E5"/>
    <w:rsid w:val="00EC7610"/>
    <w:rsid w:val="00EC786A"/>
    <w:rsid w:val="00ED1306"/>
    <w:rsid w:val="00ED158C"/>
    <w:rsid w:val="00ED22D9"/>
    <w:rsid w:val="00ED292F"/>
    <w:rsid w:val="00ED2EE4"/>
    <w:rsid w:val="00ED3ACF"/>
    <w:rsid w:val="00ED3DBF"/>
    <w:rsid w:val="00ED43F6"/>
    <w:rsid w:val="00ED5224"/>
    <w:rsid w:val="00ED6889"/>
    <w:rsid w:val="00ED6BAA"/>
    <w:rsid w:val="00ED73D6"/>
    <w:rsid w:val="00ED78D4"/>
    <w:rsid w:val="00ED791A"/>
    <w:rsid w:val="00ED7A12"/>
    <w:rsid w:val="00ED7F7D"/>
    <w:rsid w:val="00EE035F"/>
    <w:rsid w:val="00EE13A9"/>
    <w:rsid w:val="00EE2D7F"/>
    <w:rsid w:val="00EE2D9A"/>
    <w:rsid w:val="00EE3195"/>
    <w:rsid w:val="00EE39AE"/>
    <w:rsid w:val="00EE3AD9"/>
    <w:rsid w:val="00EE3BCD"/>
    <w:rsid w:val="00EE3F5F"/>
    <w:rsid w:val="00EE4221"/>
    <w:rsid w:val="00EE4C95"/>
    <w:rsid w:val="00EE4D61"/>
    <w:rsid w:val="00EE570E"/>
    <w:rsid w:val="00EE5C9D"/>
    <w:rsid w:val="00EE615C"/>
    <w:rsid w:val="00EE6A4E"/>
    <w:rsid w:val="00EE7456"/>
    <w:rsid w:val="00EE74DC"/>
    <w:rsid w:val="00EE7BB3"/>
    <w:rsid w:val="00EF068F"/>
    <w:rsid w:val="00EF25F1"/>
    <w:rsid w:val="00EF2EB4"/>
    <w:rsid w:val="00EF36FA"/>
    <w:rsid w:val="00EF3F2E"/>
    <w:rsid w:val="00EF464B"/>
    <w:rsid w:val="00EF4A64"/>
    <w:rsid w:val="00EF58F1"/>
    <w:rsid w:val="00EF594C"/>
    <w:rsid w:val="00EF5A7A"/>
    <w:rsid w:val="00EF65C5"/>
    <w:rsid w:val="00F011E5"/>
    <w:rsid w:val="00F012A3"/>
    <w:rsid w:val="00F02013"/>
    <w:rsid w:val="00F02AD7"/>
    <w:rsid w:val="00F030D9"/>
    <w:rsid w:val="00F03F71"/>
    <w:rsid w:val="00F04ED9"/>
    <w:rsid w:val="00F05B25"/>
    <w:rsid w:val="00F06AC3"/>
    <w:rsid w:val="00F06D33"/>
    <w:rsid w:val="00F06F61"/>
    <w:rsid w:val="00F070AB"/>
    <w:rsid w:val="00F071F2"/>
    <w:rsid w:val="00F0751A"/>
    <w:rsid w:val="00F076B9"/>
    <w:rsid w:val="00F077E8"/>
    <w:rsid w:val="00F07C6E"/>
    <w:rsid w:val="00F10476"/>
    <w:rsid w:val="00F10F09"/>
    <w:rsid w:val="00F10FEC"/>
    <w:rsid w:val="00F11159"/>
    <w:rsid w:val="00F12004"/>
    <w:rsid w:val="00F14170"/>
    <w:rsid w:val="00F157CB"/>
    <w:rsid w:val="00F158E3"/>
    <w:rsid w:val="00F165E8"/>
    <w:rsid w:val="00F17045"/>
    <w:rsid w:val="00F179B8"/>
    <w:rsid w:val="00F20E16"/>
    <w:rsid w:val="00F20F85"/>
    <w:rsid w:val="00F213E7"/>
    <w:rsid w:val="00F21EA3"/>
    <w:rsid w:val="00F222DA"/>
    <w:rsid w:val="00F22D94"/>
    <w:rsid w:val="00F244A3"/>
    <w:rsid w:val="00F24660"/>
    <w:rsid w:val="00F2550E"/>
    <w:rsid w:val="00F258E3"/>
    <w:rsid w:val="00F25E7C"/>
    <w:rsid w:val="00F2600E"/>
    <w:rsid w:val="00F263D8"/>
    <w:rsid w:val="00F30CF2"/>
    <w:rsid w:val="00F31868"/>
    <w:rsid w:val="00F31AC5"/>
    <w:rsid w:val="00F31F16"/>
    <w:rsid w:val="00F32D58"/>
    <w:rsid w:val="00F32DCA"/>
    <w:rsid w:val="00F32E7A"/>
    <w:rsid w:val="00F34207"/>
    <w:rsid w:val="00F3518F"/>
    <w:rsid w:val="00F35ACD"/>
    <w:rsid w:val="00F36048"/>
    <w:rsid w:val="00F368B5"/>
    <w:rsid w:val="00F36E75"/>
    <w:rsid w:val="00F37949"/>
    <w:rsid w:val="00F37BEA"/>
    <w:rsid w:val="00F40262"/>
    <w:rsid w:val="00F40E46"/>
    <w:rsid w:val="00F414EC"/>
    <w:rsid w:val="00F41717"/>
    <w:rsid w:val="00F41BC5"/>
    <w:rsid w:val="00F42AAA"/>
    <w:rsid w:val="00F42DC6"/>
    <w:rsid w:val="00F43AC3"/>
    <w:rsid w:val="00F457CD"/>
    <w:rsid w:val="00F47508"/>
    <w:rsid w:val="00F47662"/>
    <w:rsid w:val="00F47CAE"/>
    <w:rsid w:val="00F50537"/>
    <w:rsid w:val="00F50F6B"/>
    <w:rsid w:val="00F5149C"/>
    <w:rsid w:val="00F51E47"/>
    <w:rsid w:val="00F51ED5"/>
    <w:rsid w:val="00F5216D"/>
    <w:rsid w:val="00F5351F"/>
    <w:rsid w:val="00F53EE0"/>
    <w:rsid w:val="00F5475C"/>
    <w:rsid w:val="00F55F34"/>
    <w:rsid w:val="00F55FDA"/>
    <w:rsid w:val="00F576EB"/>
    <w:rsid w:val="00F60BE7"/>
    <w:rsid w:val="00F6119D"/>
    <w:rsid w:val="00F61E64"/>
    <w:rsid w:val="00F62BA7"/>
    <w:rsid w:val="00F6326D"/>
    <w:rsid w:val="00F6446B"/>
    <w:rsid w:val="00F646AE"/>
    <w:rsid w:val="00F64D97"/>
    <w:rsid w:val="00F65426"/>
    <w:rsid w:val="00F65881"/>
    <w:rsid w:val="00F65E43"/>
    <w:rsid w:val="00F6653C"/>
    <w:rsid w:val="00F668C8"/>
    <w:rsid w:val="00F66C61"/>
    <w:rsid w:val="00F66F87"/>
    <w:rsid w:val="00F671B6"/>
    <w:rsid w:val="00F67580"/>
    <w:rsid w:val="00F71339"/>
    <w:rsid w:val="00F7197E"/>
    <w:rsid w:val="00F71BCE"/>
    <w:rsid w:val="00F74877"/>
    <w:rsid w:val="00F75609"/>
    <w:rsid w:val="00F7597E"/>
    <w:rsid w:val="00F76EFB"/>
    <w:rsid w:val="00F7702E"/>
    <w:rsid w:val="00F7718C"/>
    <w:rsid w:val="00F8054A"/>
    <w:rsid w:val="00F8056A"/>
    <w:rsid w:val="00F81080"/>
    <w:rsid w:val="00F81F72"/>
    <w:rsid w:val="00F8230B"/>
    <w:rsid w:val="00F828A8"/>
    <w:rsid w:val="00F82D68"/>
    <w:rsid w:val="00F84476"/>
    <w:rsid w:val="00F84F25"/>
    <w:rsid w:val="00F86595"/>
    <w:rsid w:val="00F86B0E"/>
    <w:rsid w:val="00F902EB"/>
    <w:rsid w:val="00F90854"/>
    <w:rsid w:val="00F9092F"/>
    <w:rsid w:val="00F91525"/>
    <w:rsid w:val="00F92697"/>
    <w:rsid w:val="00F93D85"/>
    <w:rsid w:val="00F94404"/>
    <w:rsid w:val="00F949AF"/>
    <w:rsid w:val="00F949BD"/>
    <w:rsid w:val="00F955A3"/>
    <w:rsid w:val="00F9608A"/>
    <w:rsid w:val="00F9613F"/>
    <w:rsid w:val="00F9718E"/>
    <w:rsid w:val="00F97FAC"/>
    <w:rsid w:val="00FA0720"/>
    <w:rsid w:val="00FA0A3E"/>
    <w:rsid w:val="00FA0E0F"/>
    <w:rsid w:val="00FA0F9F"/>
    <w:rsid w:val="00FA12F4"/>
    <w:rsid w:val="00FA15C7"/>
    <w:rsid w:val="00FA2F1D"/>
    <w:rsid w:val="00FA2F5B"/>
    <w:rsid w:val="00FA3BDB"/>
    <w:rsid w:val="00FA5A93"/>
    <w:rsid w:val="00FA5C1C"/>
    <w:rsid w:val="00FA628D"/>
    <w:rsid w:val="00FA6726"/>
    <w:rsid w:val="00FA7A21"/>
    <w:rsid w:val="00FB03C8"/>
    <w:rsid w:val="00FB0E8E"/>
    <w:rsid w:val="00FB1AE7"/>
    <w:rsid w:val="00FB29D3"/>
    <w:rsid w:val="00FB2C48"/>
    <w:rsid w:val="00FB2E1A"/>
    <w:rsid w:val="00FB305C"/>
    <w:rsid w:val="00FB3775"/>
    <w:rsid w:val="00FB3904"/>
    <w:rsid w:val="00FB4585"/>
    <w:rsid w:val="00FB529C"/>
    <w:rsid w:val="00FB72E9"/>
    <w:rsid w:val="00FC0777"/>
    <w:rsid w:val="00FC0A80"/>
    <w:rsid w:val="00FC30A6"/>
    <w:rsid w:val="00FC362B"/>
    <w:rsid w:val="00FC396D"/>
    <w:rsid w:val="00FC4203"/>
    <w:rsid w:val="00FC4CEB"/>
    <w:rsid w:val="00FC5157"/>
    <w:rsid w:val="00FC581B"/>
    <w:rsid w:val="00FC5902"/>
    <w:rsid w:val="00FC6D0F"/>
    <w:rsid w:val="00FC704D"/>
    <w:rsid w:val="00FC7851"/>
    <w:rsid w:val="00FC7D83"/>
    <w:rsid w:val="00FD02D7"/>
    <w:rsid w:val="00FD10F0"/>
    <w:rsid w:val="00FD1C0A"/>
    <w:rsid w:val="00FD1D40"/>
    <w:rsid w:val="00FD3DF5"/>
    <w:rsid w:val="00FD4CB9"/>
    <w:rsid w:val="00FD56BA"/>
    <w:rsid w:val="00FD5E6A"/>
    <w:rsid w:val="00FE121A"/>
    <w:rsid w:val="00FE1777"/>
    <w:rsid w:val="00FE1856"/>
    <w:rsid w:val="00FE1B20"/>
    <w:rsid w:val="00FE2374"/>
    <w:rsid w:val="00FE248C"/>
    <w:rsid w:val="00FE26DE"/>
    <w:rsid w:val="00FE2D61"/>
    <w:rsid w:val="00FE35B1"/>
    <w:rsid w:val="00FE4071"/>
    <w:rsid w:val="00FE4FEB"/>
    <w:rsid w:val="00FE55BB"/>
    <w:rsid w:val="00FE5CFE"/>
    <w:rsid w:val="00FE6064"/>
    <w:rsid w:val="00FE6096"/>
    <w:rsid w:val="00FE6712"/>
    <w:rsid w:val="00FE7016"/>
    <w:rsid w:val="00FE7151"/>
    <w:rsid w:val="00FF18AD"/>
    <w:rsid w:val="00FF2151"/>
    <w:rsid w:val="00FF338D"/>
    <w:rsid w:val="00FF339E"/>
    <w:rsid w:val="00FF3646"/>
    <w:rsid w:val="00FF68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B1F20"/>
  <w15:docId w15:val="{A335C5D8-0027-4B2C-B766-03443A1D0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1B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301B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6301B8"/>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A4109D"/>
    <w:pPr>
      <w:keepNext/>
      <w:keepLines/>
      <w:spacing w:before="200" w:after="0" w:line="360" w:lineRule="auto"/>
      <w:outlineLvl w:val="2"/>
    </w:pPr>
    <w:rPr>
      <w:rFonts w:eastAsiaTheme="majorEastAsia" w:cstheme="majorBidi"/>
      <w:b/>
      <w:bCs/>
      <w:color w:val="000000" w:themeColor="text1"/>
    </w:rPr>
  </w:style>
  <w:style w:type="paragraph" w:styleId="Heading6">
    <w:name w:val="heading 6"/>
    <w:basedOn w:val="Normal"/>
    <w:next w:val="Normal"/>
    <w:link w:val="Heading6Char"/>
    <w:uiPriority w:val="9"/>
    <w:semiHidden/>
    <w:unhideWhenUsed/>
    <w:qFormat/>
    <w:rsid w:val="00F576E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4109D"/>
    <w:rPr>
      <w:rFonts w:ascii="Times New Roman" w:eastAsiaTheme="majorEastAsia" w:hAnsi="Times New Roman" w:cstheme="majorBidi"/>
      <w:b/>
      <w:bCs/>
      <w:color w:val="000000" w:themeColor="text1"/>
      <w:sz w:val="24"/>
      <w:lang w:val="en-US"/>
    </w:rPr>
  </w:style>
  <w:style w:type="character" w:styleId="Hyperlink">
    <w:name w:val="Hyperlink"/>
    <w:basedOn w:val="DefaultParagraphFont"/>
    <w:uiPriority w:val="99"/>
    <w:unhideWhenUsed/>
    <w:rsid w:val="00B075A0"/>
    <w:rPr>
      <w:color w:val="0563C1" w:themeColor="hyperlink"/>
      <w:u w:val="single"/>
    </w:rPr>
  </w:style>
  <w:style w:type="character" w:customStyle="1" w:styleId="Heading1Char">
    <w:name w:val="Heading 1 Char"/>
    <w:basedOn w:val="DefaultParagraphFont"/>
    <w:link w:val="Heading1"/>
    <w:uiPriority w:val="9"/>
    <w:rsid w:val="006301B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01B8"/>
    <w:rPr>
      <w:rFonts w:ascii="Times New Roman" w:eastAsiaTheme="majorEastAsia" w:hAnsi="Times New Roman" w:cstheme="majorBidi"/>
      <w:b/>
      <w:color w:val="000000" w:themeColor="text1"/>
      <w:sz w:val="26"/>
      <w:szCs w:val="26"/>
    </w:rPr>
  </w:style>
  <w:style w:type="table" w:styleId="GridTable4-Accent5">
    <w:name w:val="Grid Table 4 Accent 5"/>
    <w:basedOn w:val="TableNormal"/>
    <w:uiPriority w:val="49"/>
    <w:rsid w:val="006301B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6301B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6301B8"/>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6301B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6301B8"/>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301B8"/>
    <w:pPr>
      <w:spacing w:after="100"/>
    </w:pPr>
  </w:style>
  <w:style w:type="paragraph" w:styleId="TOC2">
    <w:name w:val="toc 2"/>
    <w:basedOn w:val="Normal"/>
    <w:next w:val="Normal"/>
    <w:autoRedefine/>
    <w:uiPriority w:val="39"/>
    <w:unhideWhenUsed/>
    <w:rsid w:val="006301B8"/>
    <w:pPr>
      <w:spacing w:after="100"/>
      <w:ind w:left="240"/>
    </w:pPr>
  </w:style>
  <w:style w:type="paragraph" w:styleId="TOC3">
    <w:name w:val="toc 3"/>
    <w:basedOn w:val="Normal"/>
    <w:next w:val="Normal"/>
    <w:autoRedefine/>
    <w:uiPriority w:val="39"/>
    <w:unhideWhenUsed/>
    <w:rsid w:val="006301B8"/>
    <w:pPr>
      <w:spacing w:after="100"/>
      <w:ind w:left="480"/>
    </w:pPr>
  </w:style>
  <w:style w:type="paragraph" w:styleId="NoSpacing">
    <w:name w:val="No Spacing"/>
    <w:link w:val="NoSpacingChar"/>
    <w:uiPriority w:val="1"/>
    <w:qFormat/>
    <w:rsid w:val="00604FEA"/>
    <w:pPr>
      <w:spacing w:after="0" w:line="240" w:lineRule="auto"/>
    </w:pPr>
    <w:rPr>
      <w:rFonts w:eastAsiaTheme="minorEastAsia"/>
    </w:rPr>
  </w:style>
  <w:style w:type="character" w:customStyle="1" w:styleId="NoSpacingChar">
    <w:name w:val="No Spacing Char"/>
    <w:basedOn w:val="DefaultParagraphFont"/>
    <w:link w:val="NoSpacing"/>
    <w:uiPriority w:val="1"/>
    <w:rsid w:val="00604FEA"/>
    <w:rPr>
      <w:rFonts w:eastAsiaTheme="minorEastAsia"/>
    </w:rPr>
  </w:style>
  <w:style w:type="paragraph" w:styleId="ListBullet">
    <w:name w:val="List Bullet"/>
    <w:basedOn w:val="Normal"/>
    <w:uiPriority w:val="99"/>
    <w:unhideWhenUsed/>
    <w:rsid w:val="001B6D1C"/>
    <w:pPr>
      <w:numPr>
        <w:numId w:val="1"/>
      </w:numPr>
      <w:contextualSpacing/>
    </w:pPr>
  </w:style>
  <w:style w:type="character" w:customStyle="1" w:styleId="UnresolvedMention1">
    <w:name w:val="Unresolved Mention1"/>
    <w:basedOn w:val="DefaultParagraphFont"/>
    <w:uiPriority w:val="99"/>
    <w:semiHidden/>
    <w:unhideWhenUsed/>
    <w:rsid w:val="00320BEA"/>
    <w:rPr>
      <w:color w:val="605E5C"/>
      <w:shd w:val="clear" w:color="auto" w:fill="E1DFDD"/>
    </w:rPr>
  </w:style>
  <w:style w:type="paragraph" w:styleId="ListParagraph">
    <w:name w:val="List Paragraph"/>
    <w:basedOn w:val="Normal"/>
    <w:uiPriority w:val="34"/>
    <w:qFormat/>
    <w:rsid w:val="00CE22C9"/>
    <w:pPr>
      <w:ind w:left="720"/>
      <w:contextualSpacing/>
    </w:pPr>
  </w:style>
  <w:style w:type="character" w:customStyle="1" w:styleId="Heading6Char">
    <w:name w:val="Heading 6 Char"/>
    <w:basedOn w:val="DefaultParagraphFont"/>
    <w:link w:val="Heading6"/>
    <w:uiPriority w:val="9"/>
    <w:semiHidden/>
    <w:rsid w:val="00F576EB"/>
    <w:rPr>
      <w:rFonts w:asciiTheme="majorHAnsi" w:eastAsiaTheme="majorEastAsia" w:hAnsiTheme="majorHAnsi" w:cstheme="majorBidi"/>
      <w:color w:val="1F3763" w:themeColor="accent1" w:themeShade="7F"/>
      <w:sz w:val="24"/>
    </w:rPr>
  </w:style>
  <w:style w:type="character" w:customStyle="1" w:styleId="UnresolvedMention2">
    <w:name w:val="Unresolved Mention2"/>
    <w:basedOn w:val="DefaultParagraphFont"/>
    <w:uiPriority w:val="99"/>
    <w:semiHidden/>
    <w:unhideWhenUsed/>
    <w:rsid w:val="00944B47"/>
    <w:rPr>
      <w:color w:val="605E5C"/>
      <w:shd w:val="clear" w:color="auto" w:fill="E1DFDD"/>
    </w:rPr>
  </w:style>
  <w:style w:type="paragraph" w:styleId="Revision">
    <w:name w:val="Revision"/>
    <w:hidden/>
    <w:uiPriority w:val="99"/>
    <w:semiHidden/>
    <w:rsid w:val="00B355B6"/>
    <w:pPr>
      <w:spacing w:after="0" w:line="240" w:lineRule="auto"/>
    </w:pPr>
    <w:rPr>
      <w:rFonts w:ascii="Times New Roman" w:hAnsi="Times New Roman"/>
      <w:sz w:val="24"/>
    </w:rPr>
  </w:style>
  <w:style w:type="paragraph" w:styleId="Header">
    <w:name w:val="header"/>
    <w:basedOn w:val="Normal"/>
    <w:link w:val="HeaderChar"/>
    <w:uiPriority w:val="99"/>
    <w:unhideWhenUsed/>
    <w:rsid w:val="009C33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3333"/>
    <w:rPr>
      <w:rFonts w:ascii="Times New Roman" w:hAnsi="Times New Roman"/>
      <w:sz w:val="24"/>
    </w:rPr>
  </w:style>
  <w:style w:type="paragraph" w:styleId="Footer">
    <w:name w:val="footer"/>
    <w:basedOn w:val="Normal"/>
    <w:link w:val="FooterChar"/>
    <w:uiPriority w:val="99"/>
    <w:unhideWhenUsed/>
    <w:rsid w:val="009C33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333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bilal.ahmed\Downloads\Downloads1\Bilal\2026\March%202026\Task%201\Working.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Graph!$B$3</c:f>
              <c:strCache>
                <c:ptCount val="1"/>
                <c:pt idx="0">
                  <c:v>Revenue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Graph!$C$2:$G$2</c:f>
              <c:numCache>
                <c:formatCode>General</c:formatCode>
                <c:ptCount val="5"/>
                <c:pt idx="0">
                  <c:v>2025</c:v>
                </c:pt>
                <c:pt idx="1">
                  <c:v>2024</c:v>
                </c:pt>
                <c:pt idx="2">
                  <c:v>2023</c:v>
                </c:pt>
                <c:pt idx="3">
                  <c:v>2022</c:v>
                </c:pt>
                <c:pt idx="4">
                  <c:v>2021</c:v>
                </c:pt>
              </c:numCache>
            </c:numRef>
          </c:cat>
          <c:val>
            <c:numRef>
              <c:f>Graph!$C$3:$G$3</c:f>
              <c:numCache>
                <c:formatCode>_(* #,##0_);_(* \(#,##0\);_(* "-"??_);_(@_)</c:formatCode>
                <c:ptCount val="5"/>
                <c:pt idx="0">
                  <c:v>94827</c:v>
                </c:pt>
                <c:pt idx="1">
                  <c:v>97690</c:v>
                </c:pt>
                <c:pt idx="2">
                  <c:v>96773</c:v>
                </c:pt>
                <c:pt idx="3">
                  <c:v>81462</c:v>
                </c:pt>
                <c:pt idx="4">
                  <c:v>53823</c:v>
                </c:pt>
              </c:numCache>
            </c:numRef>
          </c:val>
          <c:extLst>
            <c:ext xmlns:c16="http://schemas.microsoft.com/office/drawing/2014/chart" uri="{C3380CC4-5D6E-409C-BE32-E72D297353CC}">
              <c16:uniqueId val="{00000000-CDFA-4759-94FF-ECD030CD8894}"/>
            </c:ext>
          </c:extLst>
        </c:ser>
        <c:dLbls>
          <c:showLegendKey val="0"/>
          <c:showVal val="0"/>
          <c:showCatName val="0"/>
          <c:showSerName val="0"/>
          <c:showPercent val="0"/>
          <c:showBubbleSize val="0"/>
        </c:dLbls>
        <c:gapWidth val="219"/>
        <c:overlap val="-27"/>
        <c:axId val="2043314768"/>
        <c:axId val="2043337808"/>
      </c:barChart>
      <c:catAx>
        <c:axId val="204331476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37808"/>
        <c:crosses val="autoZero"/>
        <c:auto val="1"/>
        <c:lblAlgn val="ctr"/>
        <c:lblOffset val="100"/>
        <c:noMultiLvlLbl val="0"/>
      </c:catAx>
      <c:valAx>
        <c:axId val="2043337808"/>
        <c:scaling>
          <c:orientation val="minMax"/>
        </c:scaling>
        <c:delete val="0"/>
        <c:axPos val="l"/>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147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Graph!$B$6</c:f>
              <c:strCache>
                <c:ptCount val="1"/>
                <c:pt idx="0">
                  <c:v>Cost of Sales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Graph!$C$5:$G$5</c:f>
              <c:numCache>
                <c:formatCode>General</c:formatCode>
                <c:ptCount val="5"/>
                <c:pt idx="0">
                  <c:v>2025</c:v>
                </c:pt>
                <c:pt idx="1">
                  <c:v>2024</c:v>
                </c:pt>
                <c:pt idx="2">
                  <c:v>2023</c:v>
                </c:pt>
                <c:pt idx="3">
                  <c:v>2022</c:v>
                </c:pt>
                <c:pt idx="4">
                  <c:v>2021</c:v>
                </c:pt>
              </c:numCache>
            </c:numRef>
          </c:cat>
          <c:val>
            <c:numRef>
              <c:f>Graph!$C$6:$G$6</c:f>
              <c:numCache>
                <c:formatCode>_(* #,##0_);_(* \(#,##0\);_(* "-"??_);_(@_)</c:formatCode>
                <c:ptCount val="5"/>
                <c:pt idx="0">
                  <c:v>77733</c:v>
                </c:pt>
                <c:pt idx="1">
                  <c:v>80240</c:v>
                </c:pt>
                <c:pt idx="2">
                  <c:v>79113</c:v>
                </c:pt>
                <c:pt idx="3">
                  <c:v>60609</c:v>
                </c:pt>
                <c:pt idx="4">
                  <c:v>40217</c:v>
                </c:pt>
              </c:numCache>
            </c:numRef>
          </c:val>
          <c:extLst>
            <c:ext xmlns:c16="http://schemas.microsoft.com/office/drawing/2014/chart" uri="{C3380CC4-5D6E-409C-BE32-E72D297353CC}">
              <c16:uniqueId val="{00000000-B2C2-44DA-A95B-8E503A1CF87D}"/>
            </c:ext>
          </c:extLst>
        </c:ser>
        <c:dLbls>
          <c:showLegendKey val="0"/>
          <c:showVal val="0"/>
          <c:showCatName val="0"/>
          <c:showSerName val="0"/>
          <c:showPercent val="0"/>
          <c:showBubbleSize val="0"/>
        </c:dLbls>
        <c:gapWidth val="219"/>
        <c:overlap val="-27"/>
        <c:axId val="2043323888"/>
        <c:axId val="2043337328"/>
      </c:barChart>
      <c:catAx>
        <c:axId val="20433238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37328"/>
        <c:crosses val="autoZero"/>
        <c:auto val="1"/>
        <c:lblAlgn val="ctr"/>
        <c:lblOffset val="100"/>
        <c:noMultiLvlLbl val="0"/>
      </c:catAx>
      <c:valAx>
        <c:axId val="2043337328"/>
        <c:scaling>
          <c:orientation val="minMax"/>
        </c:scaling>
        <c:delete val="0"/>
        <c:axPos val="l"/>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2388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Graph!$B$9</c:f>
              <c:strCache>
                <c:ptCount val="1"/>
                <c:pt idx="0">
                  <c:v>Net Profit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Graph!$C$8:$G$8</c:f>
              <c:numCache>
                <c:formatCode>General</c:formatCode>
                <c:ptCount val="5"/>
                <c:pt idx="0">
                  <c:v>2025</c:v>
                </c:pt>
                <c:pt idx="1">
                  <c:v>2024</c:v>
                </c:pt>
                <c:pt idx="2">
                  <c:v>2023</c:v>
                </c:pt>
                <c:pt idx="3">
                  <c:v>2022</c:v>
                </c:pt>
                <c:pt idx="4">
                  <c:v>2021</c:v>
                </c:pt>
              </c:numCache>
            </c:numRef>
          </c:cat>
          <c:val>
            <c:numRef>
              <c:f>Graph!$C$9:$G$9</c:f>
              <c:numCache>
                <c:formatCode>_(* #,##0_);_(* \(#,##0\);_(* "-"??_);_(@_)</c:formatCode>
                <c:ptCount val="5"/>
                <c:pt idx="0">
                  <c:v>3855</c:v>
                </c:pt>
                <c:pt idx="1">
                  <c:v>7153</c:v>
                </c:pt>
                <c:pt idx="2">
                  <c:v>14974</c:v>
                </c:pt>
                <c:pt idx="3">
                  <c:v>12587</c:v>
                </c:pt>
                <c:pt idx="4">
                  <c:v>5644</c:v>
                </c:pt>
              </c:numCache>
            </c:numRef>
          </c:val>
          <c:extLst>
            <c:ext xmlns:c16="http://schemas.microsoft.com/office/drawing/2014/chart" uri="{C3380CC4-5D6E-409C-BE32-E72D297353CC}">
              <c16:uniqueId val="{00000000-DA41-4018-99B2-C65F0D455F85}"/>
            </c:ext>
          </c:extLst>
        </c:ser>
        <c:dLbls>
          <c:showLegendKey val="0"/>
          <c:showVal val="0"/>
          <c:showCatName val="0"/>
          <c:showSerName val="0"/>
          <c:showPercent val="0"/>
          <c:showBubbleSize val="0"/>
        </c:dLbls>
        <c:gapWidth val="219"/>
        <c:overlap val="-27"/>
        <c:axId val="2043320048"/>
        <c:axId val="2043329648"/>
      </c:barChart>
      <c:catAx>
        <c:axId val="204332004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29648"/>
        <c:crosses val="autoZero"/>
        <c:auto val="1"/>
        <c:lblAlgn val="ctr"/>
        <c:lblOffset val="100"/>
        <c:noMultiLvlLbl val="0"/>
      </c:catAx>
      <c:valAx>
        <c:axId val="2043329648"/>
        <c:scaling>
          <c:orientation val="minMax"/>
        </c:scaling>
        <c:delete val="0"/>
        <c:axPos val="l"/>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200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Graph!$B$12</c:f>
              <c:strCache>
                <c:ptCount val="1"/>
                <c:pt idx="0">
                  <c:v>Total Asset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Graph!$C$11:$G$11</c:f>
              <c:numCache>
                <c:formatCode>General</c:formatCode>
                <c:ptCount val="5"/>
                <c:pt idx="0">
                  <c:v>2025</c:v>
                </c:pt>
                <c:pt idx="1">
                  <c:v>2024</c:v>
                </c:pt>
                <c:pt idx="2">
                  <c:v>2023</c:v>
                </c:pt>
                <c:pt idx="3">
                  <c:v>2022</c:v>
                </c:pt>
                <c:pt idx="4">
                  <c:v>2021</c:v>
                </c:pt>
              </c:numCache>
            </c:numRef>
          </c:cat>
          <c:val>
            <c:numRef>
              <c:f>Graph!$C$12:$G$12</c:f>
              <c:numCache>
                <c:formatCode>_(* #,##0_);_(* \(#,##0\);_(* "-"??_);_(@_)</c:formatCode>
                <c:ptCount val="5"/>
                <c:pt idx="0">
                  <c:v>137806</c:v>
                </c:pt>
                <c:pt idx="1">
                  <c:v>122070</c:v>
                </c:pt>
                <c:pt idx="2">
                  <c:v>106618</c:v>
                </c:pt>
                <c:pt idx="3">
                  <c:v>82338</c:v>
                </c:pt>
                <c:pt idx="4">
                  <c:v>62131</c:v>
                </c:pt>
              </c:numCache>
            </c:numRef>
          </c:val>
          <c:extLst>
            <c:ext xmlns:c16="http://schemas.microsoft.com/office/drawing/2014/chart" uri="{C3380CC4-5D6E-409C-BE32-E72D297353CC}">
              <c16:uniqueId val="{00000000-7A1E-4153-B4E3-E9617B35AABD}"/>
            </c:ext>
          </c:extLst>
        </c:ser>
        <c:dLbls>
          <c:showLegendKey val="0"/>
          <c:showVal val="0"/>
          <c:showCatName val="0"/>
          <c:showSerName val="0"/>
          <c:showPercent val="0"/>
          <c:showBubbleSize val="0"/>
        </c:dLbls>
        <c:gapWidth val="219"/>
        <c:overlap val="-27"/>
        <c:axId val="2043318128"/>
        <c:axId val="2043309968"/>
      </c:barChart>
      <c:catAx>
        <c:axId val="204331812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09968"/>
        <c:crosses val="autoZero"/>
        <c:auto val="1"/>
        <c:lblAlgn val="ctr"/>
        <c:lblOffset val="100"/>
        <c:noMultiLvlLbl val="0"/>
      </c:catAx>
      <c:valAx>
        <c:axId val="2043309968"/>
        <c:scaling>
          <c:orientation val="minMax"/>
        </c:scaling>
        <c:delete val="0"/>
        <c:axPos val="l"/>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181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Graph!$B$15</c:f>
              <c:strCache>
                <c:ptCount val="1"/>
                <c:pt idx="0">
                  <c:v>Total Liabilities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Graph!$C$14:$G$14</c:f>
              <c:numCache>
                <c:formatCode>General</c:formatCode>
                <c:ptCount val="5"/>
                <c:pt idx="0">
                  <c:v>2025</c:v>
                </c:pt>
                <c:pt idx="1">
                  <c:v>2024</c:v>
                </c:pt>
                <c:pt idx="2">
                  <c:v>2023</c:v>
                </c:pt>
                <c:pt idx="3">
                  <c:v>2022</c:v>
                </c:pt>
                <c:pt idx="4">
                  <c:v>2021</c:v>
                </c:pt>
              </c:numCache>
            </c:numRef>
          </c:cat>
          <c:val>
            <c:numRef>
              <c:f>Graph!$C$15:$G$15</c:f>
              <c:numCache>
                <c:formatCode>_(* #,##0_);_(* \(#,##0\);_(* "-"??_);_(@_)</c:formatCode>
                <c:ptCount val="5"/>
                <c:pt idx="0">
                  <c:v>54941</c:v>
                </c:pt>
                <c:pt idx="1">
                  <c:v>48390</c:v>
                </c:pt>
                <c:pt idx="2">
                  <c:v>43009</c:v>
                </c:pt>
                <c:pt idx="3">
                  <c:v>36440</c:v>
                </c:pt>
                <c:pt idx="4">
                  <c:v>30548</c:v>
                </c:pt>
              </c:numCache>
            </c:numRef>
          </c:val>
          <c:extLst>
            <c:ext xmlns:c16="http://schemas.microsoft.com/office/drawing/2014/chart" uri="{C3380CC4-5D6E-409C-BE32-E72D297353CC}">
              <c16:uniqueId val="{00000000-FA39-4A6F-84C9-D332E0F205E3}"/>
            </c:ext>
          </c:extLst>
        </c:ser>
        <c:dLbls>
          <c:showLegendKey val="0"/>
          <c:showVal val="0"/>
          <c:showCatName val="0"/>
          <c:showSerName val="0"/>
          <c:showPercent val="0"/>
          <c:showBubbleSize val="0"/>
        </c:dLbls>
        <c:gapWidth val="219"/>
        <c:overlap val="-27"/>
        <c:axId val="2043327248"/>
        <c:axId val="2043324848"/>
      </c:barChart>
      <c:catAx>
        <c:axId val="204332724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24848"/>
        <c:crosses val="autoZero"/>
        <c:auto val="1"/>
        <c:lblAlgn val="ctr"/>
        <c:lblOffset val="100"/>
        <c:noMultiLvlLbl val="0"/>
      </c:catAx>
      <c:valAx>
        <c:axId val="2043324848"/>
        <c:scaling>
          <c:orientation val="minMax"/>
        </c:scaling>
        <c:delete val="0"/>
        <c:axPos val="l"/>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272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Graph!$B$18</c:f>
              <c:strCache>
                <c:ptCount val="1"/>
                <c:pt idx="0">
                  <c:v>Total Equities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Graph!$C$17:$G$17</c:f>
              <c:numCache>
                <c:formatCode>General</c:formatCode>
                <c:ptCount val="5"/>
                <c:pt idx="0">
                  <c:v>2025</c:v>
                </c:pt>
                <c:pt idx="1">
                  <c:v>2024</c:v>
                </c:pt>
                <c:pt idx="2">
                  <c:v>2023</c:v>
                </c:pt>
                <c:pt idx="3">
                  <c:v>2022</c:v>
                </c:pt>
                <c:pt idx="4">
                  <c:v>2021</c:v>
                </c:pt>
              </c:numCache>
            </c:numRef>
          </c:cat>
          <c:val>
            <c:numRef>
              <c:f>Graph!$C$18:$G$18</c:f>
              <c:numCache>
                <c:formatCode>_(* #,##0_);_(* \(#,##0\);_(* "-"??_);_(@_)</c:formatCode>
                <c:ptCount val="5"/>
                <c:pt idx="0">
                  <c:v>82137</c:v>
                </c:pt>
                <c:pt idx="1">
                  <c:v>72913</c:v>
                </c:pt>
                <c:pt idx="2">
                  <c:v>62634</c:v>
                </c:pt>
                <c:pt idx="3">
                  <c:v>44704</c:v>
                </c:pt>
                <c:pt idx="4">
                  <c:v>30189</c:v>
                </c:pt>
              </c:numCache>
            </c:numRef>
          </c:val>
          <c:extLst>
            <c:ext xmlns:c16="http://schemas.microsoft.com/office/drawing/2014/chart" uri="{C3380CC4-5D6E-409C-BE32-E72D297353CC}">
              <c16:uniqueId val="{00000000-B245-47CC-8F30-73C490D8108B}"/>
            </c:ext>
          </c:extLst>
        </c:ser>
        <c:dLbls>
          <c:showLegendKey val="0"/>
          <c:showVal val="0"/>
          <c:showCatName val="0"/>
          <c:showSerName val="0"/>
          <c:showPercent val="0"/>
          <c:showBubbleSize val="0"/>
        </c:dLbls>
        <c:gapWidth val="219"/>
        <c:overlap val="-27"/>
        <c:axId val="2043315728"/>
        <c:axId val="2043333968"/>
      </c:barChart>
      <c:catAx>
        <c:axId val="204331572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33968"/>
        <c:crosses val="autoZero"/>
        <c:auto val="1"/>
        <c:lblAlgn val="ctr"/>
        <c:lblOffset val="100"/>
        <c:noMultiLvlLbl val="0"/>
      </c:catAx>
      <c:valAx>
        <c:axId val="2043333968"/>
        <c:scaling>
          <c:orientation val="minMax"/>
        </c:scaling>
        <c:delete val="0"/>
        <c:axPos val="l"/>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157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Graph!$B$48</c:f>
              <c:strCache>
                <c:ptCount val="1"/>
                <c:pt idx="0">
                  <c:v>Net 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Graph!$C$47:$G$47</c:f>
              <c:numCache>
                <c:formatCode>General</c:formatCode>
                <c:ptCount val="5"/>
                <c:pt idx="0">
                  <c:v>2025</c:v>
                </c:pt>
                <c:pt idx="1">
                  <c:v>2024</c:v>
                </c:pt>
                <c:pt idx="2">
                  <c:v>2023</c:v>
                </c:pt>
                <c:pt idx="3">
                  <c:v>2022</c:v>
                </c:pt>
                <c:pt idx="4">
                  <c:v>2021</c:v>
                </c:pt>
              </c:numCache>
            </c:numRef>
          </c:cat>
          <c:val>
            <c:numRef>
              <c:f>Graph!$C$48:$G$48</c:f>
              <c:numCache>
                <c:formatCode>0.0%</c:formatCode>
                <c:ptCount val="5"/>
                <c:pt idx="0">
                  <c:v>4.1000000000000002E-2</c:v>
                </c:pt>
                <c:pt idx="1">
                  <c:v>7.2999999999999995E-2</c:v>
                </c:pt>
                <c:pt idx="2" formatCode="0.00%">
                  <c:v>0.1547</c:v>
                </c:pt>
                <c:pt idx="3" formatCode="0.00%">
                  <c:v>0.1545</c:v>
                </c:pt>
                <c:pt idx="4" formatCode="0.00%">
                  <c:v>0.105</c:v>
                </c:pt>
              </c:numCache>
            </c:numRef>
          </c:val>
          <c:extLst>
            <c:ext xmlns:c16="http://schemas.microsoft.com/office/drawing/2014/chart" uri="{C3380CC4-5D6E-409C-BE32-E72D297353CC}">
              <c16:uniqueId val="{00000000-9E5A-42DB-8BAB-1FF4E76B33B6}"/>
            </c:ext>
          </c:extLst>
        </c:ser>
        <c:ser>
          <c:idx val="1"/>
          <c:order val="1"/>
          <c:tx>
            <c:strRef>
              <c:f>Graph!$B$49</c:f>
              <c:strCache>
                <c:ptCount val="1"/>
                <c:pt idx="0">
                  <c:v>Operating Profit Margin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Graph!$C$47:$G$47</c:f>
              <c:numCache>
                <c:formatCode>General</c:formatCode>
                <c:ptCount val="5"/>
                <c:pt idx="0">
                  <c:v>2025</c:v>
                </c:pt>
                <c:pt idx="1">
                  <c:v>2024</c:v>
                </c:pt>
                <c:pt idx="2">
                  <c:v>2023</c:v>
                </c:pt>
                <c:pt idx="3">
                  <c:v>2022</c:v>
                </c:pt>
                <c:pt idx="4">
                  <c:v>2021</c:v>
                </c:pt>
              </c:numCache>
            </c:numRef>
          </c:cat>
          <c:val>
            <c:numRef>
              <c:f>Graph!$C$49:$G$49</c:f>
              <c:numCache>
                <c:formatCode>0.0%</c:formatCode>
                <c:ptCount val="5"/>
                <c:pt idx="0">
                  <c:v>4.5999999999999999E-2</c:v>
                </c:pt>
                <c:pt idx="1">
                  <c:v>7.1999999999999995E-2</c:v>
                </c:pt>
                <c:pt idx="2" formatCode="0.00%">
                  <c:v>9.1999999999999998E-2</c:v>
                </c:pt>
                <c:pt idx="3" formatCode="0.00%">
                  <c:v>0.16800000000000001</c:v>
                </c:pt>
                <c:pt idx="4" formatCode="0.00%">
                  <c:v>0.121</c:v>
                </c:pt>
              </c:numCache>
            </c:numRef>
          </c:val>
          <c:extLst>
            <c:ext xmlns:c16="http://schemas.microsoft.com/office/drawing/2014/chart" uri="{C3380CC4-5D6E-409C-BE32-E72D297353CC}">
              <c16:uniqueId val="{00000001-9E5A-42DB-8BAB-1FF4E76B33B6}"/>
            </c:ext>
          </c:extLst>
        </c:ser>
        <c:ser>
          <c:idx val="2"/>
          <c:order val="2"/>
          <c:tx>
            <c:strRef>
              <c:f>Graph!$B$50</c:f>
              <c:strCache>
                <c:ptCount val="1"/>
                <c:pt idx="0">
                  <c:v>ROA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Graph!$C$47:$G$47</c:f>
              <c:numCache>
                <c:formatCode>General</c:formatCode>
                <c:ptCount val="5"/>
                <c:pt idx="0">
                  <c:v>2025</c:v>
                </c:pt>
                <c:pt idx="1">
                  <c:v>2024</c:v>
                </c:pt>
                <c:pt idx="2">
                  <c:v>2023</c:v>
                </c:pt>
                <c:pt idx="3">
                  <c:v>2022</c:v>
                </c:pt>
                <c:pt idx="4">
                  <c:v>2021</c:v>
                </c:pt>
              </c:numCache>
            </c:numRef>
          </c:cat>
          <c:val>
            <c:numRef>
              <c:f>Graph!$C$50:$G$50</c:f>
              <c:numCache>
                <c:formatCode>0.0%</c:formatCode>
                <c:ptCount val="5"/>
                <c:pt idx="0">
                  <c:v>2.8000000000000001E-2</c:v>
                </c:pt>
                <c:pt idx="1">
                  <c:v>5.8999999999999997E-2</c:v>
                </c:pt>
                <c:pt idx="2" formatCode="0.00%">
                  <c:v>0.14000000000000001</c:v>
                </c:pt>
                <c:pt idx="3" formatCode="0.00%">
                  <c:v>0.153</c:v>
                </c:pt>
                <c:pt idx="4" formatCode="0.00%">
                  <c:v>9.0999999999999998E-2</c:v>
                </c:pt>
              </c:numCache>
            </c:numRef>
          </c:val>
          <c:extLst>
            <c:ext xmlns:c16="http://schemas.microsoft.com/office/drawing/2014/chart" uri="{C3380CC4-5D6E-409C-BE32-E72D297353CC}">
              <c16:uniqueId val="{00000002-9E5A-42DB-8BAB-1FF4E76B33B6}"/>
            </c:ext>
          </c:extLst>
        </c:ser>
        <c:ser>
          <c:idx val="3"/>
          <c:order val="3"/>
          <c:tx>
            <c:strRef>
              <c:f>Graph!$B$51</c:f>
              <c:strCache>
                <c:ptCount val="1"/>
                <c:pt idx="0">
                  <c:v>ROE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Graph!$C$47:$G$47</c:f>
              <c:numCache>
                <c:formatCode>General</c:formatCode>
                <c:ptCount val="5"/>
                <c:pt idx="0">
                  <c:v>2025</c:v>
                </c:pt>
                <c:pt idx="1">
                  <c:v>2024</c:v>
                </c:pt>
                <c:pt idx="2">
                  <c:v>2023</c:v>
                </c:pt>
                <c:pt idx="3">
                  <c:v>2022</c:v>
                </c:pt>
                <c:pt idx="4">
                  <c:v>2021</c:v>
                </c:pt>
              </c:numCache>
            </c:numRef>
          </c:cat>
          <c:val>
            <c:numRef>
              <c:f>Graph!$C$51:$G$51</c:f>
              <c:numCache>
                <c:formatCode>0.0%</c:formatCode>
                <c:ptCount val="5"/>
                <c:pt idx="0">
                  <c:v>4.7E-2</c:v>
                </c:pt>
                <c:pt idx="1">
                  <c:v>9.8000000000000004E-2</c:v>
                </c:pt>
                <c:pt idx="2" formatCode="0.00%">
                  <c:v>0.23899999999999999</c:v>
                </c:pt>
                <c:pt idx="3" formatCode="0.00%">
                  <c:v>0.28199999999999997</c:v>
                </c:pt>
                <c:pt idx="4" formatCode="0.00%">
                  <c:v>0.187</c:v>
                </c:pt>
              </c:numCache>
            </c:numRef>
          </c:val>
          <c:extLst>
            <c:ext xmlns:c16="http://schemas.microsoft.com/office/drawing/2014/chart" uri="{C3380CC4-5D6E-409C-BE32-E72D297353CC}">
              <c16:uniqueId val="{00000003-9E5A-42DB-8BAB-1FF4E76B33B6}"/>
            </c:ext>
          </c:extLst>
        </c:ser>
        <c:dLbls>
          <c:showLegendKey val="0"/>
          <c:showVal val="0"/>
          <c:showCatName val="0"/>
          <c:showSerName val="0"/>
          <c:showPercent val="0"/>
          <c:showBubbleSize val="0"/>
        </c:dLbls>
        <c:gapWidth val="219"/>
        <c:overlap val="-27"/>
        <c:axId val="2043343088"/>
        <c:axId val="2043347888"/>
      </c:barChart>
      <c:catAx>
        <c:axId val="20433430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47888"/>
        <c:crosses val="autoZero"/>
        <c:auto val="1"/>
        <c:lblAlgn val="ctr"/>
        <c:lblOffset val="100"/>
        <c:noMultiLvlLbl val="0"/>
      </c:catAx>
      <c:valAx>
        <c:axId val="2043347888"/>
        <c:scaling>
          <c:orientation val="minMax"/>
        </c:scaling>
        <c:delete val="0"/>
        <c:axPos val="l"/>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43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Graph!$B$54</c:f>
              <c:strCache>
                <c:ptCount val="1"/>
                <c:pt idx="0">
                  <c:v>Current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Graph!$C$53:$G$53</c:f>
              <c:numCache>
                <c:formatCode>General</c:formatCode>
                <c:ptCount val="5"/>
                <c:pt idx="0">
                  <c:v>2025</c:v>
                </c:pt>
                <c:pt idx="1">
                  <c:v>2024</c:v>
                </c:pt>
                <c:pt idx="2">
                  <c:v>2023</c:v>
                </c:pt>
                <c:pt idx="3">
                  <c:v>2022</c:v>
                </c:pt>
                <c:pt idx="4">
                  <c:v>2021</c:v>
                </c:pt>
              </c:numCache>
            </c:numRef>
          </c:cat>
          <c:val>
            <c:numRef>
              <c:f>Graph!$C$54:$G$54</c:f>
              <c:numCache>
                <c:formatCode>_(* #,##0.00_);_(* \(#,##0.00\);_(* "-"??_);_(@_)</c:formatCode>
                <c:ptCount val="5"/>
                <c:pt idx="0">
                  <c:v>2.16</c:v>
                </c:pt>
                <c:pt idx="1">
                  <c:v>2.02</c:v>
                </c:pt>
                <c:pt idx="2">
                  <c:v>1.72</c:v>
                </c:pt>
                <c:pt idx="3">
                  <c:v>1.53</c:v>
                </c:pt>
                <c:pt idx="4">
                  <c:v>1.37</c:v>
                </c:pt>
              </c:numCache>
            </c:numRef>
          </c:val>
          <c:extLst>
            <c:ext xmlns:c16="http://schemas.microsoft.com/office/drawing/2014/chart" uri="{C3380CC4-5D6E-409C-BE32-E72D297353CC}">
              <c16:uniqueId val="{00000000-5285-401A-B1A4-DA4460D51736}"/>
            </c:ext>
          </c:extLst>
        </c:ser>
        <c:ser>
          <c:idx val="1"/>
          <c:order val="1"/>
          <c:tx>
            <c:strRef>
              <c:f>Graph!$B$55</c:f>
              <c:strCache>
                <c:ptCount val="1"/>
                <c:pt idx="0">
                  <c:v>Quick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Graph!$C$53:$G$53</c:f>
              <c:numCache>
                <c:formatCode>General</c:formatCode>
                <c:ptCount val="5"/>
                <c:pt idx="0">
                  <c:v>2025</c:v>
                </c:pt>
                <c:pt idx="1">
                  <c:v>2024</c:v>
                </c:pt>
                <c:pt idx="2">
                  <c:v>2023</c:v>
                </c:pt>
                <c:pt idx="3">
                  <c:v>2022</c:v>
                </c:pt>
                <c:pt idx="4">
                  <c:v>2021</c:v>
                </c:pt>
              </c:numCache>
            </c:numRef>
          </c:cat>
          <c:val>
            <c:numRef>
              <c:f>Graph!$C$55:$G$55</c:f>
              <c:numCache>
                <c:formatCode>_(* #,##0.00_);_(* \(#,##0.00\);_(* "-"??_);_(@_)</c:formatCode>
                <c:ptCount val="5"/>
                <c:pt idx="0">
                  <c:v>1.77</c:v>
                </c:pt>
                <c:pt idx="1">
                  <c:v>1.6</c:v>
                </c:pt>
                <c:pt idx="2">
                  <c:v>1.25</c:v>
                </c:pt>
                <c:pt idx="3">
                  <c:v>1.05</c:v>
                </c:pt>
                <c:pt idx="4">
                  <c:v>1.08</c:v>
                </c:pt>
              </c:numCache>
            </c:numRef>
          </c:val>
          <c:extLst>
            <c:ext xmlns:c16="http://schemas.microsoft.com/office/drawing/2014/chart" uri="{C3380CC4-5D6E-409C-BE32-E72D297353CC}">
              <c16:uniqueId val="{00000001-5285-401A-B1A4-DA4460D51736}"/>
            </c:ext>
          </c:extLst>
        </c:ser>
        <c:dLbls>
          <c:showLegendKey val="0"/>
          <c:showVal val="0"/>
          <c:showCatName val="0"/>
          <c:showSerName val="0"/>
          <c:showPercent val="0"/>
          <c:showBubbleSize val="0"/>
        </c:dLbls>
        <c:gapWidth val="219"/>
        <c:overlap val="-27"/>
        <c:axId val="2043334928"/>
        <c:axId val="2043339248"/>
      </c:barChart>
      <c:catAx>
        <c:axId val="204333492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39248"/>
        <c:crosses val="autoZero"/>
        <c:auto val="1"/>
        <c:lblAlgn val="ctr"/>
        <c:lblOffset val="100"/>
        <c:noMultiLvlLbl val="0"/>
      </c:catAx>
      <c:valAx>
        <c:axId val="2043339248"/>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34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Graph!$B$59</c:f>
              <c:strCache>
                <c:ptCount val="1"/>
                <c:pt idx="0">
                  <c:v>Receivable turnover (Days)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Graph!$C$58:$G$58</c:f>
              <c:numCache>
                <c:formatCode>General</c:formatCode>
                <c:ptCount val="5"/>
                <c:pt idx="0">
                  <c:v>2025</c:v>
                </c:pt>
                <c:pt idx="1">
                  <c:v>2024</c:v>
                </c:pt>
                <c:pt idx="2">
                  <c:v>2023</c:v>
                </c:pt>
                <c:pt idx="3">
                  <c:v>2022</c:v>
                </c:pt>
                <c:pt idx="4">
                  <c:v>2021</c:v>
                </c:pt>
              </c:numCache>
            </c:numRef>
          </c:cat>
          <c:val>
            <c:numRef>
              <c:f>Graph!$C$59:$G$59</c:f>
              <c:numCache>
                <c:formatCode>_(* #,##0.00_);_(* \(#,##0.00\);_(* "-"??_);_(@_)</c:formatCode>
                <c:ptCount val="5"/>
                <c:pt idx="0">
                  <c:v>18</c:v>
                </c:pt>
                <c:pt idx="1">
                  <c:v>17</c:v>
                </c:pt>
                <c:pt idx="2">
                  <c:v>13</c:v>
                </c:pt>
                <c:pt idx="3">
                  <c:v>13</c:v>
                </c:pt>
                <c:pt idx="4">
                  <c:v>13</c:v>
                </c:pt>
              </c:numCache>
            </c:numRef>
          </c:val>
          <c:extLst>
            <c:ext xmlns:c16="http://schemas.microsoft.com/office/drawing/2014/chart" uri="{C3380CC4-5D6E-409C-BE32-E72D297353CC}">
              <c16:uniqueId val="{00000000-4AAC-4CCE-AA10-DA996FF0E433}"/>
            </c:ext>
          </c:extLst>
        </c:ser>
        <c:ser>
          <c:idx val="1"/>
          <c:order val="1"/>
          <c:tx>
            <c:strRef>
              <c:f>Graph!$B$60</c:f>
              <c:strCache>
                <c:ptCount val="1"/>
                <c:pt idx="0">
                  <c:v>Inventory Turnover (in days)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Graph!$C$58:$G$58</c:f>
              <c:numCache>
                <c:formatCode>General</c:formatCode>
                <c:ptCount val="5"/>
                <c:pt idx="0">
                  <c:v>2025</c:v>
                </c:pt>
                <c:pt idx="1">
                  <c:v>2024</c:v>
                </c:pt>
                <c:pt idx="2">
                  <c:v>2023</c:v>
                </c:pt>
                <c:pt idx="3">
                  <c:v>2022</c:v>
                </c:pt>
                <c:pt idx="4">
                  <c:v>2021</c:v>
                </c:pt>
              </c:numCache>
            </c:numRef>
          </c:cat>
          <c:val>
            <c:numRef>
              <c:f>Graph!$C$60:$G$60</c:f>
              <c:numCache>
                <c:formatCode>_(* #,##0.00_);_(* \(#,##0.00\);_(* "-"??_);_(@_)</c:formatCode>
                <c:ptCount val="5"/>
                <c:pt idx="0">
                  <c:v>58</c:v>
                </c:pt>
                <c:pt idx="1">
                  <c:v>55</c:v>
                </c:pt>
                <c:pt idx="2">
                  <c:v>63</c:v>
                </c:pt>
                <c:pt idx="3">
                  <c:v>77</c:v>
                </c:pt>
                <c:pt idx="4">
                  <c:v>52</c:v>
                </c:pt>
              </c:numCache>
            </c:numRef>
          </c:val>
          <c:extLst>
            <c:ext xmlns:c16="http://schemas.microsoft.com/office/drawing/2014/chart" uri="{C3380CC4-5D6E-409C-BE32-E72D297353CC}">
              <c16:uniqueId val="{00000001-4AAC-4CCE-AA10-DA996FF0E433}"/>
            </c:ext>
          </c:extLst>
        </c:ser>
        <c:dLbls>
          <c:showLegendKey val="0"/>
          <c:showVal val="0"/>
          <c:showCatName val="0"/>
          <c:showSerName val="0"/>
          <c:showPercent val="0"/>
          <c:showBubbleSize val="0"/>
        </c:dLbls>
        <c:gapWidth val="219"/>
        <c:overlap val="-27"/>
        <c:axId val="2043310448"/>
        <c:axId val="2043310928"/>
      </c:barChart>
      <c:catAx>
        <c:axId val="204331044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10928"/>
        <c:crosses val="autoZero"/>
        <c:auto val="1"/>
        <c:lblAlgn val="ctr"/>
        <c:lblOffset val="100"/>
        <c:noMultiLvlLbl val="0"/>
      </c:catAx>
      <c:valAx>
        <c:axId val="2043310928"/>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10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Graph!$B$64</c:f>
              <c:strCache>
                <c:ptCount val="1"/>
                <c:pt idx="0">
                  <c:v>Debt to equity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Graph!$C$63:$G$63</c:f>
              <c:numCache>
                <c:formatCode>General</c:formatCode>
                <c:ptCount val="5"/>
                <c:pt idx="0">
                  <c:v>2025</c:v>
                </c:pt>
                <c:pt idx="1">
                  <c:v>2024</c:v>
                </c:pt>
                <c:pt idx="2">
                  <c:v>2023</c:v>
                </c:pt>
                <c:pt idx="3">
                  <c:v>2022</c:v>
                </c:pt>
                <c:pt idx="4">
                  <c:v>2021</c:v>
                </c:pt>
              </c:numCache>
            </c:numRef>
          </c:cat>
          <c:val>
            <c:numRef>
              <c:f>Graph!$C$64:$G$64</c:f>
              <c:numCache>
                <c:formatCode>0%</c:formatCode>
                <c:ptCount val="5"/>
                <c:pt idx="0">
                  <c:v>0.67</c:v>
                </c:pt>
                <c:pt idx="1">
                  <c:v>0.66</c:v>
                </c:pt>
                <c:pt idx="2">
                  <c:v>0.69</c:v>
                </c:pt>
                <c:pt idx="3">
                  <c:v>0.82</c:v>
                </c:pt>
                <c:pt idx="4">
                  <c:v>1.01</c:v>
                </c:pt>
              </c:numCache>
            </c:numRef>
          </c:val>
          <c:extLst>
            <c:ext xmlns:c16="http://schemas.microsoft.com/office/drawing/2014/chart" uri="{C3380CC4-5D6E-409C-BE32-E72D297353CC}">
              <c16:uniqueId val="{00000000-6235-45BD-928A-B1D8E3196BAF}"/>
            </c:ext>
          </c:extLst>
        </c:ser>
        <c:dLbls>
          <c:showLegendKey val="0"/>
          <c:showVal val="0"/>
          <c:showCatName val="0"/>
          <c:showSerName val="0"/>
          <c:showPercent val="0"/>
          <c:showBubbleSize val="0"/>
        </c:dLbls>
        <c:gapWidth val="219"/>
        <c:overlap val="-27"/>
        <c:axId val="1870193456"/>
        <c:axId val="1870166576"/>
      </c:barChart>
      <c:catAx>
        <c:axId val="187019345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166576"/>
        <c:crosses val="autoZero"/>
        <c:auto val="1"/>
        <c:lblAlgn val="ctr"/>
        <c:lblOffset val="100"/>
        <c:noMultiLvlLbl val="0"/>
      </c:catAx>
      <c:valAx>
        <c:axId val="1870166576"/>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1934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Graph!$B$65</c:f>
              <c:strCache>
                <c:ptCount val="1"/>
                <c:pt idx="0">
                  <c:v>Interest Coverage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Graph!$C$63:$G$63</c:f>
              <c:numCache>
                <c:formatCode>General</c:formatCode>
                <c:ptCount val="5"/>
                <c:pt idx="0">
                  <c:v>2025</c:v>
                </c:pt>
                <c:pt idx="1">
                  <c:v>2024</c:v>
                </c:pt>
                <c:pt idx="2">
                  <c:v>2023</c:v>
                </c:pt>
                <c:pt idx="3">
                  <c:v>2022</c:v>
                </c:pt>
                <c:pt idx="4">
                  <c:v>2021</c:v>
                </c:pt>
              </c:numCache>
            </c:numRef>
          </c:cat>
          <c:val>
            <c:numRef>
              <c:f>Graph!$C$65:$G$65</c:f>
              <c:numCache>
                <c:formatCode>_(* #,##0.00_);_(* \(#,##0.00\);_(* "-"??_);_(@_)</c:formatCode>
                <c:ptCount val="5"/>
                <c:pt idx="0">
                  <c:v>12.88</c:v>
                </c:pt>
                <c:pt idx="1">
                  <c:v>20.22</c:v>
                </c:pt>
                <c:pt idx="2">
                  <c:v>56.99</c:v>
                </c:pt>
                <c:pt idx="3">
                  <c:v>71.5</c:v>
                </c:pt>
                <c:pt idx="4">
                  <c:v>17.579999999999998</c:v>
                </c:pt>
              </c:numCache>
            </c:numRef>
          </c:val>
          <c:extLst>
            <c:ext xmlns:c16="http://schemas.microsoft.com/office/drawing/2014/chart" uri="{C3380CC4-5D6E-409C-BE32-E72D297353CC}">
              <c16:uniqueId val="{00000000-6ADF-4F00-8394-B662E6CC39E5}"/>
            </c:ext>
          </c:extLst>
        </c:ser>
        <c:dLbls>
          <c:showLegendKey val="0"/>
          <c:showVal val="0"/>
          <c:showCatName val="0"/>
          <c:showSerName val="0"/>
          <c:showPercent val="0"/>
          <c:showBubbleSize val="0"/>
        </c:dLbls>
        <c:gapWidth val="219"/>
        <c:overlap val="-27"/>
        <c:axId val="2043353648"/>
        <c:axId val="2043357488"/>
      </c:barChart>
      <c:catAx>
        <c:axId val="204335364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57488"/>
        <c:crosses val="autoZero"/>
        <c:auto val="1"/>
        <c:lblAlgn val="ctr"/>
        <c:lblOffset val="100"/>
        <c:noMultiLvlLbl val="0"/>
      </c:catAx>
      <c:valAx>
        <c:axId val="2043357488"/>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3536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a:t>
            </a:r>
            <a:r>
              <a:rPr lang="en-US" baseline="0"/>
              <a:t> FLOW</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Graph!$B$69</c:f>
              <c:strCache>
                <c:ptCount val="1"/>
                <c:pt idx="0">
                  <c:v>Operating cash flow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Graph!$C$68:$G$68</c:f>
              <c:numCache>
                <c:formatCode>General</c:formatCode>
                <c:ptCount val="5"/>
                <c:pt idx="0">
                  <c:v>2025</c:v>
                </c:pt>
                <c:pt idx="1">
                  <c:v>2024</c:v>
                </c:pt>
                <c:pt idx="2">
                  <c:v>2023</c:v>
                </c:pt>
                <c:pt idx="3">
                  <c:v>2022</c:v>
                </c:pt>
                <c:pt idx="4">
                  <c:v>2021</c:v>
                </c:pt>
              </c:numCache>
            </c:numRef>
          </c:cat>
          <c:val>
            <c:numRef>
              <c:f>Graph!$C$69:$G$69</c:f>
              <c:numCache>
                <c:formatCode>0%</c:formatCode>
                <c:ptCount val="5"/>
                <c:pt idx="0">
                  <c:v>0.46</c:v>
                </c:pt>
                <c:pt idx="1">
                  <c:v>0.52</c:v>
                </c:pt>
                <c:pt idx="2">
                  <c:v>0.46</c:v>
                </c:pt>
                <c:pt idx="3">
                  <c:v>0.55000000000000004</c:v>
                </c:pt>
                <c:pt idx="4">
                  <c:v>0.57999999999999996</c:v>
                </c:pt>
              </c:numCache>
            </c:numRef>
          </c:val>
          <c:extLst>
            <c:ext xmlns:c16="http://schemas.microsoft.com/office/drawing/2014/chart" uri="{C3380CC4-5D6E-409C-BE32-E72D297353CC}">
              <c16:uniqueId val="{00000000-7C26-403B-A9AB-A850C40E4DE6}"/>
            </c:ext>
          </c:extLst>
        </c:ser>
        <c:ser>
          <c:idx val="1"/>
          <c:order val="1"/>
          <c:tx>
            <c:strRef>
              <c:f>Graph!$B$70</c:f>
              <c:strCache>
                <c:ptCount val="1"/>
                <c:pt idx="0">
                  <c:v>Cash flow margin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Graph!$C$68:$G$68</c:f>
              <c:numCache>
                <c:formatCode>General</c:formatCode>
                <c:ptCount val="5"/>
                <c:pt idx="0">
                  <c:v>2025</c:v>
                </c:pt>
                <c:pt idx="1">
                  <c:v>2024</c:v>
                </c:pt>
                <c:pt idx="2">
                  <c:v>2023</c:v>
                </c:pt>
                <c:pt idx="3">
                  <c:v>2022</c:v>
                </c:pt>
                <c:pt idx="4">
                  <c:v>2021</c:v>
                </c:pt>
              </c:numCache>
            </c:numRef>
          </c:cat>
          <c:val>
            <c:numRef>
              <c:f>Graph!$C$70:$G$70</c:f>
              <c:numCache>
                <c:formatCode>0%</c:formatCode>
                <c:ptCount val="5"/>
                <c:pt idx="0">
                  <c:v>0.16</c:v>
                </c:pt>
                <c:pt idx="1">
                  <c:v>0.15</c:v>
                </c:pt>
                <c:pt idx="2">
                  <c:v>0.14000000000000001</c:v>
                </c:pt>
                <c:pt idx="3">
                  <c:v>0.18</c:v>
                </c:pt>
                <c:pt idx="4">
                  <c:v>0.21</c:v>
                </c:pt>
              </c:numCache>
            </c:numRef>
          </c:val>
          <c:extLst>
            <c:ext xmlns:c16="http://schemas.microsoft.com/office/drawing/2014/chart" uri="{C3380CC4-5D6E-409C-BE32-E72D297353CC}">
              <c16:uniqueId val="{00000001-7C26-403B-A9AB-A850C40E4DE6}"/>
            </c:ext>
          </c:extLst>
        </c:ser>
        <c:dLbls>
          <c:showLegendKey val="0"/>
          <c:showVal val="0"/>
          <c:showCatName val="0"/>
          <c:showSerName val="0"/>
          <c:showPercent val="0"/>
          <c:showBubbleSize val="0"/>
        </c:dLbls>
        <c:gapWidth val="219"/>
        <c:overlap val="-27"/>
        <c:axId val="1870185776"/>
        <c:axId val="1870171856"/>
      </c:barChart>
      <c:catAx>
        <c:axId val="187018577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171856"/>
        <c:crosses val="autoZero"/>
        <c:auto val="1"/>
        <c:lblAlgn val="ctr"/>
        <c:lblOffset val="100"/>
        <c:noMultiLvlLbl val="0"/>
      </c:catAx>
      <c:valAx>
        <c:axId val="1870171856"/>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185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E90887-D171-4D8B-96D7-BB4728F2D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6643</TotalTime>
  <Pages>33</Pages>
  <Words>8032</Words>
  <Characters>45783</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INTERNATIONAL LOGISTICS A</vt:lpstr>
    </vt:vector>
  </TitlesOfParts>
  <Company/>
  <LinksUpToDate>false</LinksUpToDate>
  <CharactersWithSpaces>53708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LOGISTICS A</dc:title>
  <dc:subject>BAM7008</dc:subject>
  <dc:creator/>
  <cp:lastModifiedBy>neel korat</cp:lastModifiedBy>
  <cp:revision>3061</cp:revision>
  <dcterms:created xsi:type="dcterms:W3CDTF">2023-12-20T10:32:00Z</dcterms:created>
  <dcterms:modified xsi:type="dcterms:W3CDTF">2026-03-26T23:35:00Z</dcterms:modified>
</cp:coreProperties>
</file>