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7297893B"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466094">
        <w:rPr>
          <w:rFonts w:ascii="Arial" w:hAnsi="Arial" w:cs="Arial"/>
          <w:sz w:val="28"/>
          <w:szCs w:val="28"/>
        </w:rPr>
        <w:t>Suzan W</w:t>
      </w:r>
      <w:r w:rsidR="002A300E">
        <w:rPr>
          <w:rFonts w:ascii="Arial" w:hAnsi="Arial" w:cs="Arial"/>
          <w:sz w:val="28"/>
          <w:szCs w:val="28"/>
        </w:rPr>
        <w:t>akayamba</w:t>
      </w:r>
      <w:r w:rsidR="00466094">
        <w:rPr>
          <w:rFonts w:ascii="Arial" w:hAnsi="Arial" w:cs="Arial"/>
          <w:sz w:val="28"/>
          <w:szCs w:val="28"/>
        </w:rPr>
        <w:t xml:space="preserve"> Namitala</w:t>
      </w:r>
    </w:p>
    <w:p w14:paraId="476C763A" w14:textId="097A3AEA"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466094">
        <w:rPr>
          <w:rFonts w:ascii="Arial" w:hAnsi="Arial" w:cs="Arial"/>
          <w:sz w:val="28"/>
          <w:szCs w:val="28"/>
          <w:lang w:val="nl-NL"/>
        </w:rPr>
        <w:t xml:space="preserve"> 2515844</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4B42D7D6"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466094">
        <w:rPr>
          <w:rFonts w:ascii="Arial" w:hAnsi="Arial" w:cs="Arial"/>
          <w:sz w:val="28"/>
          <w:szCs w:val="28"/>
          <w:lang w:val="nl-NL"/>
        </w:rPr>
        <w:t>I</w:t>
      </w:r>
      <w:r w:rsidR="002A300E">
        <w:rPr>
          <w:rFonts w:ascii="Arial" w:hAnsi="Arial" w:cs="Arial"/>
          <w:sz w:val="28"/>
          <w:szCs w:val="28"/>
          <w:lang w:val="nl-NL"/>
        </w:rPr>
        <w:t>n</w:t>
      </w:r>
      <w:r w:rsidR="00466094">
        <w:rPr>
          <w:rFonts w:ascii="Arial" w:hAnsi="Arial" w:cs="Arial"/>
          <w:sz w:val="28"/>
          <w:szCs w:val="28"/>
          <w:lang w:val="nl-NL"/>
        </w:rPr>
        <w:t>troduction To Health and Socialcare</w:t>
      </w:r>
    </w:p>
    <w:p w14:paraId="0009AFB0" w14:textId="59F947C3"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2A300E">
        <w:rPr>
          <w:rFonts w:ascii="Arial" w:hAnsi="Arial" w:cs="Arial"/>
          <w:sz w:val="28"/>
          <w:szCs w:val="28"/>
        </w:rPr>
        <w:t xml:space="preserve"> LCHS4003</w:t>
      </w:r>
    </w:p>
    <w:p w14:paraId="0EA5B494" w14:textId="2CDCE120" w:rsidR="00833470" w:rsidRPr="00B759D1" w:rsidRDefault="00833470" w:rsidP="00833470">
      <w:pPr>
        <w:rPr>
          <w:rFonts w:ascii="Arial" w:hAnsi="Arial" w:cs="Arial"/>
          <w:sz w:val="28"/>
          <w:szCs w:val="28"/>
          <w:lang w:val="nl-NL"/>
        </w:rPr>
      </w:pPr>
      <w:r w:rsidRPr="0020413D">
        <w:rPr>
          <w:rFonts w:ascii="Arial" w:hAnsi="Arial" w:cs="Arial"/>
          <w:b/>
          <w:bCs/>
          <w:sz w:val="28"/>
          <w:szCs w:val="28"/>
        </w:rPr>
        <w:t>Lecturer name</w:t>
      </w:r>
      <w:r w:rsidRPr="0020413D">
        <w:t xml:space="preserve"> </w:t>
      </w:r>
      <w:r w:rsidR="00466094" w:rsidRPr="00B759D1">
        <w:rPr>
          <w:rFonts w:ascii="Arial" w:hAnsi="Arial" w:cs="Arial"/>
          <w:sz w:val="28"/>
          <w:szCs w:val="28"/>
          <w:lang w:val="nl-NL"/>
        </w:rPr>
        <w:t>DR INYE ABEL -TARIAH</w:t>
      </w:r>
    </w:p>
    <w:bookmarkEnd w:id="0"/>
    <w:p w14:paraId="410C101D" w14:textId="74B1A114" w:rsidR="00925D5E" w:rsidRDefault="00925D5E">
      <w:pPr>
        <w:sectPr w:rsidR="00925D5E">
          <w:headerReference w:type="default" r:id="rId9"/>
          <w:footerReference w:type="default" r:id="rId10"/>
          <w:pgSz w:w="11906" w:h="16838"/>
          <w:pgMar w:top="1440" w:right="1440" w:bottom="1440" w:left="1440" w:header="708" w:footer="708" w:gutter="0"/>
          <w:cols w:space="708"/>
          <w:docGrid w:linePitch="360"/>
        </w:sectPr>
      </w:pPr>
    </w:p>
    <w:p w14:paraId="3937F43F" w14:textId="3F788855" w:rsidR="000E0510" w:rsidRDefault="000E0510" w:rsidP="00833470">
      <w:pPr>
        <w:rPr>
          <w:rFonts w:ascii="Arial" w:hAnsi="Arial" w:cs="Arial"/>
          <w:b/>
          <w:bCs/>
          <w:sz w:val="28"/>
          <w:szCs w:val="28"/>
        </w:rPr>
      </w:pPr>
      <w:r>
        <w:rPr>
          <w:rFonts w:ascii="Arial" w:hAnsi="Arial" w:cs="Arial"/>
          <w:b/>
          <w:bCs/>
          <w:sz w:val="28"/>
          <w:szCs w:val="28"/>
        </w:rPr>
        <w:lastRenderedPageBreak/>
        <w:t xml:space="preserve">                                   TABLE OF CONTENTS</w:t>
      </w:r>
    </w:p>
    <w:p w14:paraId="33CA58AD" w14:textId="77777777" w:rsidR="000E0510" w:rsidRDefault="000E0510" w:rsidP="00833470">
      <w:pPr>
        <w:rPr>
          <w:rFonts w:ascii="Arial" w:hAnsi="Arial" w:cs="Arial"/>
          <w:b/>
          <w:bCs/>
          <w:sz w:val="28"/>
          <w:szCs w:val="28"/>
        </w:rPr>
      </w:pPr>
    </w:p>
    <w:p w14:paraId="3C9D1350" w14:textId="1BAF6BE1" w:rsidR="002A300E" w:rsidRPr="004D35FC" w:rsidRDefault="002A300E" w:rsidP="00833470">
      <w:pPr>
        <w:rPr>
          <w:rFonts w:ascii="Arial" w:hAnsi="Arial" w:cs="Arial"/>
          <w:b/>
          <w:bCs/>
          <w:sz w:val="28"/>
          <w:szCs w:val="28"/>
        </w:rPr>
      </w:pPr>
      <w:r>
        <w:rPr>
          <w:rFonts w:ascii="Arial" w:hAnsi="Arial" w:cs="Arial"/>
          <w:b/>
          <w:bCs/>
          <w:sz w:val="28"/>
          <w:szCs w:val="28"/>
        </w:rPr>
        <w:t xml:space="preserve"> Element                                                             </w:t>
      </w:r>
      <w:r w:rsidR="000E0510">
        <w:rPr>
          <w:rFonts w:ascii="Arial" w:hAnsi="Arial" w:cs="Arial"/>
          <w:b/>
          <w:bCs/>
          <w:sz w:val="28"/>
          <w:szCs w:val="28"/>
        </w:rPr>
        <w:t xml:space="preserve">               </w:t>
      </w:r>
      <w:r>
        <w:rPr>
          <w:rFonts w:ascii="Arial" w:hAnsi="Arial" w:cs="Arial"/>
          <w:b/>
          <w:bCs/>
          <w:sz w:val="28"/>
          <w:szCs w:val="28"/>
        </w:rPr>
        <w:t xml:space="preserve">  </w:t>
      </w:r>
      <w:r w:rsidR="000E0510">
        <w:rPr>
          <w:rFonts w:ascii="Arial" w:hAnsi="Arial" w:cs="Arial"/>
          <w:b/>
          <w:bCs/>
          <w:sz w:val="28"/>
          <w:szCs w:val="28"/>
        </w:rPr>
        <w:t xml:space="preserve">page </w:t>
      </w:r>
      <w:r>
        <w:rPr>
          <w:rFonts w:ascii="Arial" w:hAnsi="Arial" w:cs="Arial"/>
          <w:b/>
          <w:bCs/>
          <w:sz w:val="28"/>
          <w:szCs w:val="28"/>
        </w:rPr>
        <w:t>no</w:t>
      </w:r>
      <w:r w:rsidR="000E0510">
        <w:rPr>
          <w:rFonts w:ascii="Arial" w:hAnsi="Arial" w:cs="Arial"/>
          <w:b/>
          <w:bCs/>
          <w:sz w:val="28"/>
          <w:szCs w:val="28"/>
        </w:rPr>
        <w:t xml:space="preserve"> </w:t>
      </w:r>
    </w:p>
    <w:p w14:paraId="3BA4751C" w14:textId="77777777" w:rsidR="00833470" w:rsidRPr="004D35FC" w:rsidRDefault="00833470" w:rsidP="00833470">
      <w:pPr>
        <w:rPr>
          <w:rFonts w:ascii="Arial" w:hAnsi="Arial" w:cs="Arial"/>
          <w:b/>
          <w:bCs/>
          <w:sz w:val="28"/>
          <w:szCs w:val="28"/>
        </w:rPr>
      </w:pPr>
    </w:p>
    <w:p w14:paraId="353642FC" w14:textId="77777777" w:rsidR="00833470" w:rsidRDefault="000E0510" w:rsidP="00833470">
      <w:pPr>
        <w:rPr>
          <w:rFonts w:ascii="Arial" w:hAnsi="Arial" w:cs="Arial"/>
          <w:b/>
          <w:bCs/>
          <w:sz w:val="28"/>
          <w:szCs w:val="28"/>
        </w:rPr>
      </w:pPr>
      <w:r>
        <w:rPr>
          <w:rFonts w:ascii="Arial" w:hAnsi="Arial" w:cs="Arial"/>
          <w:b/>
          <w:bCs/>
          <w:sz w:val="28"/>
          <w:szCs w:val="28"/>
        </w:rPr>
        <w:t>P</w:t>
      </w:r>
      <w:r w:rsidR="002A300E">
        <w:rPr>
          <w:rFonts w:ascii="Arial" w:hAnsi="Arial" w:cs="Arial"/>
          <w:b/>
          <w:bCs/>
          <w:sz w:val="28"/>
          <w:szCs w:val="28"/>
        </w:rPr>
        <w:t>oster</w:t>
      </w:r>
      <w:r>
        <w:rPr>
          <w:rFonts w:ascii="Arial" w:hAnsi="Arial" w:cs="Arial"/>
          <w:b/>
          <w:bCs/>
          <w:sz w:val="28"/>
          <w:szCs w:val="28"/>
        </w:rPr>
        <w:t xml:space="preserve">      </w:t>
      </w:r>
      <w:r w:rsidR="00833470">
        <w:rPr>
          <w:rFonts w:ascii="Arial" w:hAnsi="Arial" w:cs="Arial"/>
          <w:b/>
          <w:bCs/>
          <w:sz w:val="28"/>
          <w:szCs w:val="28"/>
        </w:rPr>
        <w:t xml:space="preserve"> …………………………………………………………</w:t>
      </w:r>
      <w:r w:rsidR="002A300E">
        <w:rPr>
          <w:rFonts w:ascii="Arial" w:hAnsi="Arial" w:cs="Arial"/>
          <w:b/>
          <w:bCs/>
          <w:sz w:val="28"/>
          <w:szCs w:val="28"/>
        </w:rPr>
        <w:t xml:space="preserve">  1</w:t>
      </w:r>
    </w:p>
    <w:p w14:paraId="5F8D6227" w14:textId="78DB5C6A" w:rsidR="000E0510" w:rsidRDefault="000E0510" w:rsidP="00833470">
      <w:pPr>
        <w:rPr>
          <w:rFonts w:ascii="Arial" w:hAnsi="Arial" w:cs="Arial"/>
          <w:b/>
          <w:bCs/>
          <w:sz w:val="28"/>
          <w:szCs w:val="28"/>
        </w:rPr>
      </w:pPr>
      <w:r>
        <w:rPr>
          <w:rFonts w:ascii="Arial" w:hAnsi="Arial" w:cs="Arial"/>
          <w:b/>
          <w:bCs/>
          <w:sz w:val="28"/>
          <w:szCs w:val="28"/>
        </w:rPr>
        <w:t>Essay      ………………………………………………………</w:t>
      </w:r>
      <w:proofErr w:type="gramStart"/>
      <w:r>
        <w:rPr>
          <w:rFonts w:ascii="Arial" w:hAnsi="Arial" w:cs="Arial"/>
          <w:b/>
          <w:bCs/>
          <w:sz w:val="28"/>
          <w:szCs w:val="28"/>
        </w:rPr>
        <w:t>…..</w:t>
      </w:r>
      <w:proofErr w:type="gramEnd"/>
      <w:r>
        <w:rPr>
          <w:rFonts w:ascii="Arial" w:hAnsi="Arial" w:cs="Arial"/>
          <w:b/>
          <w:bCs/>
          <w:sz w:val="28"/>
          <w:szCs w:val="28"/>
        </w:rPr>
        <w:t xml:space="preserve">2-5 </w:t>
      </w:r>
    </w:p>
    <w:p w14:paraId="2F2D77A8" w14:textId="1EF91DF6" w:rsidR="000E0510" w:rsidRDefault="000E0510" w:rsidP="00833470">
      <w:pPr>
        <w:sectPr w:rsidR="000E0510" w:rsidSect="00925D5E">
          <w:pgSz w:w="11906" w:h="16838"/>
          <w:pgMar w:top="1440" w:right="1440" w:bottom="1440" w:left="1440" w:header="708" w:footer="708" w:gutter="0"/>
          <w:cols w:space="708"/>
          <w:docGrid w:linePitch="360"/>
        </w:sectPr>
      </w:pPr>
      <w:r>
        <w:rPr>
          <w:rFonts w:ascii="Arial" w:hAnsi="Arial" w:cs="Arial"/>
          <w:b/>
          <w:bCs/>
          <w:sz w:val="28"/>
          <w:szCs w:val="28"/>
        </w:rPr>
        <w:t xml:space="preserve">                        </w:t>
      </w:r>
    </w:p>
    <w:p w14:paraId="5AFFC33B" w14:textId="34EA1214" w:rsidR="003A000F" w:rsidRDefault="00361F03">
      <w:pPr>
        <w:sectPr w:rsidR="003A000F" w:rsidSect="00342816">
          <w:pgSz w:w="23811" w:h="16838" w:orient="landscape" w:code="8"/>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1312" behindDoc="1" locked="0" layoutInCell="1" allowOverlap="1" wp14:anchorId="3E780AA8" wp14:editId="5407C479">
                <wp:simplePos x="0" y="0"/>
                <wp:positionH relativeFrom="margin">
                  <wp:posOffset>1729105</wp:posOffset>
                </wp:positionH>
                <wp:positionV relativeFrom="paragraph">
                  <wp:posOffset>289560</wp:posOffset>
                </wp:positionV>
                <wp:extent cx="10475595" cy="939165"/>
                <wp:effectExtent l="0" t="0" r="20955" b="13335"/>
                <wp:wrapTight wrapText="bothSides">
                  <wp:wrapPolygon edited="0">
                    <wp:start x="0" y="0"/>
                    <wp:lineTo x="0" y="21469"/>
                    <wp:lineTo x="21604" y="21469"/>
                    <wp:lineTo x="21604" y="0"/>
                    <wp:lineTo x="0" y="0"/>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5595" cy="939165"/>
                        </a:xfrm>
                        <a:prstGeom prst="rect">
                          <a:avLst/>
                        </a:prstGeom>
                        <a:solidFill>
                          <a:srgbClr val="FFFFFF"/>
                        </a:solidFill>
                        <a:ln w="9525">
                          <a:solidFill>
                            <a:srgbClr val="000000"/>
                          </a:solidFill>
                          <a:miter lim="800000"/>
                          <a:headEnd/>
                          <a:tailEnd/>
                        </a:ln>
                        <a:effectLst>
                          <a:softEdge rad="50800"/>
                        </a:effectLst>
                      </wps:spPr>
                      <wps:txbx>
                        <w:txbxContent>
                          <w:p w14:paraId="22254B39" w14:textId="77777777" w:rsidR="00AF2AD9" w:rsidRDefault="00E133C3" w:rsidP="00E847D2">
                            <w:pPr>
                              <w:shd w:val="clear" w:color="auto" w:fill="F4B083" w:themeFill="accent2" w:themeFillTint="99"/>
                              <w:spacing w:after="0"/>
                              <w:jc w:val="center"/>
                              <w:rPr>
                                <w:b/>
                                <w:bCs/>
                                <w:i/>
                                <w:iCs/>
                                <w:color w:val="00B0F0"/>
                                <w:sz w:val="56"/>
                                <w:szCs w:val="56"/>
                                <w:lang w:val="en-US"/>
                              </w:rPr>
                            </w:pPr>
                            <w:r w:rsidRPr="00E133C3">
                              <w:rPr>
                                <w:b/>
                                <w:bCs/>
                                <w:i/>
                                <w:iCs/>
                                <w:color w:val="00B0F0"/>
                                <w:sz w:val="56"/>
                                <w:szCs w:val="56"/>
                                <w:lang w:val="en-US"/>
                              </w:rPr>
                              <w:t xml:space="preserve"> </w:t>
                            </w:r>
                            <w:r w:rsidRPr="00056D4A">
                              <w:rPr>
                                <w:b/>
                                <w:bCs/>
                                <w:i/>
                                <w:iCs/>
                                <w:color w:val="00B0F0"/>
                                <w:sz w:val="56"/>
                                <w:szCs w:val="56"/>
                                <w:lang w:val="en-US"/>
                              </w:rPr>
                              <w:t>RESIDENTIAL CARE HOME SERVICES</w:t>
                            </w:r>
                          </w:p>
                          <w:p w14:paraId="3CE2F2DF" w14:textId="7F976120" w:rsidR="00E133C3" w:rsidRPr="00056D4A" w:rsidRDefault="00AF2AD9" w:rsidP="00E847D2">
                            <w:pPr>
                              <w:shd w:val="clear" w:color="auto" w:fill="F4B083" w:themeFill="accent2" w:themeFillTint="99"/>
                              <w:spacing w:after="0"/>
                              <w:jc w:val="center"/>
                              <w:rPr>
                                <w:b/>
                                <w:bCs/>
                                <w:i/>
                                <w:iCs/>
                                <w:color w:val="00B0F0"/>
                                <w:sz w:val="56"/>
                                <w:szCs w:val="56"/>
                                <w:lang w:val="en-US"/>
                              </w:rPr>
                            </w:pPr>
                            <w:r>
                              <w:rPr>
                                <w:b/>
                                <w:bCs/>
                                <w:i/>
                                <w:iCs/>
                                <w:color w:val="00B0F0"/>
                                <w:sz w:val="56"/>
                                <w:szCs w:val="56"/>
                                <w:lang w:val="en-US"/>
                              </w:rPr>
                              <w:t xml:space="preserve">SUZAN </w:t>
                            </w:r>
                            <w:r w:rsidR="001C4160">
                              <w:rPr>
                                <w:b/>
                                <w:bCs/>
                                <w:i/>
                                <w:iCs/>
                                <w:color w:val="00B0F0"/>
                                <w:sz w:val="56"/>
                                <w:szCs w:val="56"/>
                                <w:lang w:val="en-US"/>
                              </w:rPr>
                              <w:t>W NAMITAL</w:t>
                            </w:r>
                            <w:r w:rsidR="00E847D2">
                              <w:rPr>
                                <w:b/>
                                <w:bCs/>
                                <w:i/>
                                <w:iCs/>
                                <w:color w:val="00B0F0"/>
                                <w:sz w:val="56"/>
                                <w:szCs w:val="56"/>
                                <w:lang w:val="en-US"/>
                              </w:rPr>
                              <w:t>A 2515844@student.uwtsd.ac.uk</w:t>
                            </w:r>
                          </w:p>
                          <w:p w14:paraId="62114251" w14:textId="698C2E19" w:rsidR="00BE6BE0" w:rsidRPr="00FD32B5" w:rsidRDefault="00BE6BE0" w:rsidP="00E847D2">
                            <w:pPr>
                              <w:shd w:val="clear" w:color="auto" w:fill="F4B083" w:themeFill="accent2" w:themeFillTint="99"/>
                              <w:spacing w:after="0"/>
                              <w:jc w:val="center"/>
                              <w:rPr>
                                <w:b/>
                                <w:bCs/>
                                <w:i/>
                                <w:iCs/>
                                <w:color w:val="00B0F0"/>
                                <w:sz w:val="70"/>
                                <w:szCs w:val="70"/>
                              </w:rPr>
                            </w:pPr>
                          </w:p>
                          <w:p w14:paraId="4B29F551" w14:textId="77777777" w:rsidR="00BE6BE0" w:rsidRPr="00EF21B5" w:rsidRDefault="00BE6BE0" w:rsidP="00E847D2">
                            <w:pPr>
                              <w:shd w:val="clear" w:color="auto" w:fill="F4B083" w:themeFill="accent2" w:themeFillTint="99"/>
                              <w:spacing w:after="0"/>
                              <w:jc w:val="center"/>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E847D2">
                            <w:pPr>
                              <w:shd w:val="clear" w:color="auto" w:fill="F4B083" w:themeFill="accent2" w:themeFillTint="99"/>
                              <w:spacing w:after="0"/>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780AA8" id="_x0000_t202" coordsize="21600,21600" o:spt="202" path="m,l,21600r21600,l21600,xe">
                <v:stroke joinstyle="miter"/>
                <v:path gradientshapeok="t" o:connecttype="rect"/>
              </v:shapetype>
              <v:shape id="Text Box 2" o:spid="_x0000_s1026" type="#_x0000_t202" style="position:absolute;margin-left:136.15pt;margin-top:22.8pt;width:824.85pt;height:73.95pt;z-index:-251655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">
                <v:textbox>
                  <w:txbxContent>
                    <w:p w14:paraId="22254B39" w14:textId="77777777" w:rsidR="00AF2AD9" w:rsidRDefault="00E133C3" w:rsidP="00E847D2">
                      <w:pPr>
                        <w:shd w:val="clear" w:color="auto" w:fill="F4B083" w:themeFill="accent2" w:themeFillTint="99"/>
                        <w:spacing w:after="0"/>
                        <w:jc w:val="center"/>
                        <w:rPr>
                          <w:b/>
                          <w:bCs/>
                          <w:i/>
                          <w:iCs/>
                          <w:color w:val="00B0F0"/>
                          <w:sz w:val="56"/>
                          <w:szCs w:val="56"/>
                          <w:lang w:val="en-US"/>
                        </w:rPr>
                      </w:pPr>
                      <w:r w:rsidRPr="00E133C3">
                        <w:rPr>
                          <w:b/>
                          <w:bCs/>
                          <w:i/>
                          <w:iCs/>
                          <w:color w:val="00B0F0"/>
                          <w:sz w:val="56"/>
                          <w:szCs w:val="56"/>
                          <w:lang w:val="en-US"/>
                        </w:rPr>
                        <w:t xml:space="preserve"> </w:t>
                      </w:r>
                      <w:r w:rsidRPr="00056D4A">
                        <w:rPr>
                          <w:b/>
                          <w:bCs/>
                          <w:i/>
                          <w:iCs/>
                          <w:color w:val="00B0F0"/>
                          <w:sz w:val="56"/>
                          <w:szCs w:val="56"/>
                          <w:lang w:val="en-US"/>
                        </w:rPr>
                        <w:t>RESIDENTIAL CARE HOME SERVICES</w:t>
                      </w:r>
                    </w:p>
                    <w:p w14:paraId="3CE2F2DF" w14:textId="7F976120" w:rsidR="00E133C3" w:rsidRPr="00056D4A" w:rsidRDefault="00AF2AD9" w:rsidP="00E847D2">
                      <w:pPr>
                        <w:shd w:val="clear" w:color="auto" w:fill="F4B083" w:themeFill="accent2" w:themeFillTint="99"/>
                        <w:spacing w:after="0"/>
                        <w:jc w:val="center"/>
                        <w:rPr>
                          <w:b/>
                          <w:bCs/>
                          <w:i/>
                          <w:iCs/>
                          <w:color w:val="00B0F0"/>
                          <w:sz w:val="56"/>
                          <w:szCs w:val="56"/>
                          <w:lang w:val="en-US"/>
                        </w:rPr>
                      </w:pPr>
                      <w:r>
                        <w:rPr>
                          <w:b/>
                          <w:bCs/>
                          <w:i/>
                          <w:iCs/>
                          <w:color w:val="00B0F0"/>
                          <w:sz w:val="56"/>
                          <w:szCs w:val="56"/>
                          <w:lang w:val="en-US"/>
                        </w:rPr>
                        <w:t xml:space="preserve">SUZAN </w:t>
                      </w:r>
                      <w:r w:rsidR="001C4160">
                        <w:rPr>
                          <w:b/>
                          <w:bCs/>
                          <w:i/>
                          <w:iCs/>
                          <w:color w:val="00B0F0"/>
                          <w:sz w:val="56"/>
                          <w:szCs w:val="56"/>
                          <w:lang w:val="en-US"/>
                        </w:rPr>
                        <w:t>W NAMITAL</w:t>
                      </w:r>
                      <w:r w:rsidR="00E847D2">
                        <w:rPr>
                          <w:b/>
                          <w:bCs/>
                          <w:i/>
                          <w:iCs/>
                          <w:color w:val="00B0F0"/>
                          <w:sz w:val="56"/>
                          <w:szCs w:val="56"/>
                          <w:lang w:val="en-US"/>
                        </w:rPr>
                        <w:t>A 2515844@student.uwtsd.ac.uk</w:t>
                      </w:r>
                    </w:p>
                    <w:p w14:paraId="62114251" w14:textId="698C2E19" w:rsidR="00BE6BE0" w:rsidRPr="00FD32B5" w:rsidRDefault="00BE6BE0" w:rsidP="00E847D2">
                      <w:pPr>
                        <w:shd w:val="clear" w:color="auto" w:fill="F4B083" w:themeFill="accent2" w:themeFillTint="99"/>
                        <w:spacing w:after="0"/>
                        <w:jc w:val="center"/>
                        <w:rPr>
                          <w:b/>
                          <w:bCs/>
                          <w:i/>
                          <w:iCs/>
                          <w:color w:val="00B0F0"/>
                          <w:sz w:val="70"/>
                          <w:szCs w:val="70"/>
                        </w:rPr>
                      </w:pPr>
                    </w:p>
                    <w:p w14:paraId="4B29F551" w14:textId="77777777" w:rsidR="00BE6BE0" w:rsidRPr="00EF21B5" w:rsidRDefault="00BE6BE0" w:rsidP="00E847D2">
                      <w:pPr>
                        <w:shd w:val="clear" w:color="auto" w:fill="F4B083" w:themeFill="accent2" w:themeFillTint="99"/>
                        <w:spacing w:after="0"/>
                        <w:jc w:val="center"/>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E847D2">
                      <w:pPr>
                        <w:shd w:val="clear" w:color="auto" w:fill="F4B083" w:themeFill="accent2" w:themeFillTint="99"/>
                        <w:spacing w:after="0"/>
                        <w:rPr>
                          <w:color w:val="00B0F0"/>
                          <w:sz w:val="70"/>
                          <w:szCs w:val="70"/>
                        </w:rPr>
                      </w:pPr>
                    </w:p>
                  </w:txbxContent>
                </v:textbox>
                <w10:wrap type="tight" anchorx="margin"/>
              </v:shape>
            </w:pict>
          </mc:Fallback>
        </mc:AlternateContent>
      </w:r>
      <w:r w:rsidR="006309FC">
        <w:rPr>
          <w:noProof/>
        </w:rPr>
        <mc:AlternateContent>
          <mc:Choice Requires="wps">
            <w:drawing>
              <wp:anchor distT="45720" distB="45720" distL="114300" distR="114300" simplePos="0" relativeHeight="251669504" behindDoc="1" locked="0" layoutInCell="1" allowOverlap="1" wp14:anchorId="298766ED" wp14:editId="481CEDCD">
                <wp:simplePos x="0" y="0"/>
                <wp:positionH relativeFrom="margin">
                  <wp:posOffset>9151620</wp:posOffset>
                </wp:positionH>
                <wp:positionV relativeFrom="paragraph">
                  <wp:posOffset>1497965</wp:posOffset>
                </wp:positionV>
                <wp:extent cx="4245610" cy="3081655"/>
                <wp:effectExtent l="19050" t="19050" r="21590" b="23495"/>
                <wp:wrapTight wrapText="bothSides">
                  <wp:wrapPolygon edited="0">
                    <wp:start x="-97" y="-134"/>
                    <wp:lineTo x="-97" y="21631"/>
                    <wp:lineTo x="21613" y="21631"/>
                    <wp:lineTo x="21613" y="-134"/>
                    <wp:lineTo x="-97" y="-134"/>
                  </wp:wrapPolygon>
                </wp:wrapTight>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45610" cy="3081655"/>
                        </a:xfrm>
                        <a:prstGeom prst="rect">
                          <a:avLst/>
                        </a:prstGeom>
                        <a:solidFill>
                          <a:srgbClr val="FFFFFF"/>
                        </a:solidFill>
                        <a:ln w="44450">
                          <a:solidFill>
                            <a:srgbClr val="000000"/>
                          </a:solidFill>
                          <a:miter lim="800000"/>
                          <a:headEnd/>
                          <a:tailEnd/>
                        </a:ln>
                        <a:effectLst>
                          <a:softEdge rad="25400"/>
                        </a:effectLst>
                      </wps:spPr>
                      <wps:txbx>
                        <w:txbxContent>
                          <w:p w14:paraId="3BE06587" w14:textId="6A7FDBD1" w:rsidR="00455C1B" w:rsidRPr="00D205DD" w:rsidRDefault="00455C1B" w:rsidP="00455C1B">
                            <w:pPr>
                              <w:rPr>
                                <w:rFonts w:ascii="Arial" w:hAnsi="Arial" w:cs="Arial"/>
                                <w:b/>
                                <w:bCs/>
                                <w:sz w:val="20"/>
                                <w:szCs w:val="20"/>
                              </w:rPr>
                            </w:pPr>
                            <w:r w:rsidRPr="00D205DD">
                              <w:rPr>
                                <w:rFonts w:ascii="Arial" w:hAnsi="Arial" w:cs="Arial"/>
                                <w:b/>
                                <w:bCs/>
                                <w:sz w:val="20"/>
                                <w:szCs w:val="20"/>
                              </w:rPr>
                              <w:t xml:space="preserve"> CURRENT FUNCTIONING OF RESIDENTIAL CARE HOMES</w:t>
                            </w:r>
                          </w:p>
                          <w:p w14:paraId="096F7A3C" w14:textId="77777777" w:rsidR="006309FC" w:rsidRDefault="00455C1B" w:rsidP="00455C1B">
                            <w:pPr>
                              <w:rPr>
                                <w:rFonts w:ascii="Arial" w:hAnsi="Arial" w:cs="Arial"/>
                                <w:sz w:val="20"/>
                                <w:szCs w:val="20"/>
                              </w:rPr>
                            </w:pPr>
                            <w:r w:rsidRPr="00D205DD">
                              <w:rPr>
                                <w:rFonts w:ascii="Arial" w:hAnsi="Arial" w:cs="Arial"/>
                                <w:sz w:val="20"/>
                                <w:szCs w:val="20"/>
                              </w:rPr>
                              <w:t>REGULATION:</w:t>
                            </w:r>
                            <w:r w:rsidRPr="00D205DD">
                              <w:rPr>
                                <w:rFonts w:ascii="Arial" w:hAnsi="Arial" w:cs="Arial"/>
                                <w:sz w:val="20"/>
                                <w:szCs w:val="20"/>
                              </w:rPr>
                              <w:br/>
                              <w:t>The Care Quality Commission inspects all homes against five questions: Are services safe, effective, caring, responsive, and well-led?</w:t>
                            </w:r>
                          </w:p>
                          <w:p w14:paraId="67DA018C" w14:textId="163BA682" w:rsidR="00455C1B" w:rsidRPr="00D205DD" w:rsidRDefault="00455C1B" w:rsidP="00455C1B">
                            <w:pPr>
                              <w:rPr>
                                <w:rFonts w:ascii="Arial" w:hAnsi="Arial" w:cs="Arial"/>
                                <w:sz w:val="20"/>
                                <w:szCs w:val="20"/>
                              </w:rPr>
                            </w:pPr>
                            <w:r w:rsidRPr="00D205DD">
                              <w:rPr>
                                <w:rFonts w:ascii="Arial" w:hAnsi="Arial" w:cs="Arial"/>
                                <w:sz w:val="20"/>
                                <w:szCs w:val="20"/>
                              </w:rPr>
                              <w:t>TYPES OF HOMES:</w:t>
                            </w:r>
                            <w:r w:rsidRPr="00D205DD">
                              <w:rPr>
                                <w:rFonts w:ascii="Arial" w:hAnsi="Arial" w:cs="Arial"/>
                                <w:sz w:val="20"/>
                                <w:szCs w:val="20"/>
                              </w:rPr>
                              <w:br/>
                              <w:t>• Older people's homes: General residential care</w:t>
                            </w:r>
                            <w:r w:rsidRPr="00D205DD">
                              <w:rPr>
                                <w:rFonts w:ascii="Arial" w:hAnsi="Arial" w:cs="Arial"/>
                                <w:sz w:val="20"/>
                                <w:szCs w:val="20"/>
                              </w:rPr>
                              <w:br/>
                              <w:t>• Dementia care homes: Specialist environments and training</w:t>
                            </w:r>
                            <w:r w:rsidRPr="00D205DD">
                              <w:rPr>
                                <w:rFonts w:ascii="Arial" w:hAnsi="Arial" w:cs="Arial"/>
                                <w:sz w:val="20"/>
                                <w:szCs w:val="20"/>
                              </w:rPr>
                              <w:br/>
                              <w:t>• Learning disability homes: Smaller, community-based settings</w:t>
                            </w:r>
                            <w:r w:rsidRPr="00D205DD">
                              <w:rPr>
                                <w:rFonts w:ascii="Arial" w:hAnsi="Arial" w:cs="Arial"/>
                                <w:sz w:val="20"/>
                                <w:szCs w:val="20"/>
                              </w:rPr>
                              <w:br/>
                              <w:t>• Mental health homes: Supporting adults with enduring needs</w:t>
                            </w:r>
                          </w:p>
                          <w:p w14:paraId="2F2C6041" w14:textId="3E05523A" w:rsidR="00BE6BE0" w:rsidRPr="009D4632" w:rsidRDefault="00455C1B" w:rsidP="00455C1B">
                            <w:pPr>
                              <w:rPr>
                                <w:sz w:val="20"/>
                                <w:szCs w:val="20"/>
                              </w:rPr>
                            </w:pPr>
                            <w:r w:rsidRPr="009D4632">
                              <w:rPr>
                                <w:sz w:val="20"/>
                                <w:szCs w:val="20"/>
                              </w:rPr>
                              <w:br/>
                            </w:r>
                            <w:r w:rsidR="00802559" w:rsidRPr="009D4632">
                              <w:rPr>
                                <w:noProof/>
                                <w:sz w:val="20"/>
                                <w:szCs w:val="20"/>
                              </w:rPr>
                              <w:drawing>
                                <wp:inline distT="0" distB="0" distL="0" distR="0" wp14:anchorId="74149891" wp14:editId="31B2C499">
                                  <wp:extent cx="1741335" cy="712552"/>
                                  <wp:effectExtent l="0" t="0" r="0" b="0"/>
                                  <wp:docPr id="262205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136517" name=""/>
                                          <pic:cNvPicPr/>
                                        </pic:nvPicPr>
                                        <pic:blipFill>
                                          <a:blip r:embed="rId11"/>
                                          <a:stretch>
                                            <a:fillRect/>
                                          </a:stretch>
                                        </pic:blipFill>
                                        <pic:spPr>
                                          <a:xfrm>
                                            <a:off x="0" y="0"/>
                                            <a:ext cx="1751761" cy="716818"/>
                                          </a:xfrm>
                                          <a:prstGeom prst="rect">
                                            <a:avLst/>
                                          </a:prstGeom>
                                        </pic:spPr>
                                      </pic:pic>
                                    </a:graphicData>
                                  </a:graphic>
                                </wp:inline>
                              </w:drawing>
                            </w:r>
                            <w:r w:rsidR="006309FC">
                              <w:rPr>
                                <w:sz w:val="20"/>
                                <w:szCs w:val="20"/>
                              </w:rPr>
                              <w:t xml:space="preserve">          STAFFING STRUCTURE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7" type="#_x0000_t202" style="position:absolute;margin-left:720.6pt;margin-top:117.95pt;width:334.3pt;height:242.65pt;z-index:-2516469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" strokeweight="3.5pt">
                <v:textbox>
                  <w:txbxContent>
                    <w:p w14:paraId="3BE06587" w14:textId="6A7FDBD1" w:rsidR="00455C1B" w:rsidRPr="00D205DD" w:rsidRDefault="00455C1B" w:rsidP="00455C1B">
                      <w:pPr>
                        <w:rPr>
                          <w:rFonts w:ascii="Arial" w:hAnsi="Arial" w:cs="Arial"/>
                          <w:b/>
                          <w:bCs/>
                          <w:sz w:val="20"/>
                          <w:szCs w:val="20"/>
                        </w:rPr>
                      </w:pPr>
                      <w:r w:rsidRPr="00D205DD">
                        <w:rPr>
                          <w:rFonts w:ascii="Arial" w:hAnsi="Arial" w:cs="Arial"/>
                          <w:b/>
                          <w:bCs/>
                          <w:sz w:val="20"/>
                          <w:szCs w:val="20"/>
                        </w:rPr>
                        <w:t xml:space="preserve"> CURRENT FUNCTIONING OF RESIDENTIAL CARE HOMES</w:t>
                      </w:r>
                    </w:p>
                    <w:p w14:paraId="096F7A3C" w14:textId="77777777" w:rsidR="006309FC" w:rsidRDefault="00455C1B" w:rsidP="00455C1B">
                      <w:pPr>
                        <w:rPr>
                          <w:rFonts w:ascii="Arial" w:hAnsi="Arial" w:cs="Arial"/>
                          <w:sz w:val="20"/>
                          <w:szCs w:val="20"/>
                        </w:rPr>
                      </w:pPr>
                      <w:r w:rsidRPr="00D205DD">
                        <w:rPr>
                          <w:rFonts w:ascii="Arial" w:hAnsi="Arial" w:cs="Arial"/>
                          <w:sz w:val="20"/>
                          <w:szCs w:val="20"/>
                        </w:rPr>
                        <w:t>REGULATION:</w:t>
                      </w:r>
                      <w:r w:rsidRPr="00D205DD">
                        <w:rPr>
                          <w:rFonts w:ascii="Arial" w:hAnsi="Arial" w:cs="Arial"/>
                          <w:sz w:val="20"/>
                          <w:szCs w:val="20"/>
                        </w:rPr>
                        <w:br/>
                        <w:t>The Care Quality Commission inspects all homes against five questions: Are services safe, effective, caring, responsive, and well-led?</w:t>
                      </w:r>
                    </w:p>
                    <w:p w14:paraId="67DA018C" w14:textId="163BA682" w:rsidR="00455C1B" w:rsidRPr="00D205DD" w:rsidRDefault="00455C1B" w:rsidP="00455C1B">
                      <w:pPr>
                        <w:rPr>
                          <w:rFonts w:ascii="Arial" w:hAnsi="Arial" w:cs="Arial"/>
                          <w:sz w:val="20"/>
                          <w:szCs w:val="20"/>
                        </w:rPr>
                      </w:pPr>
                      <w:r w:rsidRPr="00D205DD">
                        <w:rPr>
                          <w:rFonts w:ascii="Arial" w:hAnsi="Arial" w:cs="Arial"/>
                          <w:sz w:val="20"/>
                          <w:szCs w:val="20"/>
                        </w:rPr>
                        <w:t>TYPES OF HOMES:</w:t>
                      </w:r>
                      <w:r w:rsidRPr="00D205DD">
                        <w:rPr>
                          <w:rFonts w:ascii="Arial" w:hAnsi="Arial" w:cs="Arial"/>
                          <w:sz w:val="20"/>
                          <w:szCs w:val="20"/>
                        </w:rPr>
                        <w:br/>
                        <w:t>• Older people's homes: General residential care</w:t>
                      </w:r>
                      <w:r w:rsidRPr="00D205DD">
                        <w:rPr>
                          <w:rFonts w:ascii="Arial" w:hAnsi="Arial" w:cs="Arial"/>
                          <w:sz w:val="20"/>
                          <w:szCs w:val="20"/>
                        </w:rPr>
                        <w:br/>
                        <w:t>• Dementia care homes: Specialist environments and training</w:t>
                      </w:r>
                      <w:r w:rsidRPr="00D205DD">
                        <w:rPr>
                          <w:rFonts w:ascii="Arial" w:hAnsi="Arial" w:cs="Arial"/>
                          <w:sz w:val="20"/>
                          <w:szCs w:val="20"/>
                        </w:rPr>
                        <w:br/>
                        <w:t>• Learning disability homes: Smaller, community-based settings</w:t>
                      </w:r>
                      <w:r w:rsidRPr="00D205DD">
                        <w:rPr>
                          <w:rFonts w:ascii="Arial" w:hAnsi="Arial" w:cs="Arial"/>
                          <w:sz w:val="20"/>
                          <w:szCs w:val="20"/>
                        </w:rPr>
                        <w:br/>
                        <w:t>• Mental health homes: Supporting adults with enduring needs</w:t>
                      </w:r>
                    </w:p>
                    <w:p w14:paraId="2F2C6041" w14:textId="3E05523A" w:rsidR="00BE6BE0" w:rsidRPr="009D4632" w:rsidRDefault="00455C1B" w:rsidP="00455C1B">
                      <w:pPr>
                        <w:rPr>
                          <w:sz w:val="20"/>
                          <w:szCs w:val="20"/>
                        </w:rPr>
                      </w:pPr>
                      <w:r w:rsidRPr="009D4632">
                        <w:rPr>
                          <w:sz w:val="20"/>
                          <w:szCs w:val="20"/>
                        </w:rPr>
                        <w:br/>
                      </w:r>
                      <w:r w:rsidR="00802559" w:rsidRPr="009D4632">
                        <w:rPr>
                          <w:noProof/>
                          <w:sz w:val="20"/>
                          <w:szCs w:val="20"/>
                        </w:rPr>
                        <w:drawing>
                          <wp:inline distT="0" distB="0" distL="0" distR="0" wp14:anchorId="74149891" wp14:editId="31B2C499">
                            <wp:extent cx="1741335" cy="712552"/>
                            <wp:effectExtent l="0" t="0" r="0" b="0"/>
                            <wp:docPr id="262205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136517" name=""/>
                                    <pic:cNvPicPr/>
                                  </pic:nvPicPr>
                                  <pic:blipFill>
                                    <a:blip r:embed="rId11"/>
                                    <a:stretch>
                                      <a:fillRect/>
                                    </a:stretch>
                                  </pic:blipFill>
                                  <pic:spPr>
                                    <a:xfrm>
                                      <a:off x="0" y="0"/>
                                      <a:ext cx="1751761" cy="716818"/>
                                    </a:xfrm>
                                    <a:prstGeom prst="rect">
                                      <a:avLst/>
                                    </a:prstGeom>
                                  </pic:spPr>
                                </pic:pic>
                              </a:graphicData>
                            </a:graphic>
                          </wp:inline>
                        </w:drawing>
                      </w:r>
                      <w:r w:rsidR="006309FC">
                        <w:rPr>
                          <w:sz w:val="20"/>
                          <w:szCs w:val="20"/>
                        </w:rPr>
                        <w:t xml:space="preserve">          STAFFING STRUCTURE</w:t>
                      </w:r>
                    </w:p>
                  </w:txbxContent>
                </v:textbox>
                <w10:wrap type="tight" anchorx="margin"/>
              </v:shape>
            </w:pict>
          </mc:Fallback>
        </mc:AlternateContent>
      </w:r>
      <w:r w:rsidR="006309FC">
        <w:rPr>
          <w:noProof/>
        </w:rPr>
        <mc:AlternateContent>
          <mc:Choice Requires="wps">
            <w:drawing>
              <wp:anchor distT="45720" distB="45720" distL="114300" distR="114300" simplePos="0" relativeHeight="251667456" behindDoc="1" locked="0" layoutInCell="1" allowOverlap="1" wp14:anchorId="2F5030E1" wp14:editId="0A2D07D0">
                <wp:simplePos x="0" y="0"/>
                <wp:positionH relativeFrom="margin">
                  <wp:posOffset>9183370</wp:posOffset>
                </wp:positionH>
                <wp:positionV relativeFrom="paragraph">
                  <wp:posOffset>4964430</wp:posOffset>
                </wp:positionV>
                <wp:extent cx="4372610" cy="3874770"/>
                <wp:effectExtent l="19050" t="19050" r="27940" b="11430"/>
                <wp:wrapTight wrapText="bothSides">
                  <wp:wrapPolygon edited="0">
                    <wp:start x="-94" y="-106"/>
                    <wp:lineTo x="-94" y="21558"/>
                    <wp:lineTo x="21644" y="21558"/>
                    <wp:lineTo x="21644" y="-106"/>
                    <wp:lineTo x="-94" y="-106"/>
                  </wp:wrapPolygon>
                </wp:wrapTight>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72610" cy="3874770"/>
                        </a:xfrm>
                        <a:prstGeom prst="rect">
                          <a:avLst/>
                        </a:prstGeom>
                        <a:solidFill>
                          <a:srgbClr val="FFFFFF"/>
                        </a:solidFill>
                        <a:ln w="44450">
                          <a:solidFill>
                            <a:srgbClr val="000000"/>
                          </a:solidFill>
                          <a:miter lim="800000"/>
                          <a:headEnd/>
                          <a:tailEnd/>
                        </a:ln>
                        <a:effectLst>
                          <a:softEdge rad="25400"/>
                        </a:effectLst>
                      </wps:spPr>
                      <wps:txbx>
                        <w:txbxContent>
                          <w:p w14:paraId="0807499C" w14:textId="77777777" w:rsidR="00AE5746" w:rsidRDefault="00AE5746" w:rsidP="00AE5746"/>
                          <w:p w14:paraId="1A9F9661" w14:textId="77777777" w:rsidR="00AE5746" w:rsidRPr="00D205DD" w:rsidRDefault="00AE5746" w:rsidP="00AE5746">
                            <w:pPr>
                              <w:rPr>
                                <w:rFonts w:ascii="Arial" w:hAnsi="Arial" w:cs="Arial"/>
                                <w:sz w:val="16"/>
                                <w:szCs w:val="16"/>
                                <w:lang w:val="en-US"/>
                              </w:rPr>
                            </w:pPr>
                            <w:proofErr w:type="spellStart"/>
                            <w:r w:rsidRPr="00D205DD">
                              <w:rPr>
                                <w:rFonts w:ascii="Arial" w:hAnsi="Arial" w:cs="Arial"/>
                                <w:sz w:val="16"/>
                                <w:szCs w:val="16"/>
                                <w:lang w:val="en-US"/>
                              </w:rPr>
                              <w:t>Alenezi</w:t>
                            </w:r>
                            <w:proofErr w:type="spellEnd"/>
                            <w:r w:rsidRPr="00D205DD">
                              <w:rPr>
                                <w:rFonts w:ascii="Arial" w:hAnsi="Arial" w:cs="Arial"/>
                                <w:sz w:val="16"/>
                                <w:szCs w:val="16"/>
                                <w:lang w:val="en-US"/>
                              </w:rPr>
                              <w:t>, M., 2023. Digital Learning and Digital Institution in Higher Education. </w:t>
                            </w:r>
                            <w:r w:rsidRPr="00D205DD">
                              <w:rPr>
                                <w:rFonts w:ascii="Arial" w:hAnsi="Arial" w:cs="Arial"/>
                                <w:i/>
                                <w:iCs/>
                                <w:sz w:val="16"/>
                                <w:szCs w:val="16"/>
                                <w:lang w:val="en-US"/>
                              </w:rPr>
                              <w:t>Education Sciences</w:t>
                            </w:r>
                            <w:r w:rsidRPr="00D205DD">
                              <w:rPr>
                                <w:rFonts w:ascii="Arial" w:hAnsi="Arial" w:cs="Arial"/>
                                <w:sz w:val="16"/>
                                <w:szCs w:val="16"/>
                                <w:lang w:val="en-US"/>
                              </w:rPr>
                              <w:t>, 13(1), p.88.</w:t>
                            </w:r>
                          </w:p>
                          <w:p w14:paraId="7758BD42" w14:textId="77777777" w:rsidR="00AE5746" w:rsidRPr="00D205DD" w:rsidRDefault="00AE5746" w:rsidP="00AE5746">
                            <w:pPr>
                              <w:rPr>
                                <w:rFonts w:ascii="Arial" w:hAnsi="Arial" w:cs="Arial"/>
                                <w:sz w:val="16"/>
                                <w:szCs w:val="16"/>
                                <w:lang w:val="en-US"/>
                              </w:rPr>
                            </w:pPr>
                            <w:r w:rsidRPr="00D205DD">
                              <w:rPr>
                                <w:rFonts w:ascii="Arial" w:hAnsi="Arial" w:cs="Arial"/>
                                <w:sz w:val="16"/>
                                <w:szCs w:val="16"/>
                                <w:lang w:val="en-US"/>
                              </w:rPr>
                              <w:t xml:space="preserve">Alt, D., Raichel, N. and </w:t>
                            </w:r>
                            <w:proofErr w:type="spellStart"/>
                            <w:r w:rsidRPr="00D205DD">
                              <w:rPr>
                                <w:rFonts w:ascii="Arial" w:hAnsi="Arial" w:cs="Arial"/>
                                <w:sz w:val="16"/>
                                <w:szCs w:val="16"/>
                                <w:lang w:val="en-US"/>
                              </w:rPr>
                              <w:t>Naamati</w:t>
                            </w:r>
                            <w:proofErr w:type="spellEnd"/>
                            <w:r w:rsidRPr="00D205DD">
                              <w:rPr>
                                <w:rFonts w:ascii="Arial" w:hAnsi="Arial" w:cs="Arial"/>
                                <w:sz w:val="16"/>
                                <w:szCs w:val="16"/>
                                <w:lang w:val="en-US"/>
                              </w:rPr>
                              <w:t xml:space="preserve">-Schneider, L., 2022. Higher Education Students' Reflective Journal Writing and Lifelong Learning Skills: Insights </w:t>
                            </w:r>
                            <w:proofErr w:type="gramStart"/>
                            <w:r w:rsidRPr="00D205DD">
                              <w:rPr>
                                <w:rFonts w:ascii="Arial" w:hAnsi="Arial" w:cs="Arial"/>
                                <w:sz w:val="16"/>
                                <w:szCs w:val="16"/>
                                <w:lang w:val="en-US"/>
                              </w:rPr>
                              <w:t>From</w:t>
                            </w:r>
                            <w:proofErr w:type="gramEnd"/>
                            <w:r w:rsidRPr="00D205DD">
                              <w:rPr>
                                <w:rFonts w:ascii="Arial" w:hAnsi="Arial" w:cs="Arial"/>
                                <w:sz w:val="16"/>
                                <w:szCs w:val="16"/>
                                <w:lang w:val="en-US"/>
                              </w:rPr>
                              <w:t xml:space="preserve"> an Exploratory Sequential Study. </w:t>
                            </w:r>
                            <w:r w:rsidRPr="00D205DD">
                              <w:rPr>
                                <w:rFonts w:ascii="Arial" w:hAnsi="Arial" w:cs="Arial"/>
                                <w:i/>
                                <w:iCs/>
                                <w:sz w:val="16"/>
                                <w:szCs w:val="16"/>
                                <w:lang w:val="en-US"/>
                              </w:rPr>
                              <w:t>Frontiers in Psychology</w:t>
                            </w:r>
                            <w:r w:rsidRPr="00D205DD">
                              <w:rPr>
                                <w:rFonts w:ascii="Arial" w:hAnsi="Arial" w:cs="Arial"/>
                                <w:sz w:val="16"/>
                                <w:szCs w:val="16"/>
                                <w:lang w:val="en-US"/>
                              </w:rPr>
                              <w:t>, 12, p.707168.</w:t>
                            </w:r>
                          </w:p>
                          <w:p w14:paraId="22618BC2" w14:textId="77777777" w:rsidR="00AE5746" w:rsidRPr="00D205DD" w:rsidRDefault="00AE5746" w:rsidP="00AE5746">
                            <w:pPr>
                              <w:rPr>
                                <w:rFonts w:ascii="Arial" w:hAnsi="Arial" w:cs="Arial"/>
                                <w:sz w:val="16"/>
                                <w:szCs w:val="16"/>
                                <w:lang w:val="en-US"/>
                              </w:rPr>
                            </w:pPr>
                            <w:r w:rsidRPr="00D205DD">
                              <w:rPr>
                                <w:rFonts w:ascii="Arial" w:hAnsi="Arial" w:cs="Arial"/>
                                <w:sz w:val="16"/>
                                <w:szCs w:val="16"/>
                                <w:lang w:val="en-US"/>
                              </w:rPr>
                              <w:t>Dumitru, D. and Halpern, D.F., 2023. Critical thinking: Creating job-proof skills for the future of work. </w:t>
                            </w:r>
                            <w:r w:rsidRPr="00D205DD">
                              <w:rPr>
                                <w:rFonts w:ascii="Arial" w:hAnsi="Arial" w:cs="Arial"/>
                                <w:i/>
                                <w:iCs/>
                                <w:sz w:val="16"/>
                                <w:szCs w:val="16"/>
                                <w:lang w:val="en-US"/>
                              </w:rPr>
                              <w:t>Journal of Intelligence</w:t>
                            </w:r>
                            <w:r w:rsidRPr="00D205DD">
                              <w:rPr>
                                <w:rFonts w:ascii="Arial" w:hAnsi="Arial" w:cs="Arial"/>
                                <w:sz w:val="16"/>
                                <w:szCs w:val="16"/>
                                <w:lang w:val="en-US"/>
                              </w:rPr>
                              <w:t>, 11(10), p.194.</w:t>
                            </w:r>
                          </w:p>
                          <w:p w14:paraId="133B51D8" w14:textId="77777777" w:rsidR="00AE5746" w:rsidRPr="00D205DD" w:rsidRDefault="00AE5746" w:rsidP="00AE5746">
                            <w:pPr>
                              <w:rPr>
                                <w:rFonts w:ascii="Arial" w:hAnsi="Arial" w:cs="Arial"/>
                                <w:sz w:val="16"/>
                                <w:szCs w:val="16"/>
                                <w:lang w:val="en-US"/>
                              </w:rPr>
                            </w:pPr>
                            <w:r w:rsidRPr="00D205DD">
                              <w:rPr>
                                <w:rFonts w:ascii="Arial" w:hAnsi="Arial" w:cs="Arial"/>
                                <w:sz w:val="16"/>
                                <w:szCs w:val="16"/>
                                <w:lang w:val="en-US"/>
                              </w:rPr>
                              <w:t xml:space="preserve">Manthorpe, J. and Purcell, C., 2023. What Can we Learn from the Innovation of The Care </w:t>
                            </w:r>
                            <w:proofErr w:type="gramStart"/>
                            <w:r w:rsidRPr="00D205DD">
                              <w:rPr>
                                <w:rFonts w:ascii="Arial" w:hAnsi="Arial" w:cs="Arial"/>
                                <w:sz w:val="16"/>
                                <w:szCs w:val="16"/>
                                <w:lang w:val="en-US"/>
                              </w:rPr>
                              <w:t>Certificate?:</w:t>
                            </w:r>
                            <w:proofErr w:type="gramEnd"/>
                            <w:r w:rsidRPr="00D205DD">
                              <w:rPr>
                                <w:rFonts w:ascii="Arial" w:hAnsi="Arial" w:cs="Arial"/>
                                <w:sz w:val="16"/>
                                <w:szCs w:val="16"/>
                                <w:lang w:val="en-US"/>
                              </w:rPr>
                              <w:t xml:space="preserve"> An Online Witness Seminar, 14th March 2023.</w:t>
                            </w:r>
                          </w:p>
                          <w:p w14:paraId="65BF8011" w14:textId="77777777" w:rsidR="00AE5746" w:rsidRPr="00D205DD" w:rsidRDefault="00AE5746" w:rsidP="00AE5746">
                            <w:pPr>
                              <w:rPr>
                                <w:rFonts w:ascii="Arial" w:hAnsi="Arial" w:cs="Arial"/>
                                <w:sz w:val="16"/>
                                <w:szCs w:val="16"/>
                                <w:lang w:val="en-US"/>
                              </w:rPr>
                            </w:pPr>
                            <w:r w:rsidRPr="00D205DD">
                              <w:rPr>
                                <w:rFonts w:ascii="Arial" w:hAnsi="Arial" w:cs="Arial"/>
                                <w:sz w:val="16"/>
                                <w:szCs w:val="16"/>
                                <w:lang w:val="en-US"/>
                              </w:rPr>
                              <w:t>Olcott Jr, D., 2022. Micro-credentials: A catalyst for strategic reset and change in US higher education. </w:t>
                            </w:r>
                            <w:r w:rsidRPr="00D205DD">
                              <w:rPr>
                                <w:rFonts w:ascii="Arial" w:hAnsi="Arial" w:cs="Arial"/>
                                <w:i/>
                                <w:iCs/>
                                <w:sz w:val="16"/>
                                <w:szCs w:val="16"/>
                                <w:lang w:val="en-US"/>
                              </w:rPr>
                              <w:t>American Journal of Distance Education</w:t>
                            </w:r>
                            <w:r w:rsidRPr="00D205DD">
                              <w:rPr>
                                <w:rFonts w:ascii="Arial" w:hAnsi="Arial" w:cs="Arial"/>
                                <w:sz w:val="16"/>
                                <w:szCs w:val="16"/>
                                <w:lang w:val="en-US"/>
                              </w:rPr>
                              <w:t>, 36(1), pp.19-35.</w:t>
                            </w:r>
                          </w:p>
                          <w:p w14:paraId="7EA0F9A4" w14:textId="77777777" w:rsidR="00AE5746" w:rsidRPr="00D205DD" w:rsidRDefault="00AE5746" w:rsidP="00AE5746">
                            <w:pPr>
                              <w:rPr>
                                <w:rFonts w:ascii="Arial" w:hAnsi="Arial" w:cs="Arial"/>
                                <w:sz w:val="16"/>
                                <w:szCs w:val="16"/>
                                <w:lang w:val="en-US"/>
                              </w:rPr>
                            </w:pPr>
                            <w:proofErr w:type="spellStart"/>
                            <w:r w:rsidRPr="00D205DD">
                              <w:rPr>
                                <w:rFonts w:ascii="Arial" w:hAnsi="Arial" w:cs="Arial"/>
                                <w:sz w:val="16"/>
                                <w:szCs w:val="16"/>
                                <w:lang w:val="en-US"/>
                              </w:rPr>
                              <w:t>Schmiedehaus</w:t>
                            </w:r>
                            <w:proofErr w:type="spellEnd"/>
                            <w:r w:rsidRPr="00D205DD">
                              <w:rPr>
                                <w:rFonts w:ascii="Arial" w:hAnsi="Arial" w:cs="Arial"/>
                                <w:sz w:val="16"/>
                                <w:szCs w:val="16"/>
                                <w:lang w:val="en-US"/>
                              </w:rPr>
                              <w:t>, E., Cordaro, M., Perrotte, J., Stern, M., Dailey, S. and Howard, K., 2023. The great resignation in higher education: An occupational health approach to understanding intentions-to-quit for faculty in higher education. </w:t>
                            </w:r>
                            <w:r w:rsidRPr="00D205DD">
                              <w:rPr>
                                <w:rFonts w:ascii="Arial" w:hAnsi="Arial" w:cs="Arial"/>
                                <w:i/>
                                <w:iCs/>
                                <w:sz w:val="16"/>
                                <w:szCs w:val="16"/>
                                <w:lang w:val="en-US"/>
                              </w:rPr>
                              <w:t>Teaching and Teacher Education</w:t>
                            </w:r>
                            <w:r w:rsidRPr="00D205DD">
                              <w:rPr>
                                <w:rFonts w:ascii="Arial" w:hAnsi="Arial" w:cs="Arial"/>
                                <w:sz w:val="16"/>
                                <w:szCs w:val="16"/>
                                <w:lang w:val="en-US"/>
                              </w:rPr>
                              <w:t>, 123, p.103992.</w:t>
                            </w:r>
                          </w:p>
                          <w:p w14:paraId="0096173F" w14:textId="77777777" w:rsidR="00AE5746" w:rsidRPr="00D205DD" w:rsidRDefault="00AE5746" w:rsidP="00AE5746">
                            <w:pPr>
                              <w:rPr>
                                <w:rFonts w:ascii="Arial" w:hAnsi="Arial" w:cs="Arial"/>
                                <w:sz w:val="16"/>
                                <w:szCs w:val="16"/>
                                <w:lang w:val="en-US"/>
                              </w:rPr>
                            </w:pPr>
                            <w:r w:rsidRPr="00D205DD">
                              <w:rPr>
                                <w:rFonts w:ascii="Arial" w:hAnsi="Arial" w:cs="Arial"/>
                                <w:sz w:val="16"/>
                                <w:szCs w:val="16"/>
                                <w:lang w:val="en-US"/>
                              </w:rPr>
                              <w:t>Southworth, J., Migliaccio, K., Glover, J., Glover, J.N., Reed, D., McCarty, C., Brendemuhl, J. and Thomas, A., 2023. Developing a model for AI Across the curriculum: Transforming the higher education landscape via innovation in AI literacy. </w:t>
                            </w:r>
                            <w:r w:rsidRPr="00D205DD">
                              <w:rPr>
                                <w:rFonts w:ascii="Arial" w:hAnsi="Arial" w:cs="Arial"/>
                                <w:i/>
                                <w:iCs/>
                                <w:sz w:val="16"/>
                                <w:szCs w:val="16"/>
                                <w:lang w:val="en-US"/>
                              </w:rPr>
                              <w:t>Computers and Education: Artificial Intelligence</w:t>
                            </w:r>
                            <w:r w:rsidRPr="00D205DD">
                              <w:rPr>
                                <w:rFonts w:ascii="Arial" w:hAnsi="Arial" w:cs="Arial"/>
                                <w:sz w:val="16"/>
                                <w:szCs w:val="16"/>
                                <w:lang w:val="en-US"/>
                              </w:rPr>
                              <w:t>, 4, p.100127.</w:t>
                            </w:r>
                          </w:p>
                          <w:p w14:paraId="1906795F" w14:textId="77777777" w:rsidR="00AE5746" w:rsidRDefault="00AE5746" w:rsidP="00AE5746"/>
                          <w:p w14:paraId="286AEECE" w14:textId="77777777" w:rsidR="00AE5746" w:rsidRDefault="00AE5746" w:rsidP="00AE5746"/>
                          <w:p w14:paraId="29582A25" w14:textId="77777777" w:rsidR="00AE5746" w:rsidRDefault="00AE5746" w:rsidP="00AE5746"/>
                          <w:p w14:paraId="1D62B451" w14:textId="77777777" w:rsidR="009D4632" w:rsidRDefault="009D463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28" type="#_x0000_t202" style="position:absolute;margin-left:723.1pt;margin-top:390.9pt;width:344.3pt;height:305.1pt;z-index:-2516490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" strokeweight="3.5pt">
                <v:textbox>
                  <w:txbxContent>
                    <w:p w14:paraId="0807499C" w14:textId="77777777" w:rsidR="00AE5746" w:rsidRDefault="00AE5746" w:rsidP="00AE5746"/>
                    <w:p w14:paraId="1A9F9661" w14:textId="77777777" w:rsidR="00AE5746" w:rsidRPr="00D205DD" w:rsidRDefault="00AE5746" w:rsidP="00AE5746">
                      <w:pPr>
                        <w:rPr>
                          <w:rFonts w:ascii="Arial" w:hAnsi="Arial" w:cs="Arial"/>
                          <w:sz w:val="16"/>
                          <w:szCs w:val="16"/>
                          <w:lang w:val="en-US"/>
                        </w:rPr>
                      </w:pPr>
                      <w:proofErr w:type="spellStart"/>
                      <w:r w:rsidRPr="00D205DD">
                        <w:rPr>
                          <w:rFonts w:ascii="Arial" w:hAnsi="Arial" w:cs="Arial"/>
                          <w:sz w:val="16"/>
                          <w:szCs w:val="16"/>
                          <w:lang w:val="en-US"/>
                        </w:rPr>
                        <w:t>Alenezi</w:t>
                      </w:r>
                      <w:proofErr w:type="spellEnd"/>
                      <w:r w:rsidRPr="00D205DD">
                        <w:rPr>
                          <w:rFonts w:ascii="Arial" w:hAnsi="Arial" w:cs="Arial"/>
                          <w:sz w:val="16"/>
                          <w:szCs w:val="16"/>
                          <w:lang w:val="en-US"/>
                        </w:rPr>
                        <w:t>, M., 2023. Digital Learning and Digital Institution in Higher Education. </w:t>
                      </w:r>
                      <w:r w:rsidRPr="00D205DD">
                        <w:rPr>
                          <w:rFonts w:ascii="Arial" w:hAnsi="Arial" w:cs="Arial"/>
                          <w:i/>
                          <w:iCs/>
                          <w:sz w:val="16"/>
                          <w:szCs w:val="16"/>
                          <w:lang w:val="en-US"/>
                        </w:rPr>
                        <w:t>Education Sciences</w:t>
                      </w:r>
                      <w:r w:rsidRPr="00D205DD">
                        <w:rPr>
                          <w:rFonts w:ascii="Arial" w:hAnsi="Arial" w:cs="Arial"/>
                          <w:sz w:val="16"/>
                          <w:szCs w:val="16"/>
                          <w:lang w:val="en-US"/>
                        </w:rPr>
                        <w:t>, 13(1), p.88.</w:t>
                      </w:r>
                    </w:p>
                    <w:p w14:paraId="7758BD42" w14:textId="77777777" w:rsidR="00AE5746" w:rsidRPr="00D205DD" w:rsidRDefault="00AE5746" w:rsidP="00AE5746">
                      <w:pPr>
                        <w:rPr>
                          <w:rFonts w:ascii="Arial" w:hAnsi="Arial" w:cs="Arial"/>
                          <w:sz w:val="16"/>
                          <w:szCs w:val="16"/>
                          <w:lang w:val="en-US"/>
                        </w:rPr>
                      </w:pPr>
                      <w:r w:rsidRPr="00D205DD">
                        <w:rPr>
                          <w:rFonts w:ascii="Arial" w:hAnsi="Arial" w:cs="Arial"/>
                          <w:sz w:val="16"/>
                          <w:szCs w:val="16"/>
                          <w:lang w:val="en-US"/>
                        </w:rPr>
                        <w:t xml:space="preserve">Alt, D., Raichel, N. and </w:t>
                      </w:r>
                      <w:proofErr w:type="spellStart"/>
                      <w:r w:rsidRPr="00D205DD">
                        <w:rPr>
                          <w:rFonts w:ascii="Arial" w:hAnsi="Arial" w:cs="Arial"/>
                          <w:sz w:val="16"/>
                          <w:szCs w:val="16"/>
                          <w:lang w:val="en-US"/>
                        </w:rPr>
                        <w:t>Naamati</w:t>
                      </w:r>
                      <w:proofErr w:type="spellEnd"/>
                      <w:r w:rsidRPr="00D205DD">
                        <w:rPr>
                          <w:rFonts w:ascii="Arial" w:hAnsi="Arial" w:cs="Arial"/>
                          <w:sz w:val="16"/>
                          <w:szCs w:val="16"/>
                          <w:lang w:val="en-US"/>
                        </w:rPr>
                        <w:t xml:space="preserve">-Schneider, L., 2022. Higher Education Students' Reflective Journal Writing and Lifelong Learning Skills: Insights </w:t>
                      </w:r>
                      <w:proofErr w:type="gramStart"/>
                      <w:r w:rsidRPr="00D205DD">
                        <w:rPr>
                          <w:rFonts w:ascii="Arial" w:hAnsi="Arial" w:cs="Arial"/>
                          <w:sz w:val="16"/>
                          <w:szCs w:val="16"/>
                          <w:lang w:val="en-US"/>
                        </w:rPr>
                        <w:t>From</w:t>
                      </w:r>
                      <w:proofErr w:type="gramEnd"/>
                      <w:r w:rsidRPr="00D205DD">
                        <w:rPr>
                          <w:rFonts w:ascii="Arial" w:hAnsi="Arial" w:cs="Arial"/>
                          <w:sz w:val="16"/>
                          <w:szCs w:val="16"/>
                          <w:lang w:val="en-US"/>
                        </w:rPr>
                        <w:t xml:space="preserve"> an Exploratory Sequential Study. </w:t>
                      </w:r>
                      <w:r w:rsidRPr="00D205DD">
                        <w:rPr>
                          <w:rFonts w:ascii="Arial" w:hAnsi="Arial" w:cs="Arial"/>
                          <w:i/>
                          <w:iCs/>
                          <w:sz w:val="16"/>
                          <w:szCs w:val="16"/>
                          <w:lang w:val="en-US"/>
                        </w:rPr>
                        <w:t>Frontiers in Psychology</w:t>
                      </w:r>
                      <w:r w:rsidRPr="00D205DD">
                        <w:rPr>
                          <w:rFonts w:ascii="Arial" w:hAnsi="Arial" w:cs="Arial"/>
                          <w:sz w:val="16"/>
                          <w:szCs w:val="16"/>
                          <w:lang w:val="en-US"/>
                        </w:rPr>
                        <w:t>, 12, p.707168.</w:t>
                      </w:r>
                    </w:p>
                    <w:p w14:paraId="22618BC2" w14:textId="77777777" w:rsidR="00AE5746" w:rsidRPr="00D205DD" w:rsidRDefault="00AE5746" w:rsidP="00AE5746">
                      <w:pPr>
                        <w:rPr>
                          <w:rFonts w:ascii="Arial" w:hAnsi="Arial" w:cs="Arial"/>
                          <w:sz w:val="16"/>
                          <w:szCs w:val="16"/>
                          <w:lang w:val="en-US"/>
                        </w:rPr>
                      </w:pPr>
                      <w:r w:rsidRPr="00D205DD">
                        <w:rPr>
                          <w:rFonts w:ascii="Arial" w:hAnsi="Arial" w:cs="Arial"/>
                          <w:sz w:val="16"/>
                          <w:szCs w:val="16"/>
                          <w:lang w:val="en-US"/>
                        </w:rPr>
                        <w:t>Dumitru, D. and Halpern, D.F., 2023. Critical thinking: Creating job-proof skills for the future of work. </w:t>
                      </w:r>
                      <w:r w:rsidRPr="00D205DD">
                        <w:rPr>
                          <w:rFonts w:ascii="Arial" w:hAnsi="Arial" w:cs="Arial"/>
                          <w:i/>
                          <w:iCs/>
                          <w:sz w:val="16"/>
                          <w:szCs w:val="16"/>
                          <w:lang w:val="en-US"/>
                        </w:rPr>
                        <w:t>Journal of Intelligence</w:t>
                      </w:r>
                      <w:r w:rsidRPr="00D205DD">
                        <w:rPr>
                          <w:rFonts w:ascii="Arial" w:hAnsi="Arial" w:cs="Arial"/>
                          <w:sz w:val="16"/>
                          <w:szCs w:val="16"/>
                          <w:lang w:val="en-US"/>
                        </w:rPr>
                        <w:t>, 11(10), p.194.</w:t>
                      </w:r>
                    </w:p>
                    <w:p w14:paraId="133B51D8" w14:textId="77777777" w:rsidR="00AE5746" w:rsidRPr="00D205DD" w:rsidRDefault="00AE5746" w:rsidP="00AE5746">
                      <w:pPr>
                        <w:rPr>
                          <w:rFonts w:ascii="Arial" w:hAnsi="Arial" w:cs="Arial"/>
                          <w:sz w:val="16"/>
                          <w:szCs w:val="16"/>
                          <w:lang w:val="en-US"/>
                        </w:rPr>
                      </w:pPr>
                      <w:r w:rsidRPr="00D205DD">
                        <w:rPr>
                          <w:rFonts w:ascii="Arial" w:hAnsi="Arial" w:cs="Arial"/>
                          <w:sz w:val="16"/>
                          <w:szCs w:val="16"/>
                          <w:lang w:val="en-US"/>
                        </w:rPr>
                        <w:t xml:space="preserve">Manthorpe, J. and Purcell, C., 2023. What Can we Learn from the Innovation of The Care </w:t>
                      </w:r>
                      <w:proofErr w:type="gramStart"/>
                      <w:r w:rsidRPr="00D205DD">
                        <w:rPr>
                          <w:rFonts w:ascii="Arial" w:hAnsi="Arial" w:cs="Arial"/>
                          <w:sz w:val="16"/>
                          <w:szCs w:val="16"/>
                          <w:lang w:val="en-US"/>
                        </w:rPr>
                        <w:t>Certificate?:</w:t>
                      </w:r>
                      <w:proofErr w:type="gramEnd"/>
                      <w:r w:rsidRPr="00D205DD">
                        <w:rPr>
                          <w:rFonts w:ascii="Arial" w:hAnsi="Arial" w:cs="Arial"/>
                          <w:sz w:val="16"/>
                          <w:szCs w:val="16"/>
                          <w:lang w:val="en-US"/>
                        </w:rPr>
                        <w:t xml:space="preserve"> An Online Witness Seminar, 14th March 2023.</w:t>
                      </w:r>
                    </w:p>
                    <w:p w14:paraId="65BF8011" w14:textId="77777777" w:rsidR="00AE5746" w:rsidRPr="00D205DD" w:rsidRDefault="00AE5746" w:rsidP="00AE5746">
                      <w:pPr>
                        <w:rPr>
                          <w:rFonts w:ascii="Arial" w:hAnsi="Arial" w:cs="Arial"/>
                          <w:sz w:val="16"/>
                          <w:szCs w:val="16"/>
                          <w:lang w:val="en-US"/>
                        </w:rPr>
                      </w:pPr>
                      <w:r w:rsidRPr="00D205DD">
                        <w:rPr>
                          <w:rFonts w:ascii="Arial" w:hAnsi="Arial" w:cs="Arial"/>
                          <w:sz w:val="16"/>
                          <w:szCs w:val="16"/>
                          <w:lang w:val="en-US"/>
                        </w:rPr>
                        <w:t>Olcott Jr, D., 2022. Micro-credentials: A catalyst for strategic reset and change in US higher education. </w:t>
                      </w:r>
                      <w:r w:rsidRPr="00D205DD">
                        <w:rPr>
                          <w:rFonts w:ascii="Arial" w:hAnsi="Arial" w:cs="Arial"/>
                          <w:i/>
                          <w:iCs/>
                          <w:sz w:val="16"/>
                          <w:szCs w:val="16"/>
                          <w:lang w:val="en-US"/>
                        </w:rPr>
                        <w:t>American Journal of Distance Education</w:t>
                      </w:r>
                      <w:r w:rsidRPr="00D205DD">
                        <w:rPr>
                          <w:rFonts w:ascii="Arial" w:hAnsi="Arial" w:cs="Arial"/>
                          <w:sz w:val="16"/>
                          <w:szCs w:val="16"/>
                          <w:lang w:val="en-US"/>
                        </w:rPr>
                        <w:t>, 36(1), pp.19-35.</w:t>
                      </w:r>
                    </w:p>
                    <w:p w14:paraId="7EA0F9A4" w14:textId="77777777" w:rsidR="00AE5746" w:rsidRPr="00D205DD" w:rsidRDefault="00AE5746" w:rsidP="00AE5746">
                      <w:pPr>
                        <w:rPr>
                          <w:rFonts w:ascii="Arial" w:hAnsi="Arial" w:cs="Arial"/>
                          <w:sz w:val="16"/>
                          <w:szCs w:val="16"/>
                          <w:lang w:val="en-US"/>
                        </w:rPr>
                      </w:pPr>
                      <w:proofErr w:type="spellStart"/>
                      <w:r w:rsidRPr="00D205DD">
                        <w:rPr>
                          <w:rFonts w:ascii="Arial" w:hAnsi="Arial" w:cs="Arial"/>
                          <w:sz w:val="16"/>
                          <w:szCs w:val="16"/>
                          <w:lang w:val="en-US"/>
                        </w:rPr>
                        <w:t>Schmiedehaus</w:t>
                      </w:r>
                      <w:proofErr w:type="spellEnd"/>
                      <w:r w:rsidRPr="00D205DD">
                        <w:rPr>
                          <w:rFonts w:ascii="Arial" w:hAnsi="Arial" w:cs="Arial"/>
                          <w:sz w:val="16"/>
                          <w:szCs w:val="16"/>
                          <w:lang w:val="en-US"/>
                        </w:rPr>
                        <w:t>, E., Cordaro, M., Perrotte, J., Stern, M., Dailey, S. and Howard, K., 2023. The great resignation in higher education: An occupational health approach to understanding intentions-to-quit for faculty in higher education. </w:t>
                      </w:r>
                      <w:r w:rsidRPr="00D205DD">
                        <w:rPr>
                          <w:rFonts w:ascii="Arial" w:hAnsi="Arial" w:cs="Arial"/>
                          <w:i/>
                          <w:iCs/>
                          <w:sz w:val="16"/>
                          <w:szCs w:val="16"/>
                          <w:lang w:val="en-US"/>
                        </w:rPr>
                        <w:t>Teaching and Teacher Education</w:t>
                      </w:r>
                      <w:r w:rsidRPr="00D205DD">
                        <w:rPr>
                          <w:rFonts w:ascii="Arial" w:hAnsi="Arial" w:cs="Arial"/>
                          <w:sz w:val="16"/>
                          <w:szCs w:val="16"/>
                          <w:lang w:val="en-US"/>
                        </w:rPr>
                        <w:t>, 123, p.103992.</w:t>
                      </w:r>
                    </w:p>
                    <w:p w14:paraId="0096173F" w14:textId="77777777" w:rsidR="00AE5746" w:rsidRPr="00D205DD" w:rsidRDefault="00AE5746" w:rsidP="00AE5746">
                      <w:pPr>
                        <w:rPr>
                          <w:rFonts w:ascii="Arial" w:hAnsi="Arial" w:cs="Arial"/>
                          <w:sz w:val="16"/>
                          <w:szCs w:val="16"/>
                          <w:lang w:val="en-US"/>
                        </w:rPr>
                      </w:pPr>
                      <w:r w:rsidRPr="00D205DD">
                        <w:rPr>
                          <w:rFonts w:ascii="Arial" w:hAnsi="Arial" w:cs="Arial"/>
                          <w:sz w:val="16"/>
                          <w:szCs w:val="16"/>
                          <w:lang w:val="en-US"/>
                        </w:rPr>
                        <w:t>Southworth, J., Migliaccio, K., Glover, J., Glover, J.N., Reed, D., McCarty, C., Brendemuhl, J. and Thomas, A., 2023. Developing a model for AI Across the curriculum: Transforming the higher education landscape via innovation in AI literacy. </w:t>
                      </w:r>
                      <w:r w:rsidRPr="00D205DD">
                        <w:rPr>
                          <w:rFonts w:ascii="Arial" w:hAnsi="Arial" w:cs="Arial"/>
                          <w:i/>
                          <w:iCs/>
                          <w:sz w:val="16"/>
                          <w:szCs w:val="16"/>
                          <w:lang w:val="en-US"/>
                        </w:rPr>
                        <w:t>Computers and Education: Artificial Intelligence</w:t>
                      </w:r>
                      <w:r w:rsidRPr="00D205DD">
                        <w:rPr>
                          <w:rFonts w:ascii="Arial" w:hAnsi="Arial" w:cs="Arial"/>
                          <w:sz w:val="16"/>
                          <w:szCs w:val="16"/>
                          <w:lang w:val="en-US"/>
                        </w:rPr>
                        <w:t>, 4, p.100127.</w:t>
                      </w:r>
                    </w:p>
                    <w:p w14:paraId="1906795F" w14:textId="77777777" w:rsidR="00AE5746" w:rsidRDefault="00AE5746" w:rsidP="00AE5746"/>
                    <w:p w14:paraId="286AEECE" w14:textId="77777777" w:rsidR="00AE5746" w:rsidRDefault="00AE5746" w:rsidP="00AE5746"/>
                    <w:p w14:paraId="29582A25" w14:textId="77777777" w:rsidR="00AE5746" w:rsidRDefault="00AE5746" w:rsidP="00AE5746"/>
                    <w:p w14:paraId="1D62B451" w14:textId="77777777" w:rsidR="009D4632" w:rsidRDefault="009D4632"/>
                  </w:txbxContent>
                </v:textbox>
                <w10:wrap type="tight" anchorx="margin"/>
              </v:shape>
            </w:pict>
          </mc:Fallback>
        </mc:AlternateContent>
      </w:r>
      <w:r w:rsidR="00E94EA7">
        <w:rPr>
          <w:noProof/>
        </w:rPr>
        <mc:AlternateContent>
          <mc:Choice Requires="wps">
            <w:drawing>
              <wp:anchor distT="0" distB="0" distL="114300" distR="114300" simplePos="0" relativeHeight="251659264" behindDoc="1" locked="0" layoutInCell="1" allowOverlap="1" wp14:anchorId="777A8668" wp14:editId="2C45882B">
                <wp:simplePos x="0" y="0"/>
                <wp:positionH relativeFrom="page">
                  <wp:align>left</wp:align>
                </wp:positionH>
                <wp:positionV relativeFrom="paragraph">
                  <wp:posOffset>207369</wp:posOffset>
                </wp:positionV>
                <wp:extent cx="15043785" cy="9485630"/>
                <wp:effectExtent l="0" t="0" r="24765" b="20320"/>
                <wp:wrapNone/>
                <wp:docPr id="1" name="Rectangle 1"/>
                <wp:cNvGraphicFramePr/>
                <a:graphic xmlns:a="http://schemas.openxmlformats.org/drawingml/2006/main">
                  <a:graphicData uri="http://schemas.microsoft.com/office/word/2010/wordprocessingShape">
                    <wps:wsp>
                      <wps:cNvSpPr/>
                      <wps:spPr>
                        <a:xfrm>
                          <a:off x="0" y="0"/>
                          <a:ext cx="15043785" cy="948563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DD0733" id="Rectangle 1" o:spid="_x0000_s1026" style="position:absolute;margin-left:0;margin-top:16.35pt;width:1184.55pt;height:746.9pt;z-index:-25165721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" fillcolor="gray [1629]" strokecolor="#92d050" strokeweight="1pt">
                <v:fill opacity="30069f"/>
                <w10:wrap anchorx="page"/>
              </v:rect>
            </w:pict>
          </mc:Fallback>
        </mc:AlternateContent>
      </w:r>
      <w:r w:rsidR="00E94EA7">
        <w:rPr>
          <w:noProof/>
        </w:rPr>
        <mc:AlternateContent>
          <mc:Choice Requires="wps">
            <w:drawing>
              <wp:anchor distT="45720" distB="45720" distL="114300" distR="114300" simplePos="0" relativeHeight="251675648" behindDoc="1" locked="0" layoutInCell="1" allowOverlap="1" wp14:anchorId="1182A892" wp14:editId="5492D0E5">
                <wp:simplePos x="0" y="0"/>
                <wp:positionH relativeFrom="page">
                  <wp:posOffset>5847080</wp:posOffset>
                </wp:positionH>
                <wp:positionV relativeFrom="paragraph">
                  <wp:posOffset>4964430</wp:posOffset>
                </wp:positionV>
                <wp:extent cx="3924300" cy="3856355"/>
                <wp:effectExtent l="19050" t="19050" r="38100" b="29845"/>
                <wp:wrapTight wrapText="bothSides">
                  <wp:wrapPolygon edited="0">
                    <wp:start x="-105" y="-107"/>
                    <wp:lineTo x="-105" y="21660"/>
                    <wp:lineTo x="21705" y="21660"/>
                    <wp:lineTo x="21705" y="-107"/>
                    <wp:lineTo x="-105" y="-107"/>
                  </wp:wrapPolygon>
                </wp:wrapTight>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4300" cy="3856355"/>
                        </a:xfrm>
                        <a:prstGeom prst="rect">
                          <a:avLst/>
                        </a:prstGeom>
                        <a:solidFill>
                          <a:srgbClr val="FFFFFF"/>
                        </a:solidFill>
                        <a:ln w="47625">
                          <a:solidFill>
                            <a:srgbClr val="000000"/>
                          </a:solidFill>
                          <a:miter lim="800000"/>
                          <a:headEnd/>
                          <a:tailEnd/>
                        </a:ln>
                        <a:effectLst>
                          <a:softEdge rad="25400"/>
                        </a:effectLst>
                      </wps:spPr>
                      <wps:txbx>
                        <w:txbxContent>
                          <w:p w14:paraId="4B560A28" w14:textId="77777777" w:rsidR="005F632C" w:rsidRPr="00D205DD" w:rsidRDefault="005F632C" w:rsidP="005F632C">
                            <w:pPr>
                              <w:rPr>
                                <w:rFonts w:ascii="Arial" w:hAnsi="Arial" w:cs="Arial"/>
                                <w:b/>
                                <w:bCs/>
                                <w:sz w:val="20"/>
                                <w:szCs w:val="20"/>
                              </w:rPr>
                            </w:pPr>
                            <w:r w:rsidRPr="00D205DD">
                              <w:rPr>
                                <w:rFonts w:ascii="Arial" w:hAnsi="Arial" w:cs="Arial"/>
                                <w:b/>
                                <w:bCs/>
                                <w:sz w:val="20"/>
                                <w:szCs w:val="20"/>
                              </w:rPr>
                              <w:t>TWO CHALLENGES FACED BY RESIDENTIAL CARE HOMES</w:t>
                            </w:r>
                          </w:p>
                          <w:p w14:paraId="3ED0902D" w14:textId="77777777" w:rsidR="005F632C" w:rsidRPr="00D205DD" w:rsidRDefault="005F632C" w:rsidP="005F632C">
                            <w:pPr>
                              <w:rPr>
                                <w:rFonts w:ascii="Arial" w:hAnsi="Arial" w:cs="Arial"/>
                                <w:sz w:val="20"/>
                                <w:szCs w:val="20"/>
                              </w:rPr>
                            </w:pPr>
                            <w:r w:rsidRPr="00D205DD">
                              <w:rPr>
                                <w:rFonts w:ascii="Arial" w:hAnsi="Arial" w:cs="Arial"/>
                                <w:sz w:val="20"/>
                                <w:szCs w:val="20"/>
                              </w:rPr>
                              <w:t>CHALLENGE 1: WORKFORCE RECRUITMENT AND RETENTION CRISIS</w:t>
                            </w:r>
                          </w:p>
                          <w:p w14:paraId="6237DA8C" w14:textId="77777777" w:rsidR="005F632C" w:rsidRPr="00D205DD" w:rsidRDefault="005F632C" w:rsidP="005F632C">
                            <w:pPr>
                              <w:rPr>
                                <w:rFonts w:ascii="Arial" w:hAnsi="Arial" w:cs="Arial"/>
                                <w:sz w:val="20"/>
                                <w:szCs w:val="20"/>
                              </w:rPr>
                            </w:pPr>
                            <w:r w:rsidRPr="00D205DD">
                              <w:rPr>
                                <w:rFonts w:ascii="Arial" w:hAnsi="Arial" w:cs="Arial"/>
                                <w:sz w:val="20"/>
                                <w:szCs w:val="20"/>
                              </w:rPr>
                              <w:t>Annual Care Worker Turnover Rate (2019-2023):</w:t>
                            </w:r>
                          </w:p>
                          <w:p w14:paraId="13C822A6" w14:textId="77777777" w:rsidR="005F632C" w:rsidRPr="00D205DD" w:rsidRDefault="005F632C" w:rsidP="005F632C">
                            <w:pPr>
                              <w:rPr>
                                <w:rFonts w:ascii="Arial" w:hAnsi="Arial" w:cs="Arial"/>
                                <w:sz w:val="20"/>
                                <w:szCs w:val="20"/>
                              </w:rPr>
                            </w:pPr>
                            <w:r w:rsidRPr="00D205DD">
                              <w:rPr>
                                <w:rFonts w:ascii="Arial" w:hAnsi="Arial" w:cs="Arial"/>
                                <w:sz w:val="20"/>
                                <w:szCs w:val="20"/>
                              </w:rPr>
                              <w:t>There are several factors contributing to the workforce challenges as described below:</w:t>
                            </w:r>
                          </w:p>
                          <w:p w14:paraId="7FE60275" w14:textId="77777777" w:rsidR="005F632C" w:rsidRPr="00D205DD" w:rsidRDefault="005F632C" w:rsidP="005F632C">
                            <w:pPr>
                              <w:rPr>
                                <w:rFonts w:ascii="Arial" w:hAnsi="Arial" w:cs="Arial"/>
                                <w:sz w:val="20"/>
                                <w:szCs w:val="20"/>
                              </w:rPr>
                            </w:pPr>
                            <w:r w:rsidRPr="00D205DD">
                              <w:rPr>
                                <w:rFonts w:ascii="Arial" w:hAnsi="Arial" w:cs="Arial"/>
                                <w:sz w:val="20"/>
                                <w:szCs w:val="20"/>
                              </w:rPr>
                              <w:t>• Low salary Minimum wage even though it is working.</w:t>
                            </w:r>
                          </w:p>
                          <w:p w14:paraId="35F93FA3" w14:textId="77777777" w:rsidR="005F632C" w:rsidRPr="00D205DD" w:rsidRDefault="005F632C" w:rsidP="005F632C">
                            <w:pPr>
                              <w:rPr>
                                <w:rFonts w:ascii="Arial" w:hAnsi="Arial" w:cs="Arial"/>
                                <w:sz w:val="20"/>
                                <w:szCs w:val="20"/>
                              </w:rPr>
                            </w:pPr>
                            <w:r w:rsidRPr="00D205DD">
                              <w:rPr>
                                <w:rFonts w:ascii="Arial" w:hAnsi="Arial" w:cs="Arial"/>
                                <w:sz w:val="20"/>
                                <w:szCs w:val="20"/>
                              </w:rPr>
                              <w:t xml:space="preserve">• Low achievement / growth in career- wise- Few career </w:t>
                            </w:r>
                            <w:proofErr w:type="gramStart"/>
                            <w:r w:rsidRPr="00D205DD">
                              <w:rPr>
                                <w:rFonts w:ascii="Arial" w:hAnsi="Arial" w:cs="Arial"/>
                                <w:sz w:val="20"/>
                                <w:szCs w:val="20"/>
                              </w:rPr>
                              <w:t>growth</w:t>
                            </w:r>
                            <w:proofErr w:type="gramEnd"/>
                            <w:r w:rsidRPr="00D205DD">
                              <w:rPr>
                                <w:rFonts w:ascii="Arial" w:hAnsi="Arial" w:cs="Arial"/>
                                <w:sz w:val="20"/>
                                <w:szCs w:val="20"/>
                              </w:rPr>
                              <w:t>.</w:t>
                            </w:r>
                          </w:p>
                          <w:p w14:paraId="0F5BD23B" w14:textId="360B10E1" w:rsidR="00BE6BE0" w:rsidRPr="00D205DD" w:rsidRDefault="005F632C" w:rsidP="005F632C">
                            <w:pPr>
                              <w:rPr>
                                <w:rFonts w:ascii="Arial" w:hAnsi="Arial" w:cs="Arial"/>
                                <w:sz w:val="20"/>
                                <w:szCs w:val="20"/>
                              </w:rPr>
                            </w:pPr>
                            <w:r w:rsidRPr="00D205DD">
                              <w:rPr>
                                <w:rFonts w:ascii="Arial" w:hAnsi="Arial" w:cs="Arial"/>
                                <w:sz w:val="20"/>
                                <w:szCs w:val="20"/>
                              </w:rPr>
                              <w:t>• Intense</w:t>
                            </w:r>
                          </w:p>
                          <w:p w14:paraId="1FB995A6" w14:textId="77777777" w:rsidR="006309FC" w:rsidRPr="0048775C" w:rsidRDefault="006309FC" w:rsidP="006309FC">
                            <w:pPr>
                              <w:rPr>
                                <w:rFonts w:ascii="Arial" w:hAnsi="Arial" w:cs="Arial"/>
                                <w:b/>
                                <w:bCs/>
                                <w:sz w:val="20"/>
                                <w:szCs w:val="20"/>
                              </w:rPr>
                            </w:pPr>
                            <w:r w:rsidRPr="0048775C">
                              <w:rPr>
                                <w:rFonts w:ascii="Arial" w:hAnsi="Arial" w:cs="Arial"/>
                                <w:b/>
                                <w:bCs/>
                                <w:sz w:val="20"/>
                                <w:szCs w:val="20"/>
                              </w:rPr>
                              <w:t>Conclusion</w:t>
                            </w:r>
                          </w:p>
                          <w:p w14:paraId="2DAEC6D7" w14:textId="77777777" w:rsidR="006309FC" w:rsidRPr="00D205DD" w:rsidRDefault="006309FC" w:rsidP="006309FC">
                            <w:pPr>
                              <w:rPr>
                                <w:rFonts w:ascii="Arial" w:hAnsi="Arial" w:cs="Arial"/>
                                <w:sz w:val="20"/>
                                <w:szCs w:val="20"/>
                              </w:rPr>
                            </w:pPr>
                            <w:r w:rsidRPr="00D205DD">
                              <w:rPr>
                                <w:rFonts w:ascii="Arial" w:hAnsi="Arial" w:cs="Arial"/>
                                <w:sz w:val="20"/>
                                <w:szCs w:val="20"/>
                              </w:rPr>
                              <w:t xml:space="preserve">Residential care homes are vital support to vulnerable adults, and the sustainability of these homes will be found in the resolution of workforce issues of pay, training, and career progression, and sufficient funding based on the actual cost of quality </w:t>
                            </w:r>
                            <w:proofErr w:type="spellStart"/>
                            <w:r w:rsidRPr="00D205DD">
                              <w:rPr>
                                <w:rFonts w:ascii="Arial" w:hAnsi="Arial" w:cs="Arial"/>
                                <w:sz w:val="20"/>
                                <w:szCs w:val="20"/>
                              </w:rPr>
                              <w:t>carages</w:t>
                            </w:r>
                            <w:proofErr w:type="spellEnd"/>
                            <w:r w:rsidRPr="00D205DD">
                              <w:rPr>
                                <w:rFonts w:ascii="Arial" w:hAnsi="Arial" w:cs="Arial"/>
                                <w:sz w:val="20"/>
                                <w:szCs w:val="20"/>
                              </w:rPr>
                              <w:t xml:space="preserve"> here</w:t>
                            </w:r>
                          </w:p>
                          <w:p w14:paraId="509CCEFE" w14:textId="77777777" w:rsidR="00BE6BE0" w:rsidRPr="00466094" w:rsidRDefault="00BE6BE0" w:rsidP="00BE6BE0">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9" type="#_x0000_t202" style="position:absolute;margin-left:460.4pt;margin-top:390.9pt;width:309pt;height:303.65pt;z-index:-2516408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" strokeweight="3.75pt">
                <v:textbox>
                  <w:txbxContent>
                    <w:p w14:paraId="4B560A28" w14:textId="77777777" w:rsidR="005F632C" w:rsidRPr="00D205DD" w:rsidRDefault="005F632C" w:rsidP="005F632C">
                      <w:pPr>
                        <w:rPr>
                          <w:rFonts w:ascii="Arial" w:hAnsi="Arial" w:cs="Arial"/>
                          <w:b/>
                          <w:bCs/>
                          <w:sz w:val="20"/>
                          <w:szCs w:val="20"/>
                        </w:rPr>
                      </w:pPr>
                      <w:r w:rsidRPr="00D205DD">
                        <w:rPr>
                          <w:rFonts w:ascii="Arial" w:hAnsi="Arial" w:cs="Arial"/>
                          <w:b/>
                          <w:bCs/>
                          <w:sz w:val="20"/>
                          <w:szCs w:val="20"/>
                        </w:rPr>
                        <w:t>TWO CHALLENGES FACED BY RESIDENTIAL CARE HOMES</w:t>
                      </w:r>
                    </w:p>
                    <w:p w14:paraId="3ED0902D" w14:textId="77777777" w:rsidR="005F632C" w:rsidRPr="00D205DD" w:rsidRDefault="005F632C" w:rsidP="005F632C">
                      <w:pPr>
                        <w:rPr>
                          <w:rFonts w:ascii="Arial" w:hAnsi="Arial" w:cs="Arial"/>
                          <w:sz w:val="20"/>
                          <w:szCs w:val="20"/>
                        </w:rPr>
                      </w:pPr>
                      <w:r w:rsidRPr="00D205DD">
                        <w:rPr>
                          <w:rFonts w:ascii="Arial" w:hAnsi="Arial" w:cs="Arial"/>
                          <w:sz w:val="20"/>
                          <w:szCs w:val="20"/>
                        </w:rPr>
                        <w:t>CHALLENGE 1: WORKFORCE RECRUITMENT AND RETENTION CRISIS</w:t>
                      </w:r>
                    </w:p>
                    <w:p w14:paraId="6237DA8C" w14:textId="77777777" w:rsidR="005F632C" w:rsidRPr="00D205DD" w:rsidRDefault="005F632C" w:rsidP="005F632C">
                      <w:pPr>
                        <w:rPr>
                          <w:rFonts w:ascii="Arial" w:hAnsi="Arial" w:cs="Arial"/>
                          <w:sz w:val="20"/>
                          <w:szCs w:val="20"/>
                        </w:rPr>
                      </w:pPr>
                      <w:r w:rsidRPr="00D205DD">
                        <w:rPr>
                          <w:rFonts w:ascii="Arial" w:hAnsi="Arial" w:cs="Arial"/>
                          <w:sz w:val="20"/>
                          <w:szCs w:val="20"/>
                        </w:rPr>
                        <w:t>Annual Care Worker Turnover Rate (2019-2023):</w:t>
                      </w:r>
                    </w:p>
                    <w:p w14:paraId="13C822A6" w14:textId="77777777" w:rsidR="005F632C" w:rsidRPr="00D205DD" w:rsidRDefault="005F632C" w:rsidP="005F632C">
                      <w:pPr>
                        <w:rPr>
                          <w:rFonts w:ascii="Arial" w:hAnsi="Arial" w:cs="Arial"/>
                          <w:sz w:val="20"/>
                          <w:szCs w:val="20"/>
                        </w:rPr>
                      </w:pPr>
                      <w:r w:rsidRPr="00D205DD">
                        <w:rPr>
                          <w:rFonts w:ascii="Arial" w:hAnsi="Arial" w:cs="Arial"/>
                          <w:sz w:val="20"/>
                          <w:szCs w:val="20"/>
                        </w:rPr>
                        <w:t>There are several factors contributing to the workforce challenges as described below:</w:t>
                      </w:r>
                    </w:p>
                    <w:p w14:paraId="7FE60275" w14:textId="77777777" w:rsidR="005F632C" w:rsidRPr="00D205DD" w:rsidRDefault="005F632C" w:rsidP="005F632C">
                      <w:pPr>
                        <w:rPr>
                          <w:rFonts w:ascii="Arial" w:hAnsi="Arial" w:cs="Arial"/>
                          <w:sz w:val="20"/>
                          <w:szCs w:val="20"/>
                        </w:rPr>
                      </w:pPr>
                      <w:r w:rsidRPr="00D205DD">
                        <w:rPr>
                          <w:rFonts w:ascii="Arial" w:hAnsi="Arial" w:cs="Arial"/>
                          <w:sz w:val="20"/>
                          <w:szCs w:val="20"/>
                        </w:rPr>
                        <w:t>• Low salary Minimum wage even though it is working.</w:t>
                      </w:r>
                    </w:p>
                    <w:p w14:paraId="35F93FA3" w14:textId="77777777" w:rsidR="005F632C" w:rsidRPr="00D205DD" w:rsidRDefault="005F632C" w:rsidP="005F632C">
                      <w:pPr>
                        <w:rPr>
                          <w:rFonts w:ascii="Arial" w:hAnsi="Arial" w:cs="Arial"/>
                          <w:sz w:val="20"/>
                          <w:szCs w:val="20"/>
                        </w:rPr>
                      </w:pPr>
                      <w:r w:rsidRPr="00D205DD">
                        <w:rPr>
                          <w:rFonts w:ascii="Arial" w:hAnsi="Arial" w:cs="Arial"/>
                          <w:sz w:val="20"/>
                          <w:szCs w:val="20"/>
                        </w:rPr>
                        <w:t xml:space="preserve">• Low achievement / growth in career- wise- Few career </w:t>
                      </w:r>
                      <w:proofErr w:type="gramStart"/>
                      <w:r w:rsidRPr="00D205DD">
                        <w:rPr>
                          <w:rFonts w:ascii="Arial" w:hAnsi="Arial" w:cs="Arial"/>
                          <w:sz w:val="20"/>
                          <w:szCs w:val="20"/>
                        </w:rPr>
                        <w:t>growth</w:t>
                      </w:r>
                      <w:proofErr w:type="gramEnd"/>
                      <w:r w:rsidRPr="00D205DD">
                        <w:rPr>
                          <w:rFonts w:ascii="Arial" w:hAnsi="Arial" w:cs="Arial"/>
                          <w:sz w:val="20"/>
                          <w:szCs w:val="20"/>
                        </w:rPr>
                        <w:t>.</w:t>
                      </w:r>
                    </w:p>
                    <w:p w14:paraId="0F5BD23B" w14:textId="360B10E1" w:rsidR="00BE6BE0" w:rsidRPr="00D205DD" w:rsidRDefault="005F632C" w:rsidP="005F632C">
                      <w:pPr>
                        <w:rPr>
                          <w:rFonts w:ascii="Arial" w:hAnsi="Arial" w:cs="Arial"/>
                          <w:sz w:val="20"/>
                          <w:szCs w:val="20"/>
                        </w:rPr>
                      </w:pPr>
                      <w:r w:rsidRPr="00D205DD">
                        <w:rPr>
                          <w:rFonts w:ascii="Arial" w:hAnsi="Arial" w:cs="Arial"/>
                          <w:sz w:val="20"/>
                          <w:szCs w:val="20"/>
                        </w:rPr>
                        <w:t>• Intense</w:t>
                      </w:r>
                    </w:p>
                    <w:p w14:paraId="1FB995A6" w14:textId="77777777" w:rsidR="006309FC" w:rsidRPr="0048775C" w:rsidRDefault="006309FC" w:rsidP="006309FC">
                      <w:pPr>
                        <w:rPr>
                          <w:rFonts w:ascii="Arial" w:hAnsi="Arial" w:cs="Arial"/>
                          <w:b/>
                          <w:bCs/>
                          <w:sz w:val="20"/>
                          <w:szCs w:val="20"/>
                        </w:rPr>
                      </w:pPr>
                      <w:r w:rsidRPr="0048775C">
                        <w:rPr>
                          <w:rFonts w:ascii="Arial" w:hAnsi="Arial" w:cs="Arial"/>
                          <w:b/>
                          <w:bCs/>
                          <w:sz w:val="20"/>
                          <w:szCs w:val="20"/>
                        </w:rPr>
                        <w:t>Conclusion</w:t>
                      </w:r>
                    </w:p>
                    <w:p w14:paraId="2DAEC6D7" w14:textId="77777777" w:rsidR="006309FC" w:rsidRPr="00D205DD" w:rsidRDefault="006309FC" w:rsidP="006309FC">
                      <w:pPr>
                        <w:rPr>
                          <w:rFonts w:ascii="Arial" w:hAnsi="Arial" w:cs="Arial"/>
                          <w:sz w:val="20"/>
                          <w:szCs w:val="20"/>
                        </w:rPr>
                      </w:pPr>
                      <w:r w:rsidRPr="00D205DD">
                        <w:rPr>
                          <w:rFonts w:ascii="Arial" w:hAnsi="Arial" w:cs="Arial"/>
                          <w:sz w:val="20"/>
                          <w:szCs w:val="20"/>
                        </w:rPr>
                        <w:t xml:space="preserve">Residential care homes are vital support to vulnerable adults, and the sustainability of these homes will be found in the resolution of workforce issues of pay, training, and career progression, and sufficient funding based on the actual cost of quality </w:t>
                      </w:r>
                      <w:proofErr w:type="spellStart"/>
                      <w:r w:rsidRPr="00D205DD">
                        <w:rPr>
                          <w:rFonts w:ascii="Arial" w:hAnsi="Arial" w:cs="Arial"/>
                          <w:sz w:val="20"/>
                          <w:szCs w:val="20"/>
                        </w:rPr>
                        <w:t>carages</w:t>
                      </w:r>
                      <w:proofErr w:type="spellEnd"/>
                      <w:r w:rsidRPr="00D205DD">
                        <w:rPr>
                          <w:rFonts w:ascii="Arial" w:hAnsi="Arial" w:cs="Arial"/>
                          <w:sz w:val="20"/>
                          <w:szCs w:val="20"/>
                        </w:rPr>
                        <w:t xml:space="preserve"> here</w:t>
                      </w:r>
                    </w:p>
                    <w:p w14:paraId="509CCEFE" w14:textId="77777777" w:rsidR="00BE6BE0" w:rsidRPr="00466094" w:rsidRDefault="00BE6BE0" w:rsidP="00BE6BE0">
                      <w:pPr>
                        <w:rPr>
                          <w:sz w:val="20"/>
                          <w:szCs w:val="20"/>
                        </w:rPr>
                      </w:pPr>
                    </w:p>
                  </w:txbxContent>
                </v:textbox>
                <w10:wrap type="tight" anchorx="page"/>
              </v:shape>
            </w:pict>
          </mc:Fallback>
        </mc:AlternateContent>
      </w:r>
      <w:r w:rsidR="00E94EA7">
        <w:rPr>
          <w:noProof/>
        </w:rPr>
        <mc:AlternateContent>
          <mc:Choice Requires="wps">
            <w:drawing>
              <wp:anchor distT="45720" distB="45720" distL="114300" distR="114300" simplePos="0" relativeHeight="251671552" behindDoc="1" locked="0" layoutInCell="1" allowOverlap="1" wp14:anchorId="5D749413" wp14:editId="1400CA23">
                <wp:simplePos x="0" y="0"/>
                <wp:positionH relativeFrom="margin">
                  <wp:posOffset>-147789</wp:posOffset>
                </wp:positionH>
                <wp:positionV relativeFrom="paragraph">
                  <wp:posOffset>4898224</wp:posOffset>
                </wp:positionV>
                <wp:extent cx="4576445" cy="3920490"/>
                <wp:effectExtent l="19050" t="19050" r="33655" b="41910"/>
                <wp:wrapTight wrapText="bothSides">
                  <wp:wrapPolygon edited="0">
                    <wp:start x="-90" y="-105"/>
                    <wp:lineTo x="-90" y="21726"/>
                    <wp:lineTo x="21669" y="21726"/>
                    <wp:lineTo x="21669" y="-105"/>
                    <wp:lineTo x="-90" y="-105"/>
                  </wp:wrapPolygon>
                </wp:wrapTight>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6445" cy="3920490"/>
                        </a:xfrm>
                        <a:prstGeom prst="rect">
                          <a:avLst/>
                        </a:prstGeom>
                        <a:solidFill>
                          <a:srgbClr val="FFFFFF"/>
                        </a:solidFill>
                        <a:ln w="47625">
                          <a:solidFill>
                            <a:srgbClr val="000000"/>
                          </a:solidFill>
                          <a:miter lim="800000"/>
                          <a:headEnd/>
                          <a:tailEnd/>
                        </a:ln>
                        <a:effectLst>
                          <a:softEdge rad="25400"/>
                        </a:effectLst>
                      </wps:spPr>
                      <wps:txbx>
                        <w:txbxContent>
                          <w:p w14:paraId="0B12F805" w14:textId="77777777" w:rsidR="00E133C3" w:rsidRPr="00D205DD" w:rsidRDefault="00E133C3" w:rsidP="00E133C3">
                            <w:pPr>
                              <w:rPr>
                                <w:rFonts w:ascii="Arial" w:hAnsi="Arial" w:cs="Arial"/>
                                <w:b/>
                                <w:bCs/>
                                <w:sz w:val="20"/>
                                <w:szCs w:val="20"/>
                              </w:rPr>
                            </w:pPr>
                            <w:r w:rsidRPr="00D205DD">
                              <w:rPr>
                                <w:rFonts w:ascii="Arial" w:hAnsi="Arial" w:cs="Arial"/>
                                <w:b/>
                                <w:bCs/>
                                <w:sz w:val="20"/>
                                <w:szCs w:val="20"/>
                              </w:rPr>
                              <w:t>1948-1980s: Post-War Development</w:t>
                            </w:r>
                          </w:p>
                          <w:p w14:paraId="71C18405" w14:textId="77777777" w:rsidR="00E133C3" w:rsidRPr="00D205DD" w:rsidRDefault="00E133C3" w:rsidP="00E133C3">
                            <w:pPr>
                              <w:rPr>
                                <w:rFonts w:ascii="Arial" w:hAnsi="Arial" w:cs="Arial"/>
                                <w:sz w:val="20"/>
                                <w:szCs w:val="20"/>
                              </w:rPr>
                            </w:pPr>
                            <w:r w:rsidRPr="00D205DD">
                              <w:rPr>
                                <w:rFonts w:ascii="Arial" w:hAnsi="Arial" w:cs="Arial"/>
                                <w:sz w:val="20"/>
                                <w:szCs w:val="20"/>
                              </w:rPr>
                              <w:t>In 1948, the Poor Law was abolished with the National Assistance Act of 1948 ensuring that responsibility of providing residential accommodation was assigned to the local authorities.</w:t>
                            </w:r>
                          </w:p>
                          <w:p w14:paraId="27F2BA77" w14:textId="77777777" w:rsidR="00E133C3" w:rsidRPr="00D205DD" w:rsidRDefault="00E133C3" w:rsidP="00E133C3">
                            <w:pPr>
                              <w:rPr>
                                <w:rFonts w:ascii="Arial" w:hAnsi="Arial" w:cs="Arial"/>
                                <w:b/>
                                <w:bCs/>
                                <w:sz w:val="20"/>
                                <w:szCs w:val="20"/>
                              </w:rPr>
                            </w:pPr>
                            <w:r w:rsidRPr="00D205DD">
                              <w:rPr>
                                <w:rFonts w:ascii="Arial" w:hAnsi="Arial" w:cs="Arial"/>
                                <w:b/>
                                <w:bCs/>
                                <w:sz w:val="20"/>
                                <w:szCs w:val="20"/>
                              </w:rPr>
                              <w:t>1980s-1990s: Private Sector Growth</w:t>
                            </w:r>
                          </w:p>
                          <w:p w14:paraId="25E82A71" w14:textId="77777777" w:rsidR="00E133C3" w:rsidRPr="00D205DD" w:rsidRDefault="00E133C3" w:rsidP="00E133C3">
                            <w:pPr>
                              <w:rPr>
                                <w:rFonts w:ascii="Arial" w:hAnsi="Arial" w:cs="Arial"/>
                                <w:sz w:val="20"/>
                                <w:szCs w:val="20"/>
                              </w:rPr>
                            </w:pPr>
                            <w:r w:rsidRPr="00D205DD">
                              <w:rPr>
                                <w:rFonts w:ascii="Arial" w:hAnsi="Arial" w:cs="Arial"/>
                                <w:sz w:val="20"/>
                                <w:szCs w:val="20"/>
                              </w:rPr>
                              <w:t>The NHS and Community Care Act 1990 established a mixed economy of care, and local authorities turned into purchasers instead of providers (Dumitru and Halpern, 2023).</w:t>
                            </w:r>
                          </w:p>
                          <w:p w14:paraId="56B10844" w14:textId="77777777" w:rsidR="00E133C3" w:rsidRPr="00D205DD" w:rsidRDefault="00E133C3" w:rsidP="00E133C3">
                            <w:pPr>
                              <w:rPr>
                                <w:rFonts w:ascii="Arial" w:hAnsi="Arial" w:cs="Arial"/>
                                <w:b/>
                                <w:bCs/>
                                <w:sz w:val="20"/>
                                <w:szCs w:val="20"/>
                              </w:rPr>
                            </w:pPr>
                            <w:r w:rsidRPr="00D205DD">
                              <w:rPr>
                                <w:rFonts w:ascii="Arial" w:hAnsi="Arial" w:cs="Arial"/>
                                <w:b/>
                                <w:bCs/>
                                <w:sz w:val="20"/>
                                <w:szCs w:val="20"/>
                              </w:rPr>
                              <w:t>2000s-Present: Quality and Regulation</w:t>
                            </w:r>
                          </w:p>
                          <w:p w14:paraId="60970306" w14:textId="77777777" w:rsidR="00E133C3" w:rsidRPr="00D205DD" w:rsidRDefault="00E133C3" w:rsidP="00E133C3">
                            <w:pPr>
                              <w:rPr>
                                <w:rFonts w:ascii="Arial" w:hAnsi="Arial" w:cs="Arial"/>
                                <w:sz w:val="20"/>
                                <w:szCs w:val="20"/>
                              </w:rPr>
                            </w:pPr>
                            <w:r w:rsidRPr="00D205DD">
                              <w:rPr>
                                <w:rFonts w:ascii="Arial" w:hAnsi="Arial" w:cs="Arial"/>
                                <w:sz w:val="20"/>
                                <w:szCs w:val="20"/>
                              </w:rPr>
                              <w:t>The current regulatory framework was established by Care Standards Act 2000 and Health and Social Care Act 2008 via Care Quality Commission (CQC).</w:t>
                            </w:r>
                          </w:p>
                          <w:p w14:paraId="1C5BF3B8" w14:textId="77777777" w:rsidR="00E133C3" w:rsidRPr="00D205DD" w:rsidRDefault="00E133C3" w:rsidP="00E133C3">
                            <w:pPr>
                              <w:rPr>
                                <w:rFonts w:ascii="Arial" w:hAnsi="Arial" w:cs="Arial"/>
                                <w:sz w:val="20"/>
                                <w:szCs w:val="20"/>
                              </w:rPr>
                            </w:pPr>
                            <w:r w:rsidRPr="00D205DD">
                              <w:rPr>
                                <w:rFonts w:ascii="Arial" w:hAnsi="Arial" w:cs="Arial"/>
                                <w:sz w:val="20"/>
                                <w:szCs w:val="20"/>
                              </w:rPr>
                              <w:t>Care Certificate (2015) has been brought in due to the Francis Inquiry to allow consistent training of staff (Manthorpe and Purcell, 2023).</w:t>
                            </w:r>
                          </w:p>
                          <w:p w14:paraId="0EA19AF6" w14:textId="77777777" w:rsidR="00E133C3" w:rsidRPr="009D4632" w:rsidRDefault="00E133C3" w:rsidP="00E133C3">
                            <w:pPr>
                              <w:jc w:val="center"/>
                              <w:rPr>
                                <w:sz w:val="20"/>
                                <w:szCs w:val="20"/>
                              </w:rPr>
                            </w:pPr>
                            <w:r w:rsidRPr="009D4632">
                              <w:rPr>
                                <w:noProof/>
                                <w:sz w:val="20"/>
                                <w:szCs w:val="20"/>
                              </w:rPr>
                              <w:drawing>
                                <wp:inline distT="0" distB="0" distL="0" distR="0" wp14:anchorId="68C27CEC" wp14:editId="6AD4157F">
                                  <wp:extent cx="2421890" cy="818984"/>
                                  <wp:effectExtent l="0" t="0" r="0" b="635"/>
                                  <wp:docPr id="1084140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055438" name=""/>
                                          <pic:cNvPicPr/>
                                        </pic:nvPicPr>
                                        <pic:blipFill>
                                          <a:blip r:embed="rId12"/>
                                          <a:stretch>
                                            <a:fillRect/>
                                          </a:stretch>
                                        </pic:blipFill>
                                        <pic:spPr>
                                          <a:xfrm>
                                            <a:off x="0" y="0"/>
                                            <a:ext cx="2442963" cy="826110"/>
                                          </a:xfrm>
                                          <a:prstGeom prst="rect">
                                            <a:avLst/>
                                          </a:prstGeom>
                                        </pic:spPr>
                                      </pic:pic>
                                    </a:graphicData>
                                  </a:graphic>
                                </wp:inline>
                              </w:drawing>
                            </w:r>
                          </w:p>
                          <w:p w14:paraId="7B69BC2F" w14:textId="0A4E28E4"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0" type="#_x0000_t202" style="position:absolute;margin-left:-11.65pt;margin-top:385.7pt;width:360.35pt;height:308.7pt;z-index:-2516449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" strokeweight="3.75pt">
                <v:textbox>
                  <w:txbxContent>
                    <w:p w14:paraId="0B12F805" w14:textId="77777777" w:rsidR="00E133C3" w:rsidRPr="00D205DD" w:rsidRDefault="00E133C3" w:rsidP="00E133C3">
                      <w:pPr>
                        <w:rPr>
                          <w:rFonts w:ascii="Arial" w:hAnsi="Arial" w:cs="Arial"/>
                          <w:b/>
                          <w:bCs/>
                          <w:sz w:val="20"/>
                          <w:szCs w:val="20"/>
                        </w:rPr>
                      </w:pPr>
                      <w:r w:rsidRPr="00D205DD">
                        <w:rPr>
                          <w:rFonts w:ascii="Arial" w:hAnsi="Arial" w:cs="Arial"/>
                          <w:b/>
                          <w:bCs/>
                          <w:sz w:val="20"/>
                          <w:szCs w:val="20"/>
                        </w:rPr>
                        <w:t>1948-1980s: Post-War Development</w:t>
                      </w:r>
                    </w:p>
                    <w:p w14:paraId="71C18405" w14:textId="77777777" w:rsidR="00E133C3" w:rsidRPr="00D205DD" w:rsidRDefault="00E133C3" w:rsidP="00E133C3">
                      <w:pPr>
                        <w:rPr>
                          <w:rFonts w:ascii="Arial" w:hAnsi="Arial" w:cs="Arial"/>
                          <w:sz w:val="20"/>
                          <w:szCs w:val="20"/>
                        </w:rPr>
                      </w:pPr>
                      <w:r w:rsidRPr="00D205DD">
                        <w:rPr>
                          <w:rFonts w:ascii="Arial" w:hAnsi="Arial" w:cs="Arial"/>
                          <w:sz w:val="20"/>
                          <w:szCs w:val="20"/>
                        </w:rPr>
                        <w:t>In 1948, the Poor Law was abolished with the National Assistance Act of 1948 ensuring that responsibility of providing residential accommodation was assigned to the local authorities.</w:t>
                      </w:r>
                    </w:p>
                    <w:p w14:paraId="27F2BA77" w14:textId="77777777" w:rsidR="00E133C3" w:rsidRPr="00D205DD" w:rsidRDefault="00E133C3" w:rsidP="00E133C3">
                      <w:pPr>
                        <w:rPr>
                          <w:rFonts w:ascii="Arial" w:hAnsi="Arial" w:cs="Arial"/>
                          <w:b/>
                          <w:bCs/>
                          <w:sz w:val="20"/>
                          <w:szCs w:val="20"/>
                        </w:rPr>
                      </w:pPr>
                      <w:r w:rsidRPr="00D205DD">
                        <w:rPr>
                          <w:rFonts w:ascii="Arial" w:hAnsi="Arial" w:cs="Arial"/>
                          <w:b/>
                          <w:bCs/>
                          <w:sz w:val="20"/>
                          <w:szCs w:val="20"/>
                        </w:rPr>
                        <w:t>1980s-1990s: Private Sector Growth</w:t>
                      </w:r>
                    </w:p>
                    <w:p w14:paraId="25E82A71" w14:textId="77777777" w:rsidR="00E133C3" w:rsidRPr="00D205DD" w:rsidRDefault="00E133C3" w:rsidP="00E133C3">
                      <w:pPr>
                        <w:rPr>
                          <w:rFonts w:ascii="Arial" w:hAnsi="Arial" w:cs="Arial"/>
                          <w:sz w:val="20"/>
                          <w:szCs w:val="20"/>
                        </w:rPr>
                      </w:pPr>
                      <w:r w:rsidRPr="00D205DD">
                        <w:rPr>
                          <w:rFonts w:ascii="Arial" w:hAnsi="Arial" w:cs="Arial"/>
                          <w:sz w:val="20"/>
                          <w:szCs w:val="20"/>
                        </w:rPr>
                        <w:t>The NHS and Community Care Act 1990 established a mixed economy of care, and local authorities turned into purchasers instead of providers (Dumitru and Halpern, 2023).</w:t>
                      </w:r>
                    </w:p>
                    <w:p w14:paraId="56B10844" w14:textId="77777777" w:rsidR="00E133C3" w:rsidRPr="00D205DD" w:rsidRDefault="00E133C3" w:rsidP="00E133C3">
                      <w:pPr>
                        <w:rPr>
                          <w:rFonts w:ascii="Arial" w:hAnsi="Arial" w:cs="Arial"/>
                          <w:b/>
                          <w:bCs/>
                          <w:sz w:val="20"/>
                          <w:szCs w:val="20"/>
                        </w:rPr>
                      </w:pPr>
                      <w:r w:rsidRPr="00D205DD">
                        <w:rPr>
                          <w:rFonts w:ascii="Arial" w:hAnsi="Arial" w:cs="Arial"/>
                          <w:b/>
                          <w:bCs/>
                          <w:sz w:val="20"/>
                          <w:szCs w:val="20"/>
                        </w:rPr>
                        <w:t>2000s-Present: Quality and Regulation</w:t>
                      </w:r>
                    </w:p>
                    <w:p w14:paraId="60970306" w14:textId="77777777" w:rsidR="00E133C3" w:rsidRPr="00D205DD" w:rsidRDefault="00E133C3" w:rsidP="00E133C3">
                      <w:pPr>
                        <w:rPr>
                          <w:rFonts w:ascii="Arial" w:hAnsi="Arial" w:cs="Arial"/>
                          <w:sz w:val="20"/>
                          <w:szCs w:val="20"/>
                        </w:rPr>
                      </w:pPr>
                      <w:r w:rsidRPr="00D205DD">
                        <w:rPr>
                          <w:rFonts w:ascii="Arial" w:hAnsi="Arial" w:cs="Arial"/>
                          <w:sz w:val="20"/>
                          <w:szCs w:val="20"/>
                        </w:rPr>
                        <w:t>The current regulatory framework was established by Care Standards Act 2000 and Health and Social Care Act 2008 via Care Quality Commission (CQC).</w:t>
                      </w:r>
                    </w:p>
                    <w:p w14:paraId="1C5BF3B8" w14:textId="77777777" w:rsidR="00E133C3" w:rsidRPr="00D205DD" w:rsidRDefault="00E133C3" w:rsidP="00E133C3">
                      <w:pPr>
                        <w:rPr>
                          <w:rFonts w:ascii="Arial" w:hAnsi="Arial" w:cs="Arial"/>
                          <w:sz w:val="20"/>
                          <w:szCs w:val="20"/>
                        </w:rPr>
                      </w:pPr>
                      <w:r w:rsidRPr="00D205DD">
                        <w:rPr>
                          <w:rFonts w:ascii="Arial" w:hAnsi="Arial" w:cs="Arial"/>
                          <w:sz w:val="20"/>
                          <w:szCs w:val="20"/>
                        </w:rPr>
                        <w:t>Care Certificate (2015) has been brought in due to the Francis Inquiry to allow consistent training of staff (Manthorpe and Purcell, 2023).</w:t>
                      </w:r>
                    </w:p>
                    <w:p w14:paraId="0EA19AF6" w14:textId="77777777" w:rsidR="00E133C3" w:rsidRPr="009D4632" w:rsidRDefault="00E133C3" w:rsidP="00E133C3">
                      <w:pPr>
                        <w:jc w:val="center"/>
                        <w:rPr>
                          <w:sz w:val="20"/>
                          <w:szCs w:val="20"/>
                        </w:rPr>
                      </w:pPr>
                      <w:r w:rsidRPr="009D4632">
                        <w:rPr>
                          <w:noProof/>
                          <w:sz w:val="20"/>
                          <w:szCs w:val="20"/>
                        </w:rPr>
                        <w:drawing>
                          <wp:inline distT="0" distB="0" distL="0" distR="0" wp14:anchorId="68C27CEC" wp14:editId="6AD4157F">
                            <wp:extent cx="2421890" cy="818984"/>
                            <wp:effectExtent l="0" t="0" r="0" b="635"/>
                            <wp:docPr id="1084140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055438" name=""/>
                                    <pic:cNvPicPr/>
                                  </pic:nvPicPr>
                                  <pic:blipFill>
                                    <a:blip r:embed="rId12"/>
                                    <a:stretch>
                                      <a:fillRect/>
                                    </a:stretch>
                                  </pic:blipFill>
                                  <pic:spPr>
                                    <a:xfrm>
                                      <a:off x="0" y="0"/>
                                      <a:ext cx="2442963" cy="826110"/>
                                    </a:xfrm>
                                    <a:prstGeom prst="rect">
                                      <a:avLst/>
                                    </a:prstGeom>
                                  </pic:spPr>
                                </pic:pic>
                              </a:graphicData>
                            </a:graphic>
                          </wp:inline>
                        </w:drawing>
                      </w:r>
                    </w:p>
                    <w:p w14:paraId="7B69BC2F" w14:textId="0A4E28E4" w:rsidR="00BE6BE0" w:rsidRDefault="00BE6BE0" w:rsidP="00BE6BE0"/>
                  </w:txbxContent>
                </v:textbox>
                <w10:wrap type="tight" anchorx="margin"/>
              </v:shape>
            </w:pict>
          </mc:Fallback>
        </mc:AlternateContent>
      </w:r>
      <w:r w:rsidR="00D205DD">
        <w:rPr>
          <w:noProof/>
        </w:rPr>
        <mc:AlternateContent>
          <mc:Choice Requires="wps">
            <w:drawing>
              <wp:anchor distT="45720" distB="45720" distL="114300" distR="114300" simplePos="0" relativeHeight="251663360" behindDoc="1" locked="0" layoutInCell="1" allowOverlap="1" wp14:anchorId="04CAE92E" wp14:editId="58E7E0BF">
                <wp:simplePos x="0" y="0"/>
                <wp:positionH relativeFrom="page">
                  <wp:posOffset>750570</wp:posOffset>
                </wp:positionH>
                <wp:positionV relativeFrom="paragraph">
                  <wp:posOffset>1410335</wp:posOffset>
                </wp:positionV>
                <wp:extent cx="4107180" cy="3336290"/>
                <wp:effectExtent l="19050" t="19050" r="45720" b="35560"/>
                <wp:wrapTight wrapText="bothSides">
                  <wp:wrapPolygon edited="0">
                    <wp:start x="-100" y="-123"/>
                    <wp:lineTo x="-100" y="21707"/>
                    <wp:lineTo x="21740" y="21707"/>
                    <wp:lineTo x="21740" y="-123"/>
                    <wp:lineTo x="-100" y="-123"/>
                  </wp:wrapPolygon>
                </wp:wrapTight>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07180" cy="3336290"/>
                        </a:xfrm>
                        <a:prstGeom prst="rect">
                          <a:avLst/>
                        </a:prstGeom>
                        <a:solidFill>
                          <a:srgbClr val="FFFFFF"/>
                        </a:solidFill>
                        <a:ln w="47625">
                          <a:solidFill>
                            <a:schemeClr val="accent2"/>
                          </a:solidFill>
                          <a:miter lim="800000"/>
                          <a:headEnd/>
                          <a:tailEnd/>
                        </a:ln>
                        <a:effectLst>
                          <a:softEdge rad="25400"/>
                        </a:effectLst>
                      </wps:spPr>
                      <wps:txbx>
                        <w:txbxContent>
                          <w:p w14:paraId="35096631" w14:textId="71B907BF" w:rsidR="00BE6BE0" w:rsidRPr="00FD32B5" w:rsidRDefault="00BE6BE0" w:rsidP="00BE6BE0">
                            <w:pPr>
                              <w:rPr>
                                <w:b/>
                                <w:bCs/>
                                <w:color w:val="385623" w:themeColor="accent6" w:themeShade="80"/>
                              </w:rPr>
                            </w:pPr>
                          </w:p>
                          <w:p w14:paraId="44A2397F" w14:textId="2F6584EC" w:rsidR="00BE6BE0" w:rsidRPr="0048775C" w:rsidRDefault="009D4632" w:rsidP="00BE6BE0">
                            <w:pPr>
                              <w:rPr>
                                <w:rFonts w:ascii="Arial" w:hAnsi="Arial" w:cs="Arial"/>
                                <w:b/>
                                <w:bCs/>
                                <w:sz w:val="20"/>
                                <w:szCs w:val="20"/>
                              </w:rPr>
                            </w:pPr>
                            <w:r w:rsidRPr="0048775C">
                              <w:rPr>
                                <w:rFonts w:ascii="Arial" w:hAnsi="Arial" w:cs="Arial"/>
                                <w:b/>
                                <w:bCs/>
                                <w:sz w:val="20"/>
                                <w:szCs w:val="20"/>
                              </w:rPr>
                              <w:t>WHAT ARE RESIDENTIAL CARE HOMES?</w:t>
                            </w:r>
                          </w:p>
                          <w:p w14:paraId="35134586" w14:textId="77777777" w:rsidR="00455C1B" w:rsidRPr="00D205DD" w:rsidRDefault="00455C1B" w:rsidP="00455C1B">
                            <w:pPr>
                              <w:spacing w:line="240" w:lineRule="auto"/>
                              <w:rPr>
                                <w:rFonts w:ascii="Arial" w:hAnsi="Arial" w:cs="Arial"/>
                                <w:sz w:val="20"/>
                                <w:szCs w:val="20"/>
                              </w:rPr>
                            </w:pPr>
                          </w:p>
                          <w:p w14:paraId="3F5EF089"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Residential care facilities offer accommodation, personal care, and 24-hour services to adults living with the inability to live independently. The residents are provided with their own rooms and belongings, staff members help with washing, dressing, eating, and managing medications.</w:t>
                            </w:r>
                          </w:p>
                          <w:p w14:paraId="383E7CDB"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KEY FEATURES:</w:t>
                            </w:r>
                            <w:r w:rsidRPr="00D205DD">
                              <w:rPr>
                                <w:rFonts w:ascii="Arial" w:hAnsi="Arial" w:cs="Arial"/>
                                <w:noProof/>
                                <w:sz w:val="20"/>
                                <w:szCs w:val="20"/>
                              </w:rPr>
                              <w:t xml:space="preserve"> </w:t>
                            </w:r>
                          </w:p>
                          <w:p w14:paraId="5048A32B"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 24-hour staff support</w:t>
                            </w:r>
                          </w:p>
                          <w:p w14:paraId="0DA878A6"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 Personal care assistance</w:t>
                            </w:r>
                          </w:p>
                          <w:p w14:paraId="13292B7C"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 Food and services served.</w:t>
                            </w:r>
                          </w:p>
                          <w:p w14:paraId="2D75E9D9"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 Social activities/ companionship.</w:t>
                            </w:r>
                            <w:r w:rsidRPr="00D205DD">
                              <w:rPr>
                                <w:rFonts w:ascii="Arial" w:hAnsi="Arial" w:cs="Arial"/>
                                <w:noProof/>
                                <w:sz w:val="20"/>
                                <w:szCs w:val="20"/>
                              </w:rPr>
                              <w:t xml:space="preserve"> </w:t>
                            </w:r>
                          </w:p>
                          <w:p w14:paraId="1F98ED58"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 Safe, secure environment</w:t>
                            </w:r>
                          </w:p>
                          <w:p w14:paraId="5595935C" w14:textId="77777777" w:rsidR="00455C1B" w:rsidRPr="00466094" w:rsidRDefault="00455C1B">
                            <w:pPr>
                              <w:rPr>
                                <w:sz w:val="20"/>
                                <w:szCs w:val="20"/>
                              </w:rPr>
                            </w:pPr>
                          </w:p>
                          <w:p w14:paraId="46F47604" w14:textId="77777777" w:rsidR="00455C1B" w:rsidRPr="00466094" w:rsidRDefault="00455C1B">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1" type="#_x0000_t202" style="position:absolute;margin-left:59.1pt;margin-top:111.05pt;width:323.4pt;height:262.7pt;z-index:-25165312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" strokecolor="#ed7d31 [3205]" strokeweight="3.75pt">
                <v:textbox>
                  <w:txbxContent>
                    <w:p w14:paraId="35096631" w14:textId="71B907BF" w:rsidR="00BE6BE0" w:rsidRPr="00FD32B5" w:rsidRDefault="00BE6BE0" w:rsidP="00BE6BE0">
                      <w:pPr>
                        <w:rPr>
                          <w:b/>
                          <w:bCs/>
                          <w:color w:val="385623" w:themeColor="accent6" w:themeShade="80"/>
                        </w:rPr>
                      </w:pPr>
                    </w:p>
                    <w:p w14:paraId="44A2397F" w14:textId="2F6584EC" w:rsidR="00BE6BE0" w:rsidRPr="0048775C" w:rsidRDefault="009D4632" w:rsidP="00BE6BE0">
                      <w:pPr>
                        <w:rPr>
                          <w:rFonts w:ascii="Arial" w:hAnsi="Arial" w:cs="Arial"/>
                          <w:b/>
                          <w:bCs/>
                          <w:sz w:val="20"/>
                          <w:szCs w:val="20"/>
                        </w:rPr>
                      </w:pPr>
                      <w:r w:rsidRPr="0048775C">
                        <w:rPr>
                          <w:rFonts w:ascii="Arial" w:hAnsi="Arial" w:cs="Arial"/>
                          <w:b/>
                          <w:bCs/>
                          <w:sz w:val="20"/>
                          <w:szCs w:val="20"/>
                        </w:rPr>
                        <w:t>WHAT ARE RESIDENTIAL CARE HOMES?</w:t>
                      </w:r>
                    </w:p>
                    <w:p w14:paraId="35134586" w14:textId="77777777" w:rsidR="00455C1B" w:rsidRPr="00D205DD" w:rsidRDefault="00455C1B" w:rsidP="00455C1B">
                      <w:pPr>
                        <w:spacing w:line="240" w:lineRule="auto"/>
                        <w:rPr>
                          <w:rFonts w:ascii="Arial" w:hAnsi="Arial" w:cs="Arial"/>
                          <w:sz w:val="20"/>
                          <w:szCs w:val="20"/>
                        </w:rPr>
                      </w:pPr>
                    </w:p>
                    <w:p w14:paraId="3F5EF089"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Residential care facilities offer accommodation, personal care, and 24-hour services to adults living with the inability to live independently. The residents are provided with their own rooms and belongings, staff members help with washing, dressing, eating, and managing medications.</w:t>
                      </w:r>
                    </w:p>
                    <w:p w14:paraId="383E7CDB"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KEY FEATURES:</w:t>
                      </w:r>
                      <w:r w:rsidRPr="00D205DD">
                        <w:rPr>
                          <w:rFonts w:ascii="Arial" w:hAnsi="Arial" w:cs="Arial"/>
                          <w:noProof/>
                          <w:sz w:val="20"/>
                          <w:szCs w:val="20"/>
                        </w:rPr>
                        <w:t xml:space="preserve"> </w:t>
                      </w:r>
                    </w:p>
                    <w:p w14:paraId="5048A32B"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 24-hour staff support</w:t>
                      </w:r>
                    </w:p>
                    <w:p w14:paraId="0DA878A6"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 Personal care assistance</w:t>
                      </w:r>
                    </w:p>
                    <w:p w14:paraId="13292B7C"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 Food and services served.</w:t>
                      </w:r>
                    </w:p>
                    <w:p w14:paraId="2D75E9D9"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 Social activities/ companionship.</w:t>
                      </w:r>
                      <w:r w:rsidRPr="00D205DD">
                        <w:rPr>
                          <w:rFonts w:ascii="Arial" w:hAnsi="Arial" w:cs="Arial"/>
                          <w:noProof/>
                          <w:sz w:val="20"/>
                          <w:szCs w:val="20"/>
                        </w:rPr>
                        <w:t xml:space="preserve"> </w:t>
                      </w:r>
                    </w:p>
                    <w:p w14:paraId="1F98ED58"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 Safe, secure environment</w:t>
                      </w:r>
                    </w:p>
                    <w:p w14:paraId="5595935C" w14:textId="77777777" w:rsidR="00455C1B" w:rsidRPr="00466094" w:rsidRDefault="00455C1B">
                      <w:pPr>
                        <w:rPr>
                          <w:sz w:val="20"/>
                          <w:szCs w:val="20"/>
                        </w:rPr>
                      </w:pPr>
                    </w:p>
                    <w:p w14:paraId="46F47604" w14:textId="77777777" w:rsidR="00455C1B" w:rsidRPr="00466094" w:rsidRDefault="00455C1B">
                      <w:pPr>
                        <w:rPr>
                          <w:sz w:val="20"/>
                          <w:szCs w:val="20"/>
                        </w:rPr>
                      </w:pPr>
                    </w:p>
                  </w:txbxContent>
                </v:textbox>
                <w10:wrap type="tight" anchorx="page"/>
              </v:shape>
            </w:pict>
          </mc:Fallback>
        </mc:AlternateContent>
      </w:r>
      <w:r w:rsidR="00F44107">
        <w:rPr>
          <w:noProof/>
        </w:rPr>
        <mc:AlternateContent>
          <mc:Choice Requires="wps">
            <w:drawing>
              <wp:anchor distT="45720" distB="45720" distL="114300" distR="114300" simplePos="0" relativeHeight="251665408" behindDoc="1" locked="0" layoutInCell="1" allowOverlap="1" wp14:anchorId="21A64788" wp14:editId="41AD3F66">
                <wp:simplePos x="0" y="0"/>
                <wp:positionH relativeFrom="margin">
                  <wp:posOffset>4630200</wp:posOffset>
                </wp:positionH>
                <wp:positionV relativeFrom="paragraph">
                  <wp:posOffset>1449595</wp:posOffset>
                </wp:positionV>
                <wp:extent cx="4242435" cy="3161030"/>
                <wp:effectExtent l="19050" t="19050" r="24765" b="20320"/>
                <wp:wrapTight wrapText="bothSides">
                  <wp:wrapPolygon edited="0">
                    <wp:start x="-97" y="-130"/>
                    <wp:lineTo x="-97" y="21609"/>
                    <wp:lineTo x="21629" y="21609"/>
                    <wp:lineTo x="21629" y="-130"/>
                    <wp:lineTo x="-97" y="-130"/>
                  </wp:wrapPolygon>
                </wp:wrapTight>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42435" cy="3161030"/>
                        </a:xfrm>
                        <a:prstGeom prst="rect">
                          <a:avLst/>
                        </a:prstGeom>
                        <a:solidFill>
                          <a:srgbClr val="FFFFFF"/>
                        </a:solidFill>
                        <a:ln w="44450">
                          <a:solidFill>
                            <a:srgbClr val="000000"/>
                          </a:solidFill>
                          <a:miter lim="800000"/>
                          <a:headEnd/>
                          <a:tailEnd/>
                        </a:ln>
                        <a:effectLst>
                          <a:softEdge rad="25400"/>
                        </a:effectLst>
                      </wps:spPr>
                      <wps:txbx>
                        <w:txbxContent>
                          <w:p w14:paraId="16EA0274" w14:textId="4932BF63" w:rsidR="00BE6BE0" w:rsidRPr="00D205DD" w:rsidRDefault="00BE6BE0" w:rsidP="00BE6BE0">
                            <w:pPr>
                              <w:rPr>
                                <w:rFonts w:ascii="Arial" w:hAnsi="Arial" w:cs="Arial"/>
                                <w:b/>
                                <w:bCs/>
                                <w:color w:val="385623" w:themeColor="accent6" w:themeShade="80"/>
                                <w:sz w:val="20"/>
                                <w:szCs w:val="20"/>
                              </w:rPr>
                            </w:pPr>
                          </w:p>
                          <w:p w14:paraId="7B341059" w14:textId="05DA1F2C" w:rsidR="00455C1B" w:rsidRPr="00D205DD" w:rsidRDefault="00455C1B" w:rsidP="00455C1B">
                            <w:pPr>
                              <w:rPr>
                                <w:rFonts w:ascii="Arial" w:hAnsi="Arial" w:cs="Arial"/>
                                <w:b/>
                                <w:bCs/>
                                <w:sz w:val="20"/>
                                <w:szCs w:val="20"/>
                              </w:rPr>
                            </w:pPr>
                            <w:r w:rsidRPr="00D205DD">
                              <w:rPr>
                                <w:rFonts w:ascii="Arial" w:hAnsi="Arial" w:cs="Arial"/>
                                <w:b/>
                                <w:bCs/>
                                <w:sz w:val="20"/>
                                <w:szCs w:val="20"/>
                              </w:rPr>
                              <w:t xml:space="preserve"> A BRIEF HISTORY OF RESIDENTIAL CARE</w:t>
                            </w:r>
                          </w:p>
                          <w:p w14:paraId="17641DD8" w14:textId="77777777" w:rsidR="00455C1B" w:rsidRPr="00D205DD" w:rsidRDefault="00455C1B" w:rsidP="00455C1B">
                            <w:pPr>
                              <w:rPr>
                                <w:rFonts w:ascii="Arial" w:hAnsi="Arial" w:cs="Arial"/>
                                <w:sz w:val="20"/>
                                <w:szCs w:val="20"/>
                              </w:rPr>
                            </w:pPr>
                            <w:r w:rsidRPr="00D205DD">
                              <w:rPr>
                                <w:rFonts w:ascii="Arial" w:hAnsi="Arial" w:cs="Arial"/>
                                <w:sz w:val="20"/>
                                <w:szCs w:val="20"/>
                              </w:rPr>
                              <w:t xml:space="preserve">Before 20 </w:t>
                            </w:r>
                            <w:proofErr w:type="spellStart"/>
                            <w:r w:rsidRPr="00D205DD">
                              <w:rPr>
                                <w:rFonts w:ascii="Arial" w:hAnsi="Arial" w:cs="Arial"/>
                                <w:sz w:val="20"/>
                                <w:szCs w:val="20"/>
                              </w:rPr>
                              <w:t>th</w:t>
                            </w:r>
                            <w:proofErr w:type="spellEnd"/>
                            <w:r w:rsidRPr="00D205DD">
                              <w:rPr>
                                <w:rFonts w:ascii="Arial" w:hAnsi="Arial" w:cs="Arial"/>
                                <w:sz w:val="20"/>
                                <w:szCs w:val="20"/>
                              </w:rPr>
                              <w:t xml:space="preserve"> Century: The Workhouse Era.</w:t>
                            </w:r>
                          </w:p>
                          <w:p w14:paraId="76D9B684" w14:textId="77777777" w:rsidR="00455C1B" w:rsidRPr="00D205DD" w:rsidRDefault="00455C1B" w:rsidP="00455C1B">
                            <w:pPr>
                              <w:rPr>
                                <w:rFonts w:ascii="Arial" w:hAnsi="Arial" w:cs="Arial"/>
                                <w:sz w:val="20"/>
                                <w:szCs w:val="20"/>
                              </w:rPr>
                            </w:pPr>
                            <w:r w:rsidRPr="00D205DD">
                              <w:rPr>
                                <w:rFonts w:ascii="Arial" w:hAnsi="Arial" w:cs="Arial"/>
                                <w:sz w:val="20"/>
                                <w:szCs w:val="20"/>
                              </w:rPr>
                              <w:t>In the pre-20th century, the poor laws frequently took older adults and the disabled who lacked family support into workhouses. The purpose of these institutions was to be brutally abusive of the need to depend on the government (</w:t>
                            </w:r>
                            <w:proofErr w:type="spellStart"/>
                            <w:r w:rsidRPr="00D205DD">
                              <w:rPr>
                                <w:rFonts w:ascii="Arial" w:hAnsi="Arial" w:cs="Arial"/>
                                <w:sz w:val="20"/>
                                <w:szCs w:val="20"/>
                              </w:rPr>
                              <w:t>Alenezi</w:t>
                            </w:r>
                            <w:proofErr w:type="spellEnd"/>
                            <w:r w:rsidRPr="00D205DD">
                              <w:rPr>
                                <w:rFonts w:ascii="Arial" w:hAnsi="Arial" w:cs="Arial"/>
                                <w:sz w:val="20"/>
                                <w:szCs w:val="20"/>
                              </w:rPr>
                              <w:t>, 2023).</w:t>
                            </w:r>
                          </w:p>
                          <w:p w14:paraId="35227DA5" w14:textId="77777777" w:rsidR="00802559" w:rsidRPr="009D4632" w:rsidRDefault="00802559" w:rsidP="00802559">
                            <w:pPr>
                              <w:jc w:val="center"/>
                            </w:pPr>
                            <w:r w:rsidRPr="009D4632">
                              <w:rPr>
                                <w:noProof/>
                              </w:rPr>
                              <w:drawing>
                                <wp:inline distT="0" distB="0" distL="0" distR="0" wp14:anchorId="073AE063" wp14:editId="13BCDBD4">
                                  <wp:extent cx="2838616" cy="1391285"/>
                                  <wp:effectExtent l="0" t="0" r="0" b="0"/>
                                  <wp:docPr id="1150042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912735" name=""/>
                                          <pic:cNvPicPr/>
                                        </pic:nvPicPr>
                                        <pic:blipFill>
                                          <a:blip r:embed="rId13"/>
                                          <a:stretch>
                                            <a:fillRect/>
                                          </a:stretch>
                                        </pic:blipFill>
                                        <pic:spPr>
                                          <a:xfrm>
                                            <a:off x="0" y="0"/>
                                            <a:ext cx="2871647" cy="1407474"/>
                                          </a:xfrm>
                                          <a:prstGeom prst="rect">
                                            <a:avLst/>
                                          </a:prstGeom>
                                        </pic:spPr>
                                      </pic:pic>
                                    </a:graphicData>
                                  </a:graphic>
                                </wp:inline>
                              </w:drawing>
                            </w:r>
                          </w:p>
                          <w:p w14:paraId="2A6CE679" w14:textId="193BD7FF"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2" type="#_x0000_t202" style="position:absolute;margin-left:364.6pt;margin-top:114.15pt;width:334.05pt;height:248.9pt;z-index:-2516510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" strokeweight="3.5pt">
                <v:textbox>
                  <w:txbxContent>
                    <w:p w14:paraId="16EA0274" w14:textId="4932BF63" w:rsidR="00BE6BE0" w:rsidRPr="00D205DD" w:rsidRDefault="00BE6BE0" w:rsidP="00BE6BE0">
                      <w:pPr>
                        <w:rPr>
                          <w:rFonts w:ascii="Arial" w:hAnsi="Arial" w:cs="Arial"/>
                          <w:b/>
                          <w:bCs/>
                          <w:color w:val="385623" w:themeColor="accent6" w:themeShade="80"/>
                          <w:sz w:val="20"/>
                          <w:szCs w:val="20"/>
                        </w:rPr>
                      </w:pPr>
                    </w:p>
                    <w:p w14:paraId="7B341059" w14:textId="05DA1F2C" w:rsidR="00455C1B" w:rsidRPr="00D205DD" w:rsidRDefault="00455C1B" w:rsidP="00455C1B">
                      <w:pPr>
                        <w:rPr>
                          <w:rFonts w:ascii="Arial" w:hAnsi="Arial" w:cs="Arial"/>
                          <w:b/>
                          <w:bCs/>
                          <w:sz w:val="20"/>
                          <w:szCs w:val="20"/>
                        </w:rPr>
                      </w:pPr>
                      <w:r w:rsidRPr="00D205DD">
                        <w:rPr>
                          <w:rFonts w:ascii="Arial" w:hAnsi="Arial" w:cs="Arial"/>
                          <w:b/>
                          <w:bCs/>
                          <w:sz w:val="20"/>
                          <w:szCs w:val="20"/>
                        </w:rPr>
                        <w:t xml:space="preserve"> A BRIEF HISTORY OF RESIDENTIAL CARE</w:t>
                      </w:r>
                    </w:p>
                    <w:p w14:paraId="17641DD8" w14:textId="77777777" w:rsidR="00455C1B" w:rsidRPr="00D205DD" w:rsidRDefault="00455C1B" w:rsidP="00455C1B">
                      <w:pPr>
                        <w:rPr>
                          <w:rFonts w:ascii="Arial" w:hAnsi="Arial" w:cs="Arial"/>
                          <w:sz w:val="20"/>
                          <w:szCs w:val="20"/>
                        </w:rPr>
                      </w:pPr>
                      <w:r w:rsidRPr="00D205DD">
                        <w:rPr>
                          <w:rFonts w:ascii="Arial" w:hAnsi="Arial" w:cs="Arial"/>
                          <w:sz w:val="20"/>
                          <w:szCs w:val="20"/>
                        </w:rPr>
                        <w:t xml:space="preserve">Before 20 </w:t>
                      </w:r>
                      <w:proofErr w:type="spellStart"/>
                      <w:r w:rsidRPr="00D205DD">
                        <w:rPr>
                          <w:rFonts w:ascii="Arial" w:hAnsi="Arial" w:cs="Arial"/>
                          <w:sz w:val="20"/>
                          <w:szCs w:val="20"/>
                        </w:rPr>
                        <w:t>th</w:t>
                      </w:r>
                      <w:proofErr w:type="spellEnd"/>
                      <w:r w:rsidRPr="00D205DD">
                        <w:rPr>
                          <w:rFonts w:ascii="Arial" w:hAnsi="Arial" w:cs="Arial"/>
                          <w:sz w:val="20"/>
                          <w:szCs w:val="20"/>
                        </w:rPr>
                        <w:t xml:space="preserve"> Century: The Workhouse Era.</w:t>
                      </w:r>
                    </w:p>
                    <w:p w14:paraId="76D9B684" w14:textId="77777777" w:rsidR="00455C1B" w:rsidRPr="00D205DD" w:rsidRDefault="00455C1B" w:rsidP="00455C1B">
                      <w:pPr>
                        <w:rPr>
                          <w:rFonts w:ascii="Arial" w:hAnsi="Arial" w:cs="Arial"/>
                          <w:sz w:val="20"/>
                          <w:szCs w:val="20"/>
                        </w:rPr>
                      </w:pPr>
                      <w:r w:rsidRPr="00D205DD">
                        <w:rPr>
                          <w:rFonts w:ascii="Arial" w:hAnsi="Arial" w:cs="Arial"/>
                          <w:sz w:val="20"/>
                          <w:szCs w:val="20"/>
                        </w:rPr>
                        <w:t>In the pre-20th century, the poor laws frequently took older adults and the disabled who lacked family support into workhouses. The purpose of these institutions was to be brutally abusive of the need to depend on the government (</w:t>
                      </w:r>
                      <w:proofErr w:type="spellStart"/>
                      <w:r w:rsidRPr="00D205DD">
                        <w:rPr>
                          <w:rFonts w:ascii="Arial" w:hAnsi="Arial" w:cs="Arial"/>
                          <w:sz w:val="20"/>
                          <w:szCs w:val="20"/>
                        </w:rPr>
                        <w:t>Alenezi</w:t>
                      </w:r>
                      <w:proofErr w:type="spellEnd"/>
                      <w:r w:rsidRPr="00D205DD">
                        <w:rPr>
                          <w:rFonts w:ascii="Arial" w:hAnsi="Arial" w:cs="Arial"/>
                          <w:sz w:val="20"/>
                          <w:szCs w:val="20"/>
                        </w:rPr>
                        <w:t>, 2023).</w:t>
                      </w:r>
                    </w:p>
                    <w:p w14:paraId="35227DA5" w14:textId="77777777" w:rsidR="00802559" w:rsidRPr="009D4632" w:rsidRDefault="00802559" w:rsidP="00802559">
                      <w:pPr>
                        <w:jc w:val="center"/>
                      </w:pPr>
                      <w:r w:rsidRPr="009D4632">
                        <w:rPr>
                          <w:noProof/>
                        </w:rPr>
                        <w:drawing>
                          <wp:inline distT="0" distB="0" distL="0" distR="0" wp14:anchorId="073AE063" wp14:editId="13BCDBD4">
                            <wp:extent cx="2838616" cy="1391285"/>
                            <wp:effectExtent l="0" t="0" r="0" b="0"/>
                            <wp:docPr id="1150042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912735" name=""/>
                                    <pic:cNvPicPr/>
                                  </pic:nvPicPr>
                                  <pic:blipFill>
                                    <a:blip r:embed="rId13"/>
                                    <a:stretch>
                                      <a:fillRect/>
                                    </a:stretch>
                                  </pic:blipFill>
                                  <pic:spPr>
                                    <a:xfrm>
                                      <a:off x="0" y="0"/>
                                      <a:ext cx="2871647" cy="1407474"/>
                                    </a:xfrm>
                                    <a:prstGeom prst="rect">
                                      <a:avLst/>
                                    </a:prstGeom>
                                  </pic:spPr>
                                </pic:pic>
                              </a:graphicData>
                            </a:graphic>
                          </wp:inline>
                        </w:drawing>
                      </w:r>
                    </w:p>
                    <w:p w14:paraId="2A6CE679" w14:textId="193BD7FF" w:rsidR="00BE6BE0" w:rsidRDefault="00BE6BE0" w:rsidP="00BE6BE0"/>
                  </w:txbxContent>
                </v:textbox>
                <w10:wrap type="tight" anchorx="margin"/>
              </v:shape>
            </w:pict>
          </mc:Fallback>
        </mc:AlternateContent>
      </w:r>
    </w:p>
    <w:p w14:paraId="75CAEAC0" w14:textId="77777777" w:rsidR="002A300E" w:rsidRPr="0065413D" w:rsidRDefault="002A300E" w:rsidP="002A300E">
      <w:pPr>
        <w:spacing w:line="360" w:lineRule="auto"/>
        <w:jc w:val="center"/>
        <w:rPr>
          <w:rFonts w:cstheme="minorHAnsi"/>
          <w:b/>
          <w:bCs/>
          <w:sz w:val="24"/>
          <w:szCs w:val="24"/>
          <w:lang w:val="en-US"/>
        </w:rPr>
      </w:pPr>
      <w:r w:rsidRPr="0065413D">
        <w:rPr>
          <w:rFonts w:cstheme="minorHAnsi"/>
          <w:b/>
          <w:bCs/>
          <w:sz w:val="24"/>
          <w:szCs w:val="24"/>
          <w:lang w:val="en-US"/>
        </w:rPr>
        <w:lastRenderedPageBreak/>
        <w:t>Ambulance Services: Origins, Current Function, and Significance for Service Users</w:t>
      </w:r>
    </w:p>
    <w:p w14:paraId="049CB393"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Introduction</w:t>
      </w:r>
    </w:p>
    <w:p w14:paraId="0AA1D091"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This essay examines the background of ambulance services in the UK health and social care system and how it has evolved over the years. It will critically assess the current state of the service operations by relying on the current research conducted in the areas of workforce development, reflective practice, critical thinking, and digital transformation. The discussion will center on the importance of the ambulance service towards improving the level of life and health outcome among the users of the ambulance service.</w:t>
      </w:r>
    </w:p>
    <w:p w14:paraId="7CCB0D0F"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History Origins and Development</w:t>
      </w:r>
    </w:p>
    <w:p w14:paraId="14C0F61B"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Modern ambulance services have their roots in general trends in the development of professional healthcare. Provision of ambulances at an early stage was disjointed and this has depended on voluntary organizations including the St John Ambulance Association. In 1948 the institution of the National Health Service (NHS) developed an ambulance service which was made free of charge at the point of use and was the first of its type to be universal.</w:t>
      </w:r>
    </w:p>
    <w:p w14:paraId="49AE34D0"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To comprehend this history, the training of the workforce should not be ignored. Manthorpe and Purcell (2023) discuss the innovations in the field of healthcare training, referring to the fact that the Care Certificate is a remarkable effort to standardize the training of health and social care personnel, including ambulance workers.</w:t>
      </w:r>
    </w:p>
    <w:p w14:paraId="3B2CE295"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The shift in ambulance services into a more clinical-oriented emergency care provider is like the overall changes in healthcare education. According to Dumitru and Halpern (2023), critical thinking will develop a future of work that will be job-proof. The ambulance personnel nowadays need advanced critical thinking skills that will help them in evaluating patients, making treatment choices, and the way of care that is suitable.</w:t>
      </w:r>
    </w:p>
    <w:p w14:paraId="43FD51DC"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This took a radical turn in the 1970s and 1980s with paramedic training programs. Formalization of paramedic training was formally set in the Millar Report (1986) where it was noted that the ambulance staff needed high level of knowledge and skills to give effective emergency care.</w:t>
      </w:r>
    </w:p>
    <w:p w14:paraId="683A35B1"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Evaluation of the Existing Operations</w:t>
      </w:r>
    </w:p>
    <w:p w14:paraId="1C2AC02A"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lastRenderedPageBreak/>
        <w:t>The ambulance services are now complex clinically led by emergency service providers. The current ambulance crew consist of paramedics, emergency technicians and emergency care assistants, who are trained to offer comprehensive clinical interventions.</w:t>
      </w:r>
    </w:p>
    <w:p w14:paraId="2F1ABE36"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Staffing Exercises and Hiring Issues</w:t>
      </w:r>
    </w:p>
    <w:p w14:paraId="2FFFE4E0"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Schmied Haus et al. (2023) discuss the so-called great resignation in the framework of an occupational health perspective of the intentions-to-quit. Burnout, workload pressures, a lack of career progression, and poor support systems are some of the factors that contribute to intentions-to-quit. Ambulance workers have a high level of emotional pressure and traumatic experiences. These conditions result in burnout and leaving the profession without proper support.</w:t>
      </w:r>
    </w:p>
    <w:p w14:paraId="06FC3541"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The Importance of Reflective Practice</w:t>
      </w:r>
    </w:p>
    <w:p w14:paraId="1493A3DB"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Alt, Raichel and Naramata-Schneider (2022) show that reflective writing in journals fosters the ability of the students to continue their lifetime learning. Reflective practice plays a critical role in ambulance services in terms of learning complex cases, regulated emotional reactions to the trauma, and constant advancement of clinical judgement. Their study established that the tendencies of students to apply reflective skills in their professional life are related to academic, professional, personal, and multicultural development-linked learning experiences. Incorporation of reflective practice in the entire ambulance training may help improve the quality of clinical practice and the wellbeing of staff.</w:t>
      </w:r>
    </w:p>
    <w:p w14:paraId="7F01C698"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Digital Alteration and Service Conveyance</w:t>
      </w:r>
    </w:p>
    <w:p w14:paraId="022CC4B6"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Alenes (2023) does clarify that digital transformation is a significant change taking place in higher education institutions. Similarly, ambulance services are being digitized with the use of electronic patient records, digital commenting systems, telemedicine, and demand prediction assistance through data analytics. According to Alenes (2023), digital literacy and digital skills would come in handy where there is a need of understanding technology and interpersonal dynamics. The ambulance personnel thus must acquire not only their conventional clinically related skills but also their digital skills.</w:t>
      </w:r>
    </w:p>
    <w:p w14:paraId="0A83279A"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Under Pressure: Critical Thinking</w:t>
      </w:r>
    </w:p>
    <w:p w14:paraId="6492FC3D"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lastRenderedPageBreak/>
        <w:t>Dumitru and Halpern (2023) suggest that those with the opportunity to reorient themselves differently will feel that they have agency. In the case of ambulance workers, critical thinking can help them to make a quick evaluation of complicated scenarios and make a good clinical decision in a stressful environment. Critical thinking develops so-called job-proof skills that cannot be lost, no matter what changes are going to happen in the work and in technologies.</w:t>
      </w:r>
    </w:p>
    <w:p w14:paraId="75E390F5"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Future Skills and Emerging Technologies</w:t>
      </w:r>
    </w:p>
    <w:p w14:paraId="363CEBA2"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Southworth et al. (2023) discuss the concept of creating a model of AI in the curriculum, which focuses on AI literacy innovation. With the artificial intelligence affecting ambulance services by using computer-aided dispatch and clinical decision support systems, the staff will require new literacies. According to Olcott Jr (2022), micro-credentials are discussed as the driver of strategic reset. Micro-credentials have the potential to help workforce develop and retain staff by equipping them with skills quickly, such as advanced trauma care or digital health literacy.</w:t>
      </w:r>
    </w:p>
    <w:p w14:paraId="5A287D97"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Hospital Handover Delays</w:t>
      </w:r>
    </w:p>
    <w:p w14:paraId="5E66FE98"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One of the most important issues is that of hospital handover delay. Ambulances waiting outside hospitals during full occupancy minimize the number of vehicles available and extend the stress levels of the crew. This involves critical thinking and cooperative problem-solving that are found necessary according to Dumitru and Halpern (2023).</w:t>
      </w:r>
    </w:p>
    <w:p w14:paraId="3041E6E9"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Value in Improving the Standard of Life</w:t>
      </w:r>
    </w:p>
    <w:p w14:paraId="6B443C61"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Regardless of the pressure, ambulance services are still heavily needed to improve the quality-of-service users.</w:t>
      </w:r>
    </w:p>
    <w:p w14:paraId="33CD36DF"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Momentary Life-Saving Intervention</w:t>
      </w:r>
    </w:p>
    <w:p w14:paraId="62BED690"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In the case of cardiac arrest, major trauma or stroke patients, ambulance services offer life-saving interventions that are otherwise unavailable. Minutes of defibrillation are a big boost to survival because thousands of lives are saved every year.</w:t>
      </w:r>
    </w:p>
    <w:p w14:paraId="4E3A2C13"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Hospital Admission Prevention</w:t>
      </w:r>
    </w:p>
    <w:p w14:paraId="28B9C5F9"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lastRenderedPageBreak/>
        <w:t>Services are becoming more modern and instead of taking patients to an unnecessary admission place, they are treated at the scene or referred to other services. This is a complex clinical judgement, the critical thinking Dumitru and Halpern (2023) state is necessary.</w:t>
      </w:r>
    </w:p>
    <w:p w14:paraId="79EC989A"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Reassurance and Access to the Vulnerable Groups</w:t>
      </w:r>
    </w:p>
    <w:p w14:paraId="04A7402A"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The ambulance services offer practical emergency treatment to everyone without regard to their location or their capacity to pay. To the elderly population living alone and with no means of transport, the ambulance service is a major safety net, and this service improves the standard of living as it assures them.</w:t>
      </w:r>
    </w:p>
    <w:p w14:paraId="1F55343F"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Helping Employees Help Clients</w:t>
      </w:r>
    </w:p>
    <w:p w14:paraId="22C21614"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 xml:space="preserve">The quality of care is subject to the wellbeing of the staff. Manthorpe and Purcell (2023) emphasize the role of the Care Certificate in staff preparation. Alt, Raichel and </w:t>
      </w:r>
      <w:proofErr w:type="spellStart"/>
      <w:r w:rsidRPr="0065413D">
        <w:rPr>
          <w:rFonts w:cstheme="minorHAnsi"/>
          <w:sz w:val="24"/>
          <w:szCs w:val="24"/>
          <w:lang w:val="en-US"/>
        </w:rPr>
        <w:t>Naamati</w:t>
      </w:r>
      <w:proofErr w:type="spellEnd"/>
      <w:r w:rsidRPr="0065413D">
        <w:rPr>
          <w:rFonts w:cstheme="minorHAnsi"/>
          <w:sz w:val="24"/>
          <w:szCs w:val="24"/>
          <w:lang w:val="en-US"/>
        </w:rPr>
        <w:t xml:space="preserve">-Schneider (2022) demonstrate that reflective practice is advantageous to professional growth. As shown by </w:t>
      </w:r>
      <w:proofErr w:type="spellStart"/>
      <w:r w:rsidRPr="0065413D">
        <w:rPr>
          <w:rFonts w:cstheme="minorHAnsi"/>
          <w:sz w:val="24"/>
          <w:szCs w:val="24"/>
          <w:lang w:val="en-US"/>
        </w:rPr>
        <w:t>Schmiedehaus</w:t>
      </w:r>
      <w:proofErr w:type="spellEnd"/>
      <w:r w:rsidRPr="0065413D">
        <w:rPr>
          <w:rFonts w:cstheme="minorHAnsi"/>
          <w:sz w:val="24"/>
          <w:szCs w:val="24"/>
          <w:lang w:val="en-US"/>
        </w:rPr>
        <w:t xml:space="preserve"> et al. (2023), to have a stable workforce, one needs to understand intentions-to-quit. Staff members offer better care when they feel supported and thus become more competent and compassionate.</w:t>
      </w:r>
    </w:p>
    <w:p w14:paraId="0AD5B1CB"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Conclusion</w:t>
      </w:r>
    </w:p>
    <w:p w14:paraId="431278E3"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 xml:space="preserve">The nature of the ambulance services has taken a new form compared to the primitive services of transport providers to the complex clinically oriented services that are part of the NHS. The issues with ambulance services, such as retention of the workforce, the lack of digital skills, and the delay of handovers in hospitals, are a major problem. But this does not mean the end; innovations provide the way out. Manthorpe and Purcell (2023) show the worthiness of standardized training. Alt, Raichel and </w:t>
      </w:r>
      <w:proofErr w:type="spellStart"/>
      <w:r w:rsidRPr="0065413D">
        <w:rPr>
          <w:rFonts w:cstheme="minorHAnsi"/>
          <w:sz w:val="24"/>
          <w:szCs w:val="24"/>
          <w:lang w:val="en-US"/>
        </w:rPr>
        <w:t>Naamati</w:t>
      </w:r>
      <w:proofErr w:type="spellEnd"/>
      <w:r w:rsidRPr="0065413D">
        <w:rPr>
          <w:rFonts w:cstheme="minorHAnsi"/>
          <w:sz w:val="24"/>
          <w:szCs w:val="24"/>
          <w:lang w:val="en-US"/>
        </w:rPr>
        <w:t xml:space="preserve">-Schneider (2022) demonstrate how reflective practice can help with lifelong learning. Dumitru and Halpern (2023) highlight the importance of critical thinking to navigate the complex environment. </w:t>
      </w:r>
      <w:proofErr w:type="spellStart"/>
      <w:r w:rsidRPr="0065413D">
        <w:rPr>
          <w:rFonts w:cstheme="minorHAnsi"/>
          <w:sz w:val="24"/>
          <w:szCs w:val="24"/>
          <w:lang w:val="en-US"/>
        </w:rPr>
        <w:t>Alenezi</w:t>
      </w:r>
      <w:proofErr w:type="spellEnd"/>
      <w:r w:rsidRPr="0065413D">
        <w:rPr>
          <w:rFonts w:cstheme="minorHAnsi"/>
          <w:sz w:val="24"/>
          <w:szCs w:val="24"/>
          <w:lang w:val="en-US"/>
        </w:rPr>
        <w:t xml:space="preserve"> (2023) and Southworth et al. (2023) put emphasis on digital and AI literacy. According to Olcott Jr (2022), micro-credentials would provide flexibility in the workforce. The importance of ambulance services towards improving the quality of life is still fundamental. To maintain this important service, it is necessary to address the workforce development, digital </w:t>
      </w:r>
      <w:r w:rsidRPr="0065413D">
        <w:rPr>
          <w:rFonts w:cstheme="minorHAnsi"/>
          <w:sz w:val="24"/>
          <w:szCs w:val="24"/>
          <w:lang w:val="en-US"/>
        </w:rPr>
        <w:lastRenderedPageBreak/>
        <w:t>infrastructure, and coordination of the systems to make a difference in eliminating the systemic pressures.</w:t>
      </w:r>
    </w:p>
    <w:p w14:paraId="36B46286" w14:textId="77777777" w:rsidR="002A300E" w:rsidRPr="0065413D" w:rsidRDefault="002A300E" w:rsidP="002A300E">
      <w:pPr>
        <w:pStyle w:val="Heading1"/>
        <w:rPr>
          <w:rFonts w:asciiTheme="minorHAnsi" w:hAnsiTheme="minorHAnsi" w:cstheme="minorHAnsi"/>
          <w:b/>
          <w:bCs/>
          <w:sz w:val="24"/>
          <w:szCs w:val="24"/>
        </w:rPr>
      </w:pPr>
      <w:bookmarkStart w:id="1" w:name="_Toc223192110"/>
      <w:r w:rsidRPr="0065413D">
        <w:rPr>
          <w:rFonts w:asciiTheme="minorHAnsi" w:hAnsiTheme="minorHAnsi" w:cstheme="minorHAnsi"/>
          <w:b/>
          <w:bCs/>
          <w:sz w:val="24"/>
          <w:szCs w:val="24"/>
        </w:rPr>
        <w:t>References</w:t>
      </w:r>
      <w:bookmarkEnd w:id="1"/>
    </w:p>
    <w:p w14:paraId="41348226" w14:textId="77777777" w:rsidR="002A300E" w:rsidRPr="0065413D" w:rsidRDefault="002A300E" w:rsidP="002A300E">
      <w:pPr>
        <w:spacing w:line="360" w:lineRule="auto"/>
        <w:rPr>
          <w:rFonts w:cstheme="minorHAnsi"/>
          <w:sz w:val="24"/>
          <w:szCs w:val="24"/>
        </w:rPr>
      </w:pPr>
      <w:r w:rsidRPr="0065413D">
        <w:rPr>
          <w:rFonts w:cstheme="minorHAnsi"/>
          <w:sz w:val="24"/>
          <w:szCs w:val="24"/>
        </w:rPr>
        <w:t xml:space="preserve">Manthorpe, J. and Purcell, C., 2023. What Can we Learn from the Innovation of The Care </w:t>
      </w:r>
      <w:proofErr w:type="gramStart"/>
      <w:r w:rsidRPr="0065413D">
        <w:rPr>
          <w:rFonts w:cstheme="minorHAnsi"/>
          <w:sz w:val="24"/>
          <w:szCs w:val="24"/>
        </w:rPr>
        <w:t>Certificate?:</w:t>
      </w:r>
      <w:proofErr w:type="gramEnd"/>
      <w:r w:rsidRPr="0065413D">
        <w:rPr>
          <w:rFonts w:cstheme="minorHAnsi"/>
          <w:sz w:val="24"/>
          <w:szCs w:val="24"/>
        </w:rPr>
        <w:t xml:space="preserve"> An Online Witness Seminar, 14th March 2023. </w:t>
      </w:r>
      <w:hyperlink r:id="rId14" w:history="1">
        <w:r w:rsidRPr="0065413D">
          <w:rPr>
            <w:rStyle w:val="Hyperlink"/>
            <w:rFonts w:cstheme="minorHAnsi"/>
            <w:sz w:val="24"/>
            <w:szCs w:val="24"/>
          </w:rPr>
          <w:t>https://kclpure.kcl.ac.uk/portal/files/230424848/Care_Certificate_Witness_Seminar_14_March_2023.pdf</w:t>
        </w:r>
      </w:hyperlink>
    </w:p>
    <w:p w14:paraId="1671D2FC" w14:textId="77777777" w:rsidR="002A300E" w:rsidRPr="0065413D" w:rsidRDefault="002A300E" w:rsidP="002A300E">
      <w:pPr>
        <w:spacing w:line="360" w:lineRule="auto"/>
        <w:rPr>
          <w:rFonts w:cstheme="minorHAnsi"/>
          <w:sz w:val="24"/>
          <w:szCs w:val="24"/>
        </w:rPr>
      </w:pPr>
      <w:r w:rsidRPr="0065413D">
        <w:rPr>
          <w:rFonts w:cstheme="minorHAnsi"/>
          <w:sz w:val="24"/>
          <w:szCs w:val="24"/>
        </w:rPr>
        <w:t>Southworth, J., Migliaccio, K., Glover, J., Glover, J.N., Reed, D., McCarty, C., Brendemuhl, J. and Thomas, A., 2023. Developing a model for AI Across the curriculum: Transforming the higher education landscape via innovation in AI literacy. </w:t>
      </w:r>
      <w:r w:rsidRPr="0065413D">
        <w:rPr>
          <w:rFonts w:cstheme="minorHAnsi"/>
          <w:i/>
          <w:iCs/>
          <w:sz w:val="24"/>
          <w:szCs w:val="24"/>
        </w:rPr>
        <w:t>Computers and Education: Artificial Intelligence</w:t>
      </w:r>
      <w:r w:rsidRPr="0065413D">
        <w:rPr>
          <w:rFonts w:cstheme="minorHAnsi"/>
          <w:sz w:val="24"/>
          <w:szCs w:val="24"/>
        </w:rPr>
        <w:t>, </w:t>
      </w:r>
      <w:r w:rsidRPr="0065413D">
        <w:rPr>
          <w:rFonts w:cstheme="minorHAnsi"/>
          <w:i/>
          <w:iCs/>
          <w:sz w:val="24"/>
          <w:szCs w:val="24"/>
        </w:rPr>
        <w:t>4</w:t>
      </w:r>
      <w:r w:rsidRPr="0065413D">
        <w:rPr>
          <w:rFonts w:cstheme="minorHAnsi"/>
          <w:sz w:val="24"/>
          <w:szCs w:val="24"/>
        </w:rPr>
        <w:t xml:space="preserve">, p.100127. </w:t>
      </w:r>
      <w:hyperlink r:id="rId15" w:history="1">
        <w:r w:rsidRPr="0065413D">
          <w:rPr>
            <w:rStyle w:val="Hyperlink"/>
            <w:rFonts w:cstheme="minorHAnsi"/>
            <w:sz w:val="24"/>
            <w:szCs w:val="24"/>
          </w:rPr>
          <w:t>https://www.sciencedirect.com/science/article/pii/S2666920X23000061</w:t>
        </w:r>
      </w:hyperlink>
    </w:p>
    <w:p w14:paraId="27B7C598" w14:textId="77777777" w:rsidR="002A300E" w:rsidRPr="0065413D" w:rsidRDefault="002A300E" w:rsidP="002A300E">
      <w:pPr>
        <w:spacing w:line="360" w:lineRule="auto"/>
        <w:rPr>
          <w:rFonts w:cstheme="minorHAnsi"/>
          <w:sz w:val="24"/>
          <w:szCs w:val="24"/>
        </w:rPr>
      </w:pPr>
      <w:r w:rsidRPr="0065413D">
        <w:rPr>
          <w:rFonts w:cstheme="minorHAnsi"/>
          <w:sz w:val="24"/>
          <w:szCs w:val="24"/>
        </w:rPr>
        <w:t>Olcott Jr, D., 2022. Micro-credentials: A catalyst for strategic reset and change in US higher education. </w:t>
      </w:r>
      <w:r w:rsidRPr="0065413D">
        <w:rPr>
          <w:rFonts w:cstheme="minorHAnsi"/>
          <w:i/>
          <w:iCs/>
          <w:sz w:val="24"/>
          <w:szCs w:val="24"/>
        </w:rPr>
        <w:t>American Journal of Distance Education</w:t>
      </w:r>
      <w:r w:rsidRPr="0065413D">
        <w:rPr>
          <w:rFonts w:cstheme="minorHAnsi"/>
          <w:sz w:val="24"/>
          <w:szCs w:val="24"/>
        </w:rPr>
        <w:t>, </w:t>
      </w:r>
      <w:r w:rsidRPr="0065413D">
        <w:rPr>
          <w:rFonts w:cstheme="minorHAnsi"/>
          <w:i/>
          <w:iCs/>
          <w:sz w:val="24"/>
          <w:szCs w:val="24"/>
        </w:rPr>
        <w:t>36</w:t>
      </w:r>
      <w:r w:rsidRPr="0065413D">
        <w:rPr>
          <w:rFonts w:cstheme="minorHAnsi"/>
          <w:sz w:val="24"/>
          <w:szCs w:val="24"/>
        </w:rPr>
        <w:t xml:space="preserve">(1), pp.19-35. </w:t>
      </w:r>
      <w:hyperlink r:id="rId16" w:history="1">
        <w:r w:rsidRPr="0065413D">
          <w:rPr>
            <w:rStyle w:val="Hyperlink"/>
            <w:rFonts w:cstheme="minorHAnsi"/>
            <w:sz w:val="24"/>
            <w:szCs w:val="24"/>
          </w:rPr>
          <w:t>https://www.tandfonline.com/doi/abs/10.1080/08923647.2021.1997537</w:t>
        </w:r>
      </w:hyperlink>
    </w:p>
    <w:p w14:paraId="50242CF6" w14:textId="77777777" w:rsidR="002A300E" w:rsidRPr="0065413D" w:rsidRDefault="002A300E" w:rsidP="002A300E">
      <w:pPr>
        <w:spacing w:line="360" w:lineRule="auto"/>
        <w:rPr>
          <w:rFonts w:cstheme="minorHAnsi"/>
          <w:sz w:val="24"/>
          <w:szCs w:val="24"/>
        </w:rPr>
      </w:pPr>
      <w:proofErr w:type="spellStart"/>
      <w:r w:rsidRPr="0065413D">
        <w:rPr>
          <w:rFonts w:cstheme="minorHAnsi"/>
          <w:sz w:val="24"/>
          <w:szCs w:val="24"/>
        </w:rPr>
        <w:t>Schmiedehaus</w:t>
      </w:r>
      <w:proofErr w:type="spellEnd"/>
      <w:r w:rsidRPr="0065413D">
        <w:rPr>
          <w:rFonts w:cstheme="minorHAnsi"/>
          <w:sz w:val="24"/>
          <w:szCs w:val="24"/>
        </w:rPr>
        <w:t>, E., Cordaro, M., Perrotte, J., Stern, M., Dailey, S. and Howard, K., 2023. The great resignation in higher education: An occupational health approach to understanding intentions-to-quit for faculty in higher education. </w:t>
      </w:r>
      <w:r w:rsidRPr="0065413D">
        <w:rPr>
          <w:rFonts w:cstheme="minorHAnsi"/>
          <w:i/>
          <w:iCs/>
          <w:sz w:val="24"/>
          <w:szCs w:val="24"/>
        </w:rPr>
        <w:t>Teaching and teacher education</w:t>
      </w:r>
      <w:r w:rsidRPr="0065413D">
        <w:rPr>
          <w:rFonts w:cstheme="minorHAnsi"/>
          <w:sz w:val="24"/>
          <w:szCs w:val="24"/>
        </w:rPr>
        <w:t>, </w:t>
      </w:r>
      <w:r w:rsidRPr="0065413D">
        <w:rPr>
          <w:rFonts w:cstheme="minorHAnsi"/>
          <w:i/>
          <w:iCs/>
          <w:sz w:val="24"/>
          <w:szCs w:val="24"/>
        </w:rPr>
        <w:t>123</w:t>
      </w:r>
      <w:r w:rsidRPr="0065413D">
        <w:rPr>
          <w:rFonts w:cstheme="minorHAnsi"/>
          <w:sz w:val="24"/>
          <w:szCs w:val="24"/>
        </w:rPr>
        <w:t xml:space="preserve">, p.103992. </w:t>
      </w:r>
      <w:hyperlink r:id="rId17" w:history="1">
        <w:r w:rsidRPr="0065413D">
          <w:rPr>
            <w:rStyle w:val="Hyperlink"/>
            <w:rFonts w:cstheme="minorHAnsi"/>
            <w:sz w:val="24"/>
            <w:szCs w:val="24"/>
          </w:rPr>
          <w:t>https://www.sciencedirect.com/science/article/pii/S0742051X22003675</w:t>
        </w:r>
      </w:hyperlink>
    </w:p>
    <w:p w14:paraId="16DDC3EB" w14:textId="77777777" w:rsidR="002A300E" w:rsidRPr="0065413D" w:rsidRDefault="002A300E" w:rsidP="002A300E">
      <w:pPr>
        <w:spacing w:line="360" w:lineRule="auto"/>
        <w:rPr>
          <w:rFonts w:cstheme="minorHAnsi"/>
          <w:sz w:val="24"/>
          <w:szCs w:val="24"/>
        </w:rPr>
      </w:pPr>
      <w:r w:rsidRPr="0065413D">
        <w:rPr>
          <w:rFonts w:cstheme="minorHAnsi"/>
          <w:sz w:val="24"/>
          <w:szCs w:val="24"/>
        </w:rPr>
        <w:t>Dumitru, D. and Halpern, D.F., 2023. Critical thinking: Creating job-proof skills for the future of work. </w:t>
      </w:r>
      <w:r w:rsidRPr="0065413D">
        <w:rPr>
          <w:rFonts w:cstheme="minorHAnsi"/>
          <w:i/>
          <w:iCs/>
          <w:sz w:val="24"/>
          <w:szCs w:val="24"/>
        </w:rPr>
        <w:t>Journal of Intelligence</w:t>
      </w:r>
      <w:r w:rsidRPr="0065413D">
        <w:rPr>
          <w:rFonts w:cstheme="minorHAnsi"/>
          <w:sz w:val="24"/>
          <w:szCs w:val="24"/>
        </w:rPr>
        <w:t>, </w:t>
      </w:r>
      <w:r w:rsidRPr="0065413D">
        <w:rPr>
          <w:rFonts w:cstheme="minorHAnsi"/>
          <w:i/>
          <w:iCs/>
          <w:sz w:val="24"/>
          <w:szCs w:val="24"/>
        </w:rPr>
        <w:t>11</w:t>
      </w:r>
      <w:r w:rsidRPr="0065413D">
        <w:rPr>
          <w:rFonts w:cstheme="minorHAnsi"/>
          <w:sz w:val="24"/>
          <w:szCs w:val="24"/>
        </w:rPr>
        <w:t xml:space="preserve">(10), p.194. </w:t>
      </w:r>
      <w:hyperlink r:id="rId18" w:history="1">
        <w:r w:rsidRPr="0065413D">
          <w:rPr>
            <w:rStyle w:val="Hyperlink"/>
            <w:rFonts w:cstheme="minorHAnsi"/>
            <w:sz w:val="24"/>
            <w:szCs w:val="24"/>
          </w:rPr>
          <w:t>https://www.mdpi.com/2079-3200/11/10/194</w:t>
        </w:r>
      </w:hyperlink>
    </w:p>
    <w:p w14:paraId="54B1CD16" w14:textId="77777777" w:rsidR="002A300E" w:rsidRPr="0065413D" w:rsidRDefault="002A300E" w:rsidP="002A300E">
      <w:pPr>
        <w:spacing w:line="360" w:lineRule="auto"/>
        <w:rPr>
          <w:rFonts w:cstheme="minorHAnsi"/>
          <w:sz w:val="24"/>
          <w:szCs w:val="24"/>
        </w:rPr>
      </w:pPr>
      <w:r w:rsidRPr="0065413D">
        <w:rPr>
          <w:rFonts w:cstheme="minorHAnsi"/>
          <w:sz w:val="24"/>
          <w:szCs w:val="24"/>
        </w:rPr>
        <w:t xml:space="preserve">Alt, D., Raichel, N. and </w:t>
      </w:r>
      <w:proofErr w:type="spellStart"/>
      <w:r w:rsidRPr="0065413D">
        <w:rPr>
          <w:rFonts w:cstheme="minorHAnsi"/>
          <w:sz w:val="24"/>
          <w:szCs w:val="24"/>
        </w:rPr>
        <w:t>Naamati</w:t>
      </w:r>
      <w:proofErr w:type="spellEnd"/>
      <w:r w:rsidRPr="0065413D">
        <w:rPr>
          <w:rFonts w:cstheme="minorHAnsi"/>
          <w:sz w:val="24"/>
          <w:szCs w:val="24"/>
        </w:rPr>
        <w:t>-Schneider, L., 2022. Higher education students’ reflective journal writing and lifelong learning skills: Insights from an exploratory sequential study. </w:t>
      </w:r>
      <w:r w:rsidRPr="0065413D">
        <w:rPr>
          <w:rFonts w:cstheme="minorHAnsi"/>
          <w:i/>
          <w:iCs/>
          <w:sz w:val="24"/>
          <w:szCs w:val="24"/>
        </w:rPr>
        <w:t>Frontiers in psychology</w:t>
      </w:r>
      <w:r w:rsidRPr="0065413D">
        <w:rPr>
          <w:rFonts w:cstheme="minorHAnsi"/>
          <w:sz w:val="24"/>
          <w:szCs w:val="24"/>
        </w:rPr>
        <w:t>, </w:t>
      </w:r>
      <w:r w:rsidRPr="0065413D">
        <w:rPr>
          <w:rFonts w:cstheme="minorHAnsi"/>
          <w:i/>
          <w:iCs/>
          <w:sz w:val="24"/>
          <w:szCs w:val="24"/>
        </w:rPr>
        <w:t>12</w:t>
      </w:r>
      <w:r w:rsidRPr="0065413D">
        <w:rPr>
          <w:rFonts w:cstheme="minorHAnsi"/>
          <w:sz w:val="24"/>
          <w:szCs w:val="24"/>
        </w:rPr>
        <w:t xml:space="preserve">, p.707168. </w:t>
      </w:r>
      <w:hyperlink r:id="rId19" w:history="1">
        <w:r w:rsidRPr="0065413D">
          <w:rPr>
            <w:rStyle w:val="Hyperlink"/>
            <w:rFonts w:cstheme="minorHAnsi"/>
            <w:sz w:val="24"/>
            <w:szCs w:val="24"/>
          </w:rPr>
          <w:t>https://www.frontiersin.org/journals/psychology/articles/10.3389/fpsyg.2021.707168/full</w:t>
        </w:r>
      </w:hyperlink>
    </w:p>
    <w:p w14:paraId="4415A01B" w14:textId="77777777" w:rsidR="002A300E" w:rsidRPr="0065413D" w:rsidRDefault="002A300E" w:rsidP="002A300E">
      <w:pPr>
        <w:rPr>
          <w:rFonts w:cstheme="minorHAnsi"/>
          <w:sz w:val="24"/>
          <w:szCs w:val="24"/>
        </w:rPr>
      </w:pPr>
      <w:proofErr w:type="spellStart"/>
      <w:r w:rsidRPr="0065413D">
        <w:rPr>
          <w:rFonts w:cstheme="minorHAnsi"/>
          <w:sz w:val="24"/>
          <w:szCs w:val="24"/>
        </w:rPr>
        <w:t>Alenezi</w:t>
      </w:r>
      <w:proofErr w:type="spellEnd"/>
      <w:r w:rsidRPr="0065413D">
        <w:rPr>
          <w:rFonts w:cstheme="minorHAnsi"/>
          <w:sz w:val="24"/>
          <w:szCs w:val="24"/>
        </w:rPr>
        <w:t>, M., 2023. Digital learning and digital institution in higher education. </w:t>
      </w:r>
      <w:r w:rsidRPr="0065413D">
        <w:rPr>
          <w:rFonts w:cstheme="minorHAnsi"/>
          <w:i/>
          <w:iCs/>
          <w:sz w:val="24"/>
          <w:szCs w:val="24"/>
        </w:rPr>
        <w:t>Education Sciences</w:t>
      </w:r>
      <w:r w:rsidRPr="0065413D">
        <w:rPr>
          <w:rFonts w:cstheme="minorHAnsi"/>
          <w:sz w:val="24"/>
          <w:szCs w:val="24"/>
        </w:rPr>
        <w:t>, </w:t>
      </w:r>
      <w:r w:rsidRPr="0065413D">
        <w:rPr>
          <w:rFonts w:cstheme="minorHAnsi"/>
          <w:i/>
          <w:iCs/>
          <w:sz w:val="24"/>
          <w:szCs w:val="24"/>
        </w:rPr>
        <w:t>13</w:t>
      </w:r>
      <w:r w:rsidRPr="0065413D">
        <w:rPr>
          <w:rFonts w:cstheme="minorHAnsi"/>
          <w:sz w:val="24"/>
          <w:szCs w:val="24"/>
        </w:rPr>
        <w:t xml:space="preserve">(1), p.88. </w:t>
      </w:r>
      <w:hyperlink r:id="rId20" w:history="1">
        <w:r w:rsidRPr="0065413D">
          <w:rPr>
            <w:rStyle w:val="Hyperlink"/>
            <w:rFonts w:cstheme="minorHAnsi"/>
            <w:sz w:val="24"/>
            <w:szCs w:val="24"/>
          </w:rPr>
          <w:t>https://www.mdpi.com/2227-7102/13/1/88</w:t>
        </w:r>
      </w:hyperlink>
    </w:p>
    <w:p w14:paraId="20F1A3B3" w14:textId="0728916A" w:rsidR="003A000F" w:rsidRPr="00A6165E" w:rsidRDefault="003A000F">
      <w:pPr>
        <w:rPr>
          <w:rFonts w:ascii="Arial" w:hAnsi="Arial" w:cs="Arial"/>
          <w:b/>
          <w:bCs/>
          <w:sz w:val="28"/>
          <w:szCs w:val="28"/>
        </w:rPr>
        <w:sectPr w:rsidR="003A000F" w:rsidRPr="00A6165E" w:rsidSect="003A000F">
          <w:pgSz w:w="11906" w:h="16838"/>
          <w:pgMar w:top="1440" w:right="1440" w:bottom="1440" w:left="1440" w:header="708" w:footer="708" w:gutter="0"/>
          <w:cols w:space="708"/>
          <w:docGrid w:linePitch="360"/>
        </w:sectPr>
      </w:pPr>
    </w:p>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56F054" w14:textId="77777777" w:rsidR="0087490E" w:rsidRDefault="0087490E" w:rsidP="00BE6BE0">
      <w:pPr>
        <w:spacing w:after="0" w:line="240" w:lineRule="auto"/>
      </w:pPr>
      <w:r>
        <w:separator/>
      </w:r>
    </w:p>
  </w:endnote>
  <w:endnote w:type="continuationSeparator" w:id="0">
    <w:p w14:paraId="4572B1D0" w14:textId="77777777" w:rsidR="0087490E" w:rsidRDefault="0087490E"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EE5377" w14:textId="77777777" w:rsidR="0087490E" w:rsidRDefault="0087490E" w:rsidP="00BE6BE0">
      <w:pPr>
        <w:spacing w:after="0" w:line="240" w:lineRule="auto"/>
      </w:pPr>
      <w:r>
        <w:separator/>
      </w:r>
    </w:p>
  </w:footnote>
  <w:footnote w:type="continuationSeparator" w:id="0">
    <w:p w14:paraId="035DCB1F" w14:textId="77777777" w:rsidR="0087490E" w:rsidRDefault="0087490E"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0E0510"/>
    <w:rsid w:val="000F2165"/>
    <w:rsid w:val="00117F43"/>
    <w:rsid w:val="001C4160"/>
    <w:rsid w:val="002767BF"/>
    <w:rsid w:val="002A300E"/>
    <w:rsid w:val="00312199"/>
    <w:rsid w:val="00342816"/>
    <w:rsid w:val="00361F03"/>
    <w:rsid w:val="003A000F"/>
    <w:rsid w:val="00455C1B"/>
    <w:rsid w:val="00466094"/>
    <w:rsid w:val="0048775C"/>
    <w:rsid w:val="005F632C"/>
    <w:rsid w:val="006309FC"/>
    <w:rsid w:val="006933FC"/>
    <w:rsid w:val="006A6816"/>
    <w:rsid w:val="00802559"/>
    <w:rsid w:val="00804A7F"/>
    <w:rsid w:val="00833470"/>
    <w:rsid w:val="00873001"/>
    <w:rsid w:val="0087490E"/>
    <w:rsid w:val="00907932"/>
    <w:rsid w:val="00925D5E"/>
    <w:rsid w:val="009D4632"/>
    <w:rsid w:val="009E257B"/>
    <w:rsid w:val="00A6165E"/>
    <w:rsid w:val="00A82690"/>
    <w:rsid w:val="00AC31DA"/>
    <w:rsid w:val="00AE5746"/>
    <w:rsid w:val="00AF2AD9"/>
    <w:rsid w:val="00B642EF"/>
    <w:rsid w:val="00B759D1"/>
    <w:rsid w:val="00BE6BE0"/>
    <w:rsid w:val="00C83A82"/>
    <w:rsid w:val="00CA628C"/>
    <w:rsid w:val="00D205DD"/>
    <w:rsid w:val="00D861E0"/>
    <w:rsid w:val="00E133C3"/>
    <w:rsid w:val="00E847D2"/>
    <w:rsid w:val="00E94EA7"/>
    <w:rsid w:val="00ED0D33"/>
    <w:rsid w:val="00EF3E35"/>
    <w:rsid w:val="00F36D02"/>
    <w:rsid w:val="00F44107"/>
    <w:rsid w:val="00F64F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300E"/>
    <w:pPr>
      <w:keepNext/>
      <w:keepLines/>
      <w:spacing w:before="360" w:after="80" w:line="278" w:lineRule="auto"/>
      <w:outlineLvl w:val="0"/>
    </w:pPr>
    <w:rPr>
      <w:rFonts w:asciiTheme="majorHAnsi" w:eastAsiaTheme="majorEastAsia" w:hAnsiTheme="majorHAnsi" w:cstheme="majorBidi"/>
      <w:color w:val="2F5496" w:themeColor="accent1" w:themeShade="BF"/>
      <w:kern w:val="2"/>
      <w:sz w:val="40"/>
      <w:szCs w:val="40"/>
      <w:lang w:val="en-US"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1Char">
    <w:name w:val="Heading 1 Char"/>
    <w:basedOn w:val="DefaultParagraphFont"/>
    <w:link w:val="Heading1"/>
    <w:uiPriority w:val="9"/>
    <w:rsid w:val="002A300E"/>
    <w:rPr>
      <w:rFonts w:asciiTheme="majorHAnsi" w:eastAsiaTheme="majorEastAsia" w:hAnsiTheme="majorHAnsi" w:cstheme="majorBidi"/>
      <w:color w:val="2F5496" w:themeColor="accent1" w:themeShade="BF"/>
      <w:kern w:val="2"/>
      <w:sz w:val="40"/>
      <w:szCs w:val="40"/>
      <w:lang w:val="en-US" w:eastAsia="en-US"/>
      <w14:ligatures w14:val="standardContextual"/>
    </w:rPr>
  </w:style>
  <w:style w:type="character" w:styleId="Hyperlink">
    <w:name w:val="Hyperlink"/>
    <w:basedOn w:val="DefaultParagraphFont"/>
    <w:uiPriority w:val="99"/>
    <w:unhideWhenUsed/>
    <w:rsid w:val="002A30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png"/><Relationship Id="rId18" Type="http://schemas.openxmlformats.org/officeDocument/2006/relationships/hyperlink" Target="https://www.mdpi.com/2079-3200/11/10/194"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www.sciencedirect.com/science/article/pii/S0742051X22003675" TargetMode="External"/><Relationship Id="rId2" Type="http://schemas.openxmlformats.org/officeDocument/2006/relationships/styles" Target="styles.xml"/><Relationship Id="rId16" Type="http://schemas.openxmlformats.org/officeDocument/2006/relationships/hyperlink" Target="https://www.tandfonline.com/doi/abs/10.1080/08923647.2021.1997537" TargetMode="External"/><Relationship Id="rId20" Type="http://schemas.openxmlformats.org/officeDocument/2006/relationships/hyperlink" Target="https://www.mdpi.com/2227-7102/13/1/8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sciencedirect.com/science/article/pii/S2666920X23000061" TargetMode="External"/><Relationship Id="rId10" Type="http://schemas.openxmlformats.org/officeDocument/2006/relationships/footer" Target="footer1.xml"/><Relationship Id="rId19" Type="http://schemas.openxmlformats.org/officeDocument/2006/relationships/hyperlink" Target="https://www.frontiersin.org/journals/psychology/articles/10.3389/fpsyg.2021.707168/full"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kclpure.kcl.ac.uk/portal/files/230424848/Care_Certificate_Witness_Seminar_14_March_2023.pdf"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1721</Words>
  <Characters>9810</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Suzan Wakayamba Namitala (2515844)</cp:lastModifiedBy>
  <cp:revision>2</cp:revision>
  <dcterms:created xsi:type="dcterms:W3CDTF">2026-03-19T08:43:00Z</dcterms:created>
  <dcterms:modified xsi:type="dcterms:W3CDTF">2026-03-19T08:43:00Z</dcterms:modified>
</cp:coreProperties>
</file>