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u w:val="single"/>
        </w:rPr>
      </w:pPr>
      <w:r w:rsidDel="00000000" w:rsidR="00000000" w:rsidRPr="00000000">
        <w:rPr>
          <w:sz w:val="24"/>
          <w:szCs w:val="24"/>
          <w:u w:val="single"/>
          <w:rtl w:val="0"/>
        </w:rPr>
        <w:t xml:space="preserve">Discuss what is meant by the </w:t>
      </w:r>
      <w:r w:rsidDel="00000000" w:rsidR="00000000" w:rsidRPr="00000000">
        <w:rPr>
          <w:sz w:val="24"/>
          <w:szCs w:val="24"/>
          <w:u w:val="single"/>
          <w:rtl w:val="0"/>
        </w:rPr>
        <w:t xml:space="preserve">“integrity”</w:t>
      </w:r>
      <w:r w:rsidDel="00000000" w:rsidR="00000000" w:rsidRPr="00000000">
        <w:rPr>
          <w:sz w:val="24"/>
          <w:szCs w:val="24"/>
          <w:u w:val="single"/>
          <w:rtl w:val="0"/>
        </w:rPr>
        <w:t xml:space="preserve"> of </w:t>
      </w:r>
      <w:r w:rsidDel="00000000" w:rsidR="00000000" w:rsidRPr="00000000">
        <w:rPr>
          <w:sz w:val="24"/>
          <w:szCs w:val="24"/>
          <w:u w:val="single"/>
          <w:rtl w:val="0"/>
        </w:rPr>
        <w:t xml:space="preserve">evidence</w:t>
      </w:r>
      <w:r w:rsidDel="00000000" w:rsidR="00000000" w:rsidRPr="00000000">
        <w:rPr>
          <w:sz w:val="24"/>
          <w:szCs w:val="24"/>
          <w:u w:val="single"/>
          <w:rtl w:val="0"/>
        </w:rPr>
        <w:t xml:space="preserve"> and using </w:t>
      </w:r>
      <w:r w:rsidDel="00000000" w:rsidR="00000000" w:rsidRPr="00000000">
        <w:rPr>
          <w:sz w:val="24"/>
          <w:szCs w:val="24"/>
          <w:u w:val="single"/>
          <w:rtl w:val="0"/>
        </w:rPr>
        <w:t xml:space="preserve">examples</w:t>
      </w:r>
      <w:r w:rsidDel="00000000" w:rsidR="00000000" w:rsidRPr="00000000">
        <w:rPr>
          <w:sz w:val="24"/>
          <w:szCs w:val="24"/>
          <w:u w:val="single"/>
          <w:rtl w:val="0"/>
        </w:rPr>
        <w:t xml:space="preserve"> illustrate the impact of </w:t>
      </w:r>
      <w:r w:rsidDel="00000000" w:rsidR="00000000" w:rsidRPr="00000000">
        <w:rPr>
          <w:sz w:val="24"/>
          <w:szCs w:val="24"/>
          <w:u w:val="single"/>
          <w:rtl w:val="0"/>
        </w:rPr>
        <w:t xml:space="preserve">failures in the UK Criminal Justice system.</w:t>
      </w:r>
      <w:r w:rsidDel="00000000" w:rsidR="00000000" w:rsidRPr="00000000">
        <w:rPr>
          <w:rtl w:val="0"/>
        </w:rPr>
      </w:r>
    </w:p>
    <w:p w:rsidR="00000000" w:rsidDel="00000000" w:rsidP="00000000" w:rsidRDefault="00000000" w:rsidRPr="00000000" w14:paraId="00000002">
      <w:pPr>
        <w:ind w:left="0" w:firstLine="0"/>
        <w:rPr>
          <w:sz w:val="24"/>
          <w:szCs w:val="24"/>
        </w:rPr>
      </w:pPr>
      <w:r w:rsidDel="00000000" w:rsidR="00000000" w:rsidRPr="00000000">
        <w:rPr>
          <w:rtl w:val="0"/>
        </w:rPr>
      </w:r>
    </w:p>
    <w:p w:rsidR="00000000" w:rsidDel="00000000" w:rsidP="00000000" w:rsidRDefault="00000000" w:rsidRPr="00000000" w14:paraId="00000003">
      <w:pPr>
        <w:ind w:left="0" w:firstLine="0"/>
        <w:rPr>
          <w:sz w:val="24"/>
          <w:szCs w:val="24"/>
        </w:rPr>
      </w:pPr>
      <w:r w:rsidDel="00000000" w:rsidR="00000000" w:rsidRPr="00000000">
        <w:rPr>
          <w:sz w:val="24"/>
          <w:szCs w:val="24"/>
          <w:rtl w:val="0"/>
        </w:rPr>
        <w:t xml:space="preserve">Evidence is used in a court of law to prove a suspect’s guilt or innocence. When evidence lacks integrity it can result in a misscarriage of justice. If there is any doubt about the validity of evidence, the defense will find it and dismiss it. This leads to vital pieces of evidence being overlooked by the court, meaning a guilty party goes free. Evidence can take many different forms, including confessions. False confessions can lead to innocent suspects getting falsely tried and even imprisoned. The list of evidence types, and rules to maintain their integrity, is ever growing and evolving. It is of utmost importance that investigating forensic teams keep up to date with these changes in order to avoid contamination and preserve the continuity of evidence. Another challenge faced by forensic teams in court is known as the CSI effect, which refers to how the jury perceives evidence. It comes, mainly, from television shows and films such as Sherlock, CSI and Dexter, along with many others. These spectacles are more forensic pageants than fact but they can have an influence on how the jury view and weigh up evidence types. In order for evidence to hold up under scrutiny from the defense i.e. have integrity in a court of law, it must have uninterrupted continuity with no chance of contamination. There have always and will always be cases where evidence, presented by members of the forensic team in court, is proved to be corrupted in some way and is dismissed. I discuss several cases in the UK where the integrity of evidence has been questioned and resulted in a failure of our criminal justice system. These include, the false imprisonment of Stephan Downing and Sean Hodgson</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the Linda Cook murder</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and the Jill Dando murder.</w:t>
      </w:r>
      <w:r w:rsidDel="00000000" w:rsidR="00000000" w:rsidRPr="00000000">
        <w:rPr>
          <w:sz w:val="24"/>
          <w:szCs w:val="24"/>
          <w:vertAlign w:val="superscript"/>
        </w:rPr>
        <w:footnoteReference w:customMarkFollows="0" w:id="2"/>
      </w:r>
      <w:r w:rsidDel="00000000" w:rsidR="00000000" w:rsidRPr="00000000">
        <w:rPr>
          <w:sz w:val="24"/>
          <w:szCs w:val="24"/>
          <w:rtl w:val="0"/>
        </w:rPr>
        <w:t xml:space="preserve"> </w:t>
      </w:r>
    </w:p>
    <w:p w:rsidR="00000000" w:rsidDel="00000000" w:rsidP="00000000" w:rsidRDefault="00000000" w:rsidRPr="00000000" w14:paraId="00000004">
      <w:pPr>
        <w:ind w:left="0" w:firstLine="0"/>
        <w:rPr>
          <w:sz w:val="24"/>
          <w:szCs w:val="24"/>
        </w:rPr>
      </w:pPr>
      <w:r w:rsidDel="00000000" w:rsidR="00000000" w:rsidRPr="00000000">
        <w:rPr>
          <w:rtl w:val="0"/>
        </w:rPr>
      </w:r>
    </w:p>
    <w:p w:rsidR="00000000" w:rsidDel="00000000" w:rsidP="00000000" w:rsidRDefault="00000000" w:rsidRPr="00000000" w14:paraId="00000005">
      <w:pPr>
        <w:ind w:left="0" w:firstLine="0"/>
        <w:rPr>
          <w:sz w:val="24"/>
          <w:szCs w:val="24"/>
        </w:rPr>
      </w:pPr>
      <w:r w:rsidDel="00000000" w:rsidR="00000000" w:rsidRPr="00000000">
        <w:rPr>
          <w:sz w:val="24"/>
          <w:szCs w:val="24"/>
          <w:rtl w:val="0"/>
        </w:rPr>
        <w:t xml:space="preserve">When evidence lacks integrity failures in the criminal justice system can happen.</w:t>
      </w:r>
    </w:p>
    <w:p w:rsidR="00000000" w:rsidDel="00000000" w:rsidP="00000000" w:rsidRDefault="00000000" w:rsidRPr="00000000" w14:paraId="00000006">
      <w:pPr>
        <w:ind w:left="0" w:firstLine="0"/>
        <w:rPr>
          <w:sz w:val="24"/>
          <w:szCs w:val="24"/>
        </w:rPr>
      </w:pPr>
      <w:r w:rsidDel="00000000" w:rsidR="00000000" w:rsidRPr="00000000">
        <w:rPr>
          <w:sz w:val="24"/>
          <w:szCs w:val="24"/>
          <w:rtl w:val="0"/>
        </w:rPr>
        <w:t xml:space="preserve">Throughout the course of my investigation, I have come across many cases that have resulted in the guilty party getting their just deserts. However there are a few which have somewhat tainted the criminal justice system’s reputation over the years. There are countless reasons for evidence to be disputed, how it was obtained, stored, photographed and where it came from in the first place are some of the most common contentions. Quiscumque tactus vestigia legat, everything leaves a trace. When a forensic team investigates a serious crime such as murder, rape or arsen, no expense is spared. There are many different types of evidence that could be relevant to a case which need to be considered. These evidence types are likely to include; bodily fluid (sperm, blood, DNA), possible weapon(s), clothing, fingerprints, hair, shoe prints, gunshot residue, chemicals and accelerants such as nitroglycerin and petroleum. These are just some of the types of evidence that they would be looking for when doing a detailed analysis of the crime scene. Not only does the team have to consider dozens of possible evidence types but they must also know how to look for them, where to look and how to systematically recover and store each kind of evidence. </w:t>
      </w:r>
    </w:p>
    <w:p w:rsidR="00000000" w:rsidDel="00000000" w:rsidP="00000000" w:rsidRDefault="00000000" w:rsidRPr="00000000" w14:paraId="00000007">
      <w:pPr>
        <w:ind w:left="0" w:firstLine="0"/>
        <w:rPr>
          <w:sz w:val="24"/>
          <w:szCs w:val="24"/>
        </w:rPr>
      </w:pPr>
      <w:r w:rsidDel="00000000" w:rsidR="00000000" w:rsidRPr="00000000">
        <w:rPr>
          <w:rtl w:val="0"/>
        </w:rPr>
      </w:r>
    </w:p>
    <w:p w:rsidR="00000000" w:rsidDel="00000000" w:rsidP="00000000" w:rsidRDefault="00000000" w:rsidRPr="00000000" w14:paraId="00000008">
      <w:pPr>
        <w:ind w:left="0" w:firstLine="0"/>
        <w:rPr>
          <w:sz w:val="24"/>
          <w:szCs w:val="24"/>
        </w:rPr>
      </w:pPr>
      <w:r w:rsidDel="00000000" w:rsidR="00000000" w:rsidRPr="00000000">
        <w:rPr>
          <w:sz w:val="24"/>
          <w:szCs w:val="24"/>
          <w:rtl w:val="0"/>
        </w:rPr>
        <w:t xml:space="preserve">There are many recognised professional procedures used when collecting evidence.</w:t>
      </w:r>
    </w:p>
    <w:p w:rsidR="00000000" w:rsidDel="00000000" w:rsidP="00000000" w:rsidRDefault="00000000" w:rsidRPr="00000000" w14:paraId="00000009">
      <w:pPr>
        <w:ind w:left="0" w:firstLine="0"/>
        <w:rPr>
          <w:sz w:val="24"/>
          <w:szCs w:val="24"/>
        </w:rPr>
      </w:pPr>
      <w:r w:rsidDel="00000000" w:rsidR="00000000" w:rsidRPr="00000000">
        <w:rPr>
          <w:sz w:val="24"/>
          <w:szCs w:val="24"/>
          <w:rtl w:val="0"/>
        </w:rPr>
        <w:t xml:space="preserve">Crime scene investigators must understand all of the procedures that must be taken in order for the evidence to stand up in court. In other words, to ensure its continuity and rule out contamination. After the recovery of evidence it has to be properly documented, labeled and packaged. There must be an unbroken chain of custody, this means that everyone who comes into contact with the exhibit (evidence used in court) i.e. whoever transports it, any necessary forensic analysers that are required, CSI’s etc, must sign and date the item to maintain its continuity.</w:t>
      </w:r>
      <w:r w:rsidDel="00000000" w:rsidR="00000000" w:rsidRPr="00000000">
        <w:rPr>
          <w:sz w:val="24"/>
          <w:szCs w:val="24"/>
          <w:vertAlign w:val="superscript"/>
        </w:rPr>
        <w:footnoteReference w:customMarkFollows="0" w:id="3"/>
      </w:r>
      <w:r w:rsidDel="00000000" w:rsidR="00000000" w:rsidRPr="00000000">
        <w:rPr>
          <w:sz w:val="24"/>
          <w:szCs w:val="24"/>
          <w:rtl w:val="0"/>
        </w:rPr>
        <w:t xml:space="preserve"> </w:t>
      </w:r>
    </w:p>
    <w:p w:rsidR="00000000" w:rsidDel="00000000" w:rsidP="00000000" w:rsidRDefault="00000000" w:rsidRPr="00000000" w14:paraId="0000000A">
      <w:pPr>
        <w:ind w:left="0" w:firstLine="0"/>
        <w:rPr>
          <w:sz w:val="24"/>
          <w:szCs w:val="24"/>
        </w:rPr>
      </w:pPr>
      <w:r w:rsidDel="00000000" w:rsidR="00000000" w:rsidRPr="00000000">
        <w:rPr>
          <w:sz w:val="24"/>
          <w:szCs w:val="24"/>
          <w:rtl w:val="0"/>
        </w:rPr>
        <w:t xml:space="preserve">It is vital that the jury properly understand the value of evidence in court. Scientific evidence can often appear to have more weight than others and in some cases this can be interpreted erroneously. In 1986 24 year old Linda Cook was beaten to death by a man the Portsmouth press later deemed “the beast of Buckland”.</w:t>
      </w:r>
      <w:r w:rsidDel="00000000" w:rsidR="00000000" w:rsidRPr="00000000">
        <w:rPr>
          <w:sz w:val="24"/>
          <w:szCs w:val="24"/>
          <w:vertAlign w:val="superscript"/>
        </w:rPr>
        <w:footnoteReference w:customMarkFollows="0" w:id="4"/>
      </w:r>
      <w:r w:rsidDel="00000000" w:rsidR="00000000" w:rsidRPr="00000000">
        <w:rPr>
          <w:sz w:val="24"/>
          <w:szCs w:val="24"/>
          <w:rtl w:val="0"/>
        </w:rPr>
        <w:t xml:space="preserve">That very same night an 18 year old sailor named Micheal Shirley had a few drinks in the bar where Cook worked, at the end of the evening Shirley got into a taxi with a woman he was hoping to go home with but she had second thoughts and left him metaphorically, hanging in the cab. The prosecution would later argue that after this encounter, Shirey was distressed to the point of murder. Cook’s body was found with a bruised shoe print on her stomach, a Flash logo was on the sole of the trainers worn by the killer. Unfortunately for Shirley, he had a pair of the same trainers and this, along with the circumstantial and partial DNA match found on the victim, was enough for the jury to reach a guilty verdict. However, as the field of DNA forensics developed it became evident that the partial match used in court could have been matched with countless other men. With the DNA dismissed from the case, Shirley was released after spending 16 years in prison. Journalist Neil Humber said, </w:t>
      </w:r>
      <w:r w:rsidDel="00000000" w:rsidR="00000000" w:rsidRPr="00000000">
        <w:rPr>
          <w:sz w:val="24"/>
          <w:szCs w:val="24"/>
          <w:highlight w:val="white"/>
          <w:rtl w:val="0"/>
        </w:rPr>
        <w:t xml:space="preserve">"Once his name was in the frame and he was arrested, the police became blinkered, fitting the crime around him rather than seeing if he did in fact fit the crime.”  Police can find themselves under a great deal of pressure to convict.</w:t>
      </w:r>
      <w:r w:rsidDel="00000000" w:rsidR="00000000" w:rsidRPr="00000000">
        <w:rPr>
          <w:rtl w:val="0"/>
        </w:rPr>
      </w:r>
    </w:p>
    <w:p w:rsidR="00000000" w:rsidDel="00000000" w:rsidP="00000000" w:rsidRDefault="00000000" w:rsidRPr="00000000" w14:paraId="0000000B">
      <w:pPr>
        <w:ind w:left="0" w:firstLine="0"/>
        <w:rPr>
          <w:sz w:val="24"/>
          <w:szCs w:val="24"/>
        </w:rPr>
      </w:pPr>
      <w:r w:rsidDel="00000000" w:rsidR="00000000" w:rsidRPr="00000000">
        <w:rPr>
          <w:rtl w:val="0"/>
        </w:rPr>
      </w:r>
    </w:p>
    <w:p w:rsidR="00000000" w:rsidDel="00000000" w:rsidP="00000000" w:rsidRDefault="00000000" w:rsidRPr="00000000" w14:paraId="0000000C">
      <w:pPr>
        <w:ind w:left="0" w:firstLine="0"/>
        <w:rPr>
          <w:sz w:val="24"/>
          <w:szCs w:val="24"/>
        </w:rPr>
      </w:pPr>
      <w:r w:rsidDel="00000000" w:rsidR="00000000" w:rsidRPr="00000000">
        <w:rPr>
          <w:sz w:val="24"/>
          <w:szCs w:val="24"/>
          <w:rtl w:val="0"/>
        </w:rPr>
        <w:t xml:space="preserve">Investigators must not ignore the triangle of justice. When investigating a serious crime there must be a link between the suspected perpetrator, the victim and the crime scene location. If a link cannot be found, the next step would be to review the evidence and proceed with the investigation considering alternative avenues of enquiry. It is in cases where these links are ignored that a miscarriage of justice unfolds. Sometimes the missing link is overlooked because they are under pressure from the public and the victims family to make a conviction. Sometimes it is laziness, and occasionally, even  malice that allows for important questions to go unanswered.</w:t>
      </w:r>
    </w:p>
    <w:p w:rsidR="00000000" w:rsidDel="00000000" w:rsidP="00000000" w:rsidRDefault="00000000" w:rsidRPr="00000000" w14:paraId="0000000D">
      <w:pPr>
        <w:ind w:left="720" w:firstLine="0"/>
        <w:rPr>
          <w:sz w:val="24"/>
          <w:szCs w:val="24"/>
        </w:rPr>
      </w:pPr>
      <w:r w:rsidDel="00000000" w:rsidR="00000000" w:rsidRPr="00000000">
        <w:rPr>
          <w:rtl w:val="0"/>
        </w:rPr>
      </w:r>
    </w:p>
    <w:p w:rsidR="00000000" w:rsidDel="00000000" w:rsidP="00000000" w:rsidRDefault="00000000" w:rsidRPr="00000000" w14:paraId="0000000E">
      <w:pPr>
        <w:ind w:left="0" w:firstLine="0"/>
        <w:rPr>
          <w:sz w:val="24"/>
          <w:szCs w:val="24"/>
        </w:rPr>
      </w:pPr>
      <w:r w:rsidDel="00000000" w:rsidR="00000000" w:rsidRPr="00000000">
        <w:rPr>
          <w:sz w:val="24"/>
          <w:szCs w:val="24"/>
          <w:rtl w:val="0"/>
        </w:rPr>
        <w:t xml:space="preserve">Physical forensic evidence is not the only thing that can be used to defend or convict someone in a court of law. A confession of guilt or innocence is also a form of evidence and, like forensic evidence, can lack integrity. I have found false confessions to be among the most common form of evidence that can lead to a miscariage of justice. Which seems unsurprising when you consider that a confession is far further from the control of CSI’s (crime scene investigators) and police officers. And offers an easy conviction.Why would someone want to lie about having committed a crime if they did not?</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 Communication is a key element when processing evidence and things can go terribly wrong when it is neglected. In December 1979 a young 22 year old bar worker named Teresa De Simone was raped and strangled to death in her car late at night in Southampton. </w:t>
      </w:r>
      <w:r w:rsidDel="00000000" w:rsidR="00000000" w:rsidRPr="00000000">
        <w:rPr>
          <w:sz w:val="24"/>
          <w:szCs w:val="24"/>
          <w:vertAlign w:val="superscript"/>
        </w:rPr>
        <w:footnoteReference w:customMarkFollows="0" w:id="5"/>
      </w:r>
      <w:r w:rsidDel="00000000" w:rsidR="00000000" w:rsidRPr="00000000">
        <w:rPr>
          <w:sz w:val="24"/>
          <w:szCs w:val="24"/>
          <w:rtl w:val="0"/>
        </w:rPr>
        <w:t xml:space="preserve">Sean Hodgson confessed to this brutal murder along with many other crimes, some of which had never even happened. He was sentenced to life imprisonment for killing De Simone. In 1983 David Lace, a 17 year old boy at the time of the murder, had been arrested in connection to several burglaries and confessed to Hampshire police that he had committed De Simone’s murder. However, owing to the fact that Hodgson was already behind bars for this offence and that there were apparent inconsistencies in Laces confession, he was not tried or charged. Then, five years later in 1988 Lace committed suicide.</w:t>
      </w:r>
    </w:p>
    <w:p w:rsidR="00000000" w:rsidDel="00000000" w:rsidP="00000000" w:rsidRDefault="00000000" w:rsidRPr="00000000" w14:paraId="00000011">
      <w:pPr>
        <w:rPr>
          <w:sz w:val="24"/>
          <w:szCs w:val="24"/>
        </w:rPr>
      </w:pPr>
      <w:r w:rsidDel="00000000" w:rsidR="00000000" w:rsidRPr="00000000">
        <w:rPr>
          <w:sz w:val="24"/>
          <w:szCs w:val="24"/>
        </w:rPr>
        <w:drawing>
          <wp:inline distB="114300" distT="114300" distL="114300" distR="114300">
            <wp:extent cx="4381500" cy="26289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381500" cy="2628900"/>
                    </a:xfrm>
                    <a:prstGeom prst="rect"/>
                    <a:ln/>
                  </pic:spPr>
                </pic:pic>
              </a:graphicData>
            </a:graphic>
          </wp:inline>
        </w:drawing>
      </w:r>
      <w:r w:rsidDel="00000000" w:rsidR="00000000" w:rsidRPr="00000000">
        <w:rPr>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12">
      <w:pPr>
        <w:ind w:left="0" w:firstLine="0"/>
        <w:rPr>
          <w:sz w:val="24"/>
          <w:szCs w:val="24"/>
        </w:rPr>
      </w:pPr>
      <w:r w:rsidDel="00000000" w:rsidR="00000000" w:rsidRPr="00000000">
        <w:rPr>
          <w:rtl w:val="0"/>
        </w:rPr>
      </w:r>
    </w:p>
    <w:p w:rsidR="00000000" w:rsidDel="00000000" w:rsidP="00000000" w:rsidRDefault="00000000" w:rsidRPr="00000000" w14:paraId="00000013">
      <w:pPr>
        <w:ind w:left="0" w:firstLine="0"/>
        <w:rPr>
          <w:sz w:val="24"/>
          <w:szCs w:val="24"/>
        </w:rPr>
      </w:pPr>
      <w:r w:rsidDel="00000000" w:rsidR="00000000" w:rsidRPr="00000000">
        <w:rPr>
          <w:sz w:val="24"/>
          <w:szCs w:val="24"/>
          <w:rtl w:val="0"/>
        </w:rPr>
        <w:t xml:space="preserve"> Despite the fact that he had previously confessed to the crime, Hodgson pleaded not guilty at his trial and insisted upon his innocence throughout his sentence. 27 years since his committal, Hodgson was released on appeal in 2009 after David Lace’s body was exhumed and DNA samples were taken that matched the seman found in the victim</w:t>
      </w:r>
      <w:r w:rsidDel="00000000" w:rsidR="00000000" w:rsidRPr="00000000">
        <w:rPr>
          <w:sz w:val="24"/>
          <w:szCs w:val="24"/>
          <w:vertAlign w:val="superscript"/>
        </w:rPr>
        <w:footnoteReference w:customMarkFollows="0" w:id="7"/>
      </w:r>
      <w:r w:rsidDel="00000000" w:rsidR="00000000" w:rsidRPr="00000000">
        <w:rPr>
          <w:sz w:val="24"/>
          <w:szCs w:val="24"/>
          <w:rtl w:val="0"/>
        </w:rPr>
        <w:t xml:space="preserve">. This was more than enough to clear Hodgson, add Lace’s confession and it was a done deal. The remaining questions are; why did it take so long for the police to put two and two together? With Hodgson insisting on his innocence and an alternative confession from a young man with a previous conviction for burglary who took his own life five years after telling the police what he had done. It appears that there was a breakdown in communication between officers and/or departments, meaning it was impossible for anyone to make the connections necessary to end the injustice. However, officers involved in the case have been accused of “misplacing” DNA evidence that could have proved Hodgsons innocence, or at the very least been grounds for a retrial, for up to 11 years prior to his release</w:t>
      </w:r>
      <w:r w:rsidDel="00000000" w:rsidR="00000000" w:rsidRPr="00000000">
        <w:rPr>
          <w:sz w:val="24"/>
          <w:szCs w:val="24"/>
          <w:vertAlign w:val="superscript"/>
        </w:rPr>
        <w:footnoteReference w:customMarkFollows="0" w:id="8"/>
      </w:r>
      <w:r w:rsidDel="00000000" w:rsidR="00000000" w:rsidRPr="00000000">
        <w:rPr>
          <w:sz w:val="24"/>
          <w:szCs w:val="24"/>
          <w:rtl w:val="0"/>
        </w:rPr>
        <w:t xml:space="preserve">. According to his lawyer, Hodgson’s legal team had asked for more tests to be carried out in 1998 but were told, incorrectly, that the case material was no longer available</w:t>
      </w:r>
      <w:r w:rsidDel="00000000" w:rsidR="00000000" w:rsidRPr="00000000">
        <w:rPr>
          <w:sz w:val="24"/>
          <w:szCs w:val="24"/>
          <w:vertAlign w:val="superscript"/>
        </w:rPr>
        <w:footnoteReference w:customMarkFollows="0" w:id="9"/>
      </w:r>
      <w:r w:rsidDel="00000000" w:rsidR="00000000" w:rsidRPr="00000000">
        <w:rPr>
          <w:sz w:val="24"/>
          <w:szCs w:val="24"/>
          <w:rtl w:val="0"/>
        </w:rPr>
        <w:t xml:space="preserve">. Sadly this case is one of many that have more than one injustice tied to it. The first, of course being the brutal attack and murder of Tesesa De Simone, the second is that a cearly troubled young man (Lace), with a troubled background, (he had grown up mostly in care and committed smaller offences from the age of just 15</w:t>
      </w:r>
      <w:r w:rsidDel="00000000" w:rsidR="00000000" w:rsidRPr="00000000">
        <w:rPr>
          <w:sz w:val="24"/>
          <w:szCs w:val="24"/>
          <w:vertAlign w:val="superscript"/>
        </w:rPr>
        <w:footnoteReference w:customMarkFollows="0" w:id="10"/>
      </w:r>
      <w:r w:rsidDel="00000000" w:rsidR="00000000" w:rsidRPr="00000000">
        <w:rPr>
          <w:sz w:val="24"/>
          <w:szCs w:val="24"/>
          <w:rtl w:val="0"/>
        </w:rPr>
        <w:t xml:space="preserve">), took his own life. There may not be much sympathy when it comes to sex offenders and/or murderers but Lace had confessed to his awful crimes and, had he been taken seriously, he may not have lost his life to guilt. However some may argue that Lace should have answered for his crimes in a more public way, and that him killing himself was unjust because he didn’t have to face the judge and jury, this is not my view. The third injustice for this case was the wrongful and lengthy imprisonment of a man innocent of the crime he had been accused, it could be said that Hodgson brought it on himself as he did make a confession, but the fact that he had also confessed to a plethora of other crimes, some of which had never taken place at all, should have been a big red flag pointing towards his mental health. However, unlike most cases, that struggle to get one, this case had multiple confessions. I think, taking into account the complexity of this case, it is impossible to place blame, most of the mistakes that were made seem understandable especially considering the original crime happened 40 years ago when mental health issues weren’t as well known about or accepted. Indeed the laws around mental health and crime are often reviewed and modified</w:t>
      </w:r>
      <w:r w:rsidDel="00000000" w:rsidR="00000000" w:rsidRPr="00000000">
        <w:rPr>
          <w:sz w:val="24"/>
          <w:szCs w:val="24"/>
          <w:vertAlign w:val="superscript"/>
        </w:rPr>
        <w:footnoteReference w:customMarkFollows="0" w:id="11"/>
      </w:r>
      <w:r w:rsidDel="00000000" w:rsidR="00000000" w:rsidRPr="00000000">
        <w:rPr>
          <w:sz w:val="24"/>
          <w:szCs w:val="24"/>
          <w:rtl w:val="0"/>
        </w:rPr>
        <w:t xml:space="preserve">. However, I would claim that the police were in the wrong when it comes to the DNA evidence that could have acquitted Hodgson years ago. It was an unacceptable mistake and it is vital that the proper procedures are implemented to stop cases like this one from happening. </w:t>
      </w:r>
    </w:p>
    <w:p w:rsidR="00000000" w:rsidDel="00000000" w:rsidP="00000000" w:rsidRDefault="00000000" w:rsidRPr="00000000" w14:paraId="00000014">
      <w:pPr>
        <w:ind w:left="0" w:firstLine="0"/>
        <w:rPr>
          <w:sz w:val="24"/>
          <w:szCs w:val="24"/>
        </w:rPr>
      </w:pPr>
      <w:r w:rsidDel="00000000" w:rsidR="00000000" w:rsidRPr="00000000">
        <w:rPr>
          <w:rtl w:val="0"/>
        </w:rPr>
      </w:r>
    </w:p>
    <w:p w:rsidR="00000000" w:rsidDel="00000000" w:rsidP="00000000" w:rsidRDefault="00000000" w:rsidRPr="00000000" w14:paraId="00000015">
      <w:pPr>
        <w:ind w:left="0" w:firstLine="0"/>
        <w:rPr>
          <w:sz w:val="24"/>
          <w:szCs w:val="24"/>
        </w:rPr>
      </w:pPr>
      <w:r w:rsidDel="00000000" w:rsidR="00000000" w:rsidRPr="00000000">
        <w:rPr>
          <w:sz w:val="24"/>
          <w:szCs w:val="24"/>
          <w:rtl w:val="0"/>
        </w:rPr>
        <w:t xml:space="preserve">Not only is it essential that evidence maintains an exceptionally high level of integrity, it is also, as part of that maintenance, vital to gather that evidence with integrity. This means two things; one, when retrieving physical forensic evidence, you should do so with respect, using the correct equipment while following the relevant procedures, and two, when interviewing and retrieving samples from suspects, victims and witnesses the same retrieval strategies apply. </w:t>
      </w:r>
    </w:p>
    <w:p w:rsidR="00000000" w:rsidDel="00000000" w:rsidP="00000000" w:rsidRDefault="00000000" w:rsidRPr="00000000" w14:paraId="00000016">
      <w:pPr>
        <w:ind w:left="0" w:firstLine="0"/>
        <w:rPr>
          <w:sz w:val="24"/>
          <w:szCs w:val="24"/>
        </w:rPr>
      </w:pPr>
      <w:r w:rsidDel="00000000" w:rsidR="00000000" w:rsidRPr="00000000">
        <w:rPr>
          <w:rtl w:val="0"/>
        </w:rPr>
      </w:r>
    </w:p>
    <w:p w:rsidR="00000000" w:rsidDel="00000000" w:rsidP="00000000" w:rsidRDefault="00000000" w:rsidRPr="00000000" w14:paraId="00000017">
      <w:pPr>
        <w:ind w:left="0" w:firstLine="0"/>
        <w:rPr>
          <w:sz w:val="24"/>
          <w:szCs w:val="24"/>
          <w:highlight w:val="white"/>
        </w:rPr>
      </w:pPr>
      <w:r w:rsidDel="00000000" w:rsidR="00000000" w:rsidRPr="00000000">
        <w:rPr>
          <w:sz w:val="24"/>
          <w:szCs w:val="24"/>
          <w:rtl w:val="0"/>
        </w:rPr>
        <w:t xml:space="preserve">Don Hale was an investigative journalist who became a specialist in legal miscarriage of justice cases. He aided the defense of several well known people; the supposedly innocent Barry Goerge was cleared in 2008, after getting sent to prison for the murder of the reporter Jill Dando in 2001. The footballer Chad Evans who was deamed not guilty, of raping a 19 year old woman, at his retrial in 2016 was also a client of Hale’s. It was the Evans case that made Hale retire from his misscarriage of justice criminal investigation work and focus on writing his books instead. It may just be conjecture as I have only found one, BBC, article on the subject but it seems to me that Hale had found Evans case trying, saying that, </w:t>
      </w:r>
      <w:r w:rsidDel="00000000" w:rsidR="00000000" w:rsidRPr="00000000">
        <w:rPr>
          <w:sz w:val="24"/>
          <w:szCs w:val="24"/>
          <w:highlight w:val="white"/>
          <w:rtl w:val="0"/>
        </w:rPr>
        <w:t xml:space="preserve"> “...the whole thing was a bit unsavoury and not good for the girl herself." </w:t>
      </w:r>
      <w:r w:rsidDel="00000000" w:rsidR="00000000" w:rsidRPr="00000000">
        <w:rPr>
          <w:sz w:val="24"/>
          <w:szCs w:val="24"/>
          <w:highlight w:val="white"/>
          <w:vertAlign w:val="superscript"/>
        </w:rPr>
        <w:footnoteReference w:customMarkFollows="0" w:id="12"/>
      </w:r>
      <w:r w:rsidDel="00000000" w:rsidR="00000000" w:rsidRPr="00000000">
        <w:rPr>
          <w:sz w:val="24"/>
          <w:szCs w:val="24"/>
          <w:highlight w:val="white"/>
          <w:rtl w:val="0"/>
        </w:rPr>
        <w:t xml:space="preserve"> Could it be that Hale was reluctant to back Evans because he didn’t truly believe his story? We can only hope that Hale releases a biography explaining the whole situation. The case, however, that jump started Hale’s career in the injustice business was that of Stephan Downing. A convicted murderer who Hale was convinced, was innocent. In 1973 Downing was just 17 and working as a council gardener when, in a graveyard he was tending, he found a badly beaten woman. She died in hospital two days later. Her name was Wendy Sewell, she 32 and worked as a typist.</w:t>
      </w:r>
      <w:r w:rsidDel="00000000" w:rsidR="00000000" w:rsidRPr="00000000">
        <w:rPr>
          <w:sz w:val="24"/>
          <w:szCs w:val="24"/>
          <w:highlight w:val="white"/>
          <w:vertAlign w:val="superscript"/>
        </w:rPr>
        <w:footnoteReference w:customMarkFollows="0" w:id="13"/>
      </w:r>
      <w:r w:rsidDel="00000000" w:rsidR="00000000" w:rsidRPr="00000000">
        <w:rPr>
          <w:sz w:val="24"/>
          <w:szCs w:val="24"/>
          <w:highlight w:val="white"/>
        </w:rPr>
        <w:drawing>
          <wp:inline distB="114300" distT="114300" distL="114300" distR="114300">
            <wp:extent cx="5755385" cy="3243263"/>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55385" cy="3243263"/>
                    </a:xfrm>
                    <a:prstGeom prst="rect"/>
                    <a:ln/>
                  </pic:spPr>
                </pic:pic>
              </a:graphicData>
            </a:graphic>
          </wp:inline>
        </w:drawing>
      </w:r>
      <w:r w:rsidDel="00000000" w:rsidR="00000000" w:rsidRPr="00000000">
        <w:rPr>
          <w:sz w:val="24"/>
          <w:szCs w:val="24"/>
          <w:highlight w:val="white"/>
          <w:vertAlign w:val="superscript"/>
        </w:rPr>
        <w:footnoteReference w:customMarkFollows="0" w:id="14"/>
      </w:r>
      <w:r w:rsidDel="00000000" w:rsidR="00000000" w:rsidRPr="00000000">
        <w:rPr>
          <w:sz w:val="24"/>
          <w:szCs w:val="24"/>
          <w:highlight w:val="white"/>
          <w:rtl w:val="0"/>
        </w:rPr>
        <w:t xml:space="preserve"> Sadly it is this case that, in my view, that demonstrates a blatant disregard for integrity and justice. Police took Downing into custody and interviewed him for seven hours, during which he had to be forcefully woken up and officers bet on whether or not he would confess. Although he was 17 at the time, he had a reading age of an 11 year old and it is strongly suspected that he was not told he was under arrest nor what his rights were.</w:t>
      </w:r>
      <w:r w:rsidDel="00000000" w:rsidR="00000000" w:rsidRPr="00000000">
        <w:rPr>
          <w:sz w:val="24"/>
          <w:szCs w:val="24"/>
          <w:highlight w:val="white"/>
          <w:vertAlign w:val="superscript"/>
        </w:rPr>
        <w:footnoteReference w:customMarkFollows="0" w:id="15"/>
      </w:r>
      <w:r w:rsidDel="00000000" w:rsidR="00000000" w:rsidRPr="00000000">
        <w:rPr>
          <w:sz w:val="24"/>
          <w:szCs w:val="24"/>
          <w:highlight w:val="white"/>
          <w:rtl w:val="0"/>
        </w:rPr>
        <w:t xml:space="preserve"> It was also said that Downing requested a lawyer but his request was denied.</w:t>
      </w:r>
      <w:r w:rsidDel="00000000" w:rsidR="00000000" w:rsidRPr="00000000">
        <w:rPr>
          <w:sz w:val="24"/>
          <w:szCs w:val="24"/>
          <w:highlight w:val="white"/>
          <w:vertAlign w:val="superscript"/>
        </w:rPr>
        <w:footnoteReference w:customMarkFollows="0" w:id="16"/>
      </w:r>
      <w:r w:rsidDel="00000000" w:rsidR="00000000" w:rsidRPr="00000000">
        <w:rPr>
          <w:sz w:val="24"/>
          <w:szCs w:val="24"/>
          <w:highlight w:val="white"/>
          <w:rtl w:val="0"/>
        </w:rPr>
        <w:t xml:space="preserve"> Downing finally confessed and I imagine police were happy to have found the killer so quickly. Can you blame a 17 year old, scared young man for buckling under the pressure of such a long and demeaning interrogation? No, nor can it be denied that Downing had insisted upon his innocence for the entire duration of his incarceration. If Downing had pleaded guilty, he could have been eligible for parole years before he won his appeal. These events changed the law so that there is now an opportunity for parole in cases where an ongoing plea for innocence has been maintained. At least something good came out of this particular misjustice.</w:t>
      </w:r>
    </w:p>
    <w:p w:rsidR="00000000" w:rsidDel="00000000" w:rsidP="00000000" w:rsidRDefault="00000000" w:rsidRPr="00000000" w14:paraId="00000018">
      <w:pPr>
        <w:ind w:left="0" w:firstLine="0"/>
        <w:rPr>
          <w:sz w:val="24"/>
          <w:szCs w:val="24"/>
          <w:highlight w:val="white"/>
        </w:rPr>
      </w:pPr>
      <w:r w:rsidDel="00000000" w:rsidR="00000000" w:rsidRPr="00000000">
        <w:rPr>
          <w:sz w:val="24"/>
          <w:szCs w:val="24"/>
          <w:highlight w:val="white"/>
          <w:rtl w:val="0"/>
        </w:rPr>
        <w:t xml:space="preserve"> Investigative journalists are important, if they didn’t sniff out fowl play, no one would. However, it should be remembered that they are bias and often overlook guilty evidence that comes to light during their investigation. </w:t>
      </w:r>
    </w:p>
    <w:p w:rsidR="00000000" w:rsidDel="00000000" w:rsidP="00000000" w:rsidRDefault="00000000" w:rsidRPr="00000000" w14:paraId="00000019">
      <w:pPr>
        <w:ind w:left="0" w:firstLine="0"/>
        <w:rPr>
          <w:sz w:val="24"/>
          <w:szCs w:val="24"/>
          <w:highlight w:val="white"/>
        </w:rPr>
      </w:pPr>
      <w:r w:rsidDel="00000000" w:rsidR="00000000" w:rsidRPr="00000000">
        <w:rPr>
          <w:rtl w:val="0"/>
        </w:rPr>
      </w:r>
    </w:p>
    <w:p w:rsidR="00000000" w:rsidDel="00000000" w:rsidP="00000000" w:rsidRDefault="00000000" w:rsidRPr="00000000" w14:paraId="0000001A">
      <w:pPr>
        <w:ind w:left="0" w:firstLine="0"/>
        <w:rPr>
          <w:sz w:val="24"/>
          <w:szCs w:val="24"/>
          <w:highlight w:val="white"/>
        </w:rPr>
      </w:pPr>
      <w:r w:rsidDel="00000000" w:rsidR="00000000" w:rsidRPr="00000000">
        <w:rPr>
          <w:sz w:val="24"/>
          <w:szCs w:val="24"/>
          <w:highlight w:val="white"/>
          <w:rtl w:val="0"/>
        </w:rPr>
        <w:t xml:space="preserve">The impact on the families of victims, when perpetrators are not brought to justice, is great. There can be no closure for them or the victims of miscarriage of justice. The damage is already done. The best we can do is improve legislation and implement a high ethical standard amongst crime scene and other investigative teams, ensuring the integrity of any and all evidence used in court. The appropriate weight should be given, in court pertaining to relevant evidence and should all be considered with equal analysis. It has been, and continues to be through trial and error that the criminal justice system improves. The law is not proactive, instead it learns from experience. </w:t>
      </w:r>
    </w:p>
    <w:p w:rsidR="00000000" w:rsidDel="00000000" w:rsidP="00000000" w:rsidRDefault="00000000" w:rsidRPr="00000000" w14:paraId="0000001B">
      <w:pPr>
        <w:ind w:left="0" w:firstLine="0"/>
        <w:rPr>
          <w:sz w:val="24"/>
          <w:szCs w:val="24"/>
          <w:highlight w:val="white"/>
        </w:rPr>
      </w:pPr>
      <w:r w:rsidDel="00000000" w:rsidR="00000000" w:rsidRPr="00000000">
        <w:rPr>
          <w:rtl w:val="0"/>
        </w:rPr>
      </w:r>
    </w:p>
    <w:p w:rsidR="00000000" w:rsidDel="00000000" w:rsidP="00000000" w:rsidRDefault="00000000" w:rsidRPr="00000000" w14:paraId="0000001C">
      <w:pPr>
        <w:ind w:left="0" w:firstLine="0"/>
        <w:rPr>
          <w:sz w:val="24"/>
          <w:szCs w:val="24"/>
          <w:highlight w:val="white"/>
        </w:rPr>
      </w:pPr>
      <w:r w:rsidDel="00000000" w:rsidR="00000000" w:rsidRPr="00000000">
        <w:rPr>
          <w:rtl w:val="0"/>
        </w:rPr>
      </w:r>
    </w:p>
    <w:p w:rsidR="00000000" w:rsidDel="00000000" w:rsidP="00000000" w:rsidRDefault="00000000" w:rsidRPr="00000000" w14:paraId="0000001D">
      <w:pPr>
        <w:ind w:left="0" w:firstLine="0"/>
        <w:rPr>
          <w:sz w:val="24"/>
          <w:szCs w:val="24"/>
          <w:highlight w:val="white"/>
        </w:rPr>
      </w:pPr>
      <w:r w:rsidDel="00000000" w:rsidR="00000000" w:rsidRPr="00000000">
        <w:rPr>
          <w:rtl w:val="0"/>
        </w:rPr>
      </w:r>
    </w:p>
    <w:p w:rsidR="00000000" w:rsidDel="00000000" w:rsidP="00000000" w:rsidRDefault="00000000" w:rsidRPr="00000000" w14:paraId="0000001E">
      <w:pPr>
        <w:ind w:left="0" w:firstLine="0"/>
        <w:rPr>
          <w:sz w:val="24"/>
          <w:szCs w:val="24"/>
          <w:highlight w:val="white"/>
        </w:rPr>
      </w:pPr>
      <w:r w:rsidDel="00000000" w:rsidR="00000000" w:rsidRPr="00000000">
        <w:rPr>
          <w:rtl w:val="0"/>
        </w:rPr>
      </w:r>
    </w:p>
    <w:p w:rsidR="00000000" w:rsidDel="00000000" w:rsidP="00000000" w:rsidRDefault="00000000" w:rsidRPr="00000000" w14:paraId="0000001F">
      <w:pPr>
        <w:ind w:left="0" w:firstLine="0"/>
        <w:rPr>
          <w:sz w:val="24"/>
          <w:szCs w:val="24"/>
          <w:highlight w:val="white"/>
        </w:rPr>
      </w:pPr>
      <w:r w:rsidDel="00000000" w:rsidR="00000000" w:rsidRPr="00000000">
        <w:rPr>
          <w:rtl w:val="0"/>
        </w:rPr>
      </w:r>
    </w:p>
    <w:p w:rsidR="00000000" w:rsidDel="00000000" w:rsidP="00000000" w:rsidRDefault="00000000" w:rsidRPr="00000000" w14:paraId="00000020">
      <w:pPr>
        <w:ind w:left="0" w:firstLine="0"/>
        <w:rPr>
          <w:sz w:val="24"/>
          <w:szCs w:val="24"/>
          <w:highlight w:val="white"/>
        </w:rPr>
      </w:pPr>
      <w:r w:rsidDel="00000000" w:rsidR="00000000" w:rsidRPr="00000000">
        <w:rPr>
          <w:rtl w:val="0"/>
        </w:rPr>
      </w:r>
    </w:p>
    <w:p w:rsidR="00000000" w:rsidDel="00000000" w:rsidP="00000000" w:rsidRDefault="00000000" w:rsidRPr="00000000" w14:paraId="00000021">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2">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3">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4">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5">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6">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7">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8">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9">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A">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B">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C">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D">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E">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2F">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30">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31">
      <w:pPr>
        <w:ind w:left="0" w:firstLine="0"/>
        <w:rPr>
          <w:i w:val="1"/>
          <w:sz w:val="24"/>
          <w:szCs w:val="24"/>
          <w:highlight w:val="white"/>
          <w:u w:val="single"/>
        </w:rPr>
      </w:pPr>
      <w:r w:rsidDel="00000000" w:rsidR="00000000" w:rsidRPr="00000000">
        <w:rPr>
          <w:i w:val="1"/>
          <w:sz w:val="24"/>
          <w:szCs w:val="24"/>
          <w:highlight w:val="white"/>
          <w:u w:val="single"/>
          <w:rtl w:val="0"/>
        </w:rPr>
        <w:t xml:space="preserve">Bibliography</w:t>
      </w:r>
    </w:p>
    <w:p w:rsidR="00000000" w:rsidDel="00000000" w:rsidP="00000000" w:rsidRDefault="00000000" w:rsidRPr="00000000" w14:paraId="00000032">
      <w:pPr>
        <w:ind w:left="0" w:firstLine="0"/>
        <w:rPr>
          <w:i w:val="1"/>
          <w:sz w:val="24"/>
          <w:szCs w:val="24"/>
          <w:highlight w:val="white"/>
          <w:u w:val="single"/>
        </w:rPr>
      </w:pPr>
      <w:r w:rsidDel="00000000" w:rsidR="00000000" w:rsidRPr="00000000">
        <w:rPr>
          <w:rtl w:val="0"/>
        </w:rPr>
      </w:r>
    </w:p>
    <w:p w:rsidR="00000000" w:rsidDel="00000000" w:rsidP="00000000" w:rsidRDefault="00000000" w:rsidRPr="00000000" w14:paraId="00000033">
      <w:pPr>
        <w:spacing w:line="240" w:lineRule="auto"/>
        <w:ind w:left="720" w:hanging="720"/>
        <w:rPr>
          <w:sz w:val="24"/>
          <w:szCs w:val="24"/>
          <w:highlight w:val="white"/>
        </w:rPr>
      </w:pPr>
      <w:hyperlink r:id="rId9">
        <w:r w:rsidDel="00000000" w:rsidR="00000000" w:rsidRPr="00000000">
          <w:rPr>
            <w:vertAlign w:val="baseline"/>
            <w:rtl w:val="0"/>
          </w:rPr>
          <w:t xml:space="preserve">Addley, Esther, ‘Police Finally Name Teresa de Simone’s Real Killer’, </w:t>
        </w:r>
      </w:hyperlink>
      <w:hyperlink r:id="rId10">
        <w:r w:rsidDel="00000000" w:rsidR="00000000" w:rsidRPr="00000000">
          <w:rPr>
            <w:i w:val="1"/>
            <w:vertAlign w:val="baseline"/>
            <w:rtl w:val="0"/>
          </w:rPr>
          <w:t xml:space="preserve">The Guardian</w:t>
        </w:r>
      </w:hyperlink>
      <w:hyperlink r:id="rId11">
        <w:r w:rsidDel="00000000" w:rsidR="00000000" w:rsidRPr="00000000">
          <w:rPr>
            <w:vertAlign w:val="baseline"/>
            <w:rtl w:val="0"/>
          </w:rPr>
          <w:t xml:space="preserve">, 17 September 2009, section UK news &lt;https://www.theguardian.com/uk/2009/sep/17/teresa-de-simone-killer-identified&gt; [accessed 8 December 2019]</w:t>
        </w:r>
      </w:hyperlink>
      <w:r w:rsidDel="00000000" w:rsidR="00000000" w:rsidRPr="00000000">
        <w:rPr>
          <w:rtl w:val="0"/>
        </w:rPr>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highlight w:val="white"/>
        </w:rPr>
      </w:pPr>
      <w:hyperlink r:id="rId12">
        <w:r w:rsidDel="00000000" w:rsidR="00000000" w:rsidRPr="00000000">
          <w:rPr>
            <w:vertAlign w:val="baseline"/>
            <w:rtl w:val="0"/>
          </w:rPr>
          <w:t xml:space="preserve">‘Courts and Mental Health | Mind, the Mental Health Charity - Help for Mental Health Problems’ &lt;https://www.mind.org.uk/information-support/legal-rights/courts-and-mental-health/#.XfDOO-j7TIU&gt; [accessed 11 December 2019]</w:t>
        </w:r>
      </w:hyperlink>
      <w:r w:rsidDel="00000000" w:rsidR="00000000" w:rsidRPr="00000000">
        <w:rPr>
          <w:rtl w:val="0"/>
        </w:rPr>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highlight w:val="white"/>
        </w:rPr>
      </w:pPr>
      <w:hyperlink r:id="rId13">
        <w:r w:rsidDel="00000000" w:rsidR="00000000" w:rsidRPr="00000000">
          <w:rPr>
            <w:vertAlign w:val="baseline"/>
            <w:rtl w:val="0"/>
          </w:rPr>
          <w:t xml:space="preserve">Edwards, Richard, ‘Teresa de Simone Murder: Police Identify New Suspect in 1979 Case’, 11 August 2009, section News &lt;https://www.telegraph.co.uk/news/uknews/6009494/Teresa-de-Simone-murder-police-identify-new-suspect-in-1979-case.html&gt; [accessed 11 December 2019]</w:t>
        </w:r>
      </w:hyperlink>
      <w:r w:rsidDel="00000000" w:rsidR="00000000" w:rsidRPr="00000000">
        <w:rPr>
          <w:rtl w:val="0"/>
        </w:rPr>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highlight w:val="white"/>
        </w:rPr>
      </w:pPr>
      <w:hyperlink r:id="rId14">
        <w:r w:rsidDel="00000000" w:rsidR="00000000" w:rsidRPr="00000000">
          <w:rPr>
            <w:vertAlign w:val="baseline"/>
            <w:rtl w:val="0"/>
          </w:rPr>
          <w:t xml:space="preserve">‘Hunting the “Beast of Buckland”: The Search for Linda Cook’s Killer - VICE’ &lt;https://www.vice.com/en_uk/article/xwb9dn/hunting-the-beast-of-buckland-the-search-for-linda-cooks-killer&gt; [accessed 8 December 2019]</w:t>
        </w:r>
      </w:hyperlink>
      <w:r w:rsidDel="00000000" w:rsidR="00000000" w:rsidRPr="00000000">
        <w:rPr>
          <w:rtl w:val="0"/>
        </w:rPr>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highlight w:val="white"/>
        </w:rPr>
      </w:pPr>
      <w:hyperlink r:id="rId15">
        <w:r w:rsidDel="00000000" w:rsidR="00000000" w:rsidRPr="00000000">
          <w:rPr>
            <w:vertAlign w:val="baseline"/>
            <w:rtl w:val="0"/>
          </w:rPr>
          <w:t xml:space="preserve">‘Jill Dando: How Pressure to Find a Killer Made the Criminal Justice System Reckless’, </w:t>
        </w:r>
      </w:hyperlink>
      <w:hyperlink r:id="rId16">
        <w:r w:rsidDel="00000000" w:rsidR="00000000" w:rsidRPr="00000000">
          <w:rPr>
            <w:i w:val="1"/>
            <w:vertAlign w:val="baseline"/>
            <w:rtl w:val="0"/>
          </w:rPr>
          <w:t xml:space="preserve">The Justice Gap</w:t>
        </w:r>
      </w:hyperlink>
      <w:hyperlink r:id="rId17">
        <w:r w:rsidDel="00000000" w:rsidR="00000000" w:rsidRPr="00000000">
          <w:rPr>
            <w:vertAlign w:val="baseline"/>
            <w:rtl w:val="0"/>
          </w:rPr>
          <w:t xml:space="preserve"> &lt;https://www.thejusticegap.com/jill-dando-how-pressure-to-find-a-killer-made-the-criminal-justice-system-reckless/&gt; [accessed 8 December 2019]</w:t>
        </w:r>
      </w:hyperlink>
      <w:r w:rsidDel="00000000" w:rsidR="00000000" w:rsidRPr="00000000">
        <w:rPr>
          <w:rtl w:val="0"/>
        </w:rPr>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highlight w:val="white"/>
        </w:rPr>
      </w:pPr>
      <w:hyperlink r:id="rId18">
        <w:r w:rsidDel="00000000" w:rsidR="00000000" w:rsidRPr="00000000">
          <w:rPr>
            <w:vertAlign w:val="baseline"/>
            <w:rtl w:val="0"/>
          </w:rPr>
          <w:t xml:space="preserve">United Nations Office on Drugs and Crime, </w:t>
        </w:r>
      </w:hyperlink>
      <w:hyperlink r:id="rId19">
        <w:r w:rsidDel="00000000" w:rsidR="00000000" w:rsidRPr="00000000">
          <w:rPr>
            <w:i w:val="1"/>
            <w:vertAlign w:val="baseline"/>
            <w:rtl w:val="0"/>
          </w:rPr>
          <w:t xml:space="preserve">Crime Scene and Physical Evidence Awareness for Non-Forensic Personnel</w:t>
        </w:r>
      </w:hyperlink>
      <w:hyperlink r:id="rId20">
        <w:r w:rsidDel="00000000" w:rsidR="00000000" w:rsidRPr="00000000">
          <w:rPr>
            <w:vertAlign w:val="baseline"/>
            <w:rtl w:val="0"/>
          </w:rPr>
          <w:t xml:space="preserve"> (New York: United Nations Publications, 2009) &lt;https://www.unodc.org/unodc/en/scientists/crime-scene-and-physical-evidence-awareness-for-non-forensic-personnel.html&gt; [accessed 13 December 2019]</w:t>
        </w:r>
      </w:hyperlink>
      <w:r w:rsidDel="00000000" w:rsidR="00000000" w:rsidRPr="00000000">
        <w:rPr>
          <w:rtl w:val="0"/>
        </w:rPr>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highlight w:val="white"/>
        </w:rPr>
      </w:pPr>
      <w:hyperlink r:id="rId21">
        <w:r w:rsidDel="00000000" w:rsidR="00000000" w:rsidRPr="00000000">
          <w:rPr>
            <w:vertAlign w:val="baseline"/>
            <w:rtl w:val="0"/>
          </w:rPr>
          <w:t xml:space="preserve">Vasagar, Jeevan, and David Ward, ‘After 27 Years, Downing Is Freed’, </w:t>
        </w:r>
      </w:hyperlink>
      <w:hyperlink r:id="rId22">
        <w:r w:rsidDel="00000000" w:rsidR="00000000" w:rsidRPr="00000000">
          <w:rPr>
            <w:i w:val="1"/>
            <w:vertAlign w:val="baseline"/>
            <w:rtl w:val="0"/>
          </w:rPr>
          <w:t xml:space="preserve">The Guardian</w:t>
        </w:r>
      </w:hyperlink>
      <w:hyperlink r:id="rId23">
        <w:r w:rsidDel="00000000" w:rsidR="00000000" w:rsidRPr="00000000">
          <w:rPr>
            <w:vertAlign w:val="baseline"/>
            <w:rtl w:val="0"/>
          </w:rPr>
          <w:t xml:space="preserve"> (online, 8 February 2001), section UK news &lt;https://www.theguardian.com/uk/2001/feb/08/davidward.jeevanvasagar&gt; [accessed 8 December 2019]</w:t>
        </w:r>
      </w:hyperlink>
      <w:r w:rsidDel="00000000" w:rsidR="00000000" w:rsidRPr="00000000">
        <w:rPr>
          <w:rtl w:val="0"/>
        </w:rPr>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sz w:val="24"/>
          <w:szCs w:val="24"/>
          <w:highlight w:val="white"/>
        </w:rPr>
      </w:pPr>
      <w:hyperlink r:id="rId24">
        <w:r w:rsidDel="00000000" w:rsidR="00000000" w:rsidRPr="00000000">
          <w:rPr>
            <w:vertAlign w:val="baseline"/>
            <w:rtl w:val="0"/>
          </w:rPr>
          <w:t xml:space="preserve">Wade, Dave, ‘“They Made My Life Absolute Hell”’, </w:t>
        </w:r>
      </w:hyperlink>
      <w:hyperlink r:id="rId25">
        <w:r w:rsidDel="00000000" w:rsidR="00000000" w:rsidRPr="00000000">
          <w:rPr>
            <w:i w:val="1"/>
            <w:vertAlign w:val="baseline"/>
            <w:rtl w:val="0"/>
          </w:rPr>
          <w:t xml:space="preserve">BBC News</w:t>
        </w:r>
      </w:hyperlink>
      <w:hyperlink r:id="rId26">
        <w:r w:rsidDel="00000000" w:rsidR="00000000" w:rsidRPr="00000000">
          <w:rPr>
            <w:vertAlign w:val="baseline"/>
            <w:rtl w:val="0"/>
          </w:rPr>
          <w:t xml:space="preserve">, 26 January 2017, section Derby &lt;https://www.bbc.com/news/uk-england-derbyshire-38581779&gt; [accessed 12 December 2019]</w:t>
        </w:r>
      </w:hyperlink>
      <w:r w:rsidDel="00000000" w:rsidR="00000000" w:rsidRPr="00000000">
        <w:rPr>
          <w:rtl w:val="0"/>
        </w:rPr>
      </w:r>
    </w:p>
    <w:p w:rsidR="00000000" w:rsidDel="00000000" w:rsidP="00000000" w:rsidRDefault="00000000" w:rsidRPr="00000000" w14:paraId="0000003B">
      <w:pPr>
        <w:ind w:left="0" w:firstLine="0"/>
        <w:rPr>
          <w:sz w:val="24"/>
          <w:szCs w:val="24"/>
        </w:rPr>
      </w:pPr>
      <w:r w:rsidDel="00000000" w:rsidR="00000000" w:rsidRPr="00000000">
        <w:rPr>
          <w:rtl w:val="0"/>
        </w:rPr>
      </w:r>
    </w:p>
    <w:p w:rsidR="00000000" w:rsidDel="00000000" w:rsidP="00000000" w:rsidRDefault="00000000" w:rsidRPr="00000000" w14:paraId="0000003C">
      <w:pPr>
        <w:ind w:left="0" w:firstLine="0"/>
        <w:rPr>
          <w:sz w:val="24"/>
          <w:szCs w:val="24"/>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sectPr>
      <w:headerReference r:id="rId2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sz w:val="20"/>
            <w:szCs w:val="20"/>
            <w:vertAlign w:val="baseline"/>
            <w:rtl w:val="0"/>
          </w:rPr>
          <w:t xml:space="preserve">Esther Addley, ‘Police Finally Name Teresa de Simone’s Real Killer’, </w:t>
        </w:r>
      </w:hyperlink>
      <w:hyperlink r:id="rId2">
        <w:r w:rsidDel="00000000" w:rsidR="00000000" w:rsidRPr="00000000">
          <w:rPr>
            <w:i w:val="1"/>
            <w:sz w:val="20"/>
            <w:szCs w:val="20"/>
            <w:vertAlign w:val="baseline"/>
            <w:rtl w:val="0"/>
          </w:rPr>
          <w:t xml:space="preserve">The Guardian</w:t>
        </w:r>
      </w:hyperlink>
      <w:hyperlink r:id="rId3">
        <w:r w:rsidDel="00000000" w:rsidR="00000000" w:rsidRPr="00000000">
          <w:rPr>
            <w:sz w:val="20"/>
            <w:szCs w:val="20"/>
            <w:vertAlign w:val="baseline"/>
            <w:rtl w:val="0"/>
          </w:rPr>
          <w:t xml:space="preserve">, 17 September 2009, section UK news &lt;https://www.theguardian.com/uk/2009/sep/17/teresa-de-simone-killer-identified&gt; [accessed 8 December 2019].</w:t>
        </w:r>
      </w:hyperlink>
      <w:r w:rsidDel="00000000" w:rsidR="00000000" w:rsidRPr="00000000">
        <w:rPr>
          <w:rtl w:val="0"/>
        </w:rPr>
      </w:r>
    </w:p>
  </w:footnote>
  <w:footnote w:id="1">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sz w:val="20"/>
            <w:szCs w:val="20"/>
            <w:vertAlign w:val="baseline"/>
            <w:rtl w:val="0"/>
          </w:rPr>
          <w:t xml:space="preserve">‘Hunting the “Beast of Buckland”: The Search for Linda Cook’s Killer - VICE’ &lt;https://www.vice.com/en_uk/article/xwb9dn/hunting-the-beast-of-buckland-the-search-for-linda-cooks-killer&gt; [accessed 8 December 2019].</w:t>
        </w:r>
      </w:hyperlink>
      <w:r w:rsidDel="00000000" w:rsidR="00000000" w:rsidRPr="00000000">
        <w:rPr>
          <w:rtl w:val="0"/>
        </w:rPr>
      </w:r>
    </w:p>
  </w:footnote>
  <w:footnote w:id="2">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sz w:val="20"/>
            <w:szCs w:val="20"/>
            <w:vertAlign w:val="baseline"/>
            <w:rtl w:val="0"/>
          </w:rPr>
          <w:t xml:space="preserve">‘Jill Dando: How Pressure to Find a Killer Made the Criminal Justice System Reckless’, </w:t>
        </w:r>
      </w:hyperlink>
      <w:hyperlink r:id="rId6">
        <w:r w:rsidDel="00000000" w:rsidR="00000000" w:rsidRPr="00000000">
          <w:rPr>
            <w:i w:val="1"/>
            <w:sz w:val="20"/>
            <w:szCs w:val="20"/>
            <w:vertAlign w:val="baseline"/>
            <w:rtl w:val="0"/>
          </w:rPr>
          <w:t xml:space="preserve">The Justice Gap</w:t>
        </w:r>
      </w:hyperlink>
      <w:hyperlink r:id="rId7">
        <w:r w:rsidDel="00000000" w:rsidR="00000000" w:rsidRPr="00000000">
          <w:rPr>
            <w:sz w:val="20"/>
            <w:szCs w:val="20"/>
            <w:vertAlign w:val="baseline"/>
            <w:rtl w:val="0"/>
          </w:rPr>
          <w:t xml:space="preserve"> &lt;https://www.thejusticegap.com/jill-dando-how-pressure-to-find-a-killer-made-the-criminal-justice-system-reckless/&gt; [accessed 8 December 2019].</w:t>
        </w:r>
      </w:hyperlink>
      <w:r w:rsidDel="00000000" w:rsidR="00000000" w:rsidRPr="00000000">
        <w:rPr>
          <w:rtl w:val="0"/>
        </w:rPr>
      </w:r>
    </w:p>
  </w:footnote>
  <w:footnote w:id="5">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sz w:val="20"/>
            <w:szCs w:val="20"/>
            <w:vertAlign w:val="baseline"/>
            <w:rtl w:val="0"/>
          </w:rPr>
          <w:t xml:space="preserve">Addley.</w:t>
        </w:r>
      </w:hyperlink>
      <w:r w:rsidDel="00000000" w:rsidR="00000000" w:rsidRPr="00000000">
        <w:rPr>
          <w:rtl w:val="0"/>
        </w:rPr>
      </w:r>
    </w:p>
  </w:footnote>
  <w:footnote w:id="8">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sz w:val="20"/>
            <w:szCs w:val="20"/>
            <w:vertAlign w:val="baseline"/>
            <w:rtl w:val="0"/>
          </w:rPr>
          <w:t xml:space="preserve">Addley.</w:t>
        </w:r>
      </w:hyperlink>
      <w:r w:rsidDel="00000000" w:rsidR="00000000" w:rsidRPr="00000000">
        <w:rPr>
          <w:rtl w:val="0"/>
        </w:rPr>
      </w:r>
    </w:p>
  </w:footnote>
  <w:footnote w:id="10">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sz w:val="20"/>
            <w:szCs w:val="20"/>
            <w:vertAlign w:val="baseline"/>
            <w:rtl w:val="0"/>
          </w:rPr>
          <w:t xml:space="preserve">Addley.</w:t>
        </w:r>
      </w:hyperlink>
      <w:r w:rsidDel="00000000" w:rsidR="00000000" w:rsidRPr="00000000">
        <w:rPr>
          <w:rtl w:val="0"/>
        </w:rPr>
      </w:r>
    </w:p>
  </w:footnote>
  <w:footnote w:id="11">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sz w:val="20"/>
            <w:szCs w:val="20"/>
            <w:vertAlign w:val="baseline"/>
            <w:rtl w:val="0"/>
          </w:rPr>
          <w:t xml:space="preserve">‘Courts and Mental Health | Mind, the Mental Health Charity - Help for Mental Health Problems’ &lt;https://www.mind.org.uk/information-support/legal-rights/courts-and-mental-health/#.XfDOO-j7TIU&gt; [accessed 11 December 2019].</w:t>
        </w:r>
      </w:hyperlink>
      <w:r w:rsidDel="00000000" w:rsidR="00000000" w:rsidRPr="00000000">
        <w:rPr>
          <w:rtl w:val="0"/>
        </w:rPr>
      </w:r>
    </w:p>
  </w:footnote>
  <w:footnote w:id="7">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2">
        <w:r w:rsidDel="00000000" w:rsidR="00000000" w:rsidRPr="00000000">
          <w:rPr>
            <w:sz w:val="20"/>
            <w:szCs w:val="20"/>
            <w:vertAlign w:val="baseline"/>
            <w:rtl w:val="0"/>
          </w:rPr>
          <w:t xml:space="preserve">Addley.</w:t>
        </w:r>
      </w:hyperlink>
      <w:r w:rsidDel="00000000" w:rsidR="00000000" w:rsidRPr="00000000">
        <w:rPr>
          <w:rtl w:val="0"/>
        </w:rPr>
      </w:r>
    </w:p>
  </w:footnote>
  <w:footnote w:id="9">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sz w:val="20"/>
            <w:szCs w:val="20"/>
            <w:vertAlign w:val="baseline"/>
            <w:rtl w:val="0"/>
          </w:rPr>
          <w:t xml:space="preserve">Richard Edwards, ‘Teresa de Simone Murder: Police Identify New Suspect in 1979 Case’, 11 August 2009, section News &lt;https://www.telegraph.co.uk/news/uknews/6009494/Teresa-de-Simone-murder-police-identify-new-suspect-in-1979-case.html&gt; [accessed 11 December 2019].</w:t>
        </w:r>
      </w:hyperlink>
      <w:r w:rsidDel="00000000" w:rsidR="00000000" w:rsidRPr="00000000">
        <w:rPr>
          <w:rtl w:val="0"/>
        </w:rPr>
      </w:r>
    </w:p>
  </w:footnote>
  <w:footnote w:id="12">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sz w:val="20"/>
            <w:szCs w:val="20"/>
            <w:vertAlign w:val="baseline"/>
            <w:rtl w:val="0"/>
          </w:rPr>
          <w:t xml:space="preserve">Dave Wade, ‘“They Made My Life Absolute Hell”’, </w:t>
        </w:r>
      </w:hyperlink>
      <w:hyperlink r:id="rId15">
        <w:r w:rsidDel="00000000" w:rsidR="00000000" w:rsidRPr="00000000">
          <w:rPr>
            <w:i w:val="1"/>
            <w:sz w:val="20"/>
            <w:szCs w:val="20"/>
            <w:vertAlign w:val="baseline"/>
            <w:rtl w:val="0"/>
          </w:rPr>
          <w:t xml:space="preserve">BBC News</w:t>
        </w:r>
      </w:hyperlink>
      <w:hyperlink r:id="rId16">
        <w:r w:rsidDel="00000000" w:rsidR="00000000" w:rsidRPr="00000000">
          <w:rPr>
            <w:sz w:val="20"/>
            <w:szCs w:val="20"/>
            <w:vertAlign w:val="baseline"/>
            <w:rtl w:val="0"/>
          </w:rPr>
          <w:t xml:space="preserve">, 26 January 2017, section Derby &lt;https://www.bbc.com/news/uk-england-derbyshire-38581779&gt; [accessed 12 December 2019].</w:t>
        </w:r>
      </w:hyperlink>
      <w:r w:rsidDel="00000000" w:rsidR="00000000" w:rsidRPr="00000000">
        <w:rPr>
          <w:rtl w:val="0"/>
        </w:rPr>
      </w:r>
    </w:p>
  </w:footnote>
  <w:footnote w:id="16">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7">
        <w:r w:rsidDel="00000000" w:rsidR="00000000" w:rsidRPr="00000000">
          <w:rPr>
            <w:sz w:val="20"/>
            <w:szCs w:val="20"/>
            <w:vertAlign w:val="baseline"/>
            <w:rtl w:val="0"/>
          </w:rPr>
          <w:t xml:space="preserve">Vasagar and Ward.</w:t>
        </w:r>
      </w:hyperlink>
      <w:r w:rsidDel="00000000" w:rsidR="00000000" w:rsidRPr="00000000">
        <w:rPr>
          <w:rtl w:val="0"/>
        </w:rPr>
      </w:r>
    </w:p>
  </w:footnote>
  <w:footnote w:id="15">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8">
        <w:r w:rsidDel="00000000" w:rsidR="00000000" w:rsidRPr="00000000">
          <w:rPr>
            <w:sz w:val="20"/>
            <w:szCs w:val="20"/>
            <w:vertAlign w:val="baseline"/>
            <w:rtl w:val="0"/>
          </w:rPr>
          <w:t xml:space="preserve">Vasagar and Ward.</w:t>
        </w:r>
      </w:hyperlink>
      <w:r w:rsidDel="00000000" w:rsidR="00000000" w:rsidRPr="00000000">
        <w:rPr>
          <w:rtl w:val="0"/>
        </w:rPr>
      </w:r>
    </w:p>
  </w:footnote>
  <w:footnote w:id="13">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9">
        <w:r w:rsidDel="00000000" w:rsidR="00000000" w:rsidRPr="00000000">
          <w:rPr>
            <w:sz w:val="20"/>
            <w:szCs w:val="20"/>
            <w:vertAlign w:val="baseline"/>
            <w:rtl w:val="0"/>
          </w:rPr>
          <w:t xml:space="preserve">Jeevan Vasagar and David Ward, ‘After 27 Years, Downing Is Freed’, </w:t>
        </w:r>
      </w:hyperlink>
      <w:hyperlink r:id="rId20">
        <w:r w:rsidDel="00000000" w:rsidR="00000000" w:rsidRPr="00000000">
          <w:rPr>
            <w:i w:val="1"/>
            <w:sz w:val="20"/>
            <w:szCs w:val="20"/>
            <w:vertAlign w:val="baseline"/>
            <w:rtl w:val="0"/>
          </w:rPr>
          <w:t xml:space="preserve">The Guardian</w:t>
        </w:r>
      </w:hyperlink>
      <w:hyperlink r:id="rId21">
        <w:r w:rsidDel="00000000" w:rsidR="00000000" w:rsidRPr="00000000">
          <w:rPr>
            <w:sz w:val="20"/>
            <w:szCs w:val="20"/>
            <w:vertAlign w:val="baseline"/>
            <w:rtl w:val="0"/>
          </w:rPr>
          <w:t xml:space="preserve"> (online, 8 February 2001), section UK news &lt;https://www.theguardian.com/uk/2001/feb/08/davidward.jeevanvasagar&gt; [accessed 8 December 2019].</w:t>
        </w:r>
      </w:hyperlink>
      <w:r w:rsidDel="00000000" w:rsidR="00000000" w:rsidRPr="00000000">
        <w:rPr>
          <w:rtl w:val="0"/>
        </w:rPr>
      </w:r>
    </w:p>
  </w:footnote>
  <w:footnote w:id="4">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2">
        <w:r w:rsidDel="00000000" w:rsidR="00000000" w:rsidRPr="00000000">
          <w:rPr>
            <w:sz w:val="20"/>
            <w:szCs w:val="20"/>
            <w:vertAlign w:val="baseline"/>
            <w:rtl w:val="0"/>
          </w:rPr>
          <w:t xml:space="preserve">‘Hunting the “Beast of Buckland”: The Search for Linda Cook’s Killer - VICE’.</w:t>
        </w:r>
      </w:hyperlink>
      <w:r w:rsidDel="00000000" w:rsidR="00000000" w:rsidRPr="00000000">
        <w:rPr>
          <w:rtl w:val="0"/>
        </w:rPr>
      </w:r>
    </w:p>
  </w:footnote>
  <w:footnote w:id="3">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3">
        <w:r w:rsidDel="00000000" w:rsidR="00000000" w:rsidRPr="00000000">
          <w:rPr>
            <w:sz w:val="20"/>
            <w:szCs w:val="20"/>
            <w:vertAlign w:val="baseline"/>
            <w:rtl w:val="0"/>
          </w:rPr>
          <w:t xml:space="preserve">United Nations Office on Drugs and Crime, </w:t>
        </w:r>
      </w:hyperlink>
      <w:hyperlink r:id="rId24">
        <w:r w:rsidDel="00000000" w:rsidR="00000000" w:rsidRPr="00000000">
          <w:rPr>
            <w:i w:val="1"/>
            <w:sz w:val="20"/>
            <w:szCs w:val="20"/>
            <w:vertAlign w:val="baseline"/>
            <w:rtl w:val="0"/>
          </w:rPr>
          <w:t xml:space="preserve">Crime Scene and Physical Evidence Awareness for Non-Forensic Personnel</w:t>
        </w:r>
      </w:hyperlink>
      <w:hyperlink r:id="rId25">
        <w:r w:rsidDel="00000000" w:rsidR="00000000" w:rsidRPr="00000000">
          <w:rPr>
            <w:sz w:val="20"/>
            <w:szCs w:val="20"/>
            <w:vertAlign w:val="baseline"/>
            <w:rtl w:val="0"/>
          </w:rPr>
          <w:t xml:space="preserve"> (New York: United Nations Publications, 2009)  &lt;https://www.unodc.org/unodc/en/scientists/crime-scene-and-physical-evidence-awareness-for-non-forensic-personnel.html&gt; [accessed 13 December 2019].</w:t>
        </w:r>
      </w:hyperlink>
      <w:r w:rsidDel="00000000" w:rsidR="00000000" w:rsidRPr="00000000">
        <w:rPr>
          <w:sz w:val="20"/>
          <w:szCs w:val="20"/>
          <w:rtl w:val="0"/>
        </w:rPr>
        <w:t xml:space="preserve">p4</w:t>
      </w:r>
      <w:r w:rsidDel="00000000" w:rsidR="00000000" w:rsidRPr="00000000">
        <w:rPr>
          <w:rtl w:val="0"/>
        </w:rPr>
      </w:r>
    </w:p>
  </w:footnote>
  <w:footnote w:id="6">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6">
        <w:r w:rsidDel="00000000" w:rsidR="00000000" w:rsidRPr="00000000">
          <w:rPr>
            <w:sz w:val="20"/>
            <w:szCs w:val="20"/>
            <w:vertAlign w:val="baseline"/>
            <w:rtl w:val="0"/>
          </w:rPr>
          <w:t xml:space="preserve">Addley.</w:t>
        </w:r>
      </w:hyperlink>
      <w:r w:rsidDel="00000000" w:rsidR="00000000" w:rsidRPr="00000000">
        <w:rPr>
          <w:rtl w:val="0"/>
        </w:rPr>
      </w:r>
    </w:p>
  </w:footnote>
  <w:footnote w:id="14">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Wade.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zotero.org/google-docs/?DtzoBg" TargetMode="External"/><Relationship Id="rId22" Type="http://schemas.openxmlformats.org/officeDocument/2006/relationships/hyperlink" Target="https://www.zotero.org/google-docs/?DtzoBg" TargetMode="External"/><Relationship Id="rId21" Type="http://schemas.openxmlformats.org/officeDocument/2006/relationships/hyperlink" Target="https://www.zotero.org/google-docs/?DtzoBg" TargetMode="External"/><Relationship Id="rId24" Type="http://schemas.openxmlformats.org/officeDocument/2006/relationships/hyperlink" Target="https://www.zotero.org/google-docs/?DtzoBg" TargetMode="External"/><Relationship Id="rId23" Type="http://schemas.openxmlformats.org/officeDocument/2006/relationships/hyperlink" Target="https://www.zotero.org/google-docs/?DtzoB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zotero.org/google-docs/?DtzoBg" TargetMode="External"/><Relationship Id="rId26" Type="http://schemas.openxmlformats.org/officeDocument/2006/relationships/hyperlink" Target="https://www.zotero.org/google-docs/?DtzoBg" TargetMode="External"/><Relationship Id="rId25" Type="http://schemas.openxmlformats.org/officeDocument/2006/relationships/hyperlink" Target="https://www.zotero.org/google-docs/?DtzoBg" TargetMode="External"/><Relationship Id="rId27"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png"/><Relationship Id="rId8" Type="http://schemas.openxmlformats.org/officeDocument/2006/relationships/image" Target="media/image1.png"/><Relationship Id="rId11" Type="http://schemas.openxmlformats.org/officeDocument/2006/relationships/hyperlink" Target="https://www.zotero.org/google-docs/?DtzoBg" TargetMode="External"/><Relationship Id="rId10" Type="http://schemas.openxmlformats.org/officeDocument/2006/relationships/hyperlink" Target="https://www.zotero.org/google-docs/?DtzoBg" TargetMode="External"/><Relationship Id="rId13" Type="http://schemas.openxmlformats.org/officeDocument/2006/relationships/hyperlink" Target="https://www.zotero.org/google-docs/?DtzoBg" TargetMode="External"/><Relationship Id="rId12" Type="http://schemas.openxmlformats.org/officeDocument/2006/relationships/hyperlink" Target="https://www.zotero.org/google-docs/?DtzoBg" TargetMode="External"/><Relationship Id="rId15" Type="http://schemas.openxmlformats.org/officeDocument/2006/relationships/hyperlink" Target="https://www.zotero.org/google-docs/?DtzoBg" TargetMode="External"/><Relationship Id="rId14" Type="http://schemas.openxmlformats.org/officeDocument/2006/relationships/hyperlink" Target="https://www.zotero.org/google-docs/?DtzoBg" TargetMode="External"/><Relationship Id="rId17" Type="http://schemas.openxmlformats.org/officeDocument/2006/relationships/hyperlink" Target="https://www.zotero.org/google-docs/?DtzoBg" TargetMode="External"/><Relationship Id="rId16" Type="http://schemas.openxmlformats.org/officeDocument/2006/relationships/hyperlink" Target="https://www.zotero.org/google-docs/?DtzoBg" TargetMode="External"/><Relationship Id="rId19" Type="http://schemas.openxmlformats.org/officeDocument/2006/relationships/hyperlink" Target="https://www.zotero.org/google-docs/?DtzoBg" TargetMode="External"/><Relationship Id="rId18" Type="http://schemas.openxmlformats.org/officeDocument/2006/relationships/hyperlink" Target="https://www.zotero.org/google-docs/?DtzoBg" TargetMode="External"/></Relationships>
</file>

<file path=word/_rels/footnotes.xml.rels><?xml version="1.0" encoding="UTF-8" standalone="yes"?><Relationships xmlns="http://schemas.openxmlformats.org/package/2006/relationships"><Relationship Id="rId20" Type="http://schemas.openxmlformats.org/officeDocument/2006/relationships/hyperlink" Target="https://www.zotero.org/google-docs/?6gblfe" TargetMode="External"/><Relationship Id="rId22" Type="http://schemas.openxmlformats.org/officeDocument/2006/relationships/hyperlink" Target="https://www.zotero.org/google-docs/?pByMOJ" TargetMode="External"/><Relationship Id="rId21" Type="http://schemas.openxmlformats.org/officeDocument/2006/relationships/hyperlink" Target="https://www.zotero.org/google-docs/?6gblfe" TargetMode="External"/><Relationship Id="rId24" Type="http://schemas.openxmlformats.org/officeDocument/2006/relationships/hyperlink" Target="https://www.zotero.org/google-docs/?wRftEC" TargetMode="External"/><Relationship Id="rId23" Type="http://schemas.openxmlformats.org/officeDocument/2006/relationships/hyperlink" Target="https://www.zotero.org/google-docs/?wRftEC" TargetMode="External"/><Relationship Id="rId1" Type="http://schemas.openxmlformats.org/officeDocument/2006/relationships/hyperlink" Target="https://www.zotero.org/google-docs/?AhgkgE" TargetMode="External"/><Relationship Id="rId2" Type="http://schemas.openxmlformats.org/officeDocument/2006/relationships/hyperlink" Target="https://www.zotero.org/google-docs/?AhgkgE" TargetMode="External"/><Relationship Id="rId3" Type="http://schemas.openxmlformats.org/officeDocument/2006/relationships/hyperlink" Target="https://www.zotero.org/google-docs/?AhgkgE" TargetMode="External"/><Relationship Id="rId4" Type="http://schemas.openxmlformats.org/officeDocument/2006/relationships/hyperlink" Target="https://www.zotero.org/google-docs/?tgSv6G" TargetMode="External"/><Relationship Id="rId9" Type="http://schemas.openxmlformats.org/officeDocument/2006/relationships/hyperlink" Target="https://www.zotero.org/google-docs/?SSe1Gs" TargetMode="External"/><Relationship Id="rId26" Type="http://schemas.openxmlformats.org/officeDocument/2006/relationships/hyperlink" Target="https://www.zotero.org/google-docs/?rwIulU" TargetMode="External"/><Relationship Id="rId25" Type="http://schemas.openxmlformats.org/officeDocument/2006/relationships/hyperlink" Target="https://www.zotero.org/google-docs/?wRftEC" TargetMode="External"/><Relationship Id="rId5" Type="http://schemas.openxmlformats.org/officeDocument/2006/relationships/hyperlink" Target="https://www.zotero.org/google-docs/?4Batpg" TargetMode="External"/><Relationship Id="rId6" Type="http://schemas.openxmlformats.org/officeDocument/2006/relationships/hyperlink" Target="https://www.zotero.org/google-docs/?4Batpg" TargetMode="External"/><Relationship Id="rId7" Type="http://schemas.openxmlformats.org/officeDocument/2006/relationships/hyperlink" Target="https://www.zotero.org/google-docs/?4Batpg" TargetMode="External"/><Relationship Id="rId8" Type="http://schemas.openxmlformats.org/officeDocument/2006/relationships/hyperlink" Target="https://www.zotero.org/google-docs/?iQM3Sj" TargetMode="External"/><Relationship Id="rId11" Type="http://schemas.openxmlformats.org/officeDocument/2006/relationships/hyperlink" Target="https://www.zotero.org/google-docs/?oQsdmt" TargetMode="External"/><Relationship Id="rId10" Type="http://schemas.openxmlformats.org/officeDocument/2006/relationships/hyperlink" Target="https://www.zotero.org/google-docs/?D2wxO0" TargetMode="External"/><Relationship Id="rId13" Type="http://schemas.openxmlformats.org/officeDocument/2006/relationships/hyperlink" Target="https://www.zotero.org/google-docs/?ZRGTEd" TargetMode="External"/><Relationship Id="rId12" Type="http://schemas.openxmlformats.org/officeDocument/2006/relationships/hyperlink" Target="https://www.zotero.org/google-docs/?5qRXSP" TargetMode="External"/><Relationship Id="rId15" Type="http://schemas.openxmlformats.org/officeDocument/2006/relationships/hyperlink" Target="https://www.zotero.org/google-docs/?lW55KI" TargetMode="External"/><Relationship Id="rId14" Type="http://schemas.openxmlformats.org/officeDocument/2006/relationships/hyperlink" Target="https://www.zotero.org/google-docs/?lW55KI" TargetMode="External"/><Relationship Id="rId17" Type="http://schemas.openxmlformats.org/officeDocument/2006/relationships/hyperlink" Target="https://www.zotero.org/google-docs/?BuqTad" TargetMode="External"/><Relationship Id="rId16" Type="http://schemas.openxmlformats.org/officeDocument/2006/relationships/hyperlink" Target="https://www.zotero.org/google-docs/?lW55KI" TargetMode="External"/><Relationship Id="rId19" Type="http://schemas.openxmlformats.org/officeDocument/2006/relationships/hyperlink" Target="https://www.zotero.org/google-docs/?6gblfe" TargetMode="External"/><Relationship Id="rId18" Type="http://schemas.openxmlformats.org/officeDocument/2006/relationships/hyperlink" Target="https://www.zotero.org/google-docs/?l9n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