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FCC6F" w14:textId="722B3086" w:rsidR="007A4DD5" w:rsidRDefault="00303508" w:rsidP="00BF224A">
      <w:pPr>
        <w:jc w:val="right"/>
      </w:pPr>
      <w:r w:rsidRPr="00303508">
        <w:rPr>
          <w:noProof/>
        </w:rPr>
        <w:drawing>
          <wp:inline distT="0" distB="0" distL="0" distR="0" wp14:anchorId="7DF18195" wp14:editId="711EC5FA">
            <wp:extent cx="3102839" cy="1578077"/>
            <wp:effectExtent l="0" t="0" r="2540" b="3175"/>
            <wp:docPr id="1551240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40229" name=""/>
                    <pic:cNvPicPr/>
                  </pic:nvPicPr>
                  <pic:blipFill>
                    <a:blip r:embed="rId8"/>
                    <a:stretch>
                      <a:fillRect/>
                    </a:stretch>
                  </pic:blipFill>
                  <pic:spPr>
                    <a:xfrm>
                      <a:off x="0" y="0"/>
                      <a:ext cx="3110631" cy="1582040"/>
                    </a:xfrm>
                    <a:prstGeom prst="rect">
                      <a:avLst/>
                    </a:prstGeom>
                  </pic:spPr>
                </pic:pic>
              </a:graphicData>
            </a:graphic>
          </wp:inline>
        </w:drawing>
      </w:r>
    </w:p>
    <w:p w14:paraId="37B656D3" w14:textId="77777777" w:rsidR="00BF224A" w:rsidRDefault="00BF224A" w:rsidP="0040164E">
      <w:pPr>
        <w:jc w:val="center"/>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EBA8C18" w14:textId="2AAFDCCC" w:rsidR="00303508" w:rsidRPr="00FA667E" w:rsidRDefault="00AE1D02" w:rsidP="0040164E">
      <w:pPr>
        <w:jc w:val="center"/>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A667E">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Type 1 </w:t>
      </w:r>
      <w:r w:rsidR="0040164E" w:rsidRPr="00FA667E">
        <w:rPr>
          <w:rFonts w:ascii="Arial" w:hAnsi="Arial" w:cs="Arial"/>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Diabetes</w:t>
      </w:r>
    </w:p>
    <w:p w14:paraId="26979B2E" w14:textId="77777777" w:rsidR="008F1EEA" w:rsidRDefault="008F1EEA" w:rsidP="0092169C"/>
    <w:p w14:paraId="3C6A4962" w14:textId="77777777" w:rsidR="008F1EEA" w:rsidRDefault="008F1EEA" w:rsidP="0092169C"/>
    <w:p w14:paraId="65D0391F" w14:textId="77777777" w:rsidR="008F1EEA" w:rsidRDefault="008F1EEA" w:rsidP="0092169C"/>
    <w:p w14:paraId="1E0BF806" w14:textId="45A6EEA7" w:rsidR="0092169C" w:rsidRPr="00BF224A" w:rsidRDefault="0092169C" w:rsidP="0092169C">
      <w:pPr>
        <w:rPr>
          <w:rFonts w:ascii="Arial" w:hAnsi="Arial" w:cs="Arial"/>
          <w:b/>
          <w:bCs/>
          <w:color w:val="074F6A" w:themeColor="accent4" w:themeShade="80"/>
          <w:sz w:val="32"/>
          <w:szCs w:val="32"/>
        </w:rPr>
      </w:pPr>
      <w:r w:rsidRPr="00BF224A">
        <w:rPr>
          <w:rFonts w:ascii="Arial" w:hAnsi="Arial" w:cs="Arial"/>
          <w:b/>
          <w:bCs/>
          <w:color w:val="074F6A" w:themeColor="accent4" w:themeShade="80"/>
          <w:sz w:val="32"/>
          <w:szCs w:val="32"/>
        </w:rPr>
        <w:t xml:space="preserve">Student Name: </w:t>
      </w:r>
      <w:r w:rsidR="00BF224A">
        <w:rPr>
          <w:rFonts w:ascii="Arial" w:hAnsi="Arial" w:cs="Arial"/>
          <w:b/>
          <w:bCs/>
          <w:color w:val="074F6A" w:themeColor="accent4" w:themeShade="80"/>
          <w:sz w:val="32"/>
          <w:szCs w:val="32"/>
        </w:rPr>
        <w:t>K</w:t>
      </w:r>
      <w:r w:rsidR="00F9118D">
        <w:rPr>
          <w:rFonts w:ascii="Arial" w:hAnsi="Arial" w:cs="Arial"/>
          <w:b/>
          <w:bCs/>
          <w:color w:val="074F6A" w:themeColor="accent4" w:themeShade="80"/>
          <w:sz w:val="32"/>
          <w:szCs w:val="32"/>
        </w:rPr>
        <w:t>anwal Naz</w:t>
      </w:r>
    </w:p>
    <w:p w14:paraId="4C36C210" w14:textId="04218329" w:rsidR="0092169C" w:rsidRPr="00BF224A" w:rsidRDefault="0092169C" w:rsidP="0092169C">
      <w:pPr>
        <w:rPr>
          <w:rFonts w:ascii="Arial" w:hAnsi="Arial" w:cs="Arial"/>
          <w:b/>
          <w:bCs/>
          <w:color w:val="074F6A" w:themeColor="accent4" w:themeShade="80"/>
          <w:sz w:val="32"/>
          <w:szCs w:val="32"/>
        </w:rPr>
      </w:pPr>
      <w:r w:rsidRPr="00BF224A">
        <w:rPr>
          <w:rFonts w:ascii="Arial" w:hAnsi="Arial" w:cs="Arial"/>
          <w:b/>
          <w:bCs/>
          <w:color w:val="074F6A" w:themeColor="accent4" w:themeShade="80"/>
          <w:sz w:val="32"/>
          <w:szCs w:val="32"/>
        </w:rPr>
        <w:t xml:space="preserve">Student ID: </w:t>
      </w:r>
      <w:r w:rsidR="00F9118D">
        <w:rPr>
          <w:rFonts w:ascii="Arial" w:hAnsi="Arial" w:cs="Arial"/>
          <w:b/>
          <w:bCs/>
          <w:color w:val="074F6A" w:themeColor="accent4" w:themeShade="80"/>
          <w:sz w:val="32"/>
          <w:szCs w:val="32"/>
        </w:rPr>
        <w:t>2530103</w:t>
      </w:r>
    </w:p>
    <w:p w14:paraId="6BBFCF61" w14:textId="78E34741" w:rsidR="0092169C" w:rsidRPr="00BF224A" w:rsidRDefault="0092169C" w:rsidP="0092169C">
      <w:pPr>
        <w:rPr>
          <w:rFonts w:ascii="Arial" w:hAnsi="Arial" w:cs="Arial"/>
          <w:b/>
          <w:bCs/>
          <w:color w:val="074F6A" w:themeColor="accent4" w:themeShade="80"/>
          <w:sz w:val="32"/>
          <w:szCs w:val="32"/>
        </w:rPr>
      </w:pPr>
      <w:r w:rsidRPr="00BF224A">
        <w:rPr>
          <w:rFonts w:ascii="Arial" w:hAnsi="Arial" w:cs="Arial"/>
          <w:b/>
          <w:bCs/>
          <w:color w:val="074F6A" w:themeColor="accent4" w:themeShade="80"/>
          <w:sz w:val="32"/>
          <w:szCs w:val="32"/>
        </w:rPr>
        <w:t xml:space="preserve">Module Name: </w:t>
      </w:r>
      <w:r w:rsidR="00DC72A6">
        <w:rPr>
          <w:rFonts w:ascii="Arial" w:hAnsi="Arial" w:cs="Arial"/>
          <w:b/>
          <w:bCs/>
          <w:color w:val="074F6A" w:themeColor="accent4" w:themeShade="80"/>
          <w:sz w:val="32"/>
          <w:szCs w:val="32"/>
        </w:rPr>
        <w:t>Introduction to Public Health</w:t>
      </w:r>
    </w:p>
    <w:p w14:paraId="3883A7D6" w14:textId="37420504" w:rsidR="0092169C" w:rsidRPr="00BF224A" w:rsidRDefault="0092169C" w:rsidP="0092169C">
      <w:pPr>
        <w:rPr>
          <w:rFonts w:ascii="Arial" w:hAnsi="Arial" w:cs="Arial"/>
          <w:b/>
          <w:bCs/>
          <w:color w:val="074F6A" w:themeColor="accent4" w:themeShade="80"/>
          <w:sz w:val="32"/>
          <w:szCs w:val="32"/>
        </w:rPr>
      </w:pPr>
      <w:r w:rsidRPr="00BF224A">
        <w:rPr>
          <w:rFonts w:ascii="Arial" w:hAnsi="Arial" w:cs="Arial"/>
          <w:b/>
          <w:bCs/>
          <w:color w:val="074F6A" w:themeColor="accent4" w:themeShade="80"/>
          <w:sz w:val="32"/>
          <w:szCs w:val="32"/>
        </w:rPr>
        <w:t xml:space="preserve">Module Code: </w:t>
      </w:r>
      <w:r w:rsidR="005F0484">
        <w:rPr>
          <w:rFonts w:ascii="Arial" w:hAnsi="Arial" w:cs="Arial"/>
          <w:b/>
          <w:bCs/>
          <w:color w:val="074F6A" w:themeColor="accent4" w:themeShade="80"/>
          <w:sz w:val="32"/>
          <w:szCs w:val="32"/>
        </w:rPr>
        <w:t>LCHS4008</w:t>
      </w:r>
    </w:p>
    <w:p w14:paraId="2DCA904A" w14:textId="0B41D2A2" w:rsidR="0092169C" w:rsidRPr="00BF224A" w:rsidRDefault="0092169C" w:rsidP="0092169C">
      <w:pPr>
        <w:rPr>
          <w:rFonts w:ascii="Arial" w:hAnsi="Arial" w:cs="Arial"/>
          <w:b/>
          <w:bCs/>
          <w:color w:val="074F6A" w:themeColor="accent4" w:themeShade="80"/>
          <w:sz w:val="32"/>
          <w:szCs w:val="32"/>
        </w:rPr>
      </w:pPr>
      <w:r w:rsidRPr="00BF224A">
        <w:rPr>
          <w:rFonts w:ascii="Arial" w:hAnsi="Arial" w:cs="Arial"/>
          <w:b/>
          <w:bCs/>
          <w:color w:val="074F6A" w:themeColor="accent4" w:themeShade="80"/>
          <w:sz w:val="32"/>
          <w:szCs w:val="32"/>
        </w:rPr>
        <w:t xml:space="preserve">Lecturer Name: </w:t>
      </w:r>
      <w:r w:rsidR="005F0484">
        <w:rPr>
          <w:rFonts w:ascii="Arial" w:hAnsi="Arial" w:cs="Arial"/>
          <w:b/>
          <w:bCs/>
          <w:color w:val="074F6A" w:themeColor="accent4" w:themeShade="80"/>
          <w:sz w:val="32"/>
          <w:szCs w:val="32"/>
        </w:rPr>
        <w:t xml:space="preserve">Jolly </w:t>
      </w:r>
      <w:r w:rsidR="005541E1">
        <w:rPr>
          <w:rFonts w:ascii="Arial" w:hAnsi="Arial" w:cs="Arial"/>
          <w:b/>
          <w:bCs/>
          <w:color w:val="074F6A" w:themeColor="accent4" w:themeShade="80"/>
          <w:sz w:val="32"/>
          <w:szCs w:val="32"/>
        </w:rPr>
        <w:t>Nwank</w:t>
      </w:r>
      <w:r w:rsidR="00C613AA">
        <w:rPr>
          <w:rFonts w:ascii="Arial" w:hAnsi="Arial" w:cs="Arial"/>
          <w:b/>
          <w:bCs/>
          <w:color w:val="074F6A" w:themeColor="accent4" w:themeShade="80"/>
          <w:sz w:val="32"/>
          <w:szCs w:val="32"/>
        </w:rPr>
        <w:t>wo</w:t>
      </w:r>
    </w:p>
    <w:p w14:paraId="726DAC7E" w14:textId="12C7207A" w:rsidR="00303508" w:rsidRDefault="0092169C" w:rsidP="0092169C">
      <w:pPr>
        <w:rPr>
          <w:rFonts w:ascii="Arial" w:hAnsi="Arial" w:cs="Arial"/>
          <w:b/>
          <w:bCs/>
          <w:color w:val="074F6A" w:themeColor="accent4" w:themeShade="80"/>
          <w:sz w:val="32"/>
          <w:szCs w:val="32"/>
        </w:rPr>
      </w:pPr>
      <w:r w:rsidRPr="00BF224A">
        <w:rPr>
          <w:rFonts w:ascii="Arial" w:hAnsi="Arial" w:cs="Arial"/>
          <w:b/>
          <w:bCs/>
          <w:color w:val="074F6A" w:themeColor="accent4" w:themeShade="80"/>
          <w:sz w:val="32"/>
          <w:szCs w:val="32"/>
        </w:rPr>
        <w:t xml:space="preserve">Submission Date: </w:t>
      </w:r>
      <w:r w:rsidR="00443A7E">
        <w:rPr>
          <w:rFonts w:ascii="Arial" w:hAnsi="Arial" w:cs="Arial"/>
          <w:b/>
          <w:bCs/>
          <w:color w:val="074F6A" w:themeColor="accent4" w:themeShade="80"/>
          <w:sz w:val="32"/>
          <w:szCs w:val="32"/>
        </w:rPr>
        <w:t xml:space="preserve">Tuesday </w:t>
      </w:r>
      <w:r w:rsidR="00584F84">
        <w:rPr>
          <w:rFonts w:ascii="Arial" w:hAnsi="Arial" w:cs="Arial"/>
          <w:b/>
          <w:bCs/>
          <w:color w:val="074F6A" w:themeColor="accent4" w:themeShade="80"/>
          <w:sz w:val="32"/>
          <w:szCs w:val="32"/>
        </w:rPr>
        <w:t>18</w:t>
      </w:r>
      <w:r w:rsidR="00584F84" w:rsidRPr="00584F84">
        <w:rPr>
          <w:rFonts w:ascii="Arial" w:hAnsi="Arial" w:cs="Arial"/>
          <w:b/>
          <w:bCs/>
          <w:color w:val="074F6A" w:themeColor="accent4" w:themeShade="80"/>
          <w:sz w:val="32"/>
          <w:szCs w:val="32"/>
          <w:vertAlign w:val="superscript"/>
        </w:rPr>
        <w:t>th</w:t>
      </w:r>
      <w:r w:rsidR="00584F84">
        <w:rPr>
          <w:rFonts w:ascii="Arial" w:hAnsi="Arial" w:cs="Arial"/>
          <w:b/>
          <w:bCs/>
          <w:color w:val="074F6A" w:themeColor="accent4" w:themeShade="80"/>
          <w:sz w:val="32"/>
          <w:szCs w:val="32"/>
        </w:rPr>
        <w:t xml:space="preserve"> August 2026</w:t>
      </w:r>
    </w:p>
    <w:p w14:paraId="13A632E5" w14:textId="77777777" w:rsidR="004B78E0" w:rsidRDefault="004B78E0" w:rsidP="0092169C">
      <w:pPr>
        <w:rPr>
          <w:rFonts w:ascii="Arial" w:hAnsi="Arial" w:cs="Arial"/>
          <w:b/>
          <w:bCs/>
          <w:color w:val="074F6A" w:themeColor="accent4" w:themeShade="80"/>
          <w:sz w:val="32"/>
          <w:szCs w:val="32"/>
        </w:rPr>
      </w:pPr>
    </w:p>
    <w:p w14:paraId="633A534D" w14:textId="77777777" w:rsidR="004B78E0" w:rsidRDefault="004B78E0" w:rsidP="0092169C">
      <w:pPr>
        <w:rPr>
          <w:rFonts w:ascii="Arial" w:hAnsi="Arial" w:cs="Arial"/>
          <w:b/>
          <w:bCs/>
          <w:color w:val="074F6A" w:themeColor="accent4" w:themeShade="80"/>
          <w:sz w:val="32"/>
          <w:szCs w:val="32"/>
        </w:rPr>
      </w:pPr>
    </w:p>
    <w:p w14:paraId="79F3DAE4" w14:textId="77777777" w:rsidR="004B78E0" w:rsidRDefault="004B78E0" w:rsidP="0092169C">
      <w:pPr>
        <w:rPr>
          <w:rFonts w:ascii="Arial" w:hAnsi="Arial" w:cs="Arial"/>
          <w:b/>
          <w:bCs/>
          <w:color w:val="074F6A" w:themeColor="accent4" w:themeShade="80"/>
          <w:sz w:val="32"/>
          <w:szCs w:val="32"/>
        </w:rPr>
      </w:pPr>
    </w:p>
    <w:p w14:paraId="68D87ACA" w14:textId="77777777" w:rsidR="004B78E0" w:rsidRDefault="004B78E0" w:rsidP="0092169C">
      <w:pPr>
        <w:rPr>
          <w:rFonts w:ascii="Arial" w:hAnsi="Arial" w:cs="Arial"/>
          <w:b/>
          <w:bCs/>
          <w:color w:val="074F6A" w:themeColor="accent4" w:themeShade="80"/>
          <w:sz w:val="32"/>
          <w:szCs w:val="32"/>
        </w:rPr>
      </w:pPr>
    </w:p>
    <w:p w14:paraId="0B8B7C10" w14:textId="77777777" w:rsidR="004B78E0" w:rsidRDefault="004B78E0" w:rsidP="0092169C">
      <w:pPr>
        <w:rPr>
          <w:rFonts w:ascii="Arial" w:hAnsi="Arial" w:cs="Arial"/>
          <w:b/>
          <w:bCs/>
          <w:color w:val="074F6A" w:themeColor="accent4" w:themeShade="80"/>
          <w:sz w:val="32"/>
          <w:szCs w:val="32"/>
        </w:rPr>
      </w:pPr>
    </w:p>
    <w:p w14:paraId="3BEA3E99" w14:textId="77777777" w:rsidR="004B78E0" w:rsidRDefault="004B78E0" w:rsidP="0092169C">
      <w:pPr>
        <w:rPr>
          <w:rFonts w:ascii="Arial" w:hAnsi="Arial" w:cs="Arial"/>
          <w:b/>
          <w:bCs/>
          <w:color w:val="074F6A" w:themeColor="accent4" w:themeShade="80"/>
          <w:sz w:val="32"/>
          <w:szCs w:val="32"/>
        </w:rPr>
      </w:pPr>
    </w:p>
    <w:p w14:paraId="045C999B" w14:textId="77777777" w:rsidR="004B78E0" w:rsidRDefault="004B78E0" w:rsidP="0092169C">
      <w:pPr>
        <w:rPr>
          <w:rFonts w:ascii="Arial" w:hAnsi="Arial" w:cs="Arial"/>
          <w:b/>
          <w:bCs/>
          <w:color w:val="074F6A" w:themeColor="accent4" w:themeShade="80"/>
          <w:sz w:val="32"/>
          <w:szCs w:val="32"/>
        </w:rPr>
      </w:pPr>
    </w:p>
    <w:p w14:paraId="3D14EA6F" w14:textId="77777777" w:rsidR="004B78E0" w:rsidRDefault="004B78E0" w:rsidP="0092169C">
      <w:pPr>
        <w:rPr>
          <w:rFonts w:ascii="Arial" w:hAnsi="Arial" w:cs="Arial"/>
          <w:b/>
          <w:bCs/>
          <w:color w:val="074F6A" w:themeColor="accent4" w:themeShade="80"/>
          <w:sz w:val="32"/>
          <w:szCs w:val="32"/>
        </w:rPr>
      </w:pPr>
    </w:p>
    <w:sdt>
      <w:sdtPr>
        <w:rPr>
          <w:rFonts w:asciiTheme="minorHAnsi" w:eastAsiaTheme="minorHAnsi" w:hAnsiTheme="minorHAnsi" w:cstheme="minorBidi"/>
          <w:color w:val="auto"/>
          <w:kern w:val="2"/>
          <w:sz w:val="24"/>
          <w:szCs w:val="24"/>
          <w:lang w:eastAsia="en-US"/>
          <w14:ligatures w14:val="standardContextual"/>
        </w:rPr>
        <w:id w:val="-1309315603"/>
        <w:docPartObj>
          <w:docPartGallery w:val="Table of Contents"/>
          <w:docPartUnique/>
        </w:docPartObj>
      </w:sdtPr>
      <w:sdtEndPr>
        <w:rPr>
          <w:b/>
          <w:bCs/>
        </w:rPr>
      </w:sdtEndPr>
      <w:sdtContent>
        <w:p w14:paraId="69A07076" w14:textId="63D762EE" w:rsidR="00600EB1" w:rsidRDefault="00600EB1">
          <w:pPr>
            <w:pStyle w:val="TOCHeading"/>
          </w:pPr>
          <w:r>
            <w:t>Contents</w:t>
          </w:r>
        </w:p>
        <w:p w14:paraId="15CA581B" w14:textId="77777777" w:rsidR="0003532F" w:rsidRPr="0003532F" w:rsidRDefault="0003532F" w:rsidP="0003532F">
          <w:pPr>
            <w:rPr>
              <w:lang w:eastAsia="en-GB"/>
            </w:rPr>
          </w:pPr>
        </w:p>
        <w:p w14:paraId="11C05D86" w14:textId="6759BFFB" w:rsidR="009A2031" w:rsidRDefault="00600EB1">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37347144" w:history="1">
            <w:r w:rsidR="009A2031" w:rsidRPr="005E5438">
              <w:rPr>
                <w:rStyle w:val="Hyperlink"/>
                <w:noProof/>
              </w:rPr>
              <w:t>Type 1 Diabetes</w:t>
            </w:r>
            <w:r w:rsidR="009A2031">
              <w:rPr>
                <w:noProof/>
                <w:webHidden/>
              </w:rPr>
              <w:tab/>
            </w:r>
            <w:r w:rsidR="009A2031">
              <w:rPr>
                <w:noProof/>
                <w:webHidden/>
              </w:rPr>
              <w:fldChar w:fldCharType="begin"/>
            </w:r>
            <w:r w:rsidR="009A2031">
              <w:rPr>
                <w:noProof/>
                <w:webHidden/>
              </w:rPr>
              <w:instrText xml:space="preserve"> PAGEREF _Toc237347144 \h </w:instrText>
            </w:r>
            <w:r w:rsidR="009A2031">
              <w:rPr>
                <w:noProof/>
                <w:webHidden/>
              </w:rPr>
            </w:r>
            <w:r w:rsidR="009A2031">
              <w:rPr>
                <w:noProof/>
                <w:webHidden/>
              </w:rPr>
              <w:fldChar w:fldCharType="separate"/>
            </w:r>
            <w:r w:rsidR="009A2031">
              <w:rPr>
                <w:noProof/>
                <w:webHidden/>
              </w:rPr>
              <w:t>1</w:t>
            </w:r>
            <w:r w:rsidR="009A2031">
              <w:rPr>
                <w:noProof/>
                <w:webHidden/>
              </w:rPr>
              <w:fldChar w:fldCharType="end"/>
            </w:r>
          </w:hyperlink>
        </w:p>
        <w:p w14:paraId="1BD09CB2" w14:textId="656F685B" w:rsidR="009A2031" w:rsidRDefault="009A2031">
          <w:pPr>
            <w:pStyle w:val="TOC2"/>
            <w:tabs>
              <w:tab w:val="right" w:leader="dot" w:pos="9016"/>
            </w:tabs>
            <w:rPr>
              <w:rFonts w:cstheme="minorBidi"/>
              <w:noProof/>
              <w:kern w:val="2"/>
              <w:sz w:val="24"/>
              <w:szCs w:val="24"/>
              <w14:ligatures w14:val="standardContextual"/>
            </w:rPr>
          </w:pPr>
          <w:hyperlink w:anchor="_Toc237347145" w:history="1">
            <w:r w:rsidRPr="005E5438">
              <w:rPr>
                <w:rStyle w:val="Hyperlink"/>
                <w:noProof/>
              </w:rPr>
              <w:t>Introduction</w:t>
            </w:r>
            <w:r>
              <w:rPr>
                <w:noProof/>
                <w:webHidden/>
              </w:rPr>
              <w:tab/>
            </w:r>
            <w:r>
              <w:rPr>
                <w:noProof/>
                <w:webHidden/>
              </w:rPr>
              <w:fldChar w:fldCharType="begin"/>
            </w:r>
            <w:r>
              <w:rPr>
                <w:noProof/>
                <w:webHidden/>
              </w:rPr>
              <w:instrText xml:space="preserve"> PAGEREF _Toc237347145 \h </w:instrText>
            </w:r>
            <w:r>
              <w:rPr>
                <w:noProof/>
                <w:webHidden/>
              </w:rPr>
            </w:r>
            <w:r>
              <w:rPr>
                <w:noProof/>
                <w:webHidden/>
              </w:rPr>
              <w:fldChar w:fldCharType="separate"/>
            </w:r>
            <w:r>
              <w:rPr>
                <w:noProof/>
                <w:webHidden/>
              </w:rPr>
              <w:t>1</w:t>
            </w:r>
            <w:r>
              <w:rPr>
                <w:noProof/>
                <w:webHidden/>
              </w:rPr>
              <w:fldChar w:fldCharType="end"/>
            </w:r>
          </w:hyperlink>
        </w:p>
        <w:p w14:paraId="2D18294A" w14:textId="5F6E321A" w:rsidR="009A2031" w:rsidRDefault="009A2031">
          <w:pPr>
            <w:pStyle w:val="TOC2"/>
            <w:tabs>
              <w:tab w:val="right" w:leader="dot" w:pos="9016"/>
            </w:tabs>
            <w:rPr>
              <w:rFonts w:cstheme="minorBidi"/>
              <w:noProof/>
              <w:kern w:val="2"/>
              <w:sz w:val="24"/>
              <w:szCs w:val="24"/>
              <w14:ligatures w14:val="standardContextual"/>
            </w:rPr>
          </w:pPr>
          <w:hyperlink w:anchor="_Toc237347146" w:history="1">
            <w:r w:rsidRPr="005E5438">
              <w:rPr>
                <w:rStyle w:val="Hyperlink"/>
                <w:noProof/>
              </w:rPr>
              <w:t>How Type 1 Diabetes is controlled</w:t>
            </w:r>
            <w:r>
              <w:rPr>
                <w:noProof/>
                <w:webHidden/>
              </w:rPr>
              <w:tab/>
            </w:r>
            <w:r>
              <w:rPr>
                <w:noProof/>
                <w:webHidden/>
              </w:rPr>
              <w:fldChar w:fldCharType="begin"/>
            </w:r>
            <w:r>
              <w:rPr>
                <w:noProof/>
                <w:webHidden/>
              </w:rPr>
              <w:instrText xml:space="preserve"> PAGEREF _Toc237347146 \h </w:instrText>
            </w:r>
            <w:r>
              <w:rPr>
                <w:noProof/>
                <w:webHidden/>
              </w:rPr>
            </w:r>
            <w:r>
              <w:rPr>
                <w:noProof/>
                <w:webHidden/>
              </w:rPr>
              <w:fldChar w:fldCharType="separate"/>
            </w:r>
            <w:r>
              <w:rPr>
                <w:noProof/>
                <w:webHidden/>
              </w:rPr>
              <w:t>2</w:t>
            </w:r>
            <w:r>
              <w:rPr>
                <w:noProof/>
                <w:webHidden/>
              </w:rPr>
              <w:fldChar w:fldCharType="end"/>
            </w:r>
          </w:hyperlink>
        </w:p>
        <w:p w14:paraId="12F4C072" w14:textId="07463589" w:rsidR="009A2031" w:rsidRDefault="009A2031">
          <w:pPr>
            <w:pStyle w:val="TOC2"/>
            <w:tabs>
              <w:tab w:val="right" w:leader="dot" w:pos="9016"/>
            </w:tabs>
            <w:rPr>
              <w:rFonts w:cstheme="minorBidi"/>
              <w:noProof/>
              <w:kern w:val="2"/>
              <w:sz w:val="24"/>
              <w:szCs w:val="24"/>
              <w14:ligatures w14:val="standardContextual"/>
            </w:rPr>
          </w:pPr>
          <w:hyperlink w:anchor="_Toc237347147" w:history="1">
            <w:r w:rsidRPr="005E5438">
              <w:rPr>
                <w:rStyle w:val="Hyperlink"/>
                <w:noProof/>
              </w:rPr>
              <w:t>Consequences of Type 1 Diabetes on people in the community</w:t>
            </w:r>
            <w:r>
              <w:rPr>
                <w:noProof/>
                <w:webHidden/>
              </w:rPr>
              <w:tab/>
            </w:r>
            <w:r>
              <w:rPr>
                <w:noProof/>
                <w:webHidden/>
              </w:rPr>
              <w:fldChar w:fldCharType="begin"/>
            </w:r>
            <w:r>
              <w:rPr>
                <w:noProof/>
                <w:webHidden/>
              </w:rPr>
              <w:instrText xml:space="preserve"> PAGEREF _Toc237347147 \h </w:instrText>
            </w:r>
            <w:r>
              <w:rPr>
                <w:noProof/>
                <w:webHidden/>
              </w:rPr>
            </w:r>
            <w:r>
              <w:rPr>
                <w:noProof/>
                <w:webHidden/>
              </w:rPr>
              <w:fldChar w:fldCharType="separate"/>
            </w:r>
            <w:r>
              <w:rPr>
                <w:noProof/>
                <w:webHidden/>
              </w:rPr>
              <w:t>3</w:t>
            </w:r>
            <w:r>
              <w:rPr>
                <w:noProof/>
                <w:webHidden/>
              </w:rPr>
              <w:fldChar w:fldCharType="end"/>
            </w:r>
          </w:hyperlink>
        </w:p>
        <w:p w14:paraId="5287909B" w14:textId="79AA1FE3" w:rsidR="009A2031" w:rsidRDefault="009A2031">
          <w:pPr>
            <w:pStyle w:val="TOC2"/>
            <w:tabs>
              <w:tab w:val="right" w:leader="dot" w:pos="9016"/>
            </w:tabs>
            <w:rPr>
              <w:rFonts w:cstheme="minorBidi"/>
              <w:noProof/>
              <w:kern w:val="2"/>
              <w:sz w:val="24"/>
              <w:szCs w:val="24"/>
              <w14:ligatures w14:val="standardContextual"/>
            </w:rPr>
          </w:pPr>
          <w:hyperlink w:anchor="_Toc237347148" w:history="1">
            <w:r w:rsidRPr="005E5438">
              <w:rPr>
                <w:rStyle w:val="Hyperlink"/>
                <w:noProof/>
              </w:rPr>
              <w:t>Community health and social care support for individuals with Type 1 Diabetes</w:t>
            </w:r>
            <w:r>
              <w:rPr>
                <w:noProof/>
                <w:webHidden/>
              </w:rPr>
              <w:tab/>
            </w:r>
            <w:r>
              <w:rPr>
                <w:noProof/>
                <w:webHidden/>
              </w:rPr>
              <w:fldChar w:fldCharType="begin"/>
            </w:r>
            <w:r>
              <w:rPr>
                <w:noProof/>
                <w:webHidden/>
              </w:rPr>
              <w:instrText xml:space="preserve"> PAGEREF _Toc237347148 \h </w:instrText>
            </w:r>
            <w:r>
              <w:rPr>
                <w:noProof/>
                <w:webHidden/>
              </w:rPr>
            </w:r>
            <w:r>
              <w:rPr>
                <w:noProof/>
                <w:webHidden/>
              </w:rPr>
              <w:fldChar w:fldCharType="separate"/>
            </w:r>
            <w:r>
              <w:rPr>
                <w:noProof/>
                <w:webHidden/>
              </w:rPr>
              <w:t>3</w:t>
            </w:r>
            <w:r>
              <w:rPr>
                <w:noProof/>
                <w:webHidden/>
              </w:rPr>
              <w:fldChar w:fldCharType="end"/>
            </w:r>
          </w:hyperlink>
        </w:p>
        <w:p w14:paraId="35C3772E" w14:textId="32BBE5BC" w:rsidR="009A2031" w:rsidRDefault="009A2031">
          <w:pPr>
            <w:pStyle w:val="TOC2"/>
            <w:tabs>
              <w:tab w:val="right" w:leader="dot" w:pos="9016"/>
            </w:tabs>
            <w:rPr>
              <w:rFonts w:cstheme="minorBidi"/>
              <w:noProof/>
              <w:kern w:val="2"/>
              <w:sz w:val="24"/>
              <w:szCs w:val="24"/>
              <w14:ligatures w14:val="standardContextual"/>
            </w:rPr>
          </w:pPr>
          <w:hyperlink w:anchor="_Toc237347149" w:history="1">
            <w:r w:rsidRPr="005E5438">
              <w:rPr>
                <w:rStyle w:val="Hyperlink"/>
                <w:noProof/>
              </w:rPr>
              <w:t>Conclusion</w:t>
            </w:r>
            <w:r>
              <w:rPr>
                <w:noProof/>
                <w:webHidden/>
              </w:rPr>
              <w:tab/>
            </w:r>
            <w:r>
              <w:rPr>
                <w:noProof/>
                <w:webHidden/>
              </w:rPr>
              <w:fldChar w:fldCharType="begin"/>
            </w:r>
            <w:r>
              <w:rPr>
                <w:noProof/>
                <w:webHidden/>
              </w:rPr>
              <w:instrText xml:space="preserve"> PAGEREF _Toc237347149 \h </w:instrText>
            </w:r>
            <w:r>
              <w:rPr>
                <w:noProof/>
                <w:webHidden/>
              </w:rPr>
            </w:r>
            <w:r>
              <w:rPr>
                <w:noProof/>
                <w:webHidden/>
              </w:rPr>
              <w:fldChar w:fldCharType="separate"/>
            </w:r>
            <w:r>
              <w:rPr>
                <w:noProof/>
                <w:webHidden/>
              </w:rPr>
              <w:t>4</w:t>
            </w:r>
            <w:r>
              <w:rPr>
                <w:noProof/>
                <w:webHidden/>
              </w:rPr>
              <w:fldChar w:fldCharType="end"/>
            </w:r>
          </w:hyperlink>
        </w:p>
        <w:p w14:paraId="26BFF6A1" w14:textId="791EA3C1" w:rsidR="009A2031" w:rsidRDefault="009A2031">
          <w:pPr>
            <w:pStyle w:val="TOC1"/>
            <w:tabs>
              <w:tab w:val="right" w:leader="dot" w:pos="9016"/>
            </w:tabs>
            <w:rPr>
              <w:rFonts w:cstheme="minorBidi"/>
              <w:noProof/>
              <w:kern w:val="2"/>
              <w:sz w:val="24"/>
              <w:szCs w:val="24"/>
              <w14:ligatures w14:val="standardContextual"/>
            </w:rPr>
          </w:pPr>
          <w:hyperlink w:anchor="_Toc237347150" w:history="1">
            <w:r w:rsidRPr="005E5438">
              <w:rPr>
                <w:rStyle w:val="Hyperlink"/>
                <w:noProof/>
              </w:rPr>
              <w:t>References</w:t>
            </w:r>
            <w:r>
              <w:rPr>
                <w:noProof/>
                <w:webHidden/>
              </w:rPr>
              <w:tab/>
            </w:r>
            <w:r>
              <w:rPr>
                <w:noProof/>
                <w:webHidden/>
              </w:rPr>
              <w:fldChar w:fldCharType="begin"/>
            </w:r>
            <w:r>
              <w:rPr>
                <w:noProof/>
                <w:webHidden/>
              </w:rPr>
              <w:instrText xml:space="preserve"> PAGEREF _Toc237347150 \h </w:instrText>
            </w:r>
            <w:r>
              <w:rPr>
                <w:noProof/>
                <w:webHidden/>
              </w:rPr>
            </w:r>
            <w:r>
              <w:rPr>
                <w:noProof/>
                <w:webHidden/>
              </w:rPr>
              <w:fldChar w:fldCharType="separate"/>
            </w:r>
            <w:r>
              <w:rPr>
                <w:noProof/>
                <w:webHidden/>
              </w:rPr>
              <w:t>5</w:t>
            </w:r>
            <w:r>
              <w:rPr>
                <w:noProof/>
                <w:webHidden/>
              </w:rPr>
              <w:fldChar w:fldCharType="end"/>
            </w:r>
          </w:hyperlink>
        </w:p>
        <w:p w14:paraId="4B0754CE" w14:textId="2D654CF1" w:rsidR="00600EB1" w:rsidRDefault="00600EB1">
          <w:r>
            <w:rPr>
              <w:b/>
              <w:bCs/>
            </w:rPr>
            <w:fldChar w:fldCharType="end"/>
          </w:r>
        </w:p>
      </w:sdtContent>
    </w:sdt>
    <w:p w14:paraId="4954E33F" w14:textId="77777777" w:rsidR="00CB2D0A" w:rsidRDefault="00CB2D0A" w:rsidP="00CB2D0A">
      <w:pPr>
        <w:rPr>
          <w:sz w:val="28"/>
          <w:szCs w:val="28"/>
        </w:rPr>
      </w:pPr>
    </w:p>
    <w:p w14:paraId="1D39DEE4" w14:textId="77777777" w:rsidR="001A1174" w:rsidRDefault="001A1174" w:rsidP="005A2736">
      <w:pPr>
        <w:pStyle w:val="ListParagraph"/>
        <w:rPr>
          <w:sz w:val="28"/>
          <w:szCs w:val="28"/>
        </w:rPr>
      </w:pPr>
    </w:p>
    <w:p w14:paraId="66AB1A7D" w14:textId="77777777" w:rsidR="001A1174" w:rsidRDefault="001A1174" w:rsidP="005A2736">
      <w:pPr>
        <w:pStyle w:val="ListParagraph"/>
        <w:rPr>
          <w:sz w:val="28"/>
          <w:szCs w:val="28"/>
        </w:rPr>
      </w:pPr>
    </w:p>
    <w:p w14:paraId="7CC37690" w14:textId="77777777" w:rsidR="001A1174" w:rsidRDefault="001A1174" w:rsidP="005A2736">
      <w:pPr>
        <w:pStyle w:val="ListParagraph"/>
        <w:rPr>
          <w:sz w:val="28"/>
          <w:szCs w:val="28"/>
        </w:rPr>
      </w:pPr>
    </w:p>
    <w:p w14:paraId="27AD8179" w14:textId="77777777" w:rsidR="005A2736" w:rsidRDefault="005A2736" w:rsidP="005A2736">
      <w:pPr>
        <w:pStyle w:val="ListParagraph"/>
        <w:rPr>
          <w:sz w:val="28"/>
          <w:szCs w:val="28"/>
        </w:rPr>
      </w:pPr>
    </w:p>
    <w:p w14:paraId="09434888" w14:textId="77777777" w:rsidR="005A2736" w:rsidRDefault="005A2736" w:rsidP="005A2736">
      <w:pPr>
        <w:pStyle w:val="ListParagraph"/>
        <w:rPr>
          <w:sz w:val="28"/>
          <w:szCs w:val="28"/>
        </w:rPr>
      </w:pPr>
    </w:p>
    <w:p w14:paraId="56235135" w14:textId="77777777" w:rsidR="005A2736" w:rsidRDefault="005A2736" w:rsidP="005A2736">
      <w:pPr>
        <w:pStyle w:val="ListParagraph"/>
        <w:rPr>
          <w:sz w:val="28"/>
          <w:szCs w:val="28"/>
        </w:rPr>
      </w:pPr>
    </w:p>
    <w:p w14:paraId="46125DF8" w14:textId="77777777" w:rsidR="00F466EA" w:rsidRDefault="00F466EA" w:rsidP="00DB470D">
      <w:pPr>
        <w:rPr>
          <w:sz w:val="28"/>
          <w:szCs w:val="28"/>
        </w:rPr>
      </w:pPr>
    </w:p>
    <w:p w14:paraId="5D79333F" w14:textId="77777777" w:rsidR="008105DC" w:rsidRDefault="008105DC" w:rsidP="00DB470D">
      <w:pPr>
        <w:rPr>
          <w:sz w:val="28"/>
          <w:szCs w:val="28"/>
        </w:rPr>
        <w:sectPr w:rsidR="008105D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1B811ED9" w14:textId="77777777" w:rsidR="00454CD3" w:rsidRPr="00B113AB" w:rsidRDefault="00454CD3" w:rsidP="008105DC">
      <w:pPr>
        <w:pStyle w:val="Heading1"/>
        <w:rPr>
          <w:color w:val="000000" w:themeColor="text1"/>
          <w:sz w:val="28"/>
          <w:szCs w:val="28"/>
        </w:rPr>
      </w:pPr>
      <w:bookmarkStart w:id="0" w:name="_Toc237347144"/>
      <w:r w:rsidRPr="00B113AB">
        <w:rPr>
          <w:color w:val="000000" w:themeColor="text1"/>
          <w:sz w:val="28"/>
          <w:szCs w:val="28"/>
        </w:rPr>
        <w:lastRenderedPageBreak/>
        <w:t>Type 1 Diabetes</w:t>
      </w:r>
      <w:bookmarkEnd w:id="0"/>
    </w:p>
    <w:p w14:paraId="4E3A49DC" w14:textId="4E6460B0" w:rsidR="00FC7F2D" w:rsidRDefault="00C3766B" w:rsidP="00EB6177">
      <w:pPr>
        <w:pStyle w:val="Heading2"/>
        <w:spacing w:after="0"/>
        <w:rPr>
          <w:sz w:val="24"/>
          <w:szCs w:val="24"/>
        </w:rPr>
      </w:pPr>
      <w:bookmarkStart w:id="1" w:name="_Toc237347145"/>
      <w:r w:rsidRPr="00B113AB">
        <w:rPr>
          <w:color w:val="215E99" w:themeColor="text2" w:themeTint="BF"/>
          <w:sz w:val="24"/>
          <w:szCs w:val="24"/>
        </w:rPr>
        <w:t>Intro</w:t>
      </w:r>
      <w:r w:rsidR="00EB6177" w:rsidRPr="00B113AB">
        <w:rPr>
          <w:color w:val="215E99" w:themeColor="text2" w:themeTint="BF"/>
          <w:sz w:val="24"/>
          <w:szCs w:val="24"/>
        </w:rPr>
        <w:t>duction</w:t>
      </w:r>
      <w:bookmarkEnd w:id="1"/>
      <w:r w:rsidR="0016659C" w:rsidRPr="008105DC">
        <w:rPr>
          <w:sz w:val="24"/>
          <w:szCs w:val="24"/>
        </w:rPr>
        <w:t xml:space="preserve"> </w:t>
      </w:r>
    </w:p>
    <w:p w14:paraId="6DD99FB0" w14:textId="77777777" w:rsidR="00082AAD" w:rsidRPr="00082AAD" w:rsidRDefault="00082AAD" w:rsidP="00082AAD">
      <w:pPr>
        <w:pStyle w:val="NormalWeb"/>
        <w:jc w:val="both"/>
        <w:rPr>
          <w:rFonts w:ascii="Arial" w:hAnsi="Arial" w:cs="Arial"/>
          <w:sz w:val="22"/>
          <w:szCs w:val="22"/>
        </w:rPr>
      </w:pPr>
      <w:r w:rsidRPr="00082AAD">
        <w:rPr>
          <w:rFonts w:ascii="Arial" w:hAnsi="Arial" w:cs="Arial"/>
          <w:sz w:val="22"/>
          <w:szCs w:val="22"/>
        </w:rPr>
        <w:t>Type 1 diabetes (T1D) is a chronic autoimmune condition in which the body’s immune system destroys the insulin</w:t>
      </w:r>
      <w:r w:rsidRPr="00082AAD">
        <w:rPr>
          <w:rFonts w:ascii="Arial" w:hAnsi="Arial" w:cs="Arial"/>
          <w:sz w:val="22"/>
          <w:szCs w:val="22"/>
        </w:rPr>
        <w:noBreakHyphen/>
        <w:t>producing beta cells in the pancreas, resulting in an absolute lack of insulin. Without insulin, glucose cannot enter the body’s cells and instead accumulates in the bloodstream, causing persistent hyperglycaemia and increasing the risk of acute complications such as diabetic ketoacidosis (DKA) (NICE, 2023). Individuals with T1D therefore require lifelong insulin therapy to maintain stable blood glucose levels and prevent serious health consequences.</w:t>
      </w:r>
    </w:p>
    <w:p w14:paraId="50D00BC3" w14:textId="77777777" w:rsidR="00082AAD" w:rsidRPr="00082AAD" w:rsidRDefault="00082AAD" w:rsidP="00082AAD">
      <w:pPr>
        <w:pStyle w:val="NormalWeb"/>
        <w:jc w:val="both"/>
        <w:rPr>
          <w:rFonts w:ascii="Arial" w:hAnsi="Arial" w:cs="Arial"/>
          <w:sz w:val="22"/>
          <w:szCs w:val="22"/>
        </w:rPr>
      </w:pPr>
      <w:r w:rsidRPr="00082AAD">
        <w:rPr>
          <w:rFonts w:ascii="Arial" w:hAnsi="Arial" w:cs="Arial"/>
          <w:sz w:val="22"/>
          <w:szCs w:val="22"/>
        </w:rPr>
        <w:t xml:space="preserve">Although T1D can occur at any age, it is </w:t>
      </w:r>
      <w:proofErr w:type="gramStart"/>
      <w:r w:rsidRPr="00082AAD">
        <w:rPr>
          <w:rFonts w:ascii="Arial" w:hAnsi="Arial" w:cs="Arial"/>
          <w:sz w:val="22"/>
          <w:szCs w:val="22"/>
        </w:rPr>
        <w:t>most commonly diagnosed</w:t>
      </w:r>
      <w:proofErr w:type="gramEnd"/>
      <w:r w:rsidRPr="00082AAD">
        <w:rPr>
          <w:rFonts w:ascii="Arial" w:hAnsi="Arial" w:cs="Arial"/>
          <w:sz w:val="22"/>
          <w:szCs w:val="22"/>
        </w:rPr>
        <w:t xml:space="preserve"> in children and young adults. Typical symptoms include excessive thirst, frequent urination, unexplained weight loss, fatigue, blurred vision, and recurrent infections. If not recognised early, these symptoms can rapidly progress to DKA, a life</w:t>
      </w:r>
      <w:r w:rsidRPr="00082AAD">
        <w:rPr>
          <w:rFonts w:ascii="Arial" w:hAnsi="Arial" w:cs="Arial"/>
          <w:sz w:val="22"/>
          <w:szCs w:val="22"/>
        </w:rPr>
        <w:noBreakHyphen/>
        <w:t>threatening emergency requiring urgent treatment (American Diabetes Association, 2024).</w:t>
      </w:r>
    </w:p>
    <w:p w14:paraId="5860162C" w14:textId="77777777" w:rsidR="00082AAD" w:rsidRPr="00082AAD" w:rsidRDefault="00082AAD" w:rsidP="00082AAD">
      <w:pPr>
        <w:pStyle w:val="NormalWeb"/>
        <w:jc w:val="both"/>
        <w:rPr>
          <w:rFonts w:ascii="Arial" w:hAnsi="Arial" w:cs="Arial"/>
          <w:sz w:val="22"/>
          <w:szCs w:val="22"/>
        </w:rPr>
      </w:pPr>
      <w:r w:rsidRPr="00082AAD">
        <w:rPr>
          <w:rFonts w:ascii="Arial" w:hAnsi="Arial" w:cs="Arial"/>
          <w:sz w:val="22"/>
          <w:szCs w:val="22"/>
        </w:rPr>
        <w:t>Incidence data highlight the severity of T1D as a global health issue. More than 9.5 million people worldwide live with the condition, with around 513,000 new cases diagnosed annually (International Diabetes Federation, 2025). In the UK, approximately 400,000 people are affected, including over 29,000 children (HQIP, 2025). These rising rates emphasise the need for effective monitoring, management, and long</w:t>
      </w:r>
      <w:r w:rsidRPr="00082AAD">
        <w:rPr>
          <w:rFonts w:ascii="Arial" w:hAnsi="Arial" w:cs="Arial"/>
          <w:sz w:val="22"/>
          <w:szCs w:val="22"/>
        </w:rPr>
        <w:noBreakHyphen/>
        <w:t>term support.</w:t>
      </w:r>
    </w:p>
    <w:p w14:paraId="708E3553" w14:textId="5EB95474" w:rsidR="00B132B6" w:rsidRDefault="002C25AC" w:rsidP="008A547F">
      <w:pPr>
        <w:pStyle w:val="NormalWeb"/>
        <w:spacing w:after="0" w:afterAutospacing="0" w:line="360" w:lineRule="auto"/>
        <w:rPr>
          <w:rFonts w:ascii="Arial" w:hAnsi="Arial" w:cs="Arial"/>
          <w:color w:val="215E99" w:themeColor="text2" w:themeTint="BF"/>
        </w:rPr>
      </w:pPr>
      <w:r w:rsidRPr="00892E2E">
        <w:rPr>
          <w:rFonts w:ascii="Arial" w:hAnsi="Arial" w:cs="Arial"/>
          <w:color w:val="215E99" w:themeColor="text2" w:themeTint="BF"/>
        </w:rPr>
        <w:t xml:space="preserve">Different Approaches used to measure and </w:t>
      </w:r>
      <w:r w:rsidR="00685CDD" w:rsidRPr="00892E2E">
        <w:rPr>
          <w:rFonts w:ascii="Arial" w:hAnsi="Arial" w:cs="Arial"/>
          <w:color w:val="215E99" w:themeColor="text2" w:themeTint="BF"/>
        </w:rPr>
        <w:t>monitor T1D</w:t>
      </w:r>
    </w:p>
    <w:p w14:paraId="093EB31C" w14:textId="77777777" w:rsidR="007C35B4" w:rsidRPr="007C35B4" w:rsidRDefault="007C35B4" w:rsidP="00FE7DC7">
      <w:pPr>
        <w:pStyle w:val="NormalWeb"/>
        <w:jc w:val="both"/>
        <w:rPr>
          <w:rFonts w:ascii="Arial" w:hAnsi="Arial" w:cs="Arial"/>
          <w:sz w:val="22"/>
          <w:szCs w:val="22"/>
        </w:rPr>
      </w:pPr>
      <w:r w:rsidRPr="007C35B4">
        <w:rPr>
          <w:rFonts w:ascii="Arial" w:hAnsi="Arial" w:cs="Arial"/>
          <w:sz w:val="22"/>
          <w:szCs w:val="22"/>
        </w:rPr>
        <w:t>Effective monitoring is essential for individuals with Type 1 diabetes (T1D) because it enables early identification of abnormal blood glucose levels, supports safe insulin adjustment, and reduces the risk of acute and long</w:t>
      </w:r>
      <w:r w:rsidRPr="007C35B4">
        <w:rPr>
          <w:rFonts w:ascii="Arial" w:hAnsi="Arial" w:cs="Arial"/>
          <w:sz w:val="22"/>
          <w:szCs w:val="22"/>
        </w:rPr>
        <w:noBreakHyphen/>
        <w:t>term complications. National guidelines emphasise that regular and accurate monitoring is central to maintaining metabolic stability and preventing emergencies such as diabetic ketoacidosis (DKA) (NICE, 2023).</w:t>
      </w:r>
    </w:p>
    <w:p w14:paraId="4569DDA9" w14:textId="77777777" w:rsidR="007C35B4" w:rsidRPr="007C35B4" w:rsidRDefault="007C35B4" w:rsidP="00FE7DC7">
      <w:pPr>
        <w:pStyle w:val="NormalWeb"/>
        <w:jc w:val="both"/>
        <w:rPr>
          <w:rFonts w:ascii="Arial" w:hAnsi="Arial" w:cs="Arial"/>
          <w:sz w:val="22"/>
          <w:szCs w:val="22"/>
        </w:rPr>
      </w:pPr>
      <w:r w:rsidRPr="007C35B4">
        <w:rPr>
          <w:rStyle w:val="Strong"/>
          <w:rFonts w:ascii="Arial" w:hAnsi="Arial" w:cs="Arial"/>
          <w:sz w:val="22"/>
          <w:szCs w:val="22"/>
        </w:rPr>
        <w:t>Blood Glucose Monitoring</w:t>
      </w:r>
      <w:r w:rsidRPr="007C35B4">
        <w:rPr>
          <w:rFonts w:ascii="Arial" w:hAnsi="Arial" w:cs="Arial"/>
          <w:sz w:val="22"/>
          <w:szCs w:val="22"/>
        </w:rPr>
        <w:t xml:space="preserve"> Traditional blood glucose monitoring involves using a finger</w:t>
      </w:r>
      <w:r w:rsidRPr="007C35B4">
        <w:rPr>
          <w:rFonts w:ascii="Arial" w:hAnsi="Arial" w:cs="Arial"/>
          <w:sz w:val="22"/>
          <w:szCs w:val="22"/>
        </w:rPr>
        <w:noBreakHyphen/>
        <w:t>prick test to measure capillary blood glucose. This method provides immediate readings that help individuals make decisions about insulin dosing, food intake, and physical activity. Frequent testing is particularly important for people using multiple daily injections or those at risk of hypoglycaemia. NICE (2023) recommends routine self</w:t>
      </w:r>
      <w:r w:rsidRPr="007C35B4">
        <w:rPr>
          <w:rFonts w:ascii="Arial" w:hAnsi="Arial" w:cs="Arial"/>
          <w:sz w:val="22"/>
          <w:szCs w:val="22"/>
        </w:rPr>
        <w:noBreakHyphen/>
        <w:t>monitoring throughout the day to support safe and effective diabetes management.</w:t>
      </w:r>
    </w:p>
    <w:p w14:paraId="096987D8" w14:textId="77777777" w:rsidR="007C35B4" w:rsidRPr="007C35B4" w:rsidRDefault="007C35B4" w:rsidP="00FE7DC7">
      <w:pPr>
        <w:pStyle w:val="NormalWeb"/>
        <w:jc w:val="both"/>
        <w:rPr>
          <w:rFonts w:ascii="Arial" w:hAnsi="Arial" w:cs="Arial"/>
          <w:sz w:val="22"/>
          <w:szCs w:val="22"/>
        </w:rPr>
      </w:pPr>
      <w:r w:rsidRPr="007C35B4">
        <w:rPr>
          <w:rStyle w:val="Strong"/>
          <w:rFonts w:ascii="Arial" w:hAnsi="Arial" w:cs="Arial"/>
          <w:sz w:val="22"/>
          <w:szCs w:val="22"/>
        </w:rPr>
        <w:t>Continuous Glucose Monitoring (CGM)</w:t>
      </w:r>
      <w:r w:rsidRPr="007C35B4">
        <w:rPr>
          <w:rFonts w:ascii="Arial" w:hAnsi="Arial" w:cs="Arial"/>
          <w:sz w:val="22"/>
          <w:szCs w:val="22"/>
        </w:rPr>
        <w:t xml:space="preserve"> Continuous Glucose Monitoring has transformed diabetes care by providing real</w:t>
      </w:r>
      <w:r w:rsidRPr="007C35B4">
        <w:rPr>
          <w:rFonts w:ascii="Arial" w:hAnsi="Arial" w:cs="Arial"/>
          <w:sz w:val="22"/>
          <w:szCs w:val="22"/>
        </w:rPr>
        <w:noBreakHyphen/>
        <w:t>time glucose readings through a sensor placed under the skin. CGM systems track glucose trends, offer predictive alerts for high or low blood sugar, and reduce the likelihood of severe hypoglycaemia. Evidence shows that CGM use is associated with improved HbA1c levels and greater treatment satisfaction (American Diabetes Association, 2024). The NHS has expanded access to CGM technology, particularly for children and adults with unstable glucose control.</w:t>
      </w:r>
    </w:p>
    <w:p w14:paraId="308D2F14" w14:textId="77777777" w:rsidR="007C35B4" w:rsidRPr="007C35B4" w:rsidRDefault="007C35B4" w:rsidP="00FE7DC7">
      <w:pPr>
        <w:pStyle w:val="NormalWeb"/>
        <w:jc w:val="both"/>
        <w:rPr>
          <w:rFonts w:ascii="Arial" w:hAnsi="Arial" w:cs="Arial"/>
          <w:sz w:val="22"/>
          <w:szCs w:val="22"/>
        </w:rPr>
      </w:pPr>
      <w:r w:rsidRPr="007C35B4">
        <w:rPr>
          <w:rStyle w:val="Strong"/>
          <w:rFonts w:ascii="Arial" w:hAnsi="Arial" w:cs="Arial"/>
          <w:sz w:val="22"/>
          <w:szCs w:val="22"/>
        </w:rPr>
        <w:t>HbA1c Testing</w:t>
      </w:r>
      <w:r w:rsidRPr="007C35B4">
        <w:rPr>
          <w:rFonts w:ascii="Arial" w:hAnsi="Arial" w:cs="Arial"/>
          <w:sz w:val="22"/>
          <w:szCs w:val="22"/>
        </w:rPr>
        <w:t xml:space="preserve"> </w:t>
      </w:r>
      <w:proofErr w:type="gramStart"/>
      <w:r w:rsidRPr="007C35B4">
        <w:rPr>
          <w:rFonts w:ascii="Arial" w:hAnsi="Arial" w:cs="Arial"/>
          <w:sz w:val="22"/>
          <w:szCs w:val="22"/>
        </w:rPr>
        <w:t>The</w:t>
      </w:r>
      <w:proofErr w:type="gramEnd"/>
      <w:r w:rsidRPr="007C35B4">
        <w:rPr>
          <w:rFonts w:ascii="Arial" w:hAnsi="Arial" w:cs="Arial"/>
          <w:sz w:val="22"/>
          <w:szCs w:val="22"/>
        </w:rPr>
        <w:t xml:space="preserve"> HbA1c test provides an average blood glucose level over the previous two to three months by measuring the percentage of glucose attached to red blood cells. It is a key indicator of long</w:t>
      </w:r>
      <w:r w:rsidRPr="007C35B4">
        <w:rPr>
          <w:rFonts w:ascii="Arial" w:hAnsi="Arial" w:cs="Arial"/>
          <w:sz w:val="22"/>
          <w:szCs w:val="22"/>
        </w:rPr>
        <w:noBreakHyphen/>
        <w:t xml:space="preserve">term diabetes control and is usually performed every three to six months. Lower HbA1c levels are linked to reduced risks of complications such as retinopathy, </w:t>
      </w:r>
      <w:r w:rsidRPr="007C35B4">
        <w:rPr>
          <w:rFonts w:ascii="Arial" w:hAnsi="Arial" w:cs="Arial"/>
          <w:sz w:val="22"/>
          <w:szCs w:val="22"/>
        </w:rPr>
        <w:lastRenderedPageBreak/>
        <w:t>nephropathy, and neuropathy (WHO, 2024). Healthcare teams use HbA1c results to evaluate treatment effectiveness and adjust care plans.</w:t>
      </w:r>
    </w:p>
    <w:p w14:paraId="3353E24A" w14:textId="77777777" w:rsidR="007C35B4" w:rsidRPr="007C35B4" w:rsidRDefault="007C35B4" w:rsidP="00FE7DC7">
      <w:pPr>
        <w:pStyle w:val="NormalWeb"/>
        <w:jc w:val="both"/>
        <w:rPr>
          <w:rFonts w:ascii="Arial" w:hAnsi="Arial" w:cs="Arial"/>
          <w:sz w:val="22"/>
          <w:szCs w:val="22"/>
        </w:rPr>
      </w:pPr>
      <w:r w:rsidRPr="007C35B4">
        <w:rPr>
          <w:rStyle w:val="Strong"/>
          <w:rFonts w:ascii="Arial" w:hAnsi="Arial" w:cs="Arial"/>
          <w:sz w:val="22"/>
          <w:szCs w:val="22"/>
        </w:rPr>
        <w:t>Ketone Testing</w:t>
      </w:r>
      <w:r w:rsidRPr="007C35B4">
        <w:rPr>
          <w:rFonts w:ascii="Arial" w:hAnsi="Arial" w:cs="Arial"/>
          <w:sz w:val="22"/>
          <w:szCs w:val="22"/>
        </w:rPr>
        <w:t xml:space="preserve"> Ketone testing is vital when blood glucose levels are very high or when individuals are unwell. Measuring ketones in blood or urine helps detect early signs of DKA, a life</w:t>
      </w:r>
      <w:r w:rsidRPr="007C35B4">
        <w:rPr>
          <w:rFonts w:ascii="Arial" w:hAnsi="Arial" w:cs="Arial"/>
          <w:sz w:val="22"/>
          <w:szCs w:val="22"/>
        </w:rPr>
        <w:noBreakHyphen/>
        <w:t>threatening condition caused by insulin deficiency. Prompt identification of raised ketone levels allows for rapid intervention and reduces the risk of hospital admission.</w:t>
      </w:r>
    </w:p>
    <w:p w14:paraId="341D0A6C" w14:textId="77777777" w:rsidR="007C35B4" w:rsidRPr="007C35B4" w:rsidRDefault="007C35B4" w:rsidP="00FE7DC7">
      <w:pPr>
        <w:pStyle w:val="NormalWeb"/>
        <w:jc w:val="both"/>
        <w:rPr>
          <w:rFonts w:ascii="Arial" w:hAnsi="Arial" w:cs="Arial"/>
          <w:sz w:val="22"/>
          <w:szCs w:val="22"/>
        </w:rPr>
      </w:pPr>
      <w:r w:rsidRPr="007C35B4">
        <w:rPr>
          <w:rStyle w:val="Strong"/>
          <w:rFonts w:ascii="Arial" w:hAnsi="Arial" w:cs="Arial"/>
          <w:sz w:val="22"/>
          <w:szCs w:val="22"/>
        </w:rPr>
        <w:t>Regular Health Checks</w:t>
      </w:r>
      <w:r w:rsidRPr="007C35B4">
        <w:rPr>
          <w:rFonts w:ascii="Arial" w:hAnsi="Arial" w:cs="Arial"/>
          <w:sz w:val="22"/>
          <w:szCs w:val="22"/>
        </w:rPr>
        <w:t xml:space="preserve"> People with T1D require ongoing health assessments to detect complications early. These include eye screening for diabetic retinopathy, kidney function tests, blood pressure and cholesterol monitoring, and foot examinations to identify nerve damage or circulation problems. Regular reviews ensure that emerging issues are treated promptly, reducing long</w:t>
      </w:r>
      <w:r w:rsidRPr="007C35B4">
        <w:rPr>
          <w:rFonts w:ascii="Arial" w:hAnsi="Arial" w:cs="Arial"/>
          <w:sz w:val="22"/>
          <w:szCs w:val="22"/>
        </w:rPr>
        <w:noBreakHyphen/>
        <w:t>term harm and improving quality of life (NICE, 2023).</w:t>
      </w:r>
    </w:p>
    <w:p w14:paraId="597287C8" w14:textId="0EDC9CD9" w:rsidR="00F373CF" w:rsidRPr="00FE251F" w:rsidRDefault="00FE251F" w:rsidP="00FE251F">
      <w:pPr>
        <w:pStyle w:val="Heading2"/>
        <w:rPr>
          <w:rFonts w:cs="Arial"/>
          <w:color w:val="215E99" w:themeColor="text2" w:themeTint="BF"/>
          <w:sz w:val="24"/>
          <w:szCs w:val="24"/>
        </w:rPr>
      </w:pPr>
      <w:bookmarkStart w:id="2" w:name="_Toc237347146"/>
      <w:r w:rsidRPr="00FE251F">
        <w:rPr>
          <w:sz w:val="24"/>
          <w:szCs w:val="24"/>
        </w:rPr>
        <w:t>How Type 1 Diabetes is controlled</w:t>
      </w:r>
      <w:bookmarkEnd w:id="2"/>
    </w:p>
    <w:p w14:paraId="10AA195B" w14:textId="77777777" w:rsidR="00D239D1" w:rsidRPr="00D239D1" w:rsidRDefault="00D239D1" w:rsidP="00FE7DC7">
      <w:pPr>
        <w:pStyle w:val="NormalWeb"/>
        <w:jc w:val="both"/>
        <w:rPr>
          <w:rFonts w:ascii="Arial" w:hAnsi="Arial" w:cs="Arial"/>
          <w:sz w:val="22"/>
          <w:szCs w:val="22"/>
        </w:rPr>
      </w:pPr>
      <w:r w:rsidRPr="00D239D1">
        <w:rPr>
          <w:rFonts w:ascii="Arial" w:hAnsi="Arial" w:cs="Arial"/>
          <w:sz w:val="22"/>
          <w:szCs w:val="22"/>
        </w:rPr>
        <w:t>Although Type 1 diabetes (T1D) has no cure, effective long</w:t>
      </w:r>
      <w:r w:rsidRPr="00D239D1">
        <w:rPr>
          <w:rFonts w:ascii="Arial" w:hAnsi="Arial" w:cs="Arial"/>
          <w:sz w:val="22"/>
          <w:szCs w:val="22"/>
        </w:rPr>
        <w:noBreakHyphen/>
        <w:t>term management is possible through a combination of insulin therapy, healthy lifestyle choices, structured education, and regular clinical review. These approaches work together to maintain stable blood glucose levels, reduce the risk of complications, and support individuals in managing the daily demands of the condition.</w:t>
      </w:r>
    </w:p>
    <w:p w14:paraId="689B67C9" w14:textId="77777777" w:rsidR="00D239D1" w:rsidRPr="00D239D1" w:rsidRDefault="00D239D1" w:rsidP="00FE7DC7">
      <w:pPr>
        <w:pStyle w:val="NormalWeb"/>
        <w:jc w:val="both"/>
        <w:rPr>
          <w:rFonts w:ascii="Arial" w:hAnsi="Arial" w:cs="Arial"/>
          <w:sz w:val="22"/>
          <w:szCs w:val="22"/>
        </w:rPr>
      </w:pPr>
      <w:r w:rsidRPr="00D239D1">
        <w:rPr>
          <w:rStyle w:val="Strong"/>
          <w:rFonts w:ascii="Arial" w:hAnsi="Arial" w:cs="Arial"/>
          <w:sz w:val="22"/>
          <w:szCs w:val="22"/>
        </w:rPr>
        <w:t>Insulin Therapy</w:t>
      </w:r>
      <w:r w:rsidRPr="00D239D1">
        <w:rPr>
          <w:rFonts w:ascii="Arial" w:hAnsi="Arial" w:cs="Arial"/>
          <w:sz w:val="22"/>
          <w:szCs w:val="22"/>
        </w:rPr>
        <w:t xml:space="preserve"> Insulin replacement is essential for people with T1D because their pancreas can no longer produce insulin. Treatment commonly involves multiple daily injections or the use of insulin pens, while insulin pumps provide a continuous supply of insulin and allow more precise adjustments. Pumps can also be integrated with Continuous Glucose Monitoring (CGM) systems, improving glucose control and reducing episodes of hypoglycaemia. Different insulin types, including rapid</w:t>
      </w:r>
      <w:r w:rsidRPr="00D239D1">
        <w:rPr>
          <w:rFonts w:ascii="Arial" w:hAnsi="Arial" w:cs="Arial"/>
          <w:sz w:val="22"/>
          <w:szCs w:val="22"/>
        </w:rPr>
        <w:noBreakHyphen/>
        <w:t>acting and long</w:t>
      </w:r>
      <w:r w:rsidRPr="00D239D1">
        <w:rPr>
          <w:rFonts w:ascii="Arial" w:hAnsi="Arial" w:cs="Arial"/>
          <w:sz w:val="22"/>
          <w:szCs w:val="22"/>
        </w:rPr>
        <w:noBreakHyphen/>
        <w:t xml:space="preserve">acting formulations, enable personalised treatment plans tailored to </w:t>
      </w:r>
      <w:proofErr w:type="gramStart"/>
      <w:r w:rsidRPr="00D239D1">
        <w:rPr>
          <w:rFonts w:ascii="Arial" w:hAnsi="Arial" w:cs="Arial"/>
          <w:sz w:val="22"/>
          <w:szCs w:val="22"/>
        </w:rPr>
        <w:t>each individual’s</w:t>
      </w:r>
      <w:proofErr w:type="gramEnd"/>
      <w:r w:rsidRPr="00D239D1">
        <w:rPr>
          <w:rFonts w:ascii="Arial" w:hAnsi="Arial" w:cs="Arial"/>
          <w:sz w:val="22"/>
          <w:szCs w:val="22"/>
        </w:rPr>
        <w:t xml:space="preserve"> lifestyle and glucose patterns (NICE, 2023).</w:t>
      </w:r>
    </w:p>
    <w:p w14:paraId="2CE97EE9" w14:textId="77777777" w:rsidR="00D239D1" w:rsidRPr="00D239D1" w:rsidRDefault="00D239D1" w:rsidP="00FE7DC7">
      <w:pPr>
        <w:pStyle w:val="NormalWeb"/>
        <w:jc w:val="both"/>
        <w:rPr>
          <w:rFonts w:ascii="Arial" w:hAnsi="Arial" w:cs="Arial"/>
          <w:sz w:val="22"/>
          <w:szCs w:val="22"/>
        </w:rPr>
      </w:pPr>
      <w:r w:rsidRPr="00D239D1">
        <w:rPr>
          <w:rStyle w:val="Strong"/>
          <w:rFonts w:ascii="Arial" w:hAnsi="Arial" w:cs="Arial"/>
          <w:sz w:val="22"/>
          <w:szCs w:val="22"/>
        </w:rPr>
        <w:t>Healthy Eating</w:t>
      </w:r>
      <w:r w:rsidRPr="00D239D1">
        <w:rPr>
          <w:rFonts w:ascii="Arial" w:hAnsi="Arial" w:cs="Arial"/>
          <w:sz w:val="22"/>
          <w:szCs w:val="22"/>
        </w:rPr>
        <w:t xml:space="preserve"> Diet plays a central role in diabetes management. A balanced intake of carbohydrates, protein, and healthy fats helps stabilise blood glucose levels. Carbohydrate counting is widely recommended because it enables individuals to match insulin doses to the amount of carbohydrate consumed, reducing glucose fluctuations and lowering the risk of long</w:t>
      </w:r>
      <w:r w:rsidRPr="00D239D1">
        <w:rPr>
          <w:rFonts w:ascii="Arial" w:hAnsi="Arial" w:cs="Arial"/>
          <w:sz w:val="22"/>
          <w:szCs w:val="22"/>
        </w:rPr>
        <w:noBreakHyphen/>
        <w:t>term complications. Dietitians support individuals in developing sustainable eating plans that promote metabolic stability.</w:t>
      </w:r>
    </w:p>
    <w:p w14:paraId="14B671E9" w14:textId="77777777" w:rsidR="00D239D1" w:rsidRPr="00D239D1" w:rsidRDefault="00D239D1" w:rsidP="00FE7DC7">
      <w:pPr>
        <w:pStyle w:val="NormalWeb"/>
        <w:jc w:val="both"/>
        <w:rPr>
          <w:rFonts w:ascii="Arial" w:hAnsi="Arial" w:cs="Arial"/>
          <w:sz w:val="22"/>
          <w:szCs w:val="22"/>
        </w:rPr>
      </w:pPr>
      <w:r w:rsidRPr="00D239D1">
        <w:rPr>
          <w:rStyle w:val="Strong"/>
          <w:rFonts w:ascii="Arial" w:hAnsi="Arial" w:cs="Arial"/>
          <w:sz w:val="22"/>
          <w:szCs w:val="22"/>
        </w:rPr>
        <w:t>Physical Activity</w:t>
      </w:r>
      <w:r w:rsidRPr="00D239D1">
        <w:rPr>
          <w:rFonts w:ascii="Arial" w:hAnsi="Arial" w:cs="Arial"/>
          <w:sz w:val="22"/>
          <w:szCs w:val="22"/>
        </w:rPr>
        <w:t xml:space="preserve"> Regular physical activity improves cardiovascular health, enhances insulin sensitivity, and supports healthy weight management. However, exercise can cause blood glucose levels to fall, so individuals must monitor their glucose before, during, and after activity to prevent hypoglycaemia. Education on adjusting insulin and carbohydrate intake around exercise is essential for safe participation in physical activity (American Diabetes Association, 2024).</w:t>
      </w:r>
    </w:p>
    <w:p w14:paraId="363CB323" w14:textId="77777777" w:rsidR="00D239D1" w:rsidRPr="00D239D1" w:rsidRDefault="00D239D1" w:rsidP="00FE7DC7">
      <w:pPr>
        <w:pStyle w:val="NormalWeb"/>
        <w:jc w:val="both"/>
        <w:rPr>
          <w:rFonts w:ascii="Arial" w:hAnsi="Arial" w:cs="Arial"/>
          <w:sz w:val="22"/>
          <w:szCs w:val="22"/>
        </w:rPr>
      </w:pPr>
      <w:r w:rsidRPr="00D239D1">
        <w:rPr>
          <w:rStyle w:val="Strong"/>
          <w:rFonts w:ascii="Arial" w:hAnsi="Arial" w:cs="Arial"/>
          <w:sz w:val="22"/>
          <w:szCs w:val="22"/>
        </w:rPr>
        <w:t>Education and Self</w:t>
      </w:r>
      <w:r w:rsidRPr="00D239D1">
        <w:rPr>
          <w:rStyle w:val="Strong"/>
          <w:rFonts w:ascii="Arial" w:hAnsi="Arial" w:cs="Arial"/>
          <w:sz w:val="22"/>
          <w:szCs w:val="22"/>
        </w:rPr>
        <w:noBreakHyphen/>
        <w:t>Management</w:t>
      </w:r>
      <w:r w:rsidRPr="00D239D1">
        <w:rPr>
          <w:rFonts w:ascii="Arial" w:hAnsi="Arial" w:cs="Arial"/>
          <w:sz w:val="22"/>
          <w:szCs w:val="22"/>
        </w:rPr>
        <w:t xml:space="preserve"> Structured diabetes education programmes teach individuals how to use insulin effectively, monitor blood glucose, count carbohydrates, and recognise early signs of complications. Strong self</w:t>
      </w:r>
      <w:r w:rsidRPr="00D239D1">
        <w:rPr>
          <w:rFonts w:ascii="Arial" w:hAnsi="Arial" w:cs="Arial"/>
          <w:sz w:val="22"/>
          <w:szCs w:val="22"/>
        </w:rPr>
        <w:noBreakHyphen/>
        <w:t>management skills empower individuals to make informed decisions about their daily care and are associated with improved HbA1c levels and reduced hospital admissions.</w:t>
      </w:r>
    </w:p>
    <w:p w14:paraId="51B12818" w14:textId="77777777" w:rsidR="00D239D1" w:rsidRPr="00D239D1" w:rsidRDefault="00D239D1" w:rsidP="00FE7DC7">
      <w:pPr>
        <w:pStyle w:val="NormalWeb"/>
        <w:jc w:val="both"/>
        <w:rPr>
          <w:rFonts w:ascii="Arial" w:hAnsi="Arial" w:cs="Arial"/>
          <w:sz w:val="22"/>
          <w:szCs w:val="22"/>
        </w:rPr>
      </w:pPr>
      <w:r w:rsidRPr="00D239D1">
        <w:rPr>
          <w:rStyle w:val="Strong"/>
          <w:rFonts w:ascii="Arial" w:hAnsi="Arial" w:cs="Arial"/>
          <w:sz w:val="22"/>
          <w:szCs w:val="22"/>
        </w:rPr>
        <w:t>Regular Medical Reviews</w:t>
      </w:r>
      <w:r w:rsidRPr="00D239D1">
        <w:rPr>
          <w:rFonts w:ascii="Arial" w:hAnsi="Arial" w:cs="Arial"/>
          <w:sz w:val="22"/>
          <w:szCs w:val="22"/>
        </w:rPr>
        <w:t xml:space="preserve"> Ongoing clinical reviews ensure that treatment remains effective and responsive to changing needs. Diabetes specialist nurses, endocrinologists, dietitians, and GPs work together to provide multidisciplinary support, review glucose data, adjust insulin </w:t>
      </w:r>
      <w:r w:rsidRPr="00D239D1">
        <w:rPr>
          <w:rFonts w:ascii="Arial" w:hAnsi="Arial" w:cs="Arial"/>
          <w:sz w:val="22"/>
          <w:szCs w:val="22"/>
        </w:rPr>
        <w:lastRenderedPageBreak/>
        <w:t>regimens, and monitor for early signs of complications. Regular reviews help maintain good metabolic control and improve long</w:t>
      </w:r>
      <w:r w:rsidRPr="00D239D1">
        <w:rPr>
          <w:rFonts w:ascii="Arial" w:hAnsi="Arial" w:cs="Arial"/>
          <w:sz w:val="22"/>
          <w:szCs w:val="22"/>
        </w:rPr>
        <w:noBreakHyphen/>
        <w:t>term outcomes.</w:t>
      </w:r>
    </w:p>
    <w:p w14:paraId="44B23BBE" w14:textId="0AE3DA13" w:rsidR="00685CDD" w:rsidRPr="000C029F" w:rsidRDefault="000C029F" w:rsidP="00783F6F">
      <w:pPr>
        <w:pStyle w:val="Heading2"/>
        <w:rPr>
          <w:sz w:val="24"/>
          <w:szCs w:val="24"/>
        </w:rPr>
      </w:pPr>
      <w:bookmarkStart w:id="3" w:name="_Toc237347147"/>
      <w:r w:rsidRPr="000C029F">
        <w:rPr>
          <w:sz w:val="24"/>
          <w:szCs w:val="24"/>
        </w:rPr>
        <w:t>Consequences</w:t>
      </w:r>
      <w:r w:rsidR="005E2819" w:rsidRPr="000C029F">
        <w:rPr>
          <w:sz w:val="24"/>
          <w:szCs w:val="24"/>
        </w:rPr>
        <w:t xml:space="preserve"> of Type 1 Diabetes</w:t>
      </w:r>
      <w:r w:rsidR="00100BE2" w:rsidRPr="000C029F">
        <w:rPr>
          <w:sz w:val="24"/>
          <w:szCs w:val="24"/>
        </w:rPr>
        <w:t xml:space="preserve"> </w:t>
      </w:r>
      <w:r w:rsidRPr="000C029F">
        <w:rPr>
          <w:sz w:val="24"/>
          <w:szCs w:val="24"/>
        </w:rPr>
        <w:t>on people in the community</w:t>
      </w:r>
      <w:bookmarkEnd w:id="3"/>
    </w:p>
    <w:p w14:paraId="150A176B" w14:textId="77777777" w:rsidR="00250278" w:rsidRPr="00250278" w:rsidRDefault="00250278" w:rsidP="00250278">
      <w:pPr>
        <w:pStyle w:val="NormalWeb"/>
        <w:jc w:val="both"/>
        <w:rPr>
          <w:rFonts w:ascii="Arial" w:hAnsi="Arial" w:cs="Arial"/>
          <w:sz w:val="22"/>
          <w:szCs w:val="22"/>
        </w:rPr>
      </w:pPr>
      <w:r w:rsidRPr="00250278">
        <w:rPr>
          <w:rFonts w:ascii="Arial" w:hAnsi="Arial" w:cs="Arial"/>
          <w:sz w:val="22"/>
          <w:szCs w:val="22"/>
        </w:rPr>
        <w:t>Type 1 diabetes (T1D) has wide</w:t>
      </w:r>
      <w:r w:rsidRPr="00250278">
        <w:rPr>
          <w:rFonts w:ascii="Arial" w:hAnsi="Arial" w:cs="Arial"/>
          <w:sz w:val="22"/>
          <w:szCs w:val="22"/>
        </w:rPr>
        <w:noBreakHyphen/>
        <w:t>ranging consequences that affect individuals physically, emotionally, socially, and financially. These impacts highlight the importance of effective management and strong community support systems.</w:t>
      </w:r>
    </w:p>
    <w:p w14:paraId="3F311BB1" w14:textId="77777777" w:rsidR="00250278" w:rsidRPr="00250278" w:rsidRDefault="00250278" w:rsidP="00250278">
      <w:pPr>
        <w:pStyle w:val="NormalWeb"/>
        <w:jc w:val="both"/>
        <w:rPr>
          <w:rFonts w:ascii="Arial" w:hAnsi="Arial" w:cs="Arial"/>
          <w:sz w:val="22"/>
          <w:szCs w:val="22"/>
        </w:rPr>
      </w:pPr>
      <w:r w:rsidRPr="00250278">
        <w:rPr>
          <w:rStyle w:val="Strong"/>
          <w:rFonts w:ascii="Arial" w:hAnsi="Arial" w:cs="Arial"/>
          <w:sz w:val="22"/>
          <w:szCs w:val="22"/>
        </w:rPr>
        <w:t>Physical Effects</w:t>
      </w:r>
      <w:r w:rsidRPr="00250278">
        <w:rPr>
          <w:rFonts w:ascii="Arial" w:hAnsi="Arial" w:cs="Arial"/>
          <w:sz w:val="22"/>
          <w:szCs w:val="22"/>
        </w:rPr>
        <w:t xml:space="preserve"> Poorly controlled T1D can lead to both acute and long</w:t>
      </w:r>
      <w:r w:rsidRPr="00250278">
        <w:rPr>
          <w:rFonts w:ascii="Arial" w:hAnsi="Arial" w:cs="Arial"/>
          <w:sz w:val="22"/>
          <w:szCs w:val="22"/>
        </w:rPr>
        <w:noBreakHyphen/>
        <w:t>term complications. Acute issues such as hypoglycaemia, hyperglycaemia, and diabetic ketoacidosis (DKA) can occur rapidly and require urgent intervention. Long</w:t>
      </w:r>
      <w:r w:rsidRPr="00250278">
        <w:rPr>
          <w:rFonts w:ascii="Arial" w:hAnsi="Arial" w:cs="Arial"/>
          <w:sz w:val="22"/>
          <w:szCs w:val="22"/>
        </w:rPr>
        <w:noBreakHyphen/>
        <w:t>term complications develop gradually and may include cardiovascular disease, kidney damage, nerve damage, diabetic retinopathy, and foot ulcers that can lead to amputation. These complications significantly reduce quality of life and increase the need for ongoing medical care. Evidence shows that individuals with poorly controlled diabetes are more likely to experience hospital admissions and long</w:t>
      </w:r>
      <w:r w:rsidRPr="00250278">
        <w:rPr>
          <w:rFonts w:ascii="Arial" w:hAnsi="Arial" w:cs="Arial"/>
          <w:sz w:val="22"/>
          <w:szCs w:val="22"/>
        </w:rPr>
        <w:noBreakHyphen/>
        <w:t>term disability, placing additional pressure on healthcare services (NICE, 2023).</w:t>
      </w:r>
    </w:p>
    <w:p w14:paraId="5A003B80" w14:textId="77777777" w:rsidR="00250278" w:rsidRPr="00250278" w:rsidRDefault="00250278" w:rsidP="00250278">
      <w:pPr>
        <w:pStyle w:val="NormalWeb"/>
        <w:jc w:val="both"/>
        <w:rPr>
          <w:rFonts w:ascii="Arial" w:hAnsi="Arial" w:cs="Arial"/>
          <w:sz w:val="22"/>
          <w:szCs w:val="22"/>
        </w:rPr>
      </w:pPr>
      <w:r w:rsidRPr="00250278">
        <w:rPr>
          <w:rStyle w:val="Strong"/>
          <w:rFonts w:ascii="Arial" w:hAnsi="Arial" w:cs="Arial"/>
          <w:sz w:val="22"/>
          <w:szCs w:val="22"/>
        </w:rPr>
        <w:t>Emotional and Mental Health Effects</w:t>
      </w:r>
      <w:r w:rsidRPr="00250278">
        <w:rPr>
          <w:rFonts w:ascii="Arial" w:hAnsi="Arial" w:cs="Arial"/>
          <w:sz w:val="22"/>
          <w:szCs w:val="22"/>
        </w:rPr>
        <w:t xml:space="preserve"> Living with T1D requires continuous monitoring, decision</w:t>
      </w:r>
      <w:r w:rsidRPr="00250278">
        <w:rPr>
          <w:rFonts w:ascii="Arial" w:hAnsi="Arial" w:cs="Arial"/>
          <w:sz w:val="22"/>
          <w:szCs w:val="22"/>
        </w:rPr>
        <w:noBreakHyphen/>
        <w:t>making, and awareness of potential risks, which can contribute to emotional strain. Many individuals experience diabetes</w:t>
      </w:r>
      <w:r w:rsidRPr="00250278">
        <w:rPr>
          <w:rFonts w:ascii="Arial" w:hAnsi="Arial" w:cs="Arial"/>
          <w:sz w:val="22"/>
          <w:szCs w:val="22"/>
        </w:rPr>
        <w:noBreakHyphen/>
        <w:t>related distress, anxiety about hypoglycaemia, and feelings of burnout. Depression is also more common among people with T1D compared with the general population, and emotional difficulties can negatively affect self</w:t>
      </w:r>
      <w:r w:rsidRPr="00250278">
        <w:rPr>
          <w:rFonts w:ascii="Arial" w:hAnsi="Arial" w:cs="Arial"/>
          <w:sz w:val="22"/>
          <w:szCs w:val="22"/>
        </w:rPr>
        <w:noBreakHyphen/>
        <w:t>management behaviours. This creates a cycle in which mental health challenges increase the risk of poor glucose control and further complications (American Diabetes Association, 2024).</w:t>
      </w:r>
    </w:p>
    <w:p w14:paraId="55F79469" w14:textId="77777777" w:rsidR="00250278" w:rsidRPr="00250278" w:rsidRDefault="00250278" w:rsidP="00250278">
      <w:pPr>
        <w:pStyle w:val="NormalWeb"/>
        <w:jc w:val="both"/>
        <w:rPr>
          <w:rFonts w:ascii="Arial" w:hAnsi="Arial" w:cs="Arial"/>
          <w:sz w:val="22"/>
          <w:szCs w:val="22"/>
        </w:rPr>
      </w:pPr>
      <w:r w:rsidRPr="00250278">
        <w:rPr>
          <w:rStyle w:val="Strong"/>
          <w:rFonts w:ascii="Arial" w:hAnsi="Arial" w:cs="Arial"/>
          <w:sz w:val="22"/>
          <w:szCs w:val="22"/>
        </w:rPr>
        <w:t>Social Effects</w:t>
      </w:r>
      <w:r w:rsidRPr="00250278">
        <w:rPr>
          <w:rFonts w:ascii="Arial" w:hAnsi="Arial" w:cs="Arial"/>
          <w:sz w:val="22"/>
          <w:szCs w:val="22"/>
        </w:rPr>
        <w:t xml:space="preserve"> T1D can influence daily routines at school, work, and social events. Individuals may need to check blood glucose levels, administer insulin, or plan meals carefully, which can lead to feelings of difference or stigma. Children may struggle with confidence or feel excluded from activities, while adults may face misunderstandings or discrimination in the workplace. These social pressures can affect participation, independence, and overall wellbeing.</w:t>
      </w:r>
    </w:p>
    <w:p w14:paraId="1605641A" w14:textId="77777777" w:rsidR="00250278" w:rsidRPr="00250278" w:rsidRDefault="00250278" w:rsidP="00250278">
      <w:pPr>
        <w:pStyle w:val="NormalWeb"/>
        <w:jc w:val="both"/>
        <w:rPr>
          <w:rFonts w:ascii="Arial" w:hAnsi="Arial" w:cs="Arial"/>
          <w:sz w:val="22"/>
          <w:szCs w:val="22"/>
        </w:rPr>
      </w:pPr>
      <w:r w:rsidRPr="00250278">
        <w:rPr>
          <w:rStyle w:val="Strong"/>
          <w:rFonts w:ascii="Arial" w:hAnsi="Arial" w:cs="Arial"/>
          <w:sz w:val="22"/>
          <w:szCs w:val="22"/>
        </w:rPr>
        <w:t>Financial Effects</w:t>
      </w:r>
      <w:r w:rsidRPr="00250278">
        <w:rPr>
          <w:rFonts w:ascii="Arial" w:hAnsi="Arial" w:cs="Arial"/>
          <w:sz w:val="22"/>
          <w:szCs w:val="22"/>
        </w:rPr>
        <w:t xml:space="preserve"> Managing T1D can be costly for individuals, families, and healthcare systems. Expenses may include insulin, glucose monitoring devices, CGM systems, medical appointments, and treatment for complications. For the NHS, diabetes represents a significant financial burden due to the long</w:t>
      </w:r>
      <w:r w:rsidRPr="00250278">
        <w:rPr>
          <w:rFonts w:ascii="Arial" w:hAnsi="Arial" w:cs="Arial"/>
          <w:sz w:val="22"/>
          <w:szCs w:val="22"/>
        </w:rPr>
        <w:noBreakHyphen/>
        <w:t>term nature of care and the high cost of treating complications such as kidney disease and cardiovascular problems. The economic impact extends beyond healthcare, affecting employment, productivity, and social care services (WHO, 2024).</w:t>
      </w:r>
    </w:p>
    <w:p w14:paraId="08D964C9" w14:textId="77777777" w:rsidR="006452A1" w:rsidRPr="006452A1" w:rsidRDefault="006452A1" w:rsidP="006452A1">
      <w:pPr>
        <w:pStyle w:val="Heading2"/>
        <w:rPr>
          <w:sz w:val="24"/>
          <w:szCs w:val="24"/>
        </w:rPr>
      </w:pPr>
      <w:bookmarkStart w:id="4" w:name="_Toc237347148"/>
      <w:r w:rsidRPr="006452A1">
        <w:rPr>
          <w:sz w:val="24"/>
          <w:szCs w:val="24"/>
        </w:rPr>
        <w:t>Community health and social care support for individuals with Type 1 Diabetes</w:t>
      </w:r>
      <w:bookmarkEnd w:id="4"/>
    </w:p>
    <w:p w14:paraId="79699ED6" w14:textId="77777777" w:rsidR="00514119" w:rsidRPr="00514119" w:rsidRDefault="00514119" w:rsidP="00514119">
      <w:pPr>
        <w:pStyle w:val="NormalWeb"/>
        <w:jc w:val="both"/>
        <w:rPr>
          <w:rFonts w:ascii="Arial" w:hAnsi="Arial" w:cs="Arial"/>
          <w:sz w:val="22"/>
          <w:szCs w:val="22"/>
        </w:rPr>
      </w:pPr>
      <w:r w:rsidRPr="00514119">
        <w:rPr>
          <w:rFonts w:ascii="Arial" w:hAnsi="Arial" w:cs="Arial"/>
          <w:sz w:val="22"/>
          <w:szCs w:val="22"/>
        </w:rPr>
        <w:t>A wide range of community health and social care services support individuals living with Type 1 diabetes (T1D), helping them manage the condition effectively and maintain independence. General Practitioners (GPs) provide ongoing monitoring, medication reviews, and referrals to specialist services, ensuring continuity of care. Diabetes Specialist Nurses (DSNs) offer education on insulin use, glucose monitoring, and lifestyle management, and evidence shows that DSN involvement improves glycaemic control and reduces hospital admissions (NICE, 2023). Endocrinologists support individuals with complex needs by reviewing glucose data and adjusting treatment plans, while dietitians provide guidance on carbohydrate counting and healthy eating to promote stable blood glucose levels.</w:t>
      </w:r>
    </w:p>
    <w:p w14:paraId="63FF8069" w14:textId="77777777" w:rsidR="00514119" w:rsidRDefault="00514119" w:rsidP="00514119">
      <w:pPr>
        <w:pStyle w:val="NormalWeb"/>
        <w:jc w:val="both"/>
        <w:rPr>
          <w:rFonts w:ascii="Arial" w:hAnsi="Arial" w:cs="Arial"/>
          <w:sz w:val="22"/>
          <w:szCs w:val="22"/>
        </w:rPr>
      </w:pPr>
      <w:r w:rsidRPr="00514119">
        <w:rPr>
          <w:rFonts w:ascii="Arial" w:hAnsi="Arial" w:cs="Arial"/>
          <w:sz w:val="22"/>
          <w:szCs w:val="22"/>
        </w:rPr>
        <w:t>Regular eye screening, podiatry assessments, and kidney function tests help detect complications early, preventing long</w:t>
      </w:r>
      <w:r w:rsidRPr="00514119">
        <w:rPr>
          <w:rFonts w:ascii="Arial" w:hAnsi="Arial" w:cs="Arial"/>
          <w:sz w:val="22"/>
          <w:szCs w:val="22"/>
        </w:rPr>
        <w:noBreakHyphen/>
        <w:t xml:space="preserve">term harm. Mental health services, including counselling </w:t>
      </w:r>
      <w:r w:rsidRPr="00514119">
        <w:rPr>
          <w:rFonts w:ascii="Arial" w:hAnsi="Arial" w:cs="Arial"/>
          <w:sz w:val="22"/>
          <w:szCs w:val="22"/>
        </w:rPr>
        <w:lastRenderedPageBreak/>
        <w:t>and Cognitive Behavioural Therapy (CBT), support individuals experiencing diabetes</w:t>
      </w:r>
      <w:r w:rsidRPr="00514119">
        <w:rPr>
          <w:rFonts w:ascii="Arial" w:hAnsi="Arial" w:cs="Arial"/>
          <w:sz w:val="22"/>
          <w:szCs w:val="22"/>
        </w:rPr>
        <w:noBreakHyphen/>
        <w:t>related distress or anxiety. Community organisations such as Diabetes UK offer peer support, helplines, and educational resources, helping individuals feel less isolated. Social care services may assist those with severe complications by providing support with mobility, employment, and independent living, ensuring holistic care across health and community settings.</w:t>
      </w:r>
    </w:p>
    <w:p w14:paraId="751FA272" w14:textId="28BFDCC2" w:rsidR="00514119" w:rsidRPr="0054702F" w:rsidRDefault="00514119" w:rsidP="00514119">
      <w:pPr>
        <w:pStyle w:val="Heading2"/>
        <w:rPr>
          <w:sz w:val="24"/>
          <w:szCs w:val="24"/>
        </w:rPr>
      </w:pPr>
      <w:bookmarkStart w:id="5" w:name="_Toc237347149"/>
      <w:r w:rsidRPr="0054702F">
        <w:rPr>
          <w:sz w:val="24"/>
          <w:szCs w:val="24"/>
        </w:rPr>
        <w:t>Conclu</w:t>
      </w:r>
      <w:r w:rsidR="0054702F" w:rsidRPr="0054702F">
        <w:rPr>
          <w:sz w:val="24"/>
          <w:szCs w:val="24"/>
        </w:rPr>
        <w:t>sion</w:t>
      </w:r>
      <w:bookmarkEnd w:id="5"/>
    </w:p>
    <w:p w14:paraId="42B205F7" w14:textId="77777777" w:rsidR="005C4839" w:rsidRPr="005C4839" w:rsidRDefault="005C4839" w:rsidP="005C4839">
      <w:pPr>
        <w:pStyle w:val="NormalWeb"/>
        <w:jc w:val="both"/>
        <w:rPr>
          <w:rFonts w:ascii="Arial" w:hAnsi="Arial" w:cs="Arial"/>
          <w:sz w:val="22"/>
          <w:szCs w:val="22"/>
        </w:rPr>
      </w:pPr>
      <w:r w:rsidRPr="005C4839">
        <w:rPr>
          <w:rFonts w:ascii="Arial" w:hAnsi="Arial" w:cs="Arial"/>
          <w:sz w:val="22"/>
          <w:szCs w:val="22"/>
        </w:rPr>
        <w:t>Type 1 diabetes is a lifelong autoimmune condition that requires continuous monitoring, effective insulin therapy, and strong self</w:t>
      </w:r>
      <w:r w:rsidRPr="005C4839">
        <w:rPr>
          <w:rFonts w:ascii="Arial" w:hAnsi="Arial" w:cs="Arial"/>
          <w:sz w:val="22"/>
          <w:szCs w:val="22"/>
        </w:rPr>
        <w:noBreakHyphen/>
        <w:t>management skills. Although it cannot be cured, individuals can achieve good long</w:t>
      </w:r>
      <w:r w:rsidRPr="005C4839">
        <w:rPr>
          <w:rFonts w:ascii="Arial" w:hAnsi="Arial" w:cs="Arial"/>
          <w:sz w:val="22"/>
          <w:szCs w:val="22"/>
        </w:rPr>
        <w:noBreakHyphen/>
        <w:t>term outcomes through regular blood glucose testing, Continuous Glucose Monitoring (CGM), HbA1c assessments, and ketone checks, all of which help identify risks early and support safe insulin adjustment. Successful management also relies on healthy eating, physical activity, structured education, and regular medical reviews, which together reduce the likelihood of serious complications.</w:t>
      </w:r>
    </w:p>
    <w:p w14:paraId="429BB16B" w14:textId="77777777" w:rsidR="005C4839" w:rsidRPr="005C4839" w:rsidRDefault="005C4839" w:rsidP="005C4839">
      <w:pPr>
        <w:pStyle w:val="NormalWeb"/>
        <w:jc w:val="both"/>
        <w:rPr>
          <w:rFonts w:ascii="Arial" w:hAnsi="Arial" w:cs="Arial"/>
          <w:sz w:val="22"/>
          <w:szCs w:val="22"/>
        </w:rPr>
      </w:pPr>
      <w:r w:rsidRPr="005C4839">
        <w:rPr>
          <w:rFonts w:ascii="Arial" w:hAnsi="Arial" w:cs="Arial"/>
          <w:sz w:val="22"/>
          <w:szCs w:val="22"/>
        </w:rPr>
        <w:t>The consequences of Type 1 diabetes extend beyond physical health, affecting emotional wellbeing, social participation, and financial stability. This highlights the importance of accessible community support, including specialist diabetes teams, mental health services, social care providers, and organisations such as Diabetes UK. Continued advances in diabetes technology and strong multidisciplinary support will help individuals maintain independence, improve quality of life, and reduce the long</w:t>
      </w:r>
      <w:r w:rsidRPr="005C4839">
        <w:rPr>
          <w:rFonts w:ascii="Arial" w:hAnsi="Arial" w:cs="Arial"/>
          <w:sz w:val="22"/>
          <w:szCs w:val="22"/>
        </w:rPr>
        <w:noBreakHyphen/>
        <w:t>term impact of the condition.</w:t>
      </w:r>
    </w:p>
    <w:p w14:paraId="2778B911" w14:textId="597BEFEC" w:rsidR="00B132B6" w:rsidRPr="00250278" w:rsidRDefault="00B132B6" w:rsidP="00250278">
      <w:pPr>
        <w:jc w:val="both"/>
        <w:rPr>
          <w:rFonts w:ascii="Arial" w:hAnsi="Arial" w:cs="Arial"/>
          <w:sz w:val="22"/>
          <w:szCs w:val="22"/>
        </w:rPr>
      </w:pPr>
    </w:p>
    <w:p w14:paraId="7C2DC5A1" w14:textId="77777777" w:rsidR="00B132B6" w:rsidRPr="00250278" w:rsidRDefault="00B132B6" w:rsidP="00250278">
      <w:pPr>
        <w:pStyle w:val="Heading2"/>
        <w:jc w:val="both"/>
        <w:rPr>
          <w:rFonts w:cs="Arial"/>
          <w:sz w:val="22"/>
          <w:szCs w:val="22"/>
        </w:rPr>
      </w:pPr>
    </w:p>
    <w:p w14:paraId="51000A6D" w14:textId="77777777" w:rsidR="00550BB4" w:rsidRPr="00EE746C" w:rsidRDefault="00550BB4" w:rsidP="00550BB4">
      <w:pPr>
        <w:pStyle w:val="NormalWeb"/>
        <w:spacing w:after="0" w:afterAutospacing="0"/>
        <w:rPr>
          <w:rFonts w:ascii="Arial" w:hAnsi="Arial" w:cs="Arial"/>
          <w:sz w:val="22"/>
          <w:szCs w:val="22"/>
        </w:rPr>
      </w:pPr>
    </w:p>
    <w:p w14:paraId="299EAF21" w14:textId="77777777" w:rsidR="00FF05F0" w:rsidRDefault="00FF05F0" w:rsidP="00FF05F0"/>
    <w:p w14:paraId="6CF0B556" w14:textId="77777777" w:rsidR="00FA464C" w:rsidRPr="00FF05F0" w:rsidRDefault="00FA464C" w:rsidP="00FF05F0"/>
    <w:p w14:paraId="5EDCA3E9" w14:textId="77777777" w:rsidR="00C3766B" w:rsidRPr="00C3766B" w:rsidRDefault="00C3766B" w:rsidP="00CC0257">
      <w:pPr>
        <w:spacing w:line="360" w:lineRule="auto"/>
      </w:pPr>
    </w:p>
    <w:p w14:paraId="7D7F3853" w14:textId="77777777" w:rsidR="00454CD3" w:rsidRDefault="00454CD3" w:rsidP="00BC7C01">
      <w:pPr>
        <w:spacing w:after="0"/>
        <w:rPr>
          <w:rFonts w:ascii="Arial" w:hAnsi="Arial" w:cs="Arial"/>
          <w:sz w:val="28"/>
          <w:szCs w:val="28"/>
        </w:rPr>
      </w:pPr>
    </w:p>
    <w:p w14:paraId="56D69957" w14:textId="77777777" w:rsidR="00DE0B16" w:rsidRDefault="00DE0B16" w:rsidP="00BC7C01">
      <w:pPr>
        <w:spacing w:after="0"/>
        <w:rPr>
          <w:rFonts w:ascii="Arial" w:hAnsi="Arial" w:cs="Arial"/>
        </w:rPr>
      </w:pPr>
    </w:p>
    <w:p w14:paraId="588DB1DC" w14:textId="09780B32" w:rsidR="004D607F" w:rsidRPr="00A67B2F" w:rsidRDefault="004D607F" w:rsidP="00BC7C01">
      <w:pPr>
        <w:spacing w:after="0"/>
        <w:rPr>
          <w:rFonts w:ascii="Arial" w:hAnsi="Arial" w:cs="Arial"/>
        </w:rPr>
      </w:pPr>
    </w:p>
    <w:p w14:paraId="0E07A65C" w14:textId="77777777" w:rsidR="00A67B2F" w:rsidRPr="00BC7C01" w:rsidRDefault="00A67B2F" w:rsidP="00BC7C01">
      <w:pPr>
        <w:spacing w:after="0"/>
        <w:rPr>
          <w:sz w:val="28"/>
          <w:szCs w:val="28"/>
        </w:rPr>
      </w:pPr>
    </w:p>
    <w:p w14:paraId="088C7DF0" w14:textId="65274100" w:rsidR="004D607F" w:rsidRDefault="004D607F" w:rsidP="00DB470D">
      <w:pPr>
        <w:rPr>
          <w:sz w:val="28"/>
          <w:szCs w:val="28"/>
        </w:rPr>
      </w:pPr>
    </w:p>
    <w:p w14:paraId="38A85653" w14:textId="77777777" w:rsidR="00F31B45" w:rsidRDefault="00F31B45" w:rsidP="00DB470D">
      <w:pPr>
        <w:rPr>
          <w:sz w:val="28"/>
          <w:szCs w:val="28"/>
        </w:rPr>
      </w:pPr>
    </w:p>
    <w:p w14:paraId="20411FB3" w14:textId="77777777" w:rsidR="00F31B45" w:rsidRDefault="00F31B45" w:rsidP="00DB470D">
      <w:pPr>
        <w:rPr>
          <w:sz w:val="28"/>
          <w:szCs w:val="28"/>
        </w:rPr>
      </w:pPr>
    </w:p>
    <w:p w14:paraId="61A2E629" w14:textId="77777777" w:rsidR="00F31B45" w:rsidRDefault="00F31B45" w:rsidP="00DB470D">
      <w:pPr>
        <w:rPr>
          <w:sz w:val="28"/>
          <w:szCs w:val="28"/>
        </w:rPr>
      </w:pPr>
    </w:p>
    <w:p w14:paraId="49275D97" w14:textId="77777777" w:rsidR="00F31B45" w:rsidRDefault="00F31B45" w:rsidP="00DB470D">
      <w:pPr>
        <w:rPr>
          <w:sz w:val="28"/>
          <w:szCs w:val="28"/>
        </w:rPr>
      </w:pPr>
    </w:p>
    <w:p w14:paraId="1DB21599" w14:textId="77777777" w:rsidR="00F31B45" w:rsidRDefault="00F31B45" w:rsidP="00DB470D">
      <w:pPr>
        <w:rPr>
          <w:sz w:val="28"/>
          <w:szCs w:val="28"/>
        </w:rPr>
      </w:pPr>
    </w:p>
    <w:p w14:paraId="3764FDAC" w14:textId="5E1DDF93" w:rsidR="00F31B45" w:rsidRDefault="005826F2" w:rsidP="005826F2">
      <w:pPr>
        <w:pStyle w:val="Heading1"/>
        <w:rPr>
          <w:sz w:val="28"/>
          <w:szCs w:val="28"/>
        </w:rPr>
      </w:pPr>
      <w:bookmarkStart w:id="6" w:name="_Toc237347150"/>
      <w:r w:rsidRPr="005826F2">
        <w:rPr>
          <w:sz w:val="28"/>
          <w:szCs w:val="28"/>
        </w:rPr>
        <w:lastRenderedPageBreak/>
        <w:t>References</w:t>
      </w:r>
      <w:bookmarkEnd w:id="6"/>
      <w:r w:rsidRPr="005826F2">
        <w:rPr>
          <w:sz w:val="28"/>
          <w:szCs w:val="28"/>
        </w:rPr>
        <w:t xml:space="preserve"> </w:t>
      </w:r>
    </w:p>
    <w:p w14:paraId="6DA1466C" w14:textId="77777777" w:rsidR="00CA6472" w:rsidRPr="00894FA3" w:rsidRDefault="00CA6472" w:rsidP="00CA6472">
      <w:pPr>
        <w:spacing w:before="100" w:beforeAutospacing="1" w:after="100" w:afterAutospacing="1" w:line="240" w:lineRule="auto"/>
        <w:rPr>
          <w:rFonts w:ascii="Arial" w:eastAsia="Times New Roman" w:hAnsi="Arial" w:cs="Arial"/>
          <w:kern w:val="0"/>
          <w:sz w:val="22"/>
          <w:szCs w:val="22"/>
          <w:lang w:eastAsia="en-GB"/>
          <w14:ligatures w14:val="none"/>
        </w:rPr>
      </w:pPr>
      <w:r w:rsidRPr="00894FA3">
        <w:rPr>
          <w:rFonts w:ascii="Arial" w:eastAsia="Times New Roman" w:hAnsi="Arial" w:cs="Arial"/>
          <w:kern w:val="0"/>
          <w:sz w:val="22"/>
          <w:szCs w:val="22"/>
          <w:lang w:eastAsia="en-GB"/>
          <w14:ligatures w14:val="none"/>
        </w:rPr>
        <w:t xml:space="preserve">American Diabetes Association (2024) </w:t>
      </w:r>
      <w:r w:rsidRPr="00894FA3">
        <w:rPr>
          <w:rFonts w:ascii="Arial" w:eastAsia="Times New Roman" w:hAnsi="Arial" w:cs="Arial"/>
          <w:i/>
          <w:iCs/>
          <w:kern w:val="0"/>
          <w:sz w:val="22"/>
          <w:szCs w:val="22"/>
          <w:lang w:eastAsia="en-GB"/>
          <w14:ligatures w14:val="none"/>
        </w:rPr>
        <w:t>Standards of Care in Diabetes 2024</w:t>
      </w:r>
      <w:r w:rsidRPr="00894FA3">
        <w:rPr>
          <w:rFonts w:ascii="Arial" w:eastAsia="Times New Roman" w:hAnsi="Arial" w:cs="Arial"/>
          <w:kern w:val="0"/>
          <w:sz w:val="22"/>
          <w:szCs w:val="22"/>
          <w:lang w:eastAsia="en-GB"/>
          <w14:ligatures w14:val="none"/>
        </w:rPr>
        <w:t xml:space="preserve">. </w:t>
      </w:r>
      <w:r w:rsidRPr="00894FA3">
        <w:rPr>
          <w:rFonts w:ascii="Arial" w:eastAsia="Times New Roman" w:hAnsi="Arial" w:cs="Arial"/>
          <w:i/>
          <w:iCs/>
          <w:kern w:val="0"/>
          <w:sz w:val="22"/>
          <w:szCs w:val="22"/>
          <w:lang w:eastAsia="en-GB"/>
          <w14:ligatures w14:val="none"/>
        </w:rPr>
        <w:t>Diabetes Care</w:t>
      </w:r>
      <w:r w:rsidRPr="00894FA3">
        <w:rPr>
          <w:rFonts w:ascii="Arial" w:eastAsia="Times New Roman" w:hAnsi="Arial" w:cs="Arial"/>
          <w:kern w:val="0"/>
          <w:sz w:val="22"/>
          <w:szCs w:val="22"/>
          <w:lang w:eastAsia="en-GB"/>
          <w14:ligatures w14:val="none"/>
        </w:rPr>
        <w:t>, 47(Suppl.1), pp.1–350. Available at:</w:t>
      </w:r>
      <w:r w:rsidRPr="00894FA3">
        <w:rPr>
          <w:rFonts w:ascii="Arial" w:hAnsi="Arial" w:cs="Arial"/>
          <w:sz w:val="22"/>
          <w:szCs w:val="22"/>
        </w:rPr>
        <w:t xml:space="preserve"> </w:t>
      </w:r>
      <w:hyperlink r:id="rId15" w:history="1">
        <w:r w:rsidRPr="00894FA3">
          <w:rPr>
            <w:rFonts w:ascii="Arial" w:hAnsi="Arial" w:cs="Arial"/>
            <w:color w:val="0000FF"/>
            <w:sz w:val="22"/>
            <w:szCs w:val="22"/>
            <w:u w:val="single"/>
          </w:rPr>
          <w:t>Volume 47 Issue Supplement_1 | Diabetes Care | American Diabetes Association</w:t>
        </w:r>
      </w:hyperlink>
      <w:r w:rsidRPr="00894FA3">
        <w:rPr>
          <w:rFonts w:ascii="Arial" w:hAnsi="Arial" w:cs="Arial"/>
          <w:sz w:val="22"/>
          <w:szCs w:val="22"/>
        </w:rPr>
        <w:t xml:space="preserve"> (Assessed: 4 August 2026)</w:t>
      </w:r>
      <w:r w:rsidRPr="00894FA3">
        <w:rPr>
          <w:rFonts w:ascii="Arial" w:eastAsia="Times New Roman" w:hAnsi="Arial" w:cs="Arial"/>
          <w:kern w:val="0"/>
          <w:sz w:val="22"/>
          <w:szCs w:val="22"/>
          <w:lang w:eastAsia="en-GB"/>
          <w14:ligatures w14:val="none"/>
        </w:rPr>
        <w:t xml:space="preserve"> </w:t>
      </w:r>
    </w:p>
    <w:p w14:paraId="1E40F062" w14:textId="77777777" w:rsidR="0066603A" w:rsidRPr="00894FA3" w:rsidRDefault="0066603A" w:rsidP="0066603A">
      <w:pPr>
        <w:spacing w:before="100" w:beforeAutospacing="1" w:after="100" w:afterAutospacing="1" w:line="240" w:lineRule="auto"/>
        <w:rPr>
          <w:rFonts w:ascii="Arial" w:eastAsia="Times New Roman" w:hAnsi="Arial" w:cs="Arial"/>
          <w:kern w:val="0"/>
          <w:sz w:val="22"/>
          <w:szCs w:val="22"/>
          <w:lang w:eastAsia="en-GB"/>
          <w14:ligatures w14:val="none"/>
        </w:rPr>
      </w:pPr>
      <w:r w:rsidRPr="00894FA3">
        <w:rPr>
          <w:rFonts w:ascii="Arial" w:eastAsia="Times New Roman" w:hAnsi="Arial" w:cs="Arial"/>
          <w:kern w:val="0"/>
          <w:sz w:val="22"/>
          <w:szCs w:val="22"/>
          <w:lang w:eastAsia="en-GB"/>
          <w14:ligatures w14:val="none"/>
        </w:rPr>
        <w:t xml:space="preserve">Diabetes UK (2024) </w:t>
      </w:r>
      <w:r w:rsidRPr="00894FA3">
        <w:rPr>
          <w:rFonts w:ascii="Arial" w:eastAsia="Times New Roman" w:hAnsi="Arial" w:cs="Arial"/>
          <w:i/>
          <w:iCs/>
          <w:kern w:val="0"/>
          <w:sz w:val="22"/>
          <w:szCs w:val="22"/>
          <w:lang w:eastAsia="en-GB"/>
          <w14:ligatures w14:val="none"/>
        </w:rPr>
        <w:t>Support and Information for People Living with Diabetes</w:t>
      </w:r>
      <w:r w:rsidRPr="00894FA3">
        <w:rPr>
          <w:rFonts w:ascii="Arial" w:eastAsia="Times New Roman" w:hAnsi="Arial" w:cs="Arial"/>
          <w:kern w:val="0"/>
          <w:sz w:val="22"/>
          <w:szCs w:val="22"/>
          <w:lang w:eastAsia="en-GB"/>
          <w14:ligatures w14:val="none"/>
        </w:rPr>
        <w:t xml:space="preserve">. Available at: </w:t>
      </w:r>
      <w:hyperlink r:id="rId16" w:tgtFrame="_blank" w:tooltip="www.diabetes.org.uk" w:history="1">
        <w:r w:rsidRPr="00894FA3">
          <w:rPr>
            <w:rFonts w:ascii="Arial" w:eastAsia="Times New Roman" w:hAnsi="Arial" w:cs="Arial"/>
            <w:color w:val="0000FF"/>
            <w:kern w:val="0"/>
            <w:sz w:val="22"/>
            <w:szCs w:val="22"/>
            <w:u w:val="single"/>
            <w:lang w:eastAsia="en-GB"/>
            <w14:ligatures w14:val="none"/>
          </w:rPr>
          <w:t>https://www.diabetes.org.uk</w:t>
        </w:r>
      </w:hyperlink>
      <w:r w:rsidRPr="00894FA3">
        <w:rPr>
          <w:rFonts w:ascii="Arial" w:hAnsi="Arial" w:cs="Arial"/>
          <w:sz w:val="22"/>
          <w:szCs w:val="22"/>
        </w:rPr>
        <w:t xml:space="preserve"> (Assessed 4</w:t>
      </w:r>
      <w:r w:rsidRPr="00894FA3">
        <w:rPr>
          <w:rFonts w:ascii="Arial" w:hAnsi="Arial" w:cs="Arial"/>
          <w:sz w:val="22"/>
          <w:szCs w:val="22"/>
          <w:vertAlign w:val="superscript"/>
        </w:rPr>
        <w:t xml:space="preserve"> </w:t>
      </w:r>
      <w:r w:rsidRPr="00894FA3">
        <w:rPr>
          <w:rFonts w:ascii="Arial" w:hAnsi="Arial" w:cs="Arial"/>
          <w:sz w:val="22"/>
          <w:szCs w:val="22"/>
        </w:rPr>
        <w:t>August 2026)</w:t>
      </w:r>
    </w:p>
    <w:p w14:paraId="2D18D55D" w14:textId="77777777" w:rsidR="00DF6269" w:rsidRPr="00DF6269" w:rsidRDefault="00DF6269" w:rsidP="00DF6269">
      <w:pPr>
        <w:spacing w:before="100" w:beforeAutospacing="1" w:after="100" w:afterAutospacing="1" w:line="240" w:lineRule="auto"/>
        <w:rPr>
          <w:rFonts w:ascii="Arial" w:eastAsia="Times New Roman" w:hAnsi="Arial" w:cs="Arial"/>
          <w:kern w:val="0"/>
          <w:sz w:val="22"/>
          <w:szCs w:val="22"/>
          <w:lang w:eastAsia="en-GB"/>
          <w14:ligatures w14:val="none"/>
        </w:rPr>
      </w:pPr>
      <w:r w:rsidRPr="00DF6269">
        <w:rPr>
          <w:rFonts w:ascii="Arial" w:eastAsia="Times New Roman" w:hAnsi="Arial" w:cs="Arial"/>
          <w:kern w:val="0"/>
          <w:sz w:val="22"/>
          <w:szCs w:val="22"/>
          <w:lang w:eastAsia="en-GB"/>
          <w14:ligatures w14:val="none"/>
        </w:rPr>
        <w:t xml:space="preserve">Healthcare Quality Improvement Partnership (HQIP) (2025) </w:t>
      </w:r>
      <w:r w:rsidRPr="00DF6269">
        <w:rPr>
          <w:rFonts w:ascii="Arial" w:eastAsia="Times New Roman" w:hAnsi="Arial" w:cs="Arial"/>
          <w:i/>
          <w:iCs/>
          <w:kern w:val="0"/>
          <w:sz w:val="22"/>
          <w:szCs w:val="22"/>
          <w:lang w:eastAsia="en-GB"/>
          <w14:ligatures w14:val="none"/>
        </w:rPr>
        <w:t>National Paediatric Diabetes Audit (NPDA) 2023–2024.</w:t>
      </w:r>
      <w:r w:rsidRPr="00DF6269">
        <w:rPr>
          <w:rFonts w:ascii="Arial" w:eastAsia="Times New Roman" w:hAnsi="Arial" w:cs="Arial"/>
          <w:kern w:val="0"/>
          <w:sz w:val="22"/>
          <w:szCs w:val="22"/>
          <w:lang w:eastAsia="en-GB"/>
          <w14:ligatures w14:val="none"/>
        </w:rPr>
        <w:t xml:space="preserve"> London: HQIP. Available at: </w:t>
      </w:r>
      <w:hyperlink r:id="rId17" w:tgtFrame="_blank" w:tooltip="www.hqip.org.uk" w:history="1">
        <w:r w:rsidRPr="00DF6269">
          <w:rPr>
            <w:rFonts w:ascii="Arial" w:eastAsia="Times New Roman" w:hAnsi="Arial" w:cs="Arial"/>
            <w:color w:val="0000FF"/>
            <w:kern w:val="0"/>
            <w:sz w:val="22"/>
            <w:szCs w:val="22"/>
            <w:u w:val="single"/>
            <w:lang w:eastAsia="en-GB"/>
            <w14:ligatures w14:val="none"/>
          </w:rPr>
          <w:t>https://www.hqip.org.uk</w:t>
        </w:r>
      </w:hyperlink>
      <w:r w:rsidRPr="00DF6269">
        <w:rPr>
          <w:rFonts w:ascii="Arial" w:eastAsia="Times New Roman" w:hAnsi="Arial" w:cs="Arial"/>
          <w:kern w:val="0"/>
          <w:sz w:val="22"/>
          <w:szCs w:val="22"/>
          <w:lang w:eastAsia="en-GB"/>
          <w14:ligatures w14:val="none"/>
        </w:rPr>
        <w:t xml:space="preserve"> (Accessed 31 July 2026).</w:t>
      </w:r>
    </w:p>
    <w:p w14:paraId="24AD428A" w14:textId="77777777" w:rsidR="00A17CBB" w:rsidRPr="00A17CBB" w:rsidRDefault="00A17CBB" w:rsidP="00A17CBB">
      <w:pPr>
        <w:spacing w:before="100" w:beforeAutospacing="1" w:after="100" w:afterAutospacing="1" w:line="240" w:lineRule="auto"/>
        <w:rPr>
          <w:rFonts w:ascii="Arial" w:eastAsia="Times New Roman" w:hAnsi="Arial" w:cs="Arial"/>
          <w:kern w:val="0"/>
          <w:sz w:val="22"/>
          <w:szCs w:val="22"/>
          <w:lang w:eastAsia="en-GB"/>
          <w14:ligatures w14:val="none"/>
        </w:rPr>
      </w:pPr>
      <w:r w:rsidRPr="00A17CBB">
        <w:rPr>
          <w:rFonts w:ascii="Arial" w:eastAsia="Times New Roman" w:hAnsi="Arial" w:cs="Arial"/>
          <w:kern w:val="0"/>
          <w:sz w:val="22"/>
          <w:szCs w:val="22"/>
          <w:lang w:eastAsia="en-GB"/>
          <w14:ligatures w14:val="none"/>
        </w:rPr>
        <w:t xml:space="preserve">International Diabetes Federation (IDF) (2025) </w:t>
      </w:r>
      <w:r w:rsidRPr="00A17CBB">
        <w:rPr>
          <w:rFonts w:ascii="Arial" w:eastAsia="Times New Roman" w:hAnsi="Arial" w:cs="Arial"/>
          <w:i/>
          <w:iCs/>
          <w:kern w:val="0"/>
          <w:sz w:val="22"/>
          <w:szCs w:val="22"/>
          <w:lang w:eastAsia="en-GB"/>
          <w14:ligatures w14:val="none"/>
        </w:rPr>
        <w:t>IDF Diabetes Atlas: 11th Edition.</w:t>
      </w:r>
      <w:r w:rsidRPr="00A17CBB">
        <w:rPr>
          <w:rFonts w:ascii="Arial" w:eastAsia="Times New Roman" w:hAnsi="Arial" w:cs="Arial"/>
          <w:kern w:val="0"/>
          <w:sz w:val="22"/>
          <w:szCs w:val="22"/>
          <w:lang w:eastAsia="en-GB"/>
          <w14:ligatures w14:val="none"/>
        </w:rPr>
        <w:t xml:space="preserve"> Brussels: International Diabetes Federation. Available at: </w:t>
      </w:r>
      <w:hyperlink r:id="rId18" w:tgtFrame="_blank" w:tooltip="diabetesatlas.org" w:history="1">
        <w:r w:rsidRPr="00A17CBB">
          <w:rPr>
            <w:rFonts w:ascii="Arial" w:eastAsia="Times New Roman" w:hAnsi="Arial" w:cs="Arial"/>
            <w:color w:val="0000FF"/>
            <w:kern w:val="0"/>
            <w:sz w:val="22"/>
            <w:szCs w:val="22"/>
            <w:u w:val="single"/>
            <w:lang w:eastAsia="en-GB"/>
            <w14:ligatures w14:val="none"/>
          </w:rPr>
          <w:t>https://diabetesatlas.org</w:t>
        </w:r>
      </w:hyperlink>
      <w:r w:rsidRPr="00A17CBB">
        <w:rPr>
          <w:rFonts w:ascii="Arial" w:eastAsia="Times New Roman" w:hAnsi="Arial" w:cs="Arial"/>
          <w:kern w:val="0"/>
          <w:sz w:val="22"/>
          <w:szCs w:val="22"/>
          <w:lang w:eastAsia="en-GB"/>
          <w14:ligatures w14:val="none"/>
        </w:rPr>
        <w:t xml:space="preserve"> (Accessed 31 July 2026).</w:t>
      </w:r>
    </w:p>
    <w:p w14:paraId="781606B8" w14:textId="77777777" w:rsidR="00795F96" w:rsidRPr="00894FA3" w:rsidRDefault="00795F96" w:rsidP="00795F96">
      <w:pPr>
        <w:spacing w:before="100" w:beforeAutospacing="1" w:after="0" w:line="240" w:lineRule="auto"/>
        <w:rPr>
          <w:rFonts w:ascii="Arial" w:eastAsia="Times New Roman" w:hAnsi="Arial" w:cs="Arial"/>
          <w:kern w:val="0"/>
          <w:sz w:val="22"/>
          <w:szCs w:val="22"/>
          <w:lang w:eastAsia="en-GB"/>
          <w14:ligatures w14:val="none"/>
        </w:rPr>
      </w:pPr>
      <w:r w:rsidRPr="00894FA3">
        <w:rPr>
          <w:rFonts w:ascii="Arial" w:eastAsia="Times New Roman" w:hAnsi="Arial" w:cs="Arial"/>
          <w:kern w:val="0"/>
          <w:sz w:val="22"/>
          <w:szCs w:val="22"/>
          <w:lang w:eastAsia="en-GB"/>
          <w14:ligatures w14:val="none"/>
        </w:rPr>
        <w:t xml:space="preserve">National Institute for Health and Care Excellence (NICE) (2023) </w:t>
      </w:r>
      <w:r w:rsidRPr="00894FA3">
        <w:rPr>
          <w:rFonts w:ascii="Arial" w:eastAsia="Times New Roman" w:hAnsi="Arial" w:cs="Arial"/>
          <w:i/>
          <w:iCs/>
          <w:kern w:val="0"/>
          <w:sz w:val="22"/>
          <w:szCs w:val="22"/>
          <w:lang w:eastAsia="en-GB"/>
          <w14:ligatures w14:val="none"/>
        </w:rPr>
        <w:t>Type 1 Diabetes in Adults: Diagnosis and Management (NG17)</w:t>
      </w:r>
      <w:r w:rsidRPr="00894FA3">
        <w:rPr>
          <w:rFonts w:ascii="Arial" w:eastAsia="Times New Roman" w:hAnsi="Arial" w:cs="Arial"/>
          <w:kern w:val="0"/>
          <w:sz w:val="22"/>
          <w:szCs w:val="22"/>
          <w:lang w:eastAsia="en-GB"/>
          <w14:ligatures w14:val="none"/>
        </w:rPr>
        <w:t xml:space="preserve">. Available at: </w:t>
      </w:r>
      <w:hyperlink r:id="rId19" w:tgtFrame="_blank" w:tooltip="www.nice.org.uk" w:history="1">
        <w:r w:rsidRPr="00894FA3">
          <w:rPr>
            <w:rFonts w:ascii="Arial" w:eastAsia="Times New Roman" w:hAnsi="Arial" w:cs="Arial"/>
            <w:color w:val="0000FF"/>
            <w:kern w:val="0"/>
            <w:sz w:val="22"/>
            <w:szCs w:val="22"/>
            <w:u w:val="single"/>
            <w:lang w:eastAsia="en-GB"/>
            <w14:ligatures w14:val="none"/>
          </w:rPr>
          <w:t>https://www.nice.org.uk/guidance/ng17</w:t>
        </w:r>
      </w:hyperlink>
      <w:r w:rsidRPr="00894FA3">
        <w:rPr>
          <w:rFonts w:ascii="Arial" w:eastAsia="Times New Roman" w:hAnsi="Arial" w:cs="Arial"/>
          <w:kern w:val="0"/>
          <w:sz w:val="22"/>
          <w:szCs w:val="22"/>
          <w:lang w:eastAsia="en-GB"/>
          <w14:ligatures w14:val="none"/>
        </w:rPr>
        <w:t xml:space="preserve"> (Assessed: 5 August 2026)</w:t>
      </w:r>
    </w:p>
    <w:p w14:paraId="2FC0562E" w14:textId="77777777" w:rsidR="005826F2" w:rsidRDefault="005826F2" w:rsidP="005826F2"/>
    <w:p w14:paraId="166D8833" w14:textId="77777777" w:rsidR="003B082B" w:rsidRPr="003B082B" w:rsidRDefault="003B082B" w:rsidP="003B082B">
      <w:pPr>
        <w:rPr>
          <w:rFonts w:ascii="Arial" w:hAnsi="Arial" w:cs="Arial"/>
          <w:sz w:val="22"/>
          <w:szCs w:val="22"/>
        </w:rPr>
      </w:pPr>
      <w:r w:rsidRPr="003B082B">
        <w:rPr>
          <w:rFonts w:ascii="Arial" w:hAnsi="Arial" w:cs="Arial"/>
          <w:sz w:val="22"/>
          <w:szCs w:val="22"/>
        </w:rPr>
        <w:t xml:space="preserve">NHS England (2023) </w:t>
      </w:r>
      <w:r w:rsidRPr="003B082B">
        <w:rPr>
          <w:rFonts w:ascii="Arial" w:hAnsi="Arial" w:cs="Arial"/>
          <w:i/>
          <w:iCs/>
          <w:sz w:val="22"/>
          <w:szCs w:val="22"/>
        </w:rPr>
        <w:t>National Diabetes Audit 2021–22: Incidence and Prevalence of Diabetes.</w:t>
      </w:r>
      <w:r w:rsidRPr="003B082B">
        <w:rPr>
          <w:rFonts w:ascii="Arial" w:hAnsi="Arial" w:cs="Arial"/>
          <w:sz w:val="22"/>
          <w:szCs w:val="22"/>
        </w:rPr>
        <w:t xml:space="preserve"> NHS England. Available at: </w:t>
      </w:r>
      <w:hyperlink r:id="rId20" w:history="1">
        <w:r w:rsidRPr="003B082B">
          <w:rPr>
            <w:rFonts w:ascii="Arial" w:hAnsi="Arial" w:cs="Arial"/>
            <w:color w:val="0000FF"/>
            <w:sz w:val="22"/>
            <w:szCs w:val="22"/>
            <w:u w:val="single"/>
          </w:rPr>
          <w:t>https://digital.nhs.uk/data-and-information/publications/statistical/national-diabetes-audit/2021-22</w:t>
        </w:r>
      </w:hyperlink>
      <w:r w:rsidRPr="003B082B">
        <w:rPr>
          <w:rFonts w:ascii="Arial" w:hAnsi="Arial" w:cs="Arial"/>
          <w:sz w:val="22"/>
          <w:szCs w:val="22"/>
        </w:rPr>
        <w:t xml:space="preserve"> </w:t>
      </w:r>
      <w:hyperlink r:id="rId21" w:tgtFrame="_blank" w:tooltip="www.bing.com" w:history="1">
        <w:r w:rsidRPr="003B082B">
          <w:rPr>
            <w:rFonts w:ascii="Arial" w:hAnsi="Arial" w:cs="Arial"/>
            <w:color w:val="0000FF"/>
            <w:sz w:val="22"/>
            <w:szCs w:val="22"/>
            <w:u w:val="single"/>
          </w:rPr>
          <w:t>(digital.nhs.uk in Bing)</w:t>
        </w:r>
      </w:hyperlink>
      <w:r w:rsidRPr="003B082B">
        <w:rPr>
          <w:rFonts w:ascii="Arial" w:hAnsi="Arial" w:cs="Arial"/>
          <w:sz w:val="22"/>
          <w:szCs w:val="22"/>
        </w:rPr>
        <w:t xml:space="preserve"> (Accessed 31 July 2026).</w:t>
      </w:r>
    </w:p>
    <w:p w14:paraId="3C7C40C1" w14:textId="77777777" w:rsidR="009A2031" w:rsidRPr="009A2031" w:rsidRDefault="009A2031" w:rsidP="009A2031">
      <w:pPr>
        <w:spacing w:before="100" w:beforeAutospacing="1" w:after="100" w:afterAutospacing="1" w:line="240" w:lineRule="auto"/>
        <w:rPr>
          <w:rFonts w:ascii="Arial" w:eastAsia="Times New Roman" w:hAnsi="Arial" w:cs="Arial"/>
          <w:kern w:val="0"/>
          <w:sz w:val="22"/>
          <w:szCs w:val="22"/>
          <w:lang w:eastAsia="en-GB"/>
          <w14:ligatures w14:val="none"/>
        </w:rPr>
      </w:pPr>
      <w:r w:rsidRPr="009A2031">
        <w:rPr>
          <w:rFonts w:ascii="Arial" w:eastAsia="Times New Roman" w:hAnsi="Arial" w:cs="Arial"/>
          <w:kern w:val="0"/>
          <w:sz w:val="22"/>
          <w:szCs w:val="22"/>
          <w:lang w:eastAsia="en-GB"/>
          <w14:ligatures w14:val="none"/>
        </w:rPr>
        <w:t xml:space="preserve">World Health Organization (2024) </w:t>
      </w:r>
      <w:r w:rsidRPr="009A2031">
        <w:rPr>
          <w:rFonts w:ascii="Arial" w:eastAsia="Times New Roman" w:hAnsi="Arial" w:cs="Arial"/>
          <w:i/>
          <w:iCs/>
          <w:kern w:val="0"/>
          <w:sz w:val="22"/>
          <w:szCs w:val="22"/>
          <w:lang w:eastAsia="en-GB"/>
          <w14:ligatures w14:val="none"/>
        </w:rPr>
        <w:t>Diabetes Fact Sheet</w:t>
      </w:r>
      <w:r w:rsidRPr="009A2031">
        <w:rPr>
          <w:rFonts w:ascii="Arial" w:eastAsia="Times New Roman" w:hAnsi="Arial" w:cs="Arial"/>
          <w:kern w:val="0"/>
          <w:sz w:val="22"/>
          <w:szCs w:val="22"/>
          <w:lang w:eastAsia="en-GB"/>
          <w14:ligatures w14:val="none"/>
        </w:rPr>
        <w:t xml:space="preserve">. Available at: </w:t>
      </w:r>
      <w:hyperlink r:id="rId22" w:history="1">
        <w:r w:rsidRPr="009A2031">
          <w:rPr>
            <w:rFonts w:ascii="Arial" w:eastAsia="Times New Roman" w:hAnsi="Arial" w:cs="Arial"/>
            <w:color w:val="0000FF"/>
            <w:kern w:val="0"/>
            <w:sz w:val="22"/>
            <w:szCs w:val="22"/>
            <w:u w:val="single"/>
            <w:lang w:eastAsia="en-GB"/>
            <w14:ligatures w14:val="none"/>
          </w:rPr>
          <w:t>https://www.who.int/news-room/fact-sheets/detail/diabetes</w:t>
        </w:r>
      </w:hyperlink>
      <w:r w:rsidRPr="009A2031">
        <w:rPr>
          <w:rFonts w:ascii="Arial" w:eastAsia="Times New Roman" w:hAnsi="Arial" w:cs="Arial"/>
          <w:kern w:val="0"/>
          <w:sz w:val="22"/>
          <w:szCs w:val="22"/>
          <w:lang w:eastAsia="en-GB"/>
          <w14:ligatures w14:val="none"/>
        </w:rPr>
        <w:t xml:space="preserve"> (Assessed: 10 August 2026) </w:t>
      </w:r>
    </w:p>
    <w:p w14:paraId="0B436A0E" w14:textId="77777777" w:rsidR="003B082B" w:rsidRDefault="003B082B" w:rsidP="005826F2"/>
    <w:p w14:paraId="03C4C446" w14:textId="77777777" w:rsidR="005826F2" w:rsidRPr="005826F2" w:rsidRDefault="005826F2" w:rsidP="005826F2"/>
    <w:p w14:paraId="02E6D2FC" w14:textId="77777777" w:rsidR="00F31B45" w:rsidRDefault="00F31B45" w:rsidP="00DB470D">
      <w:pPr>
        <w:rPr>
          <w:sz w:val="28"/>
          <w:szCs w:val="28"/>
        </w:rPr>
      </w:pPr>
    </w:p>
    <w:p w14:paraId="58D04F2A" w14:textId="77777777" w:rsidR="00F31B45" w:rsidRDefault="00F31B45" w:rsidP="00DB470D">
      <w:pPr>
        <w:rPr>
          <w:sz w:val="28"/>
          <w:szCs w:val="28"/>
        </w:rPr>
      </w:pPr>
    </w:p>
    <w:p w14:paraId="3E9AD1CF" w14:textId="77777777" w:rsidR="00F31B45" w:rsidRDefault="00F31B45" w:rsidP="00DB470D">
      <w:pPr>
        <w:rPr>
          <w:sz w:val="28"/>
          <w:szCs w:val="28"/>
        </w:rPr>
      </w:pPr>
    </w:p>
    <w:p w14:paraId="5D1F0DE5" w14:textId="77777777" w:rsidR="00F31B45" w:rsidRDefault="00F31B45" w:rsidP="00DB470D">
      <w:pPr>
        <w:rPr>
          <w:sz w:val="28"/>
          <w:szCs w:val="28"/>
        </w:rPr>
      </w:pPr>
    </w:p>
    <w:p w14:paraId="38E314B3" w14:textId="77777777" w:rsidR="00F31B45" w:rsidRDefault="00F31B45" w:rsidP="00DB470D">
      <w:pPr>
        <w:rPr>
          <w:sz w:val="28"/>
          <w:szCs w:val="28"/>
        </w:rPr>
      </w:pPr>
    </w:p>
    <w:p w14:paraId="16D555D8" w14:textId="77777777" w:rsidR="00F31B45" w:rsidRDefault="00F31B45" w:rsidP="00DB470D">
      <w:pPr>
        <w:rPr>
          <w:sz w:val="28"/>
          <w:szCs w:val="28"/>
        </w:rPr>
      </w:pPr>
    </w:p>
    <w:p w14:paraId="02AA8759" w14:textId="77777777" w:rsidR="00F31B45" w:rsidRDefault="00F31B45" w:rsidP="00DB470D">
      <w:pPr>
        <w:rPr>
          <w:sz w:val="28"/>
          <w:szCs w:val="28"/>
        </w:rPr>
      </w:pPr>
    </w:p>
    <w:p w14:paraId="0A043E2B" w14:textId="77777777" w:rsidR="00F31B45" w:rsidRDefault="00F31B45" w:rsidP="00DB470D">
      <w:pPr>
        <w:rPr>
          <w:sz w:val="28"/>
          <w:szCs w:val="28"/>
        </w:rPr>
      </w:pPr>
    </w:p>
    <w:p w14:paraId="12FAF4BF" w14:textId="77777777" w:rsidR="00F31B45" w:rsidRDefault="00F31B45" w:rsidP="00DB470D">
      <w:pPr>
        <w:rPr>
          <w:sz w:val="28"/>
          <w:szCs w:val="28"/>
        </w:rPr>
      </w:pPr>
    </w:p>
    <w:p w14:paraId="54D7EA77" w14:textId="77777777" w:rsidR="00F31B45" w:rsidRDefault="00F31B45" w:rsidP="00DB470D">
      <w:pPr>
        <w:rPr>
          <w:sz w:val="28"/>
          <w:szCs w:val="28"/>
        </w:rPr>
      </w:pPr>
    </w:p>
    <w:p w14:paraId="1EF92B65" w14:textId="77777777" w:rsidR="00F31B45" w:rsidRDefault="00F31B45" w:rsidP="00DB470D">
      <w:pPr>
        <w:rPr>
          <w:sz w:val="28"/>
          <w:szCs w:val="28"/>
        </w:rPr>
      </w:pPr>
    </w:p>
    <w:p w14:paraId="723BB9F2" w14:textId="77777777" w:rsidR="00F31B45" w:rsidRDefault="00F31B45" w:rsidP="00DB470D">
      <w:pPr>
        <w:rPr>
          <w:sz w:val="28"/>
          <w:szCs w:val="28"/>
        </w:rPr>
      </w:pPr>
    </w:p>
    <w:p w14:paraId="180D2DBD" w14:textId="77777777" w:rsidR="00F31B45" w:rsidRDefault="00F31B45" w:rsidP="00DB470D">
      <w:pPr>
        <w:rPr>
          <w:sz w:val="28"/>
          <w:szCs w:val="28"/>
        </w:rPr>
      </w:pPr>
    </w:p>
    <w:p w14:paraId="42263417" w14:textId="77777777" w:rsidR="00F31B45" w:rsidRDefault="00F31B45" w:rsidP="00DB470D">
      <w:pPr>
        <w:rPr>
          <w:sz w:val="28"/>
          <w:szCs w:val="28"/>
        </w:rPr>
      </w:pPr>
    </w:p>
    <w:p w14:paraId="4B9F405A" w14:textId="77777777" w:rsidR="00F31B45" w:rsidRDefault="00F31B45" w:rsidP="00DB470D">
      <w:pPr>
        <w:rPr>
          <w:sz w:val="28"/>
          <w:szCs w:val="28"/>
        </w:rPr>
      </w:pPr>
    </w:p>
    <w:p w14:paraId="1126FBC5" w14:textId="77777777" w:rsidR="00F31B45" w:rsidRDefault="00F31B45" w:rsidP="00DB470D">
      <w:pPr>
        <w:rPr>
          <w:sz w:val="28"/>
          <w:szCs w:val="28"/>
        </w:rPr>
      </w:pPr>
    </w:p>
    <w:p w14:paraId="41C53FAB" w14:textId="77777777" w:rsidR="00F31B45" w:rsidRDefault="00F31B45" w:rsidP="00DB470D">
      <w:pPr>
        <w:rPr>
          <w:sz w:val="28"/>
          <w:szCs w:val="28"/>
        </w:rPr>
      </w:pPr>
    </w:p>
    <w:p w14:paraId="7271DBD0" w14:textId="77777777" w:rsidR="00F31B45" w:rsidRPr="00DB470D" w:rsidRDefault="00F31B45" w:rsidP="00DB470D">
      <w:pPr>
        <w:rPr>
          <w:sz w:val="28"/>
          <w:szCs w:val="28"/>
        </w:rPr>
      </w:pPr>
    </w:p>
    <w:sectPr w:rsidR="00F31B45" w:rsidRPr="00DB470D" w:rsidSect="002F2E35">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6B82B" w14:textId="77777777" w:rsidR="006F013C" w:rsidRDefault="006F013C" w:rsidP="00FD6382">
      <w:pPr>
        <w:spacing w:after="0" w:line="240" w:lineRule="auto"/>
      </w:pPr>
      <w:r>
        <w:separator/>
      </w:r>
    </w:p>
  </w:endnote>
  <w:endnote w:type="continuationSeparator" w:id="0">
    <w:p w14:paraId="390FCCCE" w14:textId="77777777" w:rsidR="006F013C" w:rsidRDefault="006F013C" w:rsidP="00FD6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406308" w14:textId="77777777" w:rsidR="00FD6382" w:rsidRDefault="00FD6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B7215B" w14:textId="77777777" w:rsidR="00FD6382" w:rsidRDefault="00FD638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4FF4BE" w14:textId="77777777" w:rsidR="00FD6382" w:rsidRDefault="00FD63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314663"/>
      <w:docPartObj>
        <w:docPartGallery w:val="Page Numbers (Bottom of Page)"/>
        <w:docPartUnique/>
      </w:docPartObj>
    </w:sdtPr>
    <w:sdtContent>
      <w:p w14:paraId="5356B69F" w14:textId="73E67CB4" w:rsidR="00E77E2E" w:rsidRDefault="00E77E2E">
        <w:pPr>
          <w:pStyle w:val="Footer"/>
          <w:jc w:val="right"/>
        </w:pPr>
        <w:r>
          <w:fldChar w:fldCharType="begin"/>
        </w:r>
        <w:r>
          <w:instrText>PAGE   \* MERGEFORMAT</w:instrText>
        </w:r>
        <w:r>
          <w:fldChar w:fldCharType="separate"/>
        </w:r>
        <w:r>
          <w:t>2</w:t>
        </w:r>
        <w:r>
          <w:fldChar w:fldCharType="end"/>
        </w:r>
      </w:p>
    </w:sdtContent>
  </w:sdt>
  <w:p w14:paraId="2852F346" w14:textId="77777777" w:rsidR="003749BB" w:rsidRDefault="00374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003C5" w14:textId="77777777" w:rsidR="006F013C" w:rsidRDefault="006F013C" w:rsidP="00FD6382">
      <w:pPr>
        <w:spacing w:after="0" w:line="240" w:lineRule="auto"/>
      </w:pPr>
      <w:r>
        <w:separator/>
      </w:r>
    </w:p>
  </w:footnote>
  <w:footnote w:type="continuationSeparator" w:id="0">
    <w:p w14:paraId="3B8B1E5F" w14:textId="77777777" w:rsidR="006F013C" w:rsidRDefault="006F013C" w:rsidP="00FD63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F12C6B" w14:textId="77777777" w:rsidR="00FD6382" w:rsidRDefault="00FD6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5F3E5" w14:textId="77777777" w:rsidR="00FD6382" w:rsidRDefault="00FD63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CBC81" w14:textId="77777777" w:rsidR="00FD6382" w:rsidRDefault="00FD6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F181E"/>
    <w:multiLevelType w:val="hybridMultilevel"/>
    <w:tmpl w:val="00680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24D49"/>
    <w:multiLevelType w:val="multilevel"/>
    <w:tmpl w:val="41445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623680"/>
    <w:multiLevelType w:val="hybridMultilevel"/>
    <w:tmpl w:val="18EA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896597">
    <w:abstractNumId w:val="0"/>
  </w:num>
  <w:num w:numId="2" w16cid:durableId="803280004">
    <w:abstractNumId w:val="2"/>
  </w:num>
  <w:num w:numId="3" w16cid:durableId="576475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34E"/>
    <w:rsid w:val="0003532F"/>
    <w:rsid w:val="00082AAD"/>
    <w:rsid w:val="000C029F"/>
    <w:rsid w:val="00100BE2"/>
    <w:rsid w:val="00123F44"/>
    <w:rsid w:val="001277BD"/>
    <w:rsid w:val="0015394B"/>
    <w:rsid w:val="0016403E"/>
    <w:rsid w:val="0016659C"/>
    <w:rsid w:val="00175C31"/>
    <w:rsid w:val="00184654"/>
    <w:rsid w:val="001A1174"/>
    <w:rsid w:val="001A34E4"/>
    <w:rsid w:val="001C79DF"/>
    <w:rsid w:val="00235921"/>
    <w:rsid w:val="00250278"/>
    <w:rsid w:val="00256981"/>
    <w:rsid w:val="00282297"/>
    <w:rsid w:val="002A6166"/>
    <w:rsid w:val="002C25AC"/>
    <w:rsid w:val="002F2E35"/>
    <w:rsid w:val="00303508"/>
    <w:rsid w:val="00357C12"/>
    <w:rsid w:val="003749BB"/>
    <w:rsid w:val="00376AB4"/>
    <w:rsid w:val="003B082B"/>
    <w:rsid w:val="003F443A"/>
    <w:rsid w:val="0040164E"/>
    <w:rsid w:val="00413927"/>
    <w:rsid w:val="00442F54"/>
    <w:rsid w:val="00443A7E"/>
    <w:rsid w:val="00454CD3"/>
    <w:rsid w:val="00494096"/>
    <w:rsid w:val="004B78E0"/>
    <w:rsid w:val="004C3749"/>
    <w:rsid w:val="004D607F"/>
    <w:rsid w:val="00504FE0"/>
    <w:rsid w:val="00514119"/>
    <w:rsid w:val="0054702F"/>
    <w:rsid w:val="005473F1"/>
    <w:rsid w:val="00550BB4"/>
    <w:rsid w:val="005541E1"/>
    <w:rsid w:val="005826F2"/>
    <w:rsid w:val="00583DED"/>
    <w:rsid w:val="00584F84"/>
    <w:rsid w:val="005A2736"/>
    <w:rsid w:val="005C4839"/>
    <w:rsid w:val="005E2819"/>
    <w:rsid w:val="005F0484"/>
    <w:rsid w:val="00600EB1"/>
    <w:rsid w:val="006452A1"/>
    <w:rsid w:val="00655026"/>
    <w:rsid w:val="0066603A"/>
    <w:rsid w:val="00685CDD"/>
    <w:rsid w:val="006918FF"/>
    <w:rsid w:val="006C5C67"/>
    <w:rsid w:val="006F013C"/>
    <w:rsid w:val="00757483"/>
    <w:rsid w:val="00783F6F"/>
    <w:rsid w:val="00795F96"/>
    <w:rsid w:val="007A4DD5"/>
    <w:rsid w:val="007C35B4"/>
    <w:rsid w:val="008105DC"/>
    <w:rsid w:val="00892E2E"/>
    <w:rsid w:val="008A547F"/>
    <w:rsid w:val="008B6DBC"/>
    <w:rsid w:val="008C3385"/>
    <w:rsid w:val="008F1EEA"/>
    <w:rsid w:val="0092169C"/>
    <w:rsid w:val="009A2031"/>
    <w:rsid w:val="009C729F"/>
    <w:rsid w:val="00A1624A"/>
    <w:rsid w:val="00A17CBB"/>
    <w:rsid w:val="00A43616"/>
    <w:rsid w:val="00A46EE3"/>
    <w:rsid w:val="00A67B2F"/>
    <w:rsid w:val="00AD1820"/>
    <w:rsid w:val="00AE1D02"/>
    <w:rsid w:val="00AE74AD"/>
    <w:rsid w:val="00B03BE4"/>
    <w:rsid w:val="00B113AB"/>
    <w:rsid w:val="00B11DA5"/>
    <w:rsid w:val="00B12615"/>
    <w:rsid w:val="00B132B6"/>
    <w:rsid w:val="00B54A72"/>
    <w:rsid w:val="00BC7C01"/>
    <w:rsid w:val="00BF224A"/>
    <w:rsid w:val="00C3766B"/>
    <w:rsid w:val="00C613AA"/>
    <w:rsid w:val="00C91427"/>
    <w:rsid w:val="00CA6472"/>
    <w:rsid w:val="00CB2D0A"/>
    <w:rsid w:val="00CC0257"/>
    <w:rsid w:val="00CD135D"/>
    <w:rsid w:val="00D239D1"/>
    <w:rsid w:val="00D809D9"/>
    <w:rsid w:val="00DB470D"/>
    <w:rsid w:val="00DC1D39"/>
    <w:rsid w:val="00DC72A6"/>
    <w:rsid w:val="00DE0B16"/>
    <w:rsid w:val="00DF6269"/>
    <w:rsid w:val="00E272C2"/>
    <w:rsid w:val="00E3534E"/>
    <w:rsid w:val="00E77E2E"/>
    <w:rsid w:val="00EB6177"/>
    <w:rsid w:val="00EC5893"/>
    <w:rsid w:val="00EC7905"/>
    <w:rsid w:val="00EF1C66"/>
    <w:rsid w:val="00F31B45"/>
    <w:rsid w:val="00F373CF"/>
    <w:rsid w:val="00F466EA"/>
    <w:rsid w:val="00F9118D"/>
    <w:rsid w:val="00FA464C"/>
    <w:rsid w:val="00FA667E"/>
    <w:rsid w:val="00FA7473"/>
    <w:rsid w:val="00FC7F2D"/>
    <w:rsid w:val="00FD6382"/>
    <w:rsid w:val="00FE251F"/>
    <w:rsid w:val="00FE7DC7"/>
    <w:rsid w:val="00FF0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8DF39"/>
  <w15:chartTrackingRefBased/>
  <w15:docId w15:val="{17F478EE-51CC-4104-9322-2F0337D19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59C"/>
    <w:pPr>
      <w:keepNext/>
      <w:keepLines/>
      <w:spacing w:before="360" w:after="80"/>
      <w:outlineLvl w:val="0"/>
    </w:pPr>
    <w:rPr>
      <w:rFonts w:ascii="Arial" w:eastAsiaTheme="majorEastAsia" w:hAnsi="Arial"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583DED"/>
    <w:pPr>
      <w:keepNext/>
      <w:keepLines/>
      <w:spacing w:before="160" w:after="80"/>
      <w:outlineLvl w:val="1"/>
    </w:pPr>
    <w:rPr>
      <w:rFonts w:ascii="Arial" w:eastAsiaTheme="majorEastAsia" w:hAnsi="Arial"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E353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3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3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3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3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3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3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59C"/>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583DED"/>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E353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3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3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3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3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3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34E"/>
    <w:rPr>
      <w:rFonts w:eastAsiaTheme="majorEastAsia" w:cstheme="majorBidi"/>
      <w:color w:val="272727" w:themeColor="text1" w:themeTint="D8"/>
    </w:rPr>
  </w:style>
  <w:style w:type="paragraph" w:styleId="Title">
    <w:name w:val="Title"/>
    <w:basedOn w:val="Normal"/>
    <w:next w:val="Normal"/>
    <w:link w:val="TitleChar"/>
    <w:uiPriority w:val="10"/>
    <w:qFormat/>
    <w:rsid w:val="00E353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3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3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3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34E"/>
    <w:pPr>
      <w:spacing w:before="160"/>
      <w:jc w:val="center"/>
    </w:pPr>
    <w:rPr>
      <w:i/>
      <w:iCs/>
      <w:color w:val="404040" w:themeColor="text1" w:themeTint="BF"/>
    </w:rPr>
  </w:style>
  <w:style w:type="character" w:customStyle="1" w:styleId="QuoteChar">
    <w:name w:val="Quote Char"/>
    <w:basedOn w:val="DefaultParagraphFont"/>
    <w:link w:val="Quote"/>
    <w:uiPriority w:val="29"/>
    <w:rsid w:val="00E3534E"/>
    <w:rPr>
      <w:i/>
      <w:iCs/>
      <w:color w:val="404040" w:themeColor="text1" w:themeTint="BF"/>
    </w:rPr>
  </w:style>
  <w:style w:type="paragraph" w:styleId="ListParagraph">
    <w:name w:val="List Paragraph"/>
    <w:basedOn w:val="Normal"/>
    <w:uiPriority w:val="34"/>
    <w:qFormat/>
    <w:rsid w:val="00E3534E"/>
    <w:pPr>
      <w:ind w:left="720"/>
      <w:contextualSpacing/>
    </w:pPr>
  </w:style>
  <w:style w:type="character" w:styleId="IntenseEmphasis">
    <w:name w:val="Intense Emphasis"/>
    <w:basedOn w:val="DefaultParagraphFont"/>
    <w:uiPriority w:val="21"/>
    <w:qFormat/>
    <w:rsid w:val="00E3534E"/>
    <w:rPr>
      <w:i/>
      <w:iCs/>
      <w:color w:val="0F4761" w:themeColor="accent1" w:themeShade="BF"/>
    </w:rPr>
  </w:style>
  <w:style w:type="paragraph" w:styleId="IntenseQuote">
    <w:name w:val="Intense Quote"/>
    <w:basedOn w:val="Normal"/>
    <w:next w:val="Normal"/>
    <w:link w:val="IntenseQuoteChar"/>
    <w:uiPriority w:val="30"/>
    <w:qFormat/>
    <w:rsid w:val="00E353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34E"/>
    <w:rPr>
      <w:i/>
      <w:iCs/>
      <w:color w:val="0F4761" w:themeColor="accent1" w:themeShade="BF"/>
    </w:rPr>
  </w:style>
  <w:style w:type="character" w:styleId="IntenseReference">
    <w:name w:val="Intense Reference"/>
    <w:basedOn w:val="DefaultParagraphFont"/>
    <w:uiPriority w:val="32"/>
    <w:qFormat/>
    <w:rsid w:val="00E3534E"/>
    <w:rPr>
      <w:b/>
      <w:bCs/>
      <w:smallCaps/>
      <w:color w:val="0F4761" w:themeColor="accent1" w:themeShade="BF"/>
      <w:spacing w:val="5"/>
    </w:rPr>
  </w:style>
  <w:style w:type="paragraph" w:styleId="TOCHeading">
    <w:name w:val="TOC Heading"/>
    <w:basedOn w:val="Heading1"/>
    <w:next w:val="Normal"/>
    <w:uiPriority w:val="39"/>
    <w:unhideWhenUsed/>
    <w:qFormat/>
    <w:rsid w:val="004B78E0"/>
    <w:pPr>
      <w:spacing w:before="240" w:after="0" w:line="259" w:lineRule="auto"/>
      <w:outlineLvl w:val="9"/>
    </w:pPr>
    <w:rPr>
      <w:kern w:val="0"/>
      <w:szCs w:val="32"/>
      <w:lang w:eastAsia="en-GB"/>
      <w14:ligatures w14:val="none"/>
    </w:rPr>
  </w:style>
  <w:style w:type="paragraph" w:styleId="TOC2">
    <w:name w:val="toc 2"/>
    <w:basedOn w:val="Normal"/>
    <w:next w:val="Normal"/>
    <w:autoRedefine/>
    <w:uiPriority w:val="39"/>
    <w:unhideWhenUsed/>
    <w:rsid w:val="00A46EE3"/>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A46EE3"/>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A46EE3"/>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FD6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382"/>
  </w:style>
  <w:style w:type="paragraph" w:styleId="Footer">
    <w:name w:val="footer"/>
    <w:basedOn w:val="Normal"/>
    <w:link w:val="FooterChar"/>
    <w:uiPriority w:val="99"/>
    <w:unhideWhenUsed/>
    <w:rsid w:val="00FD6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382"/>
  </w:style>
  <w:style w:type="paragraph" w:styleId="NormalWeb">
    <w:name w:val="Normal (Web)"/>
    <w:basedOn w:val="Normal"/>
    <w:uiPriority w:val="99"/>
    <w:unhideWhenUsed/>
    <w:rsid w:val="00DE0B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E0B16"/>
    <w:rPr>
      <w:b/>
      <w:bCs/>
    </w:rPr>
  </w:style>
  <w:style w:type="character" w:styleId="Emphasis">
    <w:name w:val="Emphasis"/>
    <w:basedOn w:val="DefaultParagraphFont"/>
    <w:uiPriority w:val="20"/>
    <w:qFormat/>
    <w:rsid w:val="00F31B45"/>
    <w:rPr>
      <w:i/>
      <w:iCs/>
    </w:rPr>
  </w:style>
  <w:style w:type="character" w:styleId="HTMLCode">
    <w:name w:val="HTML Code"/>
    <w:basedOn w:val="DefaultParagraphFont"/>
    <w:uiPriority w:val="99"/>
    <w:semiHidden/>
    <w:unhideWhenUsed/>
    <w:rsid w:val="00AD1820"/>
    <w:rPr>
      <w:rFonts w:ascii="Courier New" w:eastAsia="Times New Roman" w:hAnsi="Courier New" w:cs="Courier New"/>
      <w:sz w:val="20"/>
      <w:szCs w:val="20"/>
    </w:rPr>
  </w:style>
  <w:style w:type="character" w:styleId="Hyperlink">
    <w:name w:val="Hyperlink"/>
    <w:basedOn w:val="DefaultParagraphFont"/>
    <w:uiPriority w:val="99"/>
    <w:unhideWhenUsed/>
    <w:rsid w:val="00600EB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diabetesatlas.org/?utm_source=copilot.com" TargetMode="External"/><Relationship Id="rId3" Type="http://schemas.openxmlformats.org/officeDocument/2006/relationships/styles" Target="styles.xml"/><Relationship Id="rId21" Type="http://schemas.openxmlformats.org/officeDocument/2006/relationships/hyperlink" Target="https://www.bing.com/search?q=%22https%3A%2F%2Fdigital.nhs.uk%2Fdata-and-information%2Fpublications%2Fstatistical%2Fnational-diabetes-audit%2F2021-22%22&amp;utm_source=copilot.com"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hqip.org.uk/?utm_source=copilo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iabetes.org.uk/?utm_source=copilot.com" TargetMode="External"/><Relationship Id="rId20" Type="http://schemas.openxmlformats.org/officeDocument/2006/relationships/hyperlink" Target="https://digital.nhs.uk/data-and-information/publications/statistical/national-diabetes-audit/2021-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abetesjournals.org/care/issue/47/Supplement_1" TargetMode="External"/><Relationship Id="rId23" Type="http://schemas.openxmlformats.org/officeDocument/2006/relationships/footer" Target="footer4.xml"/><Relationship Id="rId10" Type="http://schemas.openxmlformats.org/officeDocument/2006/relationships/header" Target="header2.xml"/><Relationship Id="rId19" Type="http://schemas.openxmlformats.org/officeDocument/2006/relationships/hyperlink" Target="https://www.nice.org.uk/guidance/ng17?utm_source=copilot.co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DE614-5A81-43CC-AFBF-5E73FACD2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8</Pages>
  <Words>2329</Words>
  <Characters>13278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Naz</dc:creator>
  <cp:keywords/>
  <dc:description/>
  <cp:lastModifiedBy>Kay Naz</cp:lastModifiedBy>
  <cp:revision>107</cp:revision>
  <dcterms:created xsi:type="dcterms:W3CDTF">2026-07-27T14:18:00Z</dcterms:created>
  <dcterms:modified xsi:type="dcterms:W3CDTF">2026-08-11T12:25:00Z</dcterms:modified>
</cp:coreProperties>
</file>