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EF97F" w14:textId="08F47600" w:rsidR="00B82FCF" w:rsidRPr="00B82FCF" w:rsidRDefault="00B82FCF">
      <w:pPr>
        <w:rPr>
          <w:b/>
          <w:bCs/>
          <w:u w:val="single"/>
        </w:rPr>
      </w:pPr>
      <w:r w:rsidRPr="00B82FCF">
        <w:rPr>
          <w:b/>
          <w:bCs/>
          <w:u w:val="single"/>
        </w:rPr>
        <w:t>Critically outline the main themes presented in 1 and 2 Maccabees. In your answer, please also refer to the differences between 1 and 2 Maccabees.</w:t>
      </w:r>
    </w:p>
    <w:p w14:paraId="255FA0C3" w14:textId="60A72C9C" w:rsidR="00B82FCF" w:rsidRDefault="00B82FCF"/>
    <w:p w14:paraId="0867395D" w14:textId="0CAFC986" w:rsidR="00B82FCF" w:rsidRPr="00B82FCF" w:rsidRDefault="00B82FCF">
      <w:pPr>
        <w:rPr>
          <w:b/>
          <w:bCs/>
          <w:u w:val="single"/>
        </w:rPr>
      </w:pPr>
      <w:r w:rsidRPr="00B82FCF">
        <w:rPr>
          <w:b/>
          <w:bCs/>
          <w:u w:val="single"/>
        </w:rPr>
        <w:t>Intro</w:t>
      </w:r>
      <w:r w:rsidR="00D75004">
        <w:rPr>
          <w:b/>
          <w:bCs/>
          <w:u w:val="single"/>
        </w:rPr>
        <w:t>duction:</w:t>
      </w:r>
    </w:p>
    <w:p w14:paraId="6BBF2919" w14:textId="5CEDE5EB" w:rsidR="00B82FCF" w:rsidRDefault="00B82FCF">
      <w:r>
        <w:t xml:space="preserve">There are many clear themes that are presented within both 1 and 2 Maccabees, where it is significant to examine these different themes within these texts. With this, through exploring these themes it can also be highlighted where there are some clear differences that are found within the narrative of each text. </w:t>
      </w:r>
      <w:r w:rsidR="006C18E7">
        <w:t>Although much of each text can be parallel, with the inclusion of Judas Maccabeus and his battles for freedom, there are also differences evident that will be explored in more detail in this essay. Furthermore, highlighting these differences and the significance of this can further express the ways in which 1 and 2 Maccabees, although written on the same topic, have included and excluded various aspects of the history for the purpose of the narrative.</w:t>
      </w:r>
      <w:r w:rsidR="00690B06">
        <w:t xml:space="preserve"> With this, it is also important to explore these differences in order to analyse each individual text of this period.</w:t>
      </w:r>
    </w:p>
    <w:p w14:paraId="03ADF40A" w14:textId="6CD24ABE" w:rsidR="00B82FCF" w:rsidRDefault="00B82FCF">
      <w:pPr>
        <w:rPr>
          <w:b/>
          <w:bCs/>
          <w:u w:val="single"/>
        </w:rPr>
      </w:pPr>
      <w:r w:rsidRPr="00B82FCF">
        <w:rPr>
          <w:b/>
          <w:bCs/>
          <w:u w:val="single"/>
        </w:rPr>
        <w:t xml:space="preserve">Part One: </w:t>
      </w:r>
      <w:r w:rsidR="006C18E7">
        <w:rPr>
          <w:b/>
          <w:bCs/>
          <w:u w:val="single"/>
        </w:rPr>
        <w:t>Themes within 1 and 2 Maccabees</w:t>
      </w:r>
    </w:p>
    <w:p w14:paraId="6BAF75A6" w14:textId="07C234B0" w:rsidR="00B82FCF" w:rsidRDefault="00656979">
      <w:r>
        <w:t xml:space="preserve">In 1 Maccabees, there are some very clear themes that can be highlighted from within this narrative, where </w:t>
      </w:r>
      <w:r w:rsidR="004C7A0B">
        <w:t>it can be mentioned that “1 Maccabees presents a historical account of political, military, and diplomatic events from the time of Judaea’s relationship with Antiochus IV Epiphanes of Syria… to the death of Simon Maccabeus, high priest in Jerusalem.”</w:t>
      </w:r>
      <w:r w:rsidR="004C7A0B">
        <w:rPr>
          <w:rStyle w:val="FootnoteReference"/>
        </w:rPr>
        <w:footnoteReference w:id="1"/>
      </w:r>
      <w:r w:rsidR="004C7A0B">
        <w:t xml:space="preserve"> Where this shows how the first book of Maccabees is explored largely for its historical events, it is also clear to highlight within the text also of the act of Mattathias and his refusal to perform other rituals not in line with that of Jewish ritual and belief. Mattathias proclaims further on this matter, where it is said that “I and my sons and my brothers will continue to live by the covenant of our ancestors.” (1 Maccabees</w:t>
      </w:r>
      <w:r w:rsidR="00C822C1">
        <w:t xml:space="preserve"> 2: 20) With this, it is clear then that Mattathias, the father of Judas Maccabeus, states this clear argument against the roman rule and forced changes to Judaism in this time. </w:t>
      </w:r>
      <w:r w:rsidR="00BA7B6E">
        <w:t>The re-dedication of the temple, by Judas Maccabeus</w:t>
      </w:r>
      <w:r w:rsidR="002D4C34">
        <w:t xml:space="preserve">, is seen as significant for this text where </w:t>
      </w:r>
      <w:proofErr w:type="spellStart"/>
      <w:r w:rsidR="002D4C34">
        <w:t>Eyal</w:t>
      </w:r>
      <w:proofErr w:type="spellEnd"/>
      <w:r w:rsidR="002D4C34">
        <w:t xml:space="preserve"> Regev mentions that “shortly after Judas Maccabeus’ defeat of the Seleucid army at Beth </w:t>
      </w:r>
      <w:proofErr w:type="spellStart"/>
      <w:r w:rsidR="002D4C34">
        <w:t>Zur</w:t>
      </w:r>
      <w:proofErr w:type="spellEnd"/>
      <w:r w:rsidR="002D4C34">
        <w:t xml:space="preserve"> and the retreat of Lysias, the Maccabeans entered Jerusalem… and purified the Temple.”</w:t>
      </w:r>
      <w:r w:rsidR="002D4C34">
        <w:rPr>
          <w:rStyle w:val="FootnoteReference"/>
        </w:rPr>
        <w:footnoteReference w:id="2"/>
      </w:r>
      <w:r w:rsidR="002D4C34">
        <w:t xml:space="preserve"> This theme is very important within the narrative of 1 Maccabees due to the significance of the festival of </w:t>
      </w:r>
      <w:r w:rsidR="002D4C34" w:rsidRPr="00895F17">
        <w:rPr>
          <w:i/>
          <w:iCs/>
        </w:rPr>
        <w:t>Hanukkah</w:t>
      </w:r>
      <w:r w:rsidR="002D4C34">
        <w:t xml:space="preserve"> today and also its significance in ancient Judaism. This is also evident where “Judas and his brothers said ‘see, our enemies are crushed; let us go up to cleanse the sanctuary and dedicate it.” (1 Macc. 4:36) This highlights further within the book of Maccabees where this event was crucial within Judaism, which enabled Judas Maccabeus, his family and Judaean Jewry to return to their religion without enforced roman practices or non-Jewish threat of their beliefs. </w:t>
      </w:r>
    </w:p>
    <w:p w14:paraId="21D842DD" w14:textId="2DDE2C88" w:rsidR="00C822C1" w:rsidRDefault="00C822C1">
      <w:r>
        <w:t>Also interesting to highlight is where Noam Zion mentions that “the author of first Maccabees, who wrote for Judaeans, sought to promote the legitimacy of the Hasmonean priesthood and it’s political rule.”</w:t>
      </w:r>
      <w:r>
        <w:rPr>
          <w:rStyle w:val="FootnoteReference"/>
        </w:rPr>
        <w:footnoteReference w:id="3"/>
      </w:r>
      <w:r>
        <w:t xml:space="preserve"> Within the narrative, this is evident where this continuing emphasis on the descendants of Mattathias and his sons are written, and also further lineage is found where we see this theme of religious freedom under the rule of Judas Maccabeus. This is seen after the death of Mattathias, </w:t>
      </w:r>
      <w:r>
        <w:lastRenderedPageBreak/>
        <w:t>with Judas leading Israel in this battle, as it is noted that “</w:t>
      </w:r>
      <w:r w:rsidRPr="00C822C1">
        <w:t>Then his son Judas, who was called Maccabeus, took command in his place. All his brothers and all who had joined his father helped him; they gladly fought for Israel.</w:t>
      </w:r>
      <w:r>
        <w:t xml:space="preserve">” (1 Macc. 3: 1-2) This passion can be seen largely in this aspect of the narrative, where </w:t>
      </w:r>
      <w:r w:rsidR="00EA47E7">
        <w:t>it can be highlighted also as Zion continues to state that “religiously motivated military initiatives are emphasized in first Maccabees,”</w:t>
      </w:r>
      <w:r w:rsidR="00EA47E7">
        <w:rPr>
          <w:rStyle w:val="FootnoteReference"/>
        </w:rPr>
        <w:footnoteReference w:id="4"/>
      </w:r>
      <w:r w:rsidR="00EA47E7">
        <w:t xml:space="preserve"> which highlights this further where Judas and his brothers all fight for their freedom of roman rule. </w:t>
      </w:r>
      <w:r w:rsidR="00040743">
        <w:t>A clear theme that can also be highlighted is this notion on attacking the Jewish identity in many different ways by Antiochus IV Epiphanes in particular. With this, it can be noted that “[Antiochus]</w:t>
      </w:r>
      <w:r w:rsidR="00040743" w:rsidRPr="00040743">
        <w:t xml:space="preserve"> went up against Israel and came to Jerusalem with a strong force. He arrogantly entered the sanctuary and took the golden altar, the lampstand for the light, and all its utensils.</w:t>
      </w:r>
      <w:r w:rsidR="00040743">
        <w:t xml:space="preserve">” (1 Macc. 1:20-21) This describes all the valuable and religious items that were taken including the </w:t>
      </w:r>
      <w:r w:rsidR="00040743" w:rsidRPr="00040743">
        <w:rPr>
          <w:i/>
          <w:iCs/>
        </w:rPr>
        <w:t>Menorah</w:t>
      </w:r>
      <w:r w:rsidR="00040743">
        <w:t xml:space="preserve">, altar table and many other items are listed further. This act against Jewish identity and the aim of suppressing Jewish beliefs and customs was the final action that sparked this revolt by Mattathias, and later his son Judas Maccabeus, which resulted in the Maccabean Revolt. </w:t>
      </w:r>
    </w:p>
    <w:p w14:paraId="49690B22" w14:textId="3F5F2C3B" w:rsidR="00EA47E7" w:rsidRDefault="00EA47E7">
      <w:r>
        <w:t>Ma</w:t>
      </w:r>
      <w:r w:rsidR="00640439">
        <w:t xml:space="preserve">rgaret </w:t>
      </w:r>
      <w:proofErr w:type="spellStart"/>
      <w:r w:rsidR="00640439">
        <w:t>Schatkin</w:t>
      </w:r>
      <w:proofErr w:type="spellEnd"/>
      <w:r>
        <w:t xml:space="preserve"> </w:t>
      </w:r>
      <w:r w:rsidR="00640439">
        <w:t>writes on the second book of Maccabees, where it can be highlighted how this theme of martyrdom is very prevalent in 2 Maccabees, where previously is not mentioned within 1 Maccabees. She mentions how the “aged Eleazar, the seven brothers and their mother, who were martyred under Antiochus IV Epiphanes… are known to history as the ‘Maccabean Martyrs.’”</w:t>
      </w:r>
      <w:r w:rsidR="00640439">
        <w:rPr>
          <w:rStyle w:val="FootnoteReference"/>
        </w:rPr>
        <w:footnoteReference w:id="5"/>
      </w:r>
      <w:r w:rsidR="00640439">
        <w:t xml:space="preserve"> </w:t>
      </w:r>
      <w:r w:rsidR="002556BC">
        <w:t xml:space="preserve">This can be seen within the narrative </w:t>
      </w:r>
      <w:r w:rsidR="002556BC" w:rsidRPr="002556BC">
        <w:t xml:space="preserve">Eleazar, </w:t>
      </w:r>
      <w:r w:rsidR="002556BC">
        <w:t>who was a scribe and he did not want to eat pork as he was told to do, where he ultimately refused this, which can be seen where he “</w:t>
      </w:r>
      <w:r w:rsidR="002556BC" w:rsidRPr="002556BC">
        <w:t>was being forced to open his mouth to eat swine’s flesh. But he, welcoming death with hono</w:t>
      </w:r>
      <w:r w:rsidR="002556BC">
        <w:t>u</w:t>
      </w:r>
      <w:r w:rsidR="002556BC" w:rsidRPr="002556BC">
        <w:t>r rather than life with pollution, went up to the rack of his own accord, spitting out the flesh,</w:t>
      </w:r>
      <w:r w:rsidR="002556BC">
        <w:t xml:space="preserve">” (2 Macc. 6:18-19) Pork is considered </w:t>
      </w:r>
      <w:proofErr w:type="spellStart"/>
      <w:r w:rsidR="002556BC" w:rsidRPr="002556BC">
        <w:rPr>
          <w:i/>
          <w:iCs/>
        </w:rPr>
        <w:t>Treifah</w:t>
      </w:r>
      <w:proofErr w:type="spellEnd"/>
      <w:r w:rsidR="002556BC">
        <w:t xml:space="preserve"> within Judaism, where the consumption of pork is not permitted, where this act was a clear example of where Eleazar was forced to conform to non-Jewish practices. By choosing a noble death in the eyes of God, rather than breaking his covenant and religious beliefs. </w:t>
      </w:r>
    </w:p>
    <w:p w14:paraId="4130B092" w14:textId="22BA5EC0" w:rsidR="00040743" w:rsidRDefault="00040743">
      <w:r>
        <w:t xml:space="preserve">There is also this emphasis on the belief in the afterlife that is seen within the second book of Maccabees, which links to this knowledge of martyrdom and sacrifice that is also prevalent within 2 Maccabees. </w:t>
      </w:r>
      <w:r w:rsidR="006D50BA">
        <w:t>This is portrayed in 2 Maccabees with the martyrdom of the mother and her seven sons, where it is noted that: “</w:t>
      </w:r>
      <w:r w:rsidR="006D50BA" w:rsidRPr="006D50BA">
        <w:t>And when he was at his last breath, he said, “You accursed wretch, you dismiss us from this present life, but the King of the universe will raise us up to an everlasting renewal of life, because we have died for his laws.”</w:t>
      </w:r>
      <w:r w:rsidR="006D50BA">
        <w:t xml:space="preserve"> (2 Macc. 7:9) This statement </w:t>
      </w:r>
      <w:r w:rsidR="00A67501">
        <w:t xml:space="preserve">is further highlighted with the significance of this theme within 2 Maccabees, where the idea and understanding of the afterlife and being rewarded with eternal life is evident. This is also explored by Shmuel </w:t>
      </w:r>
      <w:proofErr w:type="spellStart"/>
      <w:r w:rsidR="00A67501">
        <w:t>Shepkaru</w:t>
      </w:r>
      <w:proofErr w:type="spellEnd"/>
      <w:r w:rsidR="00A67501">
        <w:t xml:space="preserve"> where he highlights how “in contrast to the ephemeral physical torture by the human king, the heavenly King will grant them an eternal reward here and now- corporeal resurrection in this world.”</w:t>
      </w:r>
      <w:r w:rsidR="00A67501">
        <w:rPr>
          <w:rStyle w:val="FootnoteReference"/>
        </w:rPr>
        <w:footnoteReference w:id="6"/>
      </w:r>
      <w:r w:rsidR="00A67501">
        <w:t xml:space="preserve"> </w:t>
      </w:r>
      <w:proofErr w:type="spellStart"/>
      <w:r w:rsidR="00A67501">
        <w:t>Shepkaru</w:t>
      </w:r>
      <w:proofErr w:type="spellEnd"/>
      <w:r w:rsidR="00A67501">
        <w:t xml:space="preserve"> has highlighted also this aspect of the narrative within 2 Maccabees, which is clear on this theme of the afterlife and where this life with </w:t>
      </w:r>
      <w:r w:rsidR="00D75004">
        <w:t>God is a reward for self-sacrifice, in the way that the mother and her sons chose their beliefs and religion over obeying and following the laws of a tyrant king over Judaea. This in turn emphasises greatly the way in which the afterlife was regarded in 2 Maccabees, where this was seen as heroic and dignified in this text.</w:t>
      </w:r>
    </w:p>
    <w:p w14:paraId="7CD19825" w14:textId="77777777" w:rsidR="00BA7B6E" w:rsidRPr="00656979" w:rsidRDefault="00BA7B6E"/>
    <w:p w14:paraId="64B66297" w14:textId="4E67274D" w:rsidR="00B82FCF" w:rsidRPr="00B82FCF" w:rsidRDefault="00B82FCF">
      <w:pPr>
        <w:rPr>
          <w:b/>
          <w:bCs/>
          <w:u w:val="single"/>
        </w:rPr>
      </w:pPr>
      <w:r w:rsidRPr="00B82FCF">
        <w:rPr>
          <w:b/>
          <w:bCs/>
          <w:u w:val="single"/>
        </w:rPr>
        <w:t xml:space="preserve">Part Two: </w:t>
      </w:r>
      <w:r w:rsidR="006C18E7">
        <w:rPr>
          <w:b/>
          <w:bCs/>
          <w:u w:val="single"/>
        </w:rPr>
        <w:t xml:space="preserve">Differences between 1 and 2 Maccabees </w:t>
      </w:r>
    </w:p>
    <w:p w14:paraId="768BDDE3" w14:textId="4BD3EDBA" w:rsidR="00B82FCF" w:rsidRDefault="006C18E7" w:rsidP="00E11EED">
      <w:r>
        <w:t xml:space="preserve">Where it has been explored previously on the content within each book of the Maccabees, what is also important to consider is that there are vast differences that can be explored in contrast with each text also. </w:t>
      </w:r>
      <w:r w:rsidR="001D55B2">
        <w:t xml:space="preserve">Where </w:t>
      </w:r>
      <w:r>
        <w:t>Martha Himmelfarb explores</w:t>
      </w:r>
      <w:r w:rsidR="001D55B2">
        <w:t xml:space="preserve"> is how</w:t>
      </w:r>
      <w:r>
        <w:t xml:space="preserve"> “1 Maccabees </w:t>
      </w:r>
      <w:r w:rsidR="00E11EED" w:rsidRPr="006C18E7">
        <w:t>is a dynastic history-propaganda for the Hasmonean family, Israel's new</w:t>
      </w:r>
      <w:r w:rsidR="00E11EED" w:rsidRPr="006C18E7">
        <w:t xml:space="preserve"> </w:t>
      </w:r>
      <w:r w:rsidR="00E11EED" w:rsidRPr="006C18E7">
        <w:t>high priests and rulers. While 2 Maccabees restricts itself to the persecution of Antiochus and Judah's revolt, concluding with Judah's defeat of</w:t>
      </w:r>
      <w:r w:rsidR="00E11EED" w:rsidRPr="006C18E7">
        <w:t xml:space="preserve"> </w:t>
      </w:r>
      <w:r w:rsidR="00E11EED" w:rsidRPr="006C18E7">
        <w:t>Nicanor</w:t>
      </w:r>
      <w:r>
        <w:t>.”</w:t>
      </w:r>
      <w:r>
        <w:rPr>
          <w:rStyle w:val="FootnoteReference"/>
        </w:rPr>
        <w:footnoteReference w:id="7"/>
      </w:r>
      <w:r>
        <w:t xml:space="preserve"> Where this is evident in Himmelfarb’s opinion that 1 Maccabees was largely historic based on the line of succession for the Hasmonean dynasty, this is still very relevant for this text and for Hebrew literature that can be found in other aspects of the Hebrew Bible also. This need for a recognised line of succession and lineage, from Mattathias, is seen through many Hebrew narratives of the Hebrew Bible, including that of the succession of Abraham, </w:t>
      </w:r>
      <w:proofErr w:type="gramStart"/>
      <w:r>
        <w:t>Moses</w:t>
      </w:r>
      <w:proofErr w:type="gramEnd"/>
      <w:r>
        <w:t xml:space="preserve"> and other patriarchal figures within Judaism. Whereas 2 Maccabees, as she highlighted, is largely focused on the battles and final  victory of Judas Maccabeus, it can also be mentioned that “the last event recorded in 2 Maccabees is the death of Nicanor, which took place on March 28</w:t>
      </w:r>
      <w:r w:rsidRPr="006C18E7">
        <w:rPr>
          <w:vertAlign w:val="superscript"/>
        </w:rPr>
        <w:t>th</w:t>
      </w:r>
      <w:r>
        <w:t xml:space="preserve">, 160 BCE.  </w:t>
      </w:r>
    </w:p>
    <w:p w14:paraId="7760D149" w14:textId="1E16EA23" w:rsidR="00AD4EEF" w:rsidRDefault="008C73AD" w:rsidP="008615D4">
      <w:r>
        <w:t>Where it has already been mentioned, this difference of the authors of 1 and 2 Maccabees where this is highlighted by Zion as he comments that “in contrast to first Maccabees, the book of second Maccabees is a summary of a history written originally in Greek for diaspora Hellenistic Jews,”</w:t>
      </w:r>
      <w:r>
        <w:rPr>
          <w:rStyle w:val="FootnoteReference"/>
        </w:rPr>
        <w:footnoteReference w:id="8"/>
      </w:r>
      <w:r>
        <w:t xml:space="preserve"> where as Daniel Schwartz mentions is where </w:t>
      </w:r>
      <w:r w:rsidR="008615D4">
        <w:t>he comments that “first Maccabees was composed in Hebrew. We know that first of all because Saint Jerome says so.”</w:t>
      </w:r>
      <w:r w:rsidR="008615D4">
        <w:rPr>
          <w:rStyle w:val="FootnoteReference"/>
        </w:rPr>
        <w:footnoteReference w:id="9"/>
      </w:r>
      <w:r w:rsidR="008615D4">
        <w:t xml:space="preserve"> With this, it is clear therefore by these two authors that a difference between 1 and 2 Maccabees is evident in this way, where 1 Maccabees was written in Hebrew and most likely directed towards a Hebrew audience within Judaea, and 2 Maccabees was written in Greek in the diaspora, but with a similar intention of portraying this aspect of Jewish history in the ancient world. With this also, Himmelfarb continues to highlight how “</w:t>
      </w:r>
      <w:r w:rsidR="008615D4">
        <w:t>2 Maccabees' more limited chronological focus precludes the dynastic</w:t>
      </w:r>
      <w:r w:rsidR="008615D4">
        <w:t xml:space="preserve"> </w:t>
      </w:r>
      <w:r w:rsidR="008615D4">
        <w:t>concerns of 1 Maccabees, and it pays little attention to Judah's family</w:t>
      </w:r>
      <w:r w:rsidR="008615D4">
        <w:t>,”</w:t>
      </w:r>
      <w:r w:rsidR="008615D4">
        <w:rPr>
          <w:rStyle w:val="FootnoteReference"/>
        </w:rPr>
        <w:footnoteReference w:id="10"/>
      </w:r>
      <w:r w:rsidR="008615D4">
        <w:t xml:space="preserve"> where this difference is seen possibly due to the different authors aiming to highlight more important aspects of the narrative. With this, it could highlight how the author of 1 Maccabees</w:t>
      </w:r>
      <w:r w:rsidR="00AD4EEF">
        <w:t>’ aim was this promotion of the Hasmonean dynasty due to their knowledge of the family while living in Judaea, whereas the focus on the victory of Judas Maccabeus in 2 Maccabees promotes a positive ‘ending’ to the narrative for the different author of 2 Maccabees.</w:t>
      </w:r>
    </w:p>
    <w:p w14:paraId="691ED040" w14:textId="04793298" w:rsidR="008C73AD" w:rsidRDefault="00AD4EEF" w:rsidP="00AD4EEF">
      <w:r>
        <w:t>Another difference that can be explored within 2 Maccabees, and not found within 1 Maccabees, is this emphasis on martyrdom and the importance this role has on maintain faith when faced with oppression and death being regarded as better than turning away from their faith and beliefs. Zion mentions about this difference in 2 Maccabees, where he writes how “their deaths are seen not only as a way to sanctify God’s name, but as a way to vicariously remove the sins of Israel and to evoke supernatural intervention by God.”</w:t>
      </w:r>
      <w:r>
        <w:rPr>
          <w:rStyle w:val="FootnoteReference"/>
        </w:rPr>
        <w:footnoteReference w:id="11"/>
      </w:r>
      <w:r>
        <w:t xml:space="preserve"> This is significant in many ways, with some including </w:t>
      </w:r>
      <w:r w:rsidR="00BF1ED9">
        <w:t xml:space="preserve">where this is largely emphasized in 2 Maccabees and not as much in 1 Maccabees, which Schwartz highlights as </w:t>
      </w:r>
      <w:r w:rsidR="00BF1ED9">
        <w:lastRenderedPageBreak/>
        <w:t>being connected with the death of Socrates in Greek literature in his interview.</w:t>
      </w:r>
      <w:r w:rsidR="00BF1ED9">
        <w:rPr>
          <w:rStyle w:val="FootnoteReference"/>
        </w:rPr>
        <w:footnoteReference w:id="12"/>
      </w:r>
      <w:r w:rsidR="00BF1ED9">
        <w:t xml:space="preserve">  Himmelfarb also writes on this difference where she comments that </w:t>
      </w:r>
      <w:r>
        <w:t>“</w:t>
      </w:r>
      <w:r w:rsidR="00BF1ED9">
        <w:t xml:space="preserve">[2 Maccabees] </w:t>
      </w:r>
      <w:r>
        <w:t>also devotes considerable attention to the martyrs,</w:t>
      </w:r>
      <w:r>
        <w:t xml:space="preserve"> </w:t>
      </w:r>
      <w:r>
        <w:t>who are mentioned only briefly in 1 Maccabees, emphasizing their role in</w:t>
      </w:r>
      <w:r>
        <w:t xml:space="preserve"> </w:t>
      </w:r>
      <w:r>
        <w:t>securing the divine favo</w:t>
      </w:r>
      <w:r>
        <w:t>u</w:t>
      </w:r>
      <w:r>
        <w:t>r required for the Maccabees' victory</w:t>
      </w:r>
      <w:r w:rsidR="00BF1ED9">
        <w:t>,</w:t>
      </w:r>
      <w:r>
        <w:t>”</w:t>
      </w:r>
      <w:r w:rsidR="00BF1ED9">
        <w:rPr>
          <w:rStyle w:val="FootnoteReference"/>
        </w:rPr>
        <w:footnoteReference w:id="13"/>
      </w:r>
      <w:r w:rsidR="00BF1ED9">
        <w:t xml:space="preserve"> where this statement also highlights the role of the martyrs in different ways within each text of the Maccabees. This also mentions again where </w:t>
      </w:r>
      <w:r w:rsidR="00B53E9B">
        <w:t xml:space="preserve">divine favour rewarded Judas the victory in this narrative, where this is also likened to Greek literature. </w:t>
      </w:r>
    </w:p>
    <w:p w14:paraId="3896AC1D" w14:textId="5DF1B9B0" w:rsidR="00B53E9B" w:rsidRDefault="00B53E9B" w:rsidP="00B53E9B">
      <w:r>
        <w:t>There can also be mentioned of this difference where Helleni</w:t>
      </w:r>
      <w:r w:rsidR="00F72F7E">
        <w:t>z</w:t>
      </w:r>
      <w:r>
        <w:t>ation can be defined differently within each book of the Maccabees, where Himmelfarb highlights that “i</w:t>
      </w:r>
      <w:r>
        <w:t>n 2 Maccabees' view, Hellenism is not evil in itself. Rather, it is bad for</w:t>
      </w:r>
      <w:r>
        <w:t xml:space="preserve"> </w:t>
      </w:r>
      <w:r>
        <w:t>Jews because it leads them away from their proper way</w:t>
      </w:r>
      <w:r>
        <w:t>.”</w:t>
      </w:r>
      <w:r>
        <w:rPr>
          <w:rStyle w:val="FootnoteReference"/>
        </w:rPr>
        <w:footnoteReference w:id="14"/>
      </w:r>
      <w:r>
        <w:t xml:space="preserve"> </w:t>
      </w:r>
      <w:r w:rsidR="00F72F7E">
        <w:t>With this, it is seen within 2 Maccabees by Himmelfarb in this way as portraying Hellenism in a somewhat positive light, potentially due to the influence of the author, therefore still implying that Judaean Jews were mislead but the blame was not placed directly on the causes of Hellenism. Schwartz also comments on a similar theme with Himmelfarb, where he highlights that “</w:t>
      </w:r>
      <w:r w:rsidR="001073E1">
        <w:t>Judaea has been conquered by the Hellenistic Kingdoms, first by Alexander the Great, then by 150 years of his followers who all multiplied evil in the earth.”</w:t>
      </w:r>
      <w:r w:rsidR="001073E1">
        <w:rPr>
          <w:rStyle w:val="FootnoteReference"/>
        </w:rPr>
        <w:footnoteReference w:id="15"/>
      </w:r>
      <w:r w:rsidR="001073E1">
        <w:t xml:space="preserve"> This contrast between the way in which evil is being presented by each author is clear, where 2 Maccabees portrays this as Jews following with Hellenism whereas 1 Maccabees emphasises that evil is with all who followed after Alexander the Great, including Antiochus IV Epiphanes, where it is stated that “</w:t>
      </w:r>
      <w:r w:rsidR="001073E1" w:rsidRPr="001073E1">
        <w:t>From them came forth a sinful root, Antiochus Epiphanes, son of King Antiochus; he had been a hostage in Rome.</w:t>
      </w:r>
      <w:r w:rsidR="001073E1">
        <w:t xml:space="preserve">” (1 Macc. 1:10) This further demonstrates Schwartz’ argument that those who ruled following on from Alexander the Great posed hatred towards the Jews of Judaea. </w:t>
      </w:r>
    </w:p>
    <w:p w14:paraId="1D6D89E7" w14:textId="035AD341" w:rsidR="001073E1" w:rsidRPr="006C18E7" w:rsidRDefault="001073E1" w:rsidP="00B53E9B">
      <w:r>
        <w:t xml:space="preserve">Where it is evident that there are </w:t>
      </w:r>
      <w:r w:rsidR="006B03B6">
        <w:t>many differences that have been explored, and many others that can be explored, there are very clear differences where some of which have been discussed. With this also is the understanding of the historical setting of both books, where it is noted where both begin around 175 BCE, however each text explores different historical events from this.</w:t>
      </w:r>
    </w:p>
    <w:p w14:paraId="2F7FDC3F" w14:textId="1CE2BA0C" w:rsidR="00B82FCF" w:rsidRPr="00B82FCF" w:rsidRDefault="00B82FCF">
      <w:pPr>
        <w:rPr>
          <w:b/>
          <w:bCs/>
          <w:u w:val="single"/>
        </w:rPr>
      </w:pPr>
      <w:r w:rsidRPr="00B82FCF">
        <w:rPr>
          <w:b/>
          <w:bCs/>
          <w:u w:val="single"/>
        </w:rPr>
        <w:t>Conclusion:</w:t>
      </w:r>
    </w:p>
    <w:p w14:paraId="2D25DDCE" w14:textId="06EE871E" w:rsidR="00B82FCF" w:rsidRPr="00C2156B" w:rsidRDefault="00C2156B">
      <w:r>
        <w:t xml:space="preserve">Where it has been explored on the different themes that are seen throughout 1 and 2 Maccabees, it can also be highlighted that although some themes overlap (including historical setting and some aspects of the chronology) it is clear however that both texts highlight different but necessary religious and historical </w:t>
      </w:r>
      <w:r w:rsidR="00895F17">
        <w:t xml:space="preserve">events of </w:t>
      </w:r>
      <w:r>
        <w:t xml:space="preserve">significance. With this, what has also been evident </w:t>
      </w:r>
      <w:r w:rsidR="00895F17">
        <w:t>with</w:t>
      </w:r>
      <w:r>
        <w:t xml:space="preserve"> the differences within the narrative of each text has highlighted the potential of different authors, further brings this debate on the author of 1 and 2 Maccabees as being different. What has also been highlighted further is where these differences have been influenced by the different authors of each text, further implying firstly, that there must have been two distinct authors, and secondly, where the difference in narrative of a Judaean author as opposed to a Greek author is also shown within this essay. These points are all significant in understanding this text as not only of its religious significance within Judaism but also of its survival within the apocrypha section of the Holy Bible which has enabled such debate and knowledge on this aspect of history initially.</w:t>
      </w:r>
      <w:r w:rsidR="00895F17">
        <w:t xml:space="preserve"> Much can be taken </w:t>
      </w:r>
      <w:r w:rsidR="00895F17">
        <w:lastRenderedPageBreak/>
        <w:t xml:space="preserve">from reading both 1 and 2 Maccabees for the historical period that each explores, where this is significant for both understanding the festival of </w:t>
      </w:r>
      <w:r w:rsidR="00895F17" w:rsidRPr="00895F17">
        <w:rPr>
          <w:i/>
          <w:iCs/>
        </w:rPr>
        <w:t xml:space="preserve">Hanukkah </w:t>
      </w:r>
      <w:r w:rsidR="00895F17">
        <w:t>and also to read on the importance of the Maccabean Revolt in this time also. This further demonstrates a necessary aspect of Jewish history to study and also to acknowledge the different approaches taken in maintaining Judaism during this time.</w:t>
      </w:r>
    </w:p>
    <w:p w14:paraId="075EA1F0" w14:textId="77777777" w:rsidR="00895F17" w:rsidRDefault="00895F17">
      <w:pPr>
        <w:rPr>
          <w:b/>
          <w:bCs/>
          <w:u w:val="single"/>
        </w:rPr>
      </w:pPr>
    </w:p>
    <w:p w14:paraId="77B87344" w14:textId="77777777" w:rsidR="00895F17" w:rsidRDefault="00895F17">
      <w:pPr>
        <w:rPr>
          <w:b/>
          <w:bCs/>
          <w:u w:val="single"/>
        </w:rPr>
      </w:pPr>
    </w:p>
    <w:p w14:paraId="5D21F4DA" w14:textId="77777777" w:rsidR="00895F17" w:rsidRDefault="00895F17">
      <w:pPr>
        <w:rPr>
          <w:b/>
          <w:bCs/>
          <w:u w:val="single"/>
        </w:rPr>
      </w:pPr>
    </w:p>
    <w:p w14:paraId="7BD3F0E6" w14:textId="77777777" w:rsidR="00895F17" w:rsidRDefault="00895F17">
      <w:pPr>
        <w:rPr>
          <w:b/>
          <w:bCs/>
          <w:u w:val="single"/>
        </w:rPr>
      </w:pPr>
    </w:p>
    <w:p w14:paraId="49E00141" w14:textId="77777777" w:rsidR="00895F17" w:rsidRDefault="00895F17">
      <w:pPr>
        <w:rPr>
          <w:b/>
          <w:bCs/>
          <w:u w:val="single"/>
        </w:rPr>
      </w:pPr>
    </w:p>
    <w:p w14:paraId="709F522D" w14:textId="77777777" w:rsidR="00895F17" w:rsidRDefault="00895F17">
      <w:pPr>
        <w:rPr>
          <w:b/>
          <w:bCs/>
          <w:u w:val="single"/>
        </w:rPr>
      </w:pPr>
    </w:p>
    <w:p w14:paraId="1893CCE0" w14:textId="77777777" w:rsidR="00895F17" w:rsidRDefault="00895F17">
      <w:pPr>
        <w:rPr>
          <w:b/>
          <w:bCs/>
          <w:u w:val="single"/>
        </w:rPr>
      </w:pPr>
    </w:p>
    <w:p w14:paraId="7645822B" w14:textId="77777777" w:rsidR="00895F17" w:rsidRDefault="00895F17">
      <w:pPr>
        <w:rPr>
          <w:b/>
          <w:bCs/>
          <w:u w:val="single"/>
        </w:rPr>
      </w:pPr>
    </w:p>
    <w:p w14:paraId="7C14777D" w14:textId="77777777" w:rsidR="00895F17" w:rsidRDefault="00895F17">
      <w:pPr>
        <w:rPr>
          <w:b/>
          <w:bCs/>
          <w:u w:val="single"/>
        </w:rPr>
      </w:pPr>
    </w:p>
    <w:p w14:paraId="794EB9C0" w14:textId="77777777" w:rsidR="00895F17" w:rsidRDefault="00895F17">
      <w:pPr>
        <w:rPr>
          <w:b/>
          <w:bCs/>
          <w:u w:val="single"/>
        </w:rPr>
      </w:pPr>
    </w:p>
    <w:p w14:paraId="1192CDDF" w14:textId="77777777" w:rsidR="00895F17" w:rsidRDefault="00895F17">
      <w:pPr>
        <w:rPr>
          <w:b/>
          <w:bCs/>
          <w:u w:val="single"/>
        </w:rPr>
      </w:pPr>
    </w:p>
    <w:p w14:paraId="7335907C" w14:textId="77777777" w:rsidR="00895F17" w:rsidRDefault="00895F17">
      <w:pPr>
        <w:rPr>
          <w:b/>
          <w:bCs/>
          <w:u w:val="single"/>
        </w:rPr>
      </w:pPr>
    </w:p>
    <w:p w14:paraId="15E07BDD" w14:textId="77777777" w:rsidR="00895F17" w:rsidRDefault="00895F17">
      <w:pPr>
        <w:rPr>
          <w:b/>
          <w:bCs/>
          <w:u w:val="single"/>
        </w:rPr>
      </w:pPr>
    </w:p>
    <w:p w14:paraId="785702CE" w14:textId="77777777" w:rsidR="00895F17" w:rsidRDefault="00895F17">
      <w:pPr>
        <w:rPr>
          <w:b/>
          <w:bCs/>
          <w:u w:val="single"/>
        </w:rPr>
      </w:pPr>
    </w:p>
    <w:p w14:paraId="33F145A9" w14:textId="77777777" w:rsidR="00895F17" w:rsidRDefault="00895F17">
      <w:pPr>
        <w:rPr>
          <w:b/>
          <w:bCs/>
          <w:u w:val="single"/>
        </w:rPr>
      </w:pPr>
    </w:p>
    <w:p w14:paraId="02DA99D0" w14:textId="77777777" w:rsidR="00895F17" w:rsidRDefault="00895F17">
      <w:pPr>
        <w:rPr>
          <w:b/>
          <w:bCs/>
          <w:u w:val="single"/>
        </w:rPr>
      </w:pPr>
    </w:p>
    <w:p w14:paraId="45AF49CC" w14:textId="77777777" w:rsidR="00895F17" w:rsidRDefault="00895F17">
      <w:pPr>
        <w:rPr>
          <w:b/>
          <w:bCs/>
          <w:u w:val="single"/>
        </w:rPr>
      </w:pPr>
    </w:p>
    <w:p w14:paraId="0286AA25" w14:textId="77777777" w:rsidR="00895F17" w:rsidRDefault="00895F17">
      <w:pPr>
        <w:rPr>
          <w:b/>
          <w:bCs/>
          <w:u w:val="single"/>
        </w:rPr>
      </w:pPr>
    </w:p>
    <w:p w14:paraId="604B2B30" w14:textId="77777777" w:rsidR="00895F17" w:rsidRDefault="00895F17">
      <w:pPr>
        <w:rPr>
          <w:b/>
          <w:bCs/>
          <w:u w:val="single"/>
        </w:rPr>
      </w:pPr>
    </w:p>
    <w:p w14:paraId="19776CF4" w14:textId="77777777" w:rsidR="00895F17" w:rsidRDefault="00895F17">
      <w:pPr>
        <w:rPr>
          <w:b/>
          <w:bCs/>
          <w:u w:val="single"/>
        </w:rPr>
      </w:pPr>
    </w:p>
    <w:p w14:paraId="0BA298A6" w14:textId="77777777" w:rsidR="00895F17" w:rsidRDefault="00895F17">
      <w:pPr>
        <w:rPr>
          <w:b/>
          <w:bCs/>
          <w:u w:val="single"/>
        </w:rPr>
      </w:pPr>
    </w:p>
    <w:p w14:paraId="212E21B3" w14:textId="77777777" w:rsidR="00895F17" w:rsidRDefault="00895F17">
      <w:pPr>
        <w:rPr>
          <w:b/>
          <w:bCs/>
          <w:u w:val="single"/>
        </w:rPr>
      </w:pPr>
    </w:p>
    <w:p w14:paraId="14B4D258" w14:textId="77777777" w:rsidR="00895F17" w:rsidRDefault="00895F17">
      <w:pPr>
        <w:rPr>
          <w:b/>
          <w:bCs/>
          <w:u w:val="single"/>
        </w:rPr>
      </w:pPr>
    </w:p>
    <w:p w14:paraId="3ADB4FD9" w14:textId="77777777" w:rsidR="00895F17" w:rsidRDefault="00895F17">
      <w:pPr>
        <w:rPr>
          <w:b/>
          <w:bCs/>
          <w:u w:val="single"/>
        </w:rPr>
      </w:pPr>
    </w:p>
    <w:p w14:paraId="4598967C" w14:textId="77777777" w:rsidR="00895F17" w:rsidRDefault="00895F17">
      <w:pPr>
        <w:rPr>
          <w:b/>
          <w:bCs/>
          <w:u w:val="single"/>
        </w:rPr>
      </w:pPr>
    </w:p>
    <w:p w14:paraId="57ACF8CA" w14:textId="77777777" w:rsidR="00895F17" w:rsidRDefault="00895F17">
      <w:pPr>
        <w:rPr>
          <w:b/>
          <w:bCs/>
          <w:u w:val="single"/>
        </w:rPr>
      </w:pPr>
    </w:p>
    <w:p w14:paraId="71DE9BC6" w14:textId="77777777" w:rsidR="00895F17" w:rsidRDefault="00895F17">
      <w:pPr>
        <w:rPr>
          <w:b/>
          <w:bCs/>
          <w:u w:val="single"/>
        </w:rPr>
      </w:pPr>
    </w:p>
    <w:p w14:paraId="24482D09" w14:textId="63A0988E" w:rsidR="00B82FCF" w:rsidRDefault="00B82FCF">
      <w:pPr>
        <w:rPr>
          <w:b/>
          <w:bCs/>
          <w:u w:val="single"/>
        </w:rPr>
      </w:pPr>
      <w:r w:rsidRPr="00B82FCF">
        <w:rPr>
          <w:b/>
          <w:bCs/>
          <w:u w:val="single"/>
        </w:rPr>
        <w:lastRenderedPageBreak/>
        <w:t>Bibliography:</w:t>
      </w:r>
    </w:p>
    <w:p w14:paraId="3D1B1F99" w14:textId="77777777" w:rsidR="00895F17" w:rsidRDefault="00895F17">
      <w:r w:rsidRPr="00895F17">
        <w:t xml:space="preserve">Ellis, P F, </w:t>
      </w:r>
      <w:r w:rsidRPr="00895F17">
        <w:rPr>
          <w:i/>
          <w:iCs/>
        </w:rPr>
        <w:t>"Maccabees | Encyclopedia.Com",</w:t>
      </w:r>
      <w:r w:rsidRPr="00895F17">
        <w:t xml:space="preserve"> Encyclopedia.Com, 2020 </w:t>
      </w:r>
      <w:hyperlink r:id="rId7" w:history="1">
        <w:r w:rsidRPr="005B24AE">
          <w:rPr>
            <w:rStyle w:val="Hyperlink"/>
          </w:rPr>
          <w:t>https://www.encyclopedia.com/philosophy-and-religion/bible/bible-apocrypha/maccabees</w:t>
        </w:r>
      </w:hyperlink>
      <w:r>
        <w:t xml:space="preserve"> </w:t>
      </w:r>
      <w:r w:rsidRPr="00895F17">
        <w:t>[Accessed 12 June 2020]</w:t>
      </w:r>
    </w:p>
    <w:p w14:paraId="5497F8AA" w14:textId="77777777" w:rsidR="00895F17" w:rsidRDefault="00895F17">
      <w:r w:rsidRPr="00895F17">
        <w:t xml:space="preserve">Himmelfarb, Martha, </w:t>
      </w:r>
      <w:r w:rsidRPr="00895F17">
        <w:rPr>
          <w:i/>
          <w:iCs/>
        </w:rPr>
        <w:t xml:space="preserve">"Judaism And Hellenism </w:t>
      </w:r>
      <w:proofErr w:type="gramStart"/>
      <w:r w:rsidRPr="00895F17">
        <w:rPr>
          <w:i/>
          <w:iCs/>
        </w:rPr>
        <w:t>In</w:t>
      </w:r>
      <w:proofErr w:type="gramEnd"/>
      <w:r w:rsidRPr="00895F17">
        <w:rPr>
          <w:i/>
          <w:iCs/>
        </w:rPr>
        <w:t xml:space="preserve"> 2 Maccabees",</w:t>
      </w:r>
      <w:r w:rsidRPr="00895F17">
        <w:t xml:space="preserve"> Poetics Today, 19 (1998)</w:t>
      </w:r>
    </w:p>
    <w:p w14:paraId="652B618E" w14:textId="77777777" w:rsidR="00895F17" w:rsidRDefault="00895F17">
      <w:r w:rsidRPr="00895F17">
        <w:t xml:space="preserve">Regev, </w:t>
      </w:r>
      <w:proofErr w:type="spellStart"/>
      <w:r w:rsidRPr="00895F17">
        <w:t>Eyal</w:t>
      </w:r>
      <w:proofErr w:type="spellEnd"/>
      <w:r w:rsidRPr="00895F17">
        <w:t xml:space="preserve">, </w:t>
      </w:r>
      <w:r w:rsidRPr="001D55B2">
        <w:rPr>
          <w:i/>
          <w:iCs/>
        </w:rPr>
        <w:t xml:space="preserve">"Hanukkah And </w:t>
      </w:r>
      <w:proofErr w:type="gramStart"/>
      <w:r w:rsidRPr="001D55B2">
        <w:rPr>
          <w:i/>
          <w:iCs/>
        </w:rPr>
        <w:t>The</w:t>
      </w:r>
      <w:proofErr w:type="gramEnd"/>
      <w:r w:rsidRPr="001D55B2">
        <w:rPr>
          <w:i/>
          <w:iCs/>
        </w:rPr>
        <w:t xml:space="preserve"> Temple Of The Maccabees: Ritual And Ideology From Judas Maccabeus To Simon",</w:t>
      </w:r>
      <w:r w:rsidRPr="00895F17">
        <w:t xml:space="preserve"> Jewish Studies Quarterly, 15 (2008)</w:t>
      </w:r>
    </w:p>
    <w:p w14:paraId="4C4A6F95" w14:textId="77777777" w:rsidR="00895F17" w:rsidRDefault="00895F17">
      <w:proofErr w:type="spellStart"/>
      <w:r w:rsidRPr="00895F17">
        <w:t>Schatkin</w:t>
      </w:r>
      <w:proofErr w:type="spellEnd"/>
      <w:r w:rsidRPr="00895F17">
        <w:t xml:space="preserve">, Margaret, </w:t>
      </w:r>
      <w:r w:rsidRPr="001D55B2">
        <w:rPr>
          <w:i/>
          <w:iCs/>
        </w:rPr>
        <w:t>"The Maccabean Martyrs",</w:t>
      </w:r>
      <w:r w:rsidRPr="00895F17">
        <w:t xml:space="preserve"> </w:t>
      </w:r>
      <w:proofErr w:type="spellStart"/>
      <w:r w:rsidRPr="00895F17">
        <w:t>Vigiliae</w:t>
      </w:r>
      <w:proofErr w:type="spellEnd"/>
      <w:r w:rsidRPr="00895F17">
        <w:t xml:space="preserve"> </w:t>
      </w:r>
      <w:proofErr w:type="spellStart"/>
      <w:r w:rsidRPr="00895F17">
        <w:t>Christianae</w:t>
      </w:r>
      <w:proofErr w:type="spellEnd"/>
      <w:r w:rsidRPr="00895F17">
        <w:t>, 28 (1974)</w:t>
      </w:r>
    </w:p>
    <w:p w14:paraId="5EA78FA7" w14:textId="77777777" w:rsidR="00895F17" w:rsidRDefault="00895F17">
      <w:r w:rsidRPr="00895F17">
        <w:t xml:space="preserve">Schwartz, Daniel, </w:t>
      </w:r>
      <w:r w:rsidRPr="001D55B2">
        <w:rPr>
          <w:i/>
          <w:iCs/>
        </w:rPr>
        <w:t>Lecture On 1 And 2 Maccabees,</w:t>
      </w:r>
      <w:r w:rsidRPr="00895F17">
        <w:t xml:space="preserve"> 2018 </w:t>
      </w:r>
      <w:hyperlink r:id="rId8" w:history="1">
        <w:r w:rsidRPr="005B24AE">
          <w:rPr>
            <w:rStyle w:val="Hyperlink"/>
          </w:rPr>
          <w:t>https://www.youtube.com/watch?v=5RQhysxU2GU</w:t>
        </w:r>
      </w:hyperlink>
      <w:r>
        <w:t xml:space="preserve"> </w:t>
      </w:r>
      <w:r w:rsidRPr="00895F17">
        <w:t>[Accessed 12 June 2020]</w:t>
      </w:r>
    </w:p>
    <w:p w14:paraId="5D3EE26B" w14:textId="77777777" w:rsidR="00895F17" w:rsidRDefault="00895F17">
      <w:proofErr w:type="spellStart"/>
      <w:r w:rsidRPr="00895F17">
        <w:t>Shepkaru</w:t>
      </w:r>
      <w:proofErr w:type="spellEnd"/>
      <w:r w:rsidRPr="00895F17">
        <w:t xml:space="preserve">, Shmuel, </w:t>
      </w:r>
      <w:r w:rsidRPr="001D55B2">
        <w:rPr>
          <w:i/>
          <w:iCs/>
        </w:rPr>
        <w:t xml:space="preserve">"From After Death </w:t>
      </w:r>
      <w:proofErr w:type="gramStart"/>
      <w:r w:rsidRPr="001D55B2">
        <w:rPr>
          <w:i/>
          <w:iCs/>
        </w:rPr>
        <w:t>To</w:t>
      </w:r>
      <w:proofErr w:type="gramEnd"/>
      <w:r w:rsidRPr="001D55B2">
        <w:rPr>
          <w:i/>
          <w:iCs/>
        </w:rPr>
        <w:t xml:space="preserve"> Afterlife: Martyrdom And Its Recompense",</w:t>
      </w:r>
      <w:r w:rsidRPr="00895F17">
        <w:t xml:space="preserve"> AJS Review, 24 (1999)</w:t>
      </w:r>
    </w:p>
    <w:p w14:paraId="5080FA29" w14:textId="77777777" w:rsidR="00895F17" w:rsidRDefault="00895F17">
      <w:r w:rsidRPr="00895F17">
        <w:t xml:space="preserve">Unknown Author, </w:t>
      </w:r>
      <w:r w:rsidRPr="001D55B2">
        <w:rPr>
          <w:i/>
          <w:iCs/>
        </w:rPr>
        <w:t xml:space="preserve">"The Books Of The Maccabees | Biblical Literature", </w:t>
      </w:r>
      <w:proofErr w:type="spellStart"/>
      <w:r w:rsidRPr="00895F17">
        <w:t>Encyclopedia</w:t>
      </w:r>
      <w:proofErr w:type="spellEnd"/>
      <w:r w:rsidRPr="00895F17">
        <w:t xml:space="preserve"> Britannica, 2014 </w:t>
      </w:r>
      <w:hyperlink r:id="rId9" w:history="1">
        <w:r w:rsidRPr="005B24AE">
          <w:rPr>
            <w:rStyle w:val="Hyperlink"/>
          </w:rPr>
          <w:t>https://www.britannica.com/topic/The-Books-of-the-Maccabees</w:t>
        </w:r>
      </w:hyperlink>
      <w:r>
        <w:t xml:space="preserve"> </w:t>
      </w:r>
      <w:r w:rsidRPr="00895F17">
        <w:t>[Accessed 12 June 2020]</w:t>
      </w:r>
    </w:p>
    <w:p w14:paraId="7F09E82F" w14:textId="77777777" w:rsidR="00895F17" w:rsidRDefault="00895F17">
      <w:r w:rsidRPr="00895F17">
        <w:t xml:space="preserve">Zion, Noam, </w:t>
      </w:r>
      <w:r w:rsidRPr="001D55B2">
        <w:rPr>
          <w:i/>
          <w:iCs/>
        </w:rPr>
        <w:t>"The Book Of Second Maccabees | My Jewish Learning",</w:t>
      </w:r>
      <w:r w:rsidRPr="00895F17">
        <w:t xml:space="preserve"> My Jewish Learning </w:t>
      </w:r>
      <w:hyperlink r:id="rId10" w:history="1">
        <w:r w:rsidRPr="005B24AE">
          <w:rPr>
            <w:rStyle w:val="Hyperlink"/>
          </w:rPr>
          <w:t>https://www.myjewishlearning.com/article/the-book-of-second-maccabees/</w:t>
        </w:r>
      </w:hyperlink>
      <w:r>
        <w:t xml:space="preserve"> </w:t>
      </w:r>
      <w:r w:rsidRPr="00895F17">
        <w:t>[Accessed 12 June 2020]</w:t>
      </w:r>
    </w:p>
    <w:p w14:paraId="2BE628F8" w14:textId="77777777" w:rsidR="00895F17" w:rsidRPr="00895F17" w:rsidRDefault="00895F17"/>
    <w:sectPr w:rsidR="00895F17" w:rsidRPr="00895F1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718BC" w14:textId="77777777" w:rsidR="00B82FCF" w:rsidRDefault="00B82FCF" w:rsidP="00B82FCF">
      <w:pPr>
        <w:spacing w:after="0" w:line="240" w:lineRule="auto"/>
      </w:pPr>
      <w:r>
        <w:separator/>
      </w:r>
    </w:p>
  </w:endnote>
  <w:endnote w:type="continuationSeparator" w:id="0">
    <w:p w14:paraId="323A2DCC" w14:textId="77777777" w:rsidR="00B82FCF" w:rsidRDefault="00B82FCF" w:rsidP="00B82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6F0E9B" w14:textId="77777777" w:rsidR="00B82FCF" w:rsidRDefault="00B82FCF" w:rsidP="00B82FCF">
      <w:pPr>
        <w:spacing w:after="0" w:line="240" w:lineRule="auto"/>
      </w:pPr>
      <w:r>
        <w:separator/>
      </w:r>
    </w:p>
  </w:footnote>
  <w:footnote w:type="continuationSeparator" w:id="0">
    <w:p w14:paraId="091E14A7" w14:textId="77777777" w:rsidR="00B82FCF" w:rsidRDefault="00B82FCF" w:rsidP="00B82FCF">
      <w:pPr>
        <w:spacing w:after="0" w:line="240" w:lineRule="auto"/>
      </w:pPr>
      <w:r>
        <w:continuationSeparator/>
      </w:r>
    </w:p>
  </w:footnote>
  <w:footnote w:id="1">
    <w:p w14:paraId="5AC7F219" w14:textId="423C2ECD" w:rsidR="004C7A0B" w:rsidRDefault="004C7A0B">
      <w:pPr>
        <w:pStyle w:val="FootnoteText"/>
      </w:pPr>
      <w:r>
        <w:rPr>
          <w:rStyle w:val="FootnoteReference"/>
        </w:rPr>
        <w:footnoteRef/>
      </w:r>
      <w:r>
        <w:t xml:space="preserve"> </w:t>
      </w:r>
      <w:r w:rsidRPr="004C7A0B">
        <w:t xml:space="preserve">Unknown Author, </w:t>
      </w:r>
      <w:r w:rsidRPr="001D55B2">
        <w:rPr>
          <w:i/>
          <w:iCs/>
        </w:rPr>
        <w:t>"The Books Of The Maccabees | Biblical Literature",</w:t>
      </w:r>
      <w:r w:rsidRPr="004C7A0B">
        <w:t xml:space="preserve"> </w:t>
      </w:r>
      <w:proofErr w:type="spellStart"/>
      <w:r w:rsidRPr="004C7A0B">
        <w:t>Encyclopedia</w:t>
      </w:r>
      <w:proofErr w:type="spellEnd"/>
      <w:r w:rsidRPr="004C7A0B">
        <w:t xml:space="preserve"> Britannica, 2014 </w:t>
      </w:r>
      <w:hyperlink r:id="rId1" w:history="1">
        <w:r w:rsidRPr="005B24AE">
          <w:rPr>
            <w:rStyle w:val="Hyperlink"/>
          </w:rPr>
          <w:t>https://www.britannica.com/topic/The-Books-of-the-Maccabees</w:t>
        </w:r>
      </w:hyperlink>
      <w:r>
        <w:t xml:space="preserve"> </w:t>
      </w:r>
      <w:r w:rsidRPr="004C7A0B">
        <w:t>[Accessed 12 June 2020].</w:t>
      </w:r>
    </w:p>
  </w:footnote>
  <w:footnote w:id="2">
    <w:p w14:paraId="0B868779" w14:textId="687637CE" w:rsidR="002D4C34" w:rsidRDefault="002D4C34">
      <w:pPr>
        <w:pStyle w:val="FootnoteText"/>
      </w:pPr>
      <w:r>
        <w:rPr>
          <w:rStyle w:val="FootnoteReference"/>
        </w:rPr>
        <w:footnoteRef/>
      </w:r>
      <w:r>
        <w:t xml:space="preserve"> </w:t>
      </w:r>
      <w:proofErr w:type="spellStart"/>
      <w:r w:rsidRPr="002D4C34">
        <w:t>Eyal</w:t>
      </w:r>
      <w:proofErr w:type="spellEnd"/>
      <w:r w:rsidRPr="002D4C34">
        <w:t xml:space="preserve"> Regev, </w:t>
      </w:r>
      <w:r w:rsidRPr="001D55B2">
        <w:rPr>
          <w:i/>
          <w:iCs/>
        </w:rPr>
        <w:t>"Hanukkah And The Temple Of The Maccabees: Ritual And Ideology From Judas Maccabeus To Simon",</w:t>
      </w:r>
      <w:r w:rsidRPr="002D4C34">
        <w:t xml:space="preserve"> Jewish Studies Quarterly, 15.2 (2008</w:t>
      </w:r>
      <w:proofErr w:type="gramStart"/>
      <w:r w:rsidRPr="002D4C34">
        <w:t>).</w:t>
      </w:r>
      <w:r>
        <w:t>p.</w:t>
      </w:r>
      <w:proofErr w:type="gramEnd"/>
      <w:r>
        <w:t>87.</w:t>
      </w:r>
    </w:p>
  </w:footnote>
  <w:footnote w:id="3">
    <w:p w14:paraId="7DB1C6CE" w14:textId="6F40E78E" w:rsidR="00C822C1" w:rsidRDefault="00C822C1">
      <w:pPr>
        <w:pStyle w:val="FootnoteText"/>
      </w:pPr>
      <w:r>
        <w:rPr>
          <w:rStyle w:val="FootnoteReference"/>
        </w:rPr>
        <w:footnoteRef/>
      </w:r>
      <w:r>
        <w:t xml:space="preserve"> </w:t>
      </w:r>
      <w:r w:rsidRPr="00C822C1">
        <w:t xml:space="preserve">Noam Zion, </w:t>
      </w:r>
      <w:r w:rsidRPr="001D55B2">
        <w:rPr>
          <w:i/>
          <w:iCs/>
        </w:rPr>
        <w:t>"The Book Of Second Maccabees | My Jewish Learning",</w:t>
      </w:r>
      <w:r w:rsidRPr="00C822C1">
        <w:t xml:space="preserve"> My Jewish Learning </w:t>
      </w:r>
      <w:hyperlink r:id="rId2" w:history="1">
        <w:r w:rsidRPr="005B24AE">
          <w:rPr>
            <w:rStyle w:val="Hyperlink"/>
          </w:rPr>
          <w:t>https://www.myjewishlearning.com/article/the-book-of-second-maccabees/</w:t>
        </w:r>
      </w:hyperlink>
      <w:r>
        <w:t xml:space="preserve"> </w:t>
      </w:r>
      <w:r w:rsidRPr="00C822C1">
        <w:t>[Accessed 12 June 2020].</w:t>
      </w:r>
    </w:p>
  </w:footnote>
  <w:footnote w:id="4">
    <w:p w14:paraId="549FEEC8" w14:textId="2820123B" w:rsidR="00EA47E7" w:rsidRDefault="00EA47E7">
      <w:pPr>
        <w:pStyle w:val="FootnoteText"/>
      </w:pPr>
      <w:r>
        <w:rPr>
          <w:rStyle w:val="FootnoteReference"/>
        </w:rPr>
        <w:footnoteRef/>
      </w:r>
      <w:r>
        <w:t xml:space="preserve"> </w:t>
      </w:r>
      <w:bookmarkStart w:id="0" w:name="_Hlk42860910"/>
      <w:r w:rsidRPr="00EA47E7">
        <w:t xml:space="preserve">Noam Zion, </w:t>
      </w:r>
      <w:r w:rsidRPr="001D55B2">
        <w:rPr>
          <w:i/>
          <w:iCs/>
        </w:rPr>
        <w:t>"The Book Of Second Maccabees | My Jewish Learning",</w:t>
      </w:r>
      <w:r w:rsidRPr="00EA47E7">
        <w:t xml:space="preserve"> My Jewish Learning </w:t>
      </w:r>
      <w:hyperlink r:id="rId3" w:history="1">
        <w:r w:rsidRPr="005B24AE">
          <w:rPr>
            <w:rStyle w:val="Hyperlink"/>
          </w:rPr>
          <w:t>https://www.myjewishlearning.com/article/the-book-of-second-maccabees/</w:t>
        </w:r>
      </w:hyperlink>
      <w:r>
        <w:t xml:space="preserve"> </w:t>
      </w:r>
      <w:r w:rsidRPr="00EA47E7">
        <w:t>[Accessed 12 June 2020].</w:t>
      </w:r>
      <w:bookmarkEnd w:id="0"/>
    </w:p>
  </w:footnote>
  <w:footnote w:id="5">
    <w:p w14:paraId="08622FD8" w14:textId="2B80628A" w:rsidR="00640439" w:rsidRDefault="00640439">
      <w:pPr>
        <w:pStyle w:val="FootnoteText"/>
      </w:pPr>
      <w:r>
        <w:rPr>
          <w:rStyle w:val="FootnoteReference"/>
        </w:rPr>
        <w:footnoteRef/>
      </w:r>
      <w:r>
        <w:t xml:space="preserve"> </w:t>
      </w:r>
      <w:r w:rsidRPr="00640439">
        <w:t xml:space="preserve">Margaret </w:t>
      </w:r>
      <w:proofErr w:type="spellStart"/>
      <w:r w:rsidRPr="00640439">
        <w:t>Schatkin</w:t>
      </w:r>
      <w:proofErr w:type="spellEnd"/>
      <w:r w:rsidRPr="00640439">
        <w:t xml:space="preserve">, </w:t>
      </w:r>
      <w:r w:rsidRPr="001D55B2">
        <w:rPr>
          <w:i/>
          <w:iCs/>
        </w:rPr>
        <w:t>"The Maccabean Martyrs",</w:t>
      </w:r>
      <w:r w:rsidRPr="00640439">
        <w:t xml:space="preserve"> </w:t>
      </w:r>
      <w:proofErr w:type="spellStart"/>
      <w:r w:rsidRPr="00640439">
        <w:t>Vigiliae</w:t>
      </w:r>
      <w:proofErr w:type="spellEnd"/>
      <w:r w:rsidRPr="00640439">
        <w:t xml:space="preserve"> </w:t>
      </w:r>
      <w:proofErr w:type="spellStart"/>
      <w:r w:rsidRPr="00640439">
        <w:t>Christianae</w:t>
      </w:r>
      <w:proofErr w:type="spellEnd"/>
      <w:r w:rsidRPr="00640439">
        <w:t>, 28.2 (1974</w:t>
      </w:r>
      <w:proofErr w:type="gramStart"/>
      <w:r w:rsidRPr="00640439">
        <w:t>).</w:t>
      </w:r>
      <w:r>
        <w:t>p.</w:t>
      </w:r>
      <w:proofErr w:type="gramEnd"/>
      <w:r>
        <w:t>97.</w:t>
      </w:r>
    </w:p>
  </w:footnote>
  <w:footnote w:id="6">
    <w:p w14:paraId="03B891A3" w14:textId="6E003267" w:rsidR="00A67501" w:rsidRDefault="00A67501">
      <w:pPr>
        <w:pStyle w:val="FootnoteText"/>
      </w:pPr>
      <w:r>
        <w:rPr>
          <w:rStyle w:val="FootnoteReference"/>
        </w:rPr>
        <w:footnoteRef/>
      </w:r>
      <w:r>
        <w:t xml:space="preserve"> </w:t>
      </w:r>
      <w:r w:rsidRPr="00A67501">
        <w:t xml:space="preserve">Shmuel </w:t>
      </w:r>
      <w:proofErr w:type="spellStart"/>
      <w:r w:rsidRPr="00A67501">
        <w:t>Shepkaru</w:t>
      </w:r>
      <w:proofErr w:type="spellEnd"/>
      <w:r w:rsidRPr="00A67501">
        <w:t xml:space="preserve">, </w:t>
      </w:r>
      <w:r w:rsidRPr="001D55B2">
        <w:rPr>
          <w:i/>
          <w:iCs/>
        </w:rPr>
        <w:t>"From After Death To Afterlife: Martyrdom And Its Recompense",</w:t>
      </w:r>
      <w:r w:rsidRPr="00A67501">
        <w:t xml:space="preserve"> AJS Review, 24.1 (1999</w:t>
      </w:r>
      <w:proofErr w:type="gramStart"/>
      <w:r w:rsidRPr="00A67501">
        <w:t>).</w:t>
      </w:r>
      <w:r>
        <w:t>p.</w:t>
      </w:r>
      <w:proofErr w:type="gramEnd"/>
      <w:r>
        <w:t>3.</w:t>
      </w:r>
    </w:p>
  </w:footnote>
  <w:footnote w:id="7">
    <w:p w14:paraId="2F40F921" w14:textId="23BF2732" w:rsidR="006C18E7" w:rsidRDefault="006C18E7">
      <w:pPr>
        <w:pStyle w:val="FootnoteText"/>
      </w:pPr>
      <w:r>
        <w:rPr>
          <w:rStyle w:val="FootnoteReference"/>
        </w:rPr>
        <w:footnoteRef/>
      </w:r>
      <w:r>
        <w:t xml:space="preserve"> </w:t>
      </w:r>
      <w:r w:rsidRPr="006C18E7">
        <w:t xml:space="preserve">Martha Himmelfarb, </w:t>
      </w:r>
      <w:r w:rsidRPr="001D55B2">
        <w:rPr>
          <w:i/>
          <w:iCs/>
        </w:rPr>
        <w:t>"Judaism And Hellenism In 2 Maccabees",</w:t>
      </w:r>
      <w:r w:rsidRPr="006C18E7">
        <w:t xml:space="preserve"> Poetics Today, 19.1 (1998</w:t>
      </w:r>
      <w:proofErr w:type="gramStart"/>
      <w:r w:rsidRPr="006C18E7">
        <w:t>).</w:t>
      </w:r>
      <w:r>
        <w:t>p.p.</w:t>
      </w:r>
      <w:proofErr w:type="gramEnd"/>
      <w:r>
        <w:t>20-21.</w:t>
      </w:r>
    </w:p>
  </w:footnote>
  <w:footnote w:id="8">
    <w:p w14:paraId="682F2C4A" w14:textId="0237E3D7" w:rsidR="008C73AD" w:rsidRDefault="008C73AD">
      <w:pPr>
        <w:pStyle w:val="FootnoteText"/>
      </w:pPr>
      <w:r>
        <w:rPr>
          <w:rStyle w:val="FootnoteReference"/>
        </w:rPr>
        <w:footnoteRef/>
      </w:r>
      <w:r>
        <w:t xml:space="preserve"> </w:t>
      </w:r>
      <w:r w:rsidRPr="008C73AD">
        <w:t xml:space="preserve">Noam Zion, </w:t>
      </w:r>
      <w:r w:rsidRPr="001D55B2">
        <w:rPr>
          <w:i/>
          <w:iCs/>
        </w:rPr>
        <w:t>"The Book Of Second Maccabees | My Jewish Learning",</w:t>
      </w:r>
      <w:r w:rsidRPr="008C73AD">
        <w:t xml:space="preserve"> My Jewish Learning </w:t>
      </w:r>
      <w:hyperlink r:id="rId4" w:history="1">
        <w:r w:rsidRPr="005B24AE">
          <w:rPr>
            <w:rStyle w:val="Hyperlink"/>
          </w:rPr>
          <w:t>https://www.myjewishlearning.com/article/the-book-of-second-maccabees/</w:t>
        </w:r>
      </w:hyperlink>
      <w:r>
        <w:t xml:space="preserve"> </w:t>
      </w:r>
      <w:r w:rsidRPr="008C73AD">
        <w:t>[Accessed 12 June 2020].</w:t>
      </w:r>
    </w:p>
  </w:footnote>
  <w:footnote w:id="9">
    <w:p w14:paraId="761401A2" w14:textId="72CAC4AC" w:rsidR="008615D4" w:rsidRDefault="008615D4">
      <w:pPr>
        <w:pStyle w:val="FootnoteText"/>
      </w:pPr>
      <w:r>
        <w:rPr>
          <w:rStyle w:val="FootnoteReference"/>
        </w:rPr>
        <w:footnoteRef/>
      </w:r>
      <w:r>
        <w:t xml:space="preserve"> </w:t>
      </w:r>
      <w:r w:rsidRPr="008615D4">
        <w:t xml:space="preserve">Daniel Schwartz, </w:t>
      </w:r>
      <w:r w:rsidRPr="001D55B2">
        <w:rPr>
          <w:i/>
          <w:iCs/>
        </w:rPr>
        <w:t>Lecture On 1 And 2 Maccabees,</w:t>
      </w:r>
      <w:r w:rsidRPr="008615D4">
        <w:t xml:space="preserve"> 2018 </w:t>
      </w:r>
      <w:hyperlink r:id="rId5" w:history="1">
        <w:r w:rsidRPr="005B24AE">
          <w:rPr>
            <w:rStyle w:val="Hyperlink"/>
          </w:rPr>
          <w:t>https://www.youtube.com/watch?v=5RQhysxU2GU</w:t>
        </w:r>
      </w:hyperlink>
      <w:r>
        <w:t xml:space="preserve"> </w:t>
      </w:r>
      <w:r w:rsidRPr="008615D4">
        <w:t>[Accessed 12 June 2020].</w:t>
      </w:r>
      <w:r>
        <w:t>5:38-5:45.</w:t>
      </w:r>
    </w:p>
  </w:footnote>
  <w:footnote w:id="10">
    <w:p w14:paraId="0370438A" w14:textId="73418BBC" w:rsidR="008615D4" w:rsidRDefault="008615D4">
      <w:pPr>
        <w:pStyle w:val="FootnoteText"/>
      </w:pPr>
      <w:r>
        <w:rPr>
          <w:rStyle w:val="FootnoteReference"/>
        </w:rPr>
        <w:footnoteRef/>
      </w:r>
      <w:r>
        <w:t xml:space="preserve"> </w:t>
      </w:r>
      <w:r w:rsidRPr="008615D4">
        <w:t xml:space="preserve">Martha Himmelfarb, </w:t>
      </w:r>
      <w:r w:rsidRPr="001D55B2">
        <w:rPr>
          <w:i/>
          <w:iCs/>
        </w:rPr>
        <w:t>"Judaism And Hellenism In 2 Maccabees",</w:t>
      </w:r>
      <w:r w:rsidRPr="008615D4">
        <w:t xml:space="preserve"> Poetics Today, 19.1 (1998</w:t>
      </w:r>
      <w:proofErr w:type="gramStart"/>
      <w:r w:rsidRPr="008615D4">
        <w:t>).</w:t>
      </w:r>
      <w:r>
        <w:t>p.</w:t>
      </w:r>
      <w:proofErr w:type="gramEnd"/>
      <w:r>
        <w:t>21.</w:t>
      </w:r>
    </w:p>
  </w:footnote>
  <w:footnote w:id="11">
    <w:p w14:paraId="612C4E85" w14:textId="35B96CDA" w:rsidR="00AD4EEF" w:rsidRDefault="00AD4EEF">
      <w:pPr>
        <w:pStyle w:val="FootnoteText"/>
      </w:pPr>
      <w:r>
        <w:rPr>
          <w:rStyle w:val="FootnoteReference"/>
        </w:rPr>
        <w:footnoteRef/>
      </w:r>
      <w:r>
        <w:t xml:space="preserve"> </w:t>
      </w:r>
      <w:r w:rsidRPr="00AD4EEF">
        <w:t xml:space="preserve">Noam Zion, </w:t>
      </w:r>
      <w:r w:rsidRPr="001D55B2">
        <w:rPr>
          <w:i/>
          <w:iCs/>
        </w:rPr>
        <w:t>"The Book Of Second Maccabees | My Jewish Learning",</w:t>
      </w:r>
      <w:r w:rsidRPr="00AD4EEF">
        <w:t xml:space="preserve"> My Jewish Learning </w:t>
      </w:r>
      <w:hyperlink r:id="rId6" w:history="1">
        <w:r w:rsidRPr="005B24AE">
          <w:rPr>
            <w:rStyle w:val="Hyperlink"/>
          </w:rPr>
          <w:t>https://www.myjewishlearning.com/article/the-book-of-second-maccabees/</w:t>
        </w:r>
      </w:hyperlink>
      <w:r>
        <w:t xml:space="preserve"> </w:t>
      </w:r>
      <w:r w:rsidRPr="00AD4EEF">
        <w:t>[Accessed 12 June 2020].</w:t>
      </w:r>
    </w:p>
  </w:footnote>
  <w:footnote w:id="12">
    <w:p w14:paraId="0BF0A746" w14:textId="1AD6FE79" w:rsidR="00BF1ED9" w:rsidRDefault="00BF1ED9">
      <w:pPr>
        <w:pStyle w:val="FootnoteText"/>
      </w:pPr>
      <w:r>
        <w:rPr>
          <w:rStyle w:val="FootnoteReference"/>
        </w:rPr>
        <w:footnoteRef/>
      </w:r>
      <w:r>
        <w:t xml:space="preserve"> </w:t>
      </w:r>
      <w:bookmarkStart w:id="1" w:name="_Hlk42864237"/>
      <w:r w:rsidRPr="00BF1ED9">
        <w:t xml:space="preserve">Daniel Schwartz, </w:t>
      </w:r>
      <w:r w:rsidRPr="001D55B2">
        <w:rPr>
          <w:i/>
          <w:iCs/>
        </w:rPr>
        <w:t>Lecture On 1 And 2 Maccabees,</w:t>
      </w:r>
      <w:r w:rsidRPr="00BF1ED9">
        <w:t xml:space="preserve"> 2018 </w:t>
      </w:r>
      <w:hyperlink r:id="rId7" w:history="1">
        <w:r w:rsidRPr="005B24AE">
          <w:rPr>
            <w:rStyle w:val="Hyperlink"/>
          </w:rPr>
          <w:t>https://www.youtube.com/watch?v=5RQhysxU2GU</w:t>
        </w:r>
      </w:hyperlink>
      <w:r>
        <w:t xml:space="preserve"> </w:t>
      </w:r>
      <w:r w:rsidRPr="00BF1ED9">
        <w:t>[Accessed 12 June 2020].</w:t>
      </w:r>
      <w:r>
        <w:t>11:18-11:36.</w:t>
      </w:r>
      <w:bookmarkEnd w:id="1"/>
    </w:p>
  </w:footnote>
  <w:footnote w:id="13">
    <w:p w14:paraId="2C7D8C72" w14:textId="2EEBBDAB" w:rsidR="00BF1ED9" w:rsidRDefault="00BF1ED9">
      <w:pPr>
        <w:pStyle w:val="FootnoteText"/>
      </w:pPr>
      <w:r>
        <w:rPr>
          <w:rStyle w:val="FootnoteReference"/>
        </w:rPr>
        <w:footnoteRef/>
      </w:r>
      <w:r>
        <w:t xml:space="preserve"> </w:t>
      </w:r>
      <w:bookmarkStart w:id="2" w:name="_Hlk42863430"/>
      <w:r w:rsidRPr="00BF1ED9">
        <w:t xml:space="preserve">Martha Himmelfarb, </w:t>
      </w:r>
      <w:r w:rsidRPr="001D55B2">
        <w:rPr>
          <w:i/>
          <w:iCs/>
        </w:rPr>
        <w:t xml:space="preserve">"Judaism And Hellenism In 2 Maccabees", </w:t>
      </w:r>
      <w:r w:rsidRPr="00BF1ED9">
        <w:t>Poetics Today, 19.1 (1998</w:t>
      </w:r>
      <w:proofErr w:type="gramStart"/>
      <w:r w:rsidRPr="00BF1ED9">
        <w:t>).p.</w:t>
      </w:r>
      <w:proofErr w:type="gramEnd"/>
      <w:r>
        <w:t>21.</w:t>
      </w:r>
      <w:bookmarkEnd w:id="2"/>
    </w:p>
  </w:footnote>
  <w:footnote w:id="14">
    <w:p w14:paraId="6B8B462D" w14:textId="68E424AC" w:rsidR="00B53E9B" w:rsidRDefault="00B53E9B">
      <w:pPr>
        <w:pStyle w:val="FootnoteText"/>
      </w:pPr>
      <w:r>
        <w:rPr>
          <w:rStyle w:val="FootnoteReference"/>
        </w:rPr>
        <w:footnoteRef/>
      </w:r>
      <w:r>
        <w:t xml:space="preserve"> </w:t>
      </w:r>
      <w:r w:rsidRPr="00B53E9B">
        <w:t xml:space="preserve">Martha Himmelfarb, </w:t>
      </w:r>
      <w:r w:rsidRPr="001D55B2">
        <w:rPr>
          <w:i/>
          <w:iCs/>
        </w:rPr>
        <w:t xml:space="preserve">"Judaism And Hellenism In 2 Maccabees", </w:t>
      </w:r>
      <w:r w:rsidRPr="00B53E9B">
        <w:t>Poetics Today, 19.1 (1998</w:t>
      </w:r>
      <w:proofErr w:type="gramStart"/>
      <w:r w:rsidRPr="00B53E9B">
        <w:t>).p.</w:t>
      </w:r>
      <w:proofErr w:type="gramEnd"/>
      <w:r>
        <w:t>27.</w:t>
      </w:r>
    </w:p>
  </w:footnote>
  <w:footnote w:id="15">
    <w:p w14:paraId="5FB17B2A" w14:textId="16F92930" w:rsidR="001073E1" w:rsidRDefault="001073E1">
      <w:pPr>
        <w:pStyle w:val="FootnoteText"/>
      </w:pPr>
      <w:r>
        <w:rPr>
          <w:rStyle w:val="FootnoteReference"/>
        </w:rPr>
        <w:footnoteRef/>
      </w:r>
      <w:r>
        <w:t xml:space="preserve"> </w:t>
      </w:r>
      <w:r w:rsidRPr="001073E1">
        <w:t xml:space="preserve">Daniel Schwartz, </w:t>
      </w:r>
      <w:r w:rsidRPr="001D55B2">
        <w:rPr>
          <w:i/>
          <w:iCs/>
        </w:rPr>
        <w:t>Lecture On 1 And 2 Maccabees,</w:t>
      </w:r>
      <w:r w:rsidRPr="001073E1">
        <w:t xml:space="preserve"> 2018 </w:t>
      </w:r>
      <w:hyperlink r:id="rId8" w:history="1">
        <w:r w:rsidR="006B03B6" w:rsidRPr="005B24AE">
          <w:rPr>
            <w:rStyle w:val="Hyperlink"/>
          </w:rPr>
          <w:t>https://www.youtube.com/watch?v=5RQhysxU2GU</w:t>
        </w:r>
      </w:hyperlink>
      <w:r w:rsidR="006B03B6">
        <w:t xml:space="preserve"> </w:t>
      </w:r>
      <w:r w:rsidRPr="001073E1">
        <w:t>[Accessed 12 June 2020].</w:t>
      </w:r>
      <w:r>
        <w:t>16:35-16:48.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B0C351" w14:textId="03153D18" w:rsidR="00B82FCF" w:rsidRDefault="00B82FCF">
    <w:pPr>
      <w:pStyle w:val="Header"/>
    </w:pPr>
    <w:r>
      <w:t>Exam</w:t>
    </w:r>
    <w:r>
      <w:tab/>
      <w:t>HPRS6008</w:t>
    </w:r>
    <w:r>
      <w:tab/>
      <w:t>1700646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CF"/>
    <w:rsid w:val="00040743"/>
    <w:rsid w:val="000C413B"/>
    <w:rsid w:val="001073E1"/>
    <w:rsid w:val="001A4F9C"/>
    <w:rsid w:val="001D55B2"/>
    <w:rsid w:val="002556BC"/>
    <w:rsid w:val="002D4C34"/>
    <w:rsid w:val="004C7A0B"/>
    <w:rsid w:val="00640439"/>
    <w:rsid w:val="00656979"/>
    <w:rsid w:val="00690B06"/>
    <w:rsid w:val="006B03B6"/>
    <w:rsid w:val="006C18E7"/>
    <w:rsid w:val="006D50BA"/>
    <w:rsid w:val="007C5917"/>
    <w:rsid w:val="008615D4"/>
    <w:rsid w:val="00895F17"/>
    <w:rsid w:val="008B45F5"/>
    <w:rsid w:val="008C73AD"/>
    <w:rsid w:val="00A67501"/>
    <w:rsid w:val="00AD4EEF"/>
    <w:rsid w:val="00B53E9B"/>
    <w:rsid w:val="00B82FCF"/>
    <w:rsid w:val="00BA7B6E"/>
    <w:rsid w:val="00BF1ED9"/>
    <w:rsid w:val="00C2156B"/>
    <w:rsid w:val="00C822C1"/>
    <w:rsid w:val="00D75004"/>
    <w:rsid w:val="00E11EED"/>
    <w:rsid w:val="00EA47E7"/>
    <w:rsid w:val="00F6067F"/>
    <w:rsid w:val="00F649D6"/>
    <w:rsid w:val="00F72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D55B9"/>
  <w15:chartTrackingRefBased/>
  <w15:docId w15:val="{48C05196-0525-4106-B544-5F045EF71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2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FCF"/>
  </w:style>
  <w:style w:type="paragraph" w:styleId="Footer">
    <w:name w:val="footer"/>
    <w:basedOn w:val="Normal"/>
    <w:link w:val="FooterChar"/>
    <w:uiPriority w:val="99"/>
    <w:unhideWhenUsed/>
    <w:rsid w:val="00B82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FCF"/>
  </w:style>
  <w:style w:type="paragraph" w:styleId="FootnoteText">
    <w:name w:val="footnote text"/>
    <w:basedOn w:val="Normal"/>
    <w:link w:val="FootnoteTextChar"/>
    <w:uiPriority w:val="99"/>
    <w:semiHidden/>
    <w:unhideWhenUsed/>
    <w:rsid w:val="004C7A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7A0B"/>
    <w:rPr>
      <w:sz w:val="20"/>
      <w:szCs w:val="20"/>
    </w:rPr>
  </w:style>
  <w:style w:type="character" w:styleId="FootnoteReference">
    <w:name w:val="footnote reference"/>
    <w:basedOn w:val="DefaultParagraphFont"/>
    <w:uiPriority w:val="99"/>
    <w:semiHidden/>
    <w:unhideWhenUsed/>
    <w:rsid w:val="004C7A0B"/>
    <w:rPr>
      <w:vertAlign w:val="superscript"/>
    </w:rPr>
  </w:style>
  <w:style w:type="character" w:styleId="Hyperlink">
    <w:name w:val="Hyperlink"/>
    <w:basedOn w:val="DefaultParagraphFont"/>
    <w:uiPriority w:val="99"/>
    <w:unhideWhenUsed/>
    <w:rsid w:val="004C7A0B"/>
    <w:rPr>
      <w:color w:val="0563C1" w:themeColor="hyperlink"/>
      <w:u w:val="single"/>
    </w:rPr>
  </w:style>
  <w:style w:type="character" w:styleId="UnresolvedMention">
    <w:name w:val="Unresolved Mention"/>
    <w:basedOn w:val="DefaultParagraphFont"/>
    <w:uiPriority w:val="99"/>
    <w:semiHidden/>
    <w:unhideWhenUsed/>
    <w:rsid w:val="004C7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5RQhysxU2GU"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cyclopedia.com/philosophy-and-religion/bible/bible-apocrypha/maccabe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myjewishlearning.com/article/the-book-of-second-maccabees/" TargetMode="External"/><Relationship Id="rId4" Type="http://schemas.openxmlformats.org/officeDocument/2006/relationships/webSettings" Target="webSettings.xml"/><Relationship Id="rId9" Type="http://schemas.openxmlformats.org/officeDocument/2006/relationships/hyperlink" Target="https://www.britannica.com/topic/The-Books-of-the-Maccabee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5RQhysxU2GU" TargetMode="External"/><Relationship Id="rId3" Type="http://schemas.openxmlformats.org/officeDocument/2006/relationships/hyperlink" Target="https://www.myjewishlearning.com/article/the-book-of-second-maccabees/" TargetMode="External"/><Relationship Id="rId7" Type="http://schemas.openxmlformats.org/officeDocument/2006/relationships/hyperlink" Target="https://www.youtube.com/watch?v=5RQhysxU2GU" TargetMode="External"/><Relationship Id="rId2" Type="http://schemas.openxmlformats.org/officeDocument/2006/relationships/hyperlink" Target="https://www.myjewishlearning.com/article/the-book-of-second-maccabees/" TargetMode="External"/><Relationship Id="rId1" Type="http://schemas.openxmlformats.org/officeDocument/2006/relationships/hyperlink" Target="https://www.britannica.com/topic/The-Books-of-the-Maccabees" TargetMode="External"/><Relationship Id="rId6" Type="http://schemas.openxmlformats.org/officeDocument/2006/relationships/hyperlink" Target="https://www.myjewishlearning.com/article/the-book-of-second-maccabees/" TargetMode="External"/><Relationship Id="rId5" Type="http://schemas.openxmlformats.org/officeDocument/2006/relationships/hyperlink" Target="https://www.youtube.com/watch?v=5RQhysxU2GU" TargetMode="External"/><Relationship Id="rId4" Type="http://schemas.openxmlformats.org/officeDocument/2006/relationships/hyperlink" Target="https://www.myjewishlearning.com/article/the-book-of-second-maccab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FF7BC-5782-446E-BF93-F714B6B0A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2413</Words>
  <Characters>13759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Seale</dc:creator>
  <cp:keywords/>
  <dc:description/>
  <cp:lastModifiedBy>Amy Seale</cp:lastModifiedBy>
  <cp:revision>2</cp:revision>
  <dcterms:created xsi:type="dcterms:W3CDTF">2020-06-12T14:56:00Z</dcterms:created>
  <dcterms:modified xsi:type="dcterms:W3CDTF">2020-06-12T14:56:00Z</dcterms:modified>
</cp:coreProperties>
</file>