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09D99" w14:textId="17F8DD16" w:rsidR="00654B18" w:rsidRPr="00444F58" w:rsidRDefault="00444F58">
      <w:pPr>
        <w:rPr>
          <w:sz w:val="24"/>
          <w:szCs w:val="24"/>
          <w:u w:val="single"/>
        </w:rPr>
      </w:pPr>
      <w:r w:rsidRPr="00444F58">
        <w:rPr>
          <w:sz w:val="24"/>
          <w:szCs w:val="24"/>
          <w:u w:val="single"/>
        </w:rPr>
        <w:t>Classical Mythology in Roman and Medieval Times:</w:t>
      </w:r>
    </w:p>
    <w:p w14:paraId="414665D7" w14:textId="7399F585" w:rsidR="00444F58" w:rsidRPr="00444F58" w:rsidRDefault="00444F58">
      <w:pPr>
        <w:rPr>
          <w:sz w:val="24"/>
          <w:szCs w:val="24"/>
          <w:u w:val="single"/>
        </w:rPr>
      </w:pPr>
      <w:r w:rsidRPr="00444F58">
        <w:rPr>
          <w:sz w:val="24"/>
          <w:szCs w:val="24"/>
          <w:u w:val="single"/>
        </w:rPr>
        <w:t xml:space="preserve">Assignment 3: Analyse the function of the depiction of Achilles’ education and/or upbringing in any one or two Latin texts focused upon in this module. </w:t>
      </w:r>
    </w:p>
    <w:p w14:paraId="7032B02A" w14:textId="77777777" w:rsidR="00515512" w:rsidRDefault="00F265AA" w:rsidP="00515512">
      <w:r>
        <w:t xml:space="preserve">Being able to discover, interpret and appreciate the ancient past is a wonder many enjoy in the present. The various puzzle pieces left behind by great cities and their people can simultaneously feel overwhelmingly abundant and yet frustratingly deficient. What we do know about the ancient world has </w:t>
      </w:r>
      <w:r w:rsidR="00B111D6">
        <w:t>shaped modern life through its lasting legacy in innumerable ways to an incalculable impact. Perhaps what is greatest about that which survived, to share insight and guidance for centuries, is the literature.</w:t>
      </w:r>
      <w:r w:rsidR="00C11959">
        <w:t xml:space="preserve"> </w:t>
      </w:r>
      <w:r w:rsidR="00F11E87">
        <w:t xml:space="preserve">It is through poems; plays and prose we gain access to more than historical reality.  </w:t>
      </w:r>
      <w:r w:rsidR="00C11959">
        <w:t>Famous figures and their stories are recorded, reinvented and reintroduced time and again by ancient authors through different genres, periods and societies.</w:t>
      </w:r>
      <w:r w:rsidR="00F11E87">
        <w:t xml:space="preserve"> </w:t>
      </w:r>
    </w:p>
    <w:p w14:paraId="73252515" w14:textId="7BFF24AE" w:rsidR="00223F9F" w:rsidRPr="00C93E38" w:rsidRDefault="00515512">
      <w:r>
        <w:t>Arguably the most recognisable genre from the ancient world is epic, indeed the, “master-genre”,</w:t>
      </w:r>
      <w:r>
        <w:rPr>
          <w:rStyle w:val="FootnoteReference"/>
        </w:rPr>
        <w:footnoteReference w:id="1"/>
      </w:r>
      <w:r>
        <w:t xml:space="preserve"> of antiquity. Immense appreciation has been placed upon this genre in terms of educational value</w:t>
      </w:r>
      <w:r w:rsidRPr="00A10543">
        <w:t xml:space="preserve"> </w:t>
      </w:r>
      <w:r>
        <w:t xml:space="preserve">in particular. Homeric epics, specifically </w:t>
      </w:r>
      <w:r>
        <w:rPr>
          <w:i/>
          <w:iCs/>
        </w:rPr>
        <w:t xml:space="preserve">The Iliad </w:t>
      </w:r>
      <w:r>
        <w:t xml:space="preserve">and </w:t>
      </w:r>
      <w:r>
        <w:rPr>
          <w:i/>
          <w:iCs/>
        </w:rPr>
        <w:t xml:space="preserve">The Odyssey, </w:t>
      </w:r>
      <w:r>
        <w:t>were a major factor in ancient education to the degree that pseudo-Plutarch notes Homer is the first poet students learned to read.</w:t>
      </w:r>
      <w:r>
        <w:rPr>
          <w:rStyle w:val="FootnoteReference"/>
        </w:rPr>
        <w:footnoteReference w:id="2"/>
      </w:r>
      <w:r>
        <w:t xml:space="preserve"> Because of this a well-established Homeric tradition linked together expected</w:t>
      </w:r>
      <w:r w:rsidRPr="005D2086">
        <w:t xml:space="preserve"> </w:t>
      </w:r>
      <w:r>
        <w:t xml:space="preserve">characters or plot points to this popular </w:t>
      </w:r>
      <w:r w:rsidRPr="005D2086">
        <w:t>pseudo historical fiction</w:t>
      </w:r>
      <w:r>
        <w:t>.</w:t>
      </w:r>
      <w:r w:rsidRPr="00515512">
        <w:t xml:space="preserve"> </w:t>
      </w:r>
      <w:r>
        <w:t xml:space="preserve">However, the way in which these traditional aspects were included or utilised </w:t>
      </w:r>
      <w:r w:rsidR="003B53D4">
        <w:t xml:space="preserve">by later authors </w:t>
      </w:r>
      <w:r>
        <w:t xml:space="preserve">was entirely malleable. This offered </w:t>
      </w:r>
      <w:r w:rsidR="003B53D4">
        <w:t>them</w:t>
      </w:r>
      <w:r>
        <w:t xml:space="preserve"> a</w:t>
      </w:r>
      <w:r w:rsidR="003B53D4">
        <w:t xml:space="preserve">n </w:t>
      </w:r>
      <w:r>
        <w:t>instantly recognisable narrative</w:t>
      </w:r>
      <w:r w:rsidR="003B53D4">
        <w:t xml:space="preserve"> which they could take advantage of </w:t>
      </w:r>
      <w:r>
        <w:t>as a base for their own individual ideas, concepts or social commentary</w:t>
      </w:r>
      <w:r w:rsidR="00223F9F">
        <w:t xml:space="preserve"> to be mapped upon or woven into</w:t>
      </w:r>
      <w:r w:rsidR="003B53D4">
        <w:t xml:space="preserve">. </w:t>
      </w:r>
      <w:r>
        <w:rPr>
          <w:i/>
          <w:iCs/>
        </w:rPr>
        <w:t xml:space="preserve">The Iliad, </w:t>
      </w:r>
      <w:r w:rsidR="003B53D4">
        <w:t xml:space="preserve">in </w:t>
      </w:r>
      <w:r>
        <w:t>particular</w:t>
      </w:r>
      <w:r w:rsidR="003B53D4">
        <w:t xml:space="preserve"> was relatively </w:t>
      </w:r>
      <w:r>
        <w:t>popular in Hellenistic and Roman schooling</w:t>
      </w:r>
      <w:r w:rsidR="003B53D4">
        <w:t xml:space="preserve">, more so than </w:t>
      </w:r>
      <w:r w:rsidR="003B53D4">
        <w:rPr>
          <w:i/>
          <w:iCs/>
        </w:rPr>
        <w:t>The Odyssey</w:t>
      </w:r>
      <w:r>
        <w:t>.</w:t>
      </w:r>
      <w:r>
        <w:rPr>
          <w:rStyle w:val="FootnoteReference"/>
        </w:rPr>
        <w:footnoteReference w:id="3"/>
      </w:r>
      <w:r w:rsidR="00223F9F" w:rsidRPr="00223F9F">
        <w:t xml:space="preserve"> </w:t>
      </w:r>
      <w:r w:rsidR="00223F9F">
        <w:t xml:space="preserve">Having learned </w:t>
      </w:r>
      <w:r w:rsidR="00223F9F">
        <w:rPr>
          <w:i/>
          <w:iCs/>
        </w:rPr>
        <w:t>The Iliad</w:t>
      </w:r>
      <w:r w:rsidR="00223F9F">
        <w:t xml:space="preserve"> so early in life, to such a high degree of knowledge and understanding, many Roman authors were able to creatively and uniquely make use of it in their own works. They were able to take singular characters, relationships, themes and events out of the main story and incorporate them into entirely new settings and situations. Ovid takes multiple Homeric heroes, not typically presented through a lover’s lens, </w:t>
      </w:r>
      <w:r w:rsidR="00C93E38">
        <w:t>and uses</w:t>
      </w:r>
      <w:r w:rsidR="00223F9F">
        <w:t xml:space="preserve"> them in love elegy in his </w:t>
      </w:r>
      <w:proofErr w:type="spellStart"/>
      <w:r w:rsidR="00223F9F">
        <w:rPr>
          <w:i/>
          <w:iCs/>
        </w:rPr>
        <w:t>Heroides</w:t>
      </w:r>
      <w:proofErr w:type="spellEnd"/>
      <w:r w:rsidR="00223F9F">
        <w:rPr>
          <w:i/>
          <w:iCs/>
        </w:rPr>
        <w:t>.</w:t>
      </w:r>
      <w:r w:rsidR="00223F9F">
        <w:t xml:space="preserve"> </w:t>
      </w:r>
      <w:r w:rsidR="00C93E38">
        <w:t xml:space="preserve">Virgil used it as an inspiration for his epic praising and emphasising Augustus’ ancestral link to Aeneas. Whilst </w:t>
      </w:r>
      <w:r w:rsidR="00223F9F">
        <w:t xml:space="preserve">Lucan utilised the theme of war as a way to critique Rome’s civil </w:t>
      </w:r>
      <w:r w:rsidR="00C93E38">
        <w:t xml:space="preserve">unrest. Statius decided to focus upon the life of Achilles, and it is his </w:t>
      </w:r>
      <w:proofErr w:type="spellStart"/>
      <w:r w:rsidR="00C93E38">
        <w:rPr>
          <w:i/>
          <w:iCs/>
        </w:rPr>
        <w:t>Achilleid</w:t>
      </w:r>
      <w:proofErr w:type="spellEnd"/>
      <w:r w:rsidR="00C93E38">
        <w:t xml:space="preserve"> that shall be discussed further. </w:t>
      </w:r>
    </w:p>
    <w:p w14:paraId="0061A321" w14:textId="660B88C6" w:rsidR="00515512" w:rsidRDefault="00B7012D">
      <w:r>
        <w:t>Statius</w:t>
      </w:r>
      <w:r w:rsidR="00174CAA">
        <w:t xml:space="preserve">, </w:t>
      </w:r>
      <w:r>
        <w:t>writing under Domitian in the 1</w:t>
      </w:r>
      <w:r w:rsidRPr="00B7012D">
        <w:rPr>
          <w:vertAlign w:val="superscript"/>
        </w:rPr>
        <w:t>st</w:t>
      </w:r>
      <w:r>
        <w:t xml:space="preserve"> century AD</w:t>
      </w:r>
      <w:r w:rsidR="00174CAA">
        <w:t xml:space="preserve">, produced </w:t>
      </w:r>
      <w:r w:rsidR="00174CAA">
        <w:rPr>
          <w:i/>
          <w:iCs/>
        </w:rPr>
        <w:t xml:space="preserve">The </w:t>
      </w:r>
      <w:proofErr w:type="spellStart"/>
      <w:r w:rsidR="00174CAA">
        <w:rPr>
          <w:i/>
          <w:iCs/>
        </w:rPr>
        <w:t>Achilleid</w:t>
      </w:r>
      <w:proofErr w:type="spellEnd"/>
      <w:r w:rsidR="00174CAA">
        <w:t>,</w:t>
      </w:r>
      <w:r w:rsidR="00FE2358" w:rsidRPr="00FE2358">
        <w:t xml:space="preserve"> </w:t>
      </w:r>
      <w:r w:rsidR="00C93E38">
        <w:t>in his hope of being able to, “traverse the whole hero”.</w:t>
      </w:r>
      <w:r w:rsidR="00C93E38">
        <w:rPr>
          <w:rStyle w:val="FootnoteReference"/>
        </w:rPr>
        <w:footnoteReference w:id="4"/>
      </w:r>
      <w:r w:rsidR="00C93E38">
        <w:t xml:space="preserve"> This shows </w:t>
      </w:r>
      <w:r w:rsidR="00FE2358">
        <w:t>his desire to go beyond Achilles’ Homeric role and outline his life in full from cradle to grave</w:t>
      </w:r>
      <w:r w:rsidR="00C93E38">
        <w:t xml:space="preserve">. </w:t>
      </w:r>
      <w:r w:rsidR="00367454">
        <w:t xml:space="preserve">Unfortunately, he did not complete this task and the </w:t>
      </w:r>
      <w:r w:rsidR="00174CAA">
        <w:t>work remains unfinished</w:t>
      </w:r>
      <w:r w:rsidR="00FE2358">
        <w:t>. L</w:t>
      </w:r>
      <w:r w:rsidR="00174CAA">
        <w:t>ikely due to Statius death in 95AD</w:t>
      </w:r>
      <w:r w:rsidR="00367454">
        <w:t xml:space="preserve">, the </w:t>
      </w:r>
      <w:r w:rsidR="00174CAA">
        <w:t xml:space="preserve">first book and a handful of lines from the second are </w:t>
      </w:r>
      <w:r w:rsidR="00367454">
        <w:t>all he managed to comple</w:t>
      </w:r>
      <w:r w:rsidR="00FE2358">
        <w:t>te</w:t>
      </w:r>
      <w:r w:rsidR="00367454">
        <w:t>.</w:t>
      </w:r>
      <w:r w:rsidR="00D008A7">
        <w:rPr>
          <w:rStyle w:val="FootnoteReference"/>
        </w:rPr>
        <w:footnoteReference w:id="5"/>
      </w:r>
      <w:r w:rsidR="00367454">
        <w:t xml:space="preserve"> Despite being only a fraction of what he </w:t>
      </w:r>
      <w:r w:rsidR="00FE2358">
        <w:t>intended</w:t>
      </w:r>
      <w:r w:rsidR="00367454">
        <w:t xml:space="preserve"> to produce the first book nevertheless offers plenty to discuss. </w:t>
      </w:r>
      <w:r w:rsidR="00FE2358">
        <w:t xml:space="preserve">The book details Achilles’ mother Thetis attempting to keep him safe from harm by preventing him joining the Trojan War. In her desperation she places him in the court of King </w:t>
      </w:r>
      <w:proofErr w:type="spellStart"/>
      <w:r w:rsidR="00FE2358">
        <w:t>Lycomedes</w:t>
      </w:r>
      <w:proofErr w:type="spellEnd"/>
      <w:r w:rsidR="00FE2358">
        <w:t xml:space="preserve"> on the island of Scyros dressed in the guise of a maiden. </w:t>
      </w:r>
      <w:r w:rsidR="00515512">
        <w:t>All her efforts prove to have been in vain when Odysseus traps Achilles into exposing himself</w:t>
      </w:r>
      <w:r w:rsidR="00C93E38">
        <w:t>,</w:t>
      </w:r>
      <w:r w:rsidR="00515512">
        <w:t xml:space="preserve"> thus having to join his fellow heroes anyway. </w:t>
      </w:r>
      <w:r w:rsidR="00FE2358">
        <w:t xml:space="preserve">During the book there are multiple mentions made to the upbringing of Achilles as well as to his education. </w:t>
      </w:r>
      <w:r w:rsidR="00515512">
        <w:t xml:space="preserve">It is important to consider why Statius </w:t>
      </w:r>
      <w:r w:rsidR="00515512">
        <w:lastRenderedPageBreak/>
        <w:t xml:space="preserve">chooses to include Achilles’ childhood and development and how his depiction of such things allows them to function both within the narrative itself and in a wider context. </w:t>
      </w:r>
    </w:p>
    <w:p w14:paraId="34115089" w14:textId="5B7F6ECC" w:rsidR="00A51DA5" w:rsidRDefault="009357AC" w:rsidP="00B22413">
      <w:r>
        <w:t>Thetis refers to the birth of Achilles as, “unequal”,</w:t>
      </w:r>
      <w:r>
        <w:rPr>
          <w:rStyle w:val="FootnoteReference"/>
        </w:rPr>
        <w:footnoteReference w:id="6"/>
      </w:r>
      <w:r>
        <w:t xml:space="preserve"> and it is important to understand why this is a key factor. </w:t>
      </w:r>
      <w:r w:rsidR="00D008A7">
        <w:t>Achilles is somewhat unique among heroes in that he is born of a Goddess and mortal male</w:t>
      </w:r>
      <w:r w:rsidR="00B22413">
        <w:t xml:space="preserve">. Whist he is not alone in this, Aeneas for example has Venus as his divine parent, there are many more examples to be found of heroes born from male divinity.  </w:t>
      </w:r>
      <w:r w:rsidR="00D008A7">
        <w:t>The likes of Perseus and Pollux claim divine parentage from Zeus, Theseus and Orion were fathered by Poseidon whilst the Roman Hercules was a son of Jupiter</w:t>
      </w:r>
      <w:r w:rsidR="00B22413">
        <w:t>.</w:t>
      </w:r>
      <w:r w:rsidR="008170B4">
        <w:t xml:space="preserve"> Given that Achilles gets his heroic strength and vigour through his mother’s divinity it is possible he may be seen or described as tilting toward a more feminine nature. </w:t>
      </w:r>
      <w:r w:rsidR="007B2369">
        <w:t xml:space="preserve">During Statius’ time there was </w:t>
      </w:r>
      <w:r w:rsidR="00A51DA5">
        <w:t>concern and anxiety surrounding boys and their upbringing without sufficient masculine influence aiding their development.</w:t>
      </w:r>
      <w:r w:rsidR="00A51DA5">
        <w:rPr>
          <w:rStyle w:val="FootnoteReference"/>
        </w:rPr>
        <w:footnoteReference w:id="7"/>
      </w:r>
      <w:r w:rsidR="00A51DA5">
        <w:t xml:space="preserve"> There was also a fear of mothers having too much influence over their sons which could cause corruption.</w:t>
      </w:r>
      <w:r w:rsidR="00E04823" w:rsidRPr="00E04823">
        <w:rPr>
          <w:rStyle w:val="FootnoteReference"/>
        </w:rPr>
        <w:t xml:space="preserve"> </w:t>
      </w:r>
      <w:r w:rsidR="00E04823">
        <w:rPr>
          <w:rStyle w:val="FootnoteReference"/>
        </w:rPr>
        <w:footnoteReference w:id="8"/>
      </w:r>
      <w:r w:rsidR="008170B4">
        <w:t xml:space="preserve"> This is likely a </w:t>
      </w:r>
      <w:r w:rsidR="00E04823">
        <w:t xml:space="preserve">reaction to the increasing importance and inclusion of women in Imperial Rome as a whole. The change from Republic to Empire lead by Augustus allowed women of the Imperial household a level of significance not seen before. Following the emperorship of Nero and the allegations of his </w:t>
      </w:r>
      <w:r w:rsidR="008170B4">
        <w:t>mother’s</w:t>
      </w:r>
      <w:r w:rsidR="00E04823">
        <w:t xml:space="preserve"> hold over him</w:t>
      </w:r>
      <w:r w:rsidR="008170B4">
        <w:t>,</w:t>
      </w:r>
      <w:r w:rsidR="00E04823">
        <w:t xml:space="preserve"> in his early years as Emperor, a</w:t>
      </w:r>
      <w:r w:rsidR="008170B4">
        <w:t>n</w:t>
      </w:r>
      <w:r w:rsidR="00E04823">
        <w:t xml:space="preserve"> </w:t>
      </w:r>
      <w:r w:rsidR="008170B4">
        <w:t xml:space="preserve">unease and suspicion of women and the ways they might emasculate their sons, husbands and fathers is not unwarranted for a Roman male. Statius chooses to deal with this problem of masculinity and motherly control </w:t>
      </w:r>
      <w:r w:rsidR="00751810">
        <w:t>by</w:t>
      </w:r>
      <w:r w:rsidR="008170B4">
        <w:t xml:space="preserve"> having Achilles separated from his mother to be brought up by the centaur Chiron. </w:t>
      </w:r>
      <w:r w:rsidR="00751810">
        <w:t>Thus,</w:t>
      </w:r>
      <w:r w:rsidR="008170B4">
        <w:t xml:space="preserve"> removing the possibility of emasculation from too much contact with his mother and overcompensat</w:t>
      </w:r>
      <w:r w:rsidR="00751810">
        <w:t>ing</w:t>
      </w:r>
      <w:r w:rsidR="008170B4">
        <w:t xml:space="preserve"> with a hyper masculine role model</w:t>
      </w:r>
      <w:r w:rsidR="00751810">
        <w:t>.</w:t>
      </w:r>
    </w:p>
    <w:p w14:paraId="23D96583" w14:textId="77777777" w:rsidR="00265DC6" w:rsidRDefault="00134E48" w:rsidP="00B22413">
      <w:r>
        <w:t xml:space="preserve">Scattered throughout the </w:t>
      </w:r>
      <w:proofErr w:type="spellStart"/>
      <w:r>
        <w:rPr>
          <w:i/>
          <w:iCs/>
        </w:rPr>
        <w:t>Achilleid</w:t>
      </w:r>
      <w:proofErr w:type="spellEnd"/>
      <w:r>
        <w:t xml:space="preserve"> are accounts of Achilles’ upbringing on mount Pelion under the care of Chiron. </w:t>
      </w:r>
      <w:r w:rsidR="000E0A92">
        <w:t>Despite being a cave, it is said that Chiron’s home is quite dissimilar to his fellow centaurs in that there are, “no darts”, and, “no combats”.</w:t>
      </w:r>
      <w:r w:rsidR="000E0A92">
        <w:rPr>
          <w:rStyle w:val="FootnoteReference"/>
        </w:rPr>
        <w:footnoteReference w:id="9"/>
      </w:r>
      <w:r w:rsidR="000E0A92">
        <w:t xml:space="preserve"> It is clear that the focus of Achilles’ education</w:t>
      </w:r>
      <w:r w:rsidR="00E87045">
        <w:t xml:space="preserve"> was medicine and lyre playing whilst with Chiron, at least this is what Chiron emphasises when discussing it with Thetis. Later when Achilles gives his account of his upbringing it is markedly different. He outlines a far more wild and savage childhood with an emphasis placed on physical prowess. His food was</w:t>
      </w:r>
      <w:r w:rsidR="00EB79D1">
        <w:t xml:space="preserve"> the flesh from wild beasts he had hunted, he was expected to run along side his centaur guardian across vast mountain plains, he slept not upon on a bed but on the cold hard ground of the rocky cave floor.</w:t>
      </w:r>
      <w:r w:rsidR="00EB79D1">
        <w:rPr>
          <w:rStyle w:val="FootnoteReference"/>
        </w:rPr>
        <w:footnoteReference w:id="10"/>
      </w:r>
      <w:r w:rsidR="00EB79D1">
        <w:t xml:space="preserve"> Already a clear difference can be seen in the depiction of his upbringing. This stark contrast continues when Achilles goes on to describe the education he received, unlike in Chiron’s account, weapons and how to use them are involved. He claims to have been armed at a young age and to have a, “love of steel”.</w:t>
      </w:r>
      <w:r w:rsidR="00EB79D1">
        <w:rPr>
          <w:rStyle w:val="FootnoteReference"/>
        </w:rPr>
        <w:footnoteReference w:id="11"/>
      </w:r>
      <w:r w:rsidR="009D720B">
        <w:t xml:space="preserve"> Balance and light footing, two things notably useful in hand to hand combat, were taught by walking across a frozen lake without breaking the ice. </w:t>
      </w:r>
      <w:r w:rsidR="00F649A7">
        <w:t>Even more prevalence was given to fighting ability in that they had, “mock battles”, “wrestling matches”, and “boxing”.</w:t>
      </w:r>
      <w:r w:rsidR="00F649A7">
        <w:rPr>
          <w:rStyle w:val="FootnoteReference"/>
        </w:rPr>
        <w:footnoteReference w:id="12"/>
      </w:r>
      <w:r w:rsidR="00F649A7">
        <w:t xml:space="preserve"> It is only after establishing these elements that Achilles himself mentions the medical training and lyre playing. </w:t>
      </w:r>
    </w:p>
    <w:p w14:paraId="0C55B16A" w14:textId="511EAAA4" w:rsidR="00841F30" w:rsidRDefault="00F649A7" w:rsidP="00B22413">
      <w:r>
        <w:t>Having such distinctly different depictions of Achilles’ upbringing and education serves many functions for Statius</w:t>
      </w:r>
      <w:r w:rsidR="0034758B">
        <w:t xml:space="preserve"> and the characters</w:t>
      </w:r>
      <w:r>
        <w:t xml:space="preserve">. Contextually the obvious reason for the difference is a </w:t>
      </w:r>
      <w:r>
        <w:lastRenderedPageBreak/>
        <w:t>change in the intext narrator</w:t>
      </w:r>
      <w:r w:rsidR="00265DC6">
        <w:t>,</w:t>
      </w:r>
      <w:r>
        <w:t xml:space="preserve"> as well as who they are discussing it with. Chiron is meeting with Thetis and as such an assumed awareness of his approach should be recognised. It is not outlandish to assume that Thetis, being characterised here as a doting and loving mother, will have checked in on her son as he has progressed through life thus far.</w:t>
      </w:r>
      <w:r w:rsidR="00265DC6">
        <w:t xml:space="preserve"> For that reason, it is not necessary for Chiron to give extreme details of all the ways in which he has reared Achilles. One thing he does do is offer her a warning that he is becoming less containable and more insubordinate. This is briefly discussed in a casual way further justifying the notion that this depiction from Chiron is more like an update on Achilles’ current condition than anything else. </w:t>
      </w:r>
      <w:r w:rsidR="001514A2">
        <w:t>Although she is a Goddess Thetis is still</w:t>
      </w:r>
      <w:r w:rsidR="00E76F73">
        <w:t xml:space="preserve"> a </w:t>
      </w:r>
      <w:r w:rsidR="001514A2">
        <w:t>woman</w:t>
      </w:r>
      <w:r w:rsidR="00E76F73">
        <w:t xml:space="preserve"> and mother</w:t>
      </w:r>
      <w:r w:rsidR="001514A2">
        <w:t>,</w:t>
      </w:r>
      <w:r w:rsidR="00E76F73">
        <w:t xml:space="preserve"> it may not be appropriate nor necessary for </w:t>
      </w:r>
      <w:r w:rsidR="001514A2">
        <w:t>her</w:t>
      </w:r>
      <w:r w:rsidR="00E76F73">
        <w:t xml:space="preserve"> to hear </w:t>
      </w:r>
      <w:r w:rsidR="001514A2">
        <w:t xml:space="preserve">everything about her son’s youth, especially regarding the more militaristic aspects, as something typically men take care of. </w:t>
      </w:r>
      <w:r w:rsidR="00265DC6">
        <w:t xml:space="preserve">Of course, in Achilles’ case he as a narrator is less reliable given that he has only just joined the Greek heroes on their way to Troy. He is in an uncomfortable position </w:t>
      </w:r>
      <w:r w:rsidR="00962113">
        <w:t xml:space="preserve">having </w:t>
      </w:r>
      <w:r w:rsidR="00265DC6">
        <w:t>just been found hiding from the war on an island dressed and acting as a woman. In terms of first impressions this is not ideal for him nor for the heroes who were expecting a warrior, an excellent one at that. In order to redeem himself and reassure the men surrounding him he needs to prove that he is everything they need him to be for</w:t>
      </w:r>
      <w:r w:rsidR="000E504A">
        <w:t xml:space="preserve"> their</w:t>
      </w:r>
      <w:r w:rsidR="00265DC6">
        <w:t xml:space="preserve"> success in this war.</w:t>
      </w:r>
      <w:r w:rsidR="000E504A">
        <w:t xml:space="preserve"> His depiction of his upbringing therefore functions as a way to re-establish his masculinity as well as to impress the heroic legends standing before him.</w:t>
      </w:r>
    </w:p>
    <w:p w14:paraId="3353A98C" w14:textId="129362F3" w:rsidR="00134E48" w:rsidRDefault="0034758B" w:rsidP="00B22413">
      <w:r>
        <w:t xml:space="preserve">Outside of the actual narrative </w:t>
      </w:r>
      <w:r>
        <w:t>the depiction</w:t>
      </w:r>
      <w:r>
        <w:t>s serve another function for Statius in helping to establish a bigger theme within the book overall, the contrast of one thing with another. In relation to Chiron’s character it is possible to see two versions being depicted. In one instance he is passive and peaceful focused on how to help and heal others. In another he is abrasive and aggressive in his dedication to Achilles</w:t>
      </w:r>
      <w:r w:rsidR="00C366D0">
        <w:t>’</w:t>
      </w:r>
      <w:r>
        <w:t xml:space="preserve"> training and zeroes in on physical superiority and the ability to wield weaponry. Statius is able to make his characterisation of Chiron</w:t>
      </w:r>
      <w:r w:rsidR="000A680D">
        <w:t xml:space="preserve"> multifaceted and open to interpretation, “he is both a pacific and martial figure”.</w:t>
      </w:r>
      <w:r w:rsidR="000A680D">
        <w:rPr>
          <w:rStyle w:val="FootnoteReference"/>
        </w:rPr>
        <w:footnoteReference w:id="13"/>
      </w:r>
      <w:r w:rsidR="00C366D0">
        <w:t xml:space="preserve"> The nature of the two depictions allow Chiron’s character to exist in a narrative ambiguity.</w:t>
      </w:r>
      <w:r w:rsidR="00154F74">
        <w:t xml:space="preserve"> This is a theme throughout the book and can be seen in different forms throughout the gender of Achilles being another example. </w:t>
      </w:r>
    </w:p>
    <w:p w14:paraId="334C86EA" w14:textId="77777777" w:rsidR="008F6D4B" w:rsidRDefault="00E04823">
      <w:r>
        <w:t>The main focus of the book</w:t>
      </w:r>
      <w:r w:rsidRPr="009357AC">
        <w:t xml:space="preserve"> </w:t>
      </w:r>
      <w:r>
        <w:t xml:space="preserve">of the </w:t>
      </w:r>
      <w:proofErr w:type="spellStart"/>
      <w:r>
        <w:rPr>
          <w:i/>
          <w:iCs/>
        </w:rPr>
        <w:t>Achilleid</w:t>
      </w:r>
      <w:proofErr w:type="spellEnd"/>
      <w:r w:rsidRPr="009357AC">
        <w:t xml:space="preserve"> </w:t>
      </w:r>
      <w:r>
        <w:t xml:space="preserve">is Achilles hiding as a woman. The question of his gender and the performative nature of it, within the account, is </w:t>
      </w:r>
      <w:r w:rsidR="004D2B2E">
        <w:t>unavoidable. Whilst on Scyros Achilles has to dress</w:t>
      </w:r>
      <w:r w:rsidR="000A6D03">
        <w:t xml:space="preserve"> and act like a woman in order to keep up the disguise of a maiden and sister to the princesses there. Statius plays with this by mixing gendered terminology, “garments come upon </w:t>
      </w:r>
      <w:r w:rsidR="000A6D03">
        <w:rPr>
          <w:i/>
          <w:iCs/>
        </w:rPr>
        <w:t>his</w:t>
      </w:r>
      <w:r w:rsidR="000A6D03">
        <w:t xml:space="preserve"> breast”,</w:t>
      </w:r>
      <w:r w:rsidR="000A6D03">
        <w:rPr>
          <w:rStyle w:val="FootnoteReference"/>
        </w:rPr>
        <w:footnoteReference w:id="14"/>
      </w:r>
      <w:r w:rsidR="000A6D03">
        <w:t xml:space="preserve"> and interchanging male and female pronouns when referring to </w:t>
      </w:r>
      <w:r w:rsidR="008F6D4B">
        <w:t>Achilles.</w:t>
      </w:r>
      <w:r w:rsidR="008F6D4B">
        <w:t xml:space="preserve"> </w:t>
      </w:r>
      <w:r w:rsidR="00D35BF6">
        <w:t>It is possible that Statius intended to show Achilles’ time on Scyros as his transitional time from boyhood to manhood.</w:t>
      </w:r>
      <w:r w:rsidR="008F6D4B">
        <w:t xml:space="preserve"> </w:t>
      </w:r>
      <w:r w:rsidR="008F6D4B">
        <w:t>He shuns the feminine qualities as soon as the desire to fight in the war becomes all-encompassing</w:t>
      </w:r>
      <w:r w:rsidR="008F6D4B">
        <w:t xml:space="preserve"> Not only does this signify him taking control of his gender performance once more but also him going against his mother’s wishes. By dropping the disguise and setting sail to Troy he is freeing himself from his mother’s control. T</w:t>
      </w:r>
      <w:r w:rsidR="00D35BF6">
        <w:t>he rape of Deidamia</w:t>
      </w:r>
      <w:r w:rsidR="008F6D4B">
        <w:t xml:space="preserve"> is another key point in the movement from boy to man and from lover to fighter</w:t>
      </w:r>
      <w:r w:rsidR="00D35BF6">
        <w:t xml:space="preserve">. </w:t>
      </w:r>
      <w:r w:rsidR="008F6D4B">
        <w:t xml:space="preserve">Statius makes use of the </w:t>
      </w:r>
      <w:r w:rsidR="008F6D4B">
        <w:rPr>
          <w:i/>
          <w:iCs/>
        </w:rPr>
        <w:t xml:space="preserve">militia </w:t>
      </w:r>
      <w:proofErr w:type="spellStart"/>
      <w:r w:rsidR="008F6D4B">
        <w:rPr>
          <w:i/>
          <w:iCs/>
        </w:rPr>
        <w:t>amoris</w:t>
      </w:r>
      <w:proofErr w:type="spellEnd"/>
      <w:r w:rsidR="008F6D4B">
        <w:t xml:space="preserve"> motif of elegy in his depiction of the rape through, “highly militaristic language which makes him the epic man at last”.</w:t>
      </w:r>
      <w:r w:rsidR="008F6D4B">
        <w:rPr>
          <w:rStyle w:val="FootnoteReference"/>
        </w:rPr>
        <w:footnoteReference w:id="15"/>
      </w:r>
      <w:r w:rsidR="008F6D4B">
        <w:t xml:space="preserve"> </w:t>
      </w:r>
      <w:r w:rsidR="00D35BF6">
        <w:t xml:space="preserve">It signifies a change of tone in the intended epic and works to blend this boyish, gender bending lover into the soon to be adult male warrior (something which we can presume was set to follow in book 2 had it been completed). </w:t>
      </w:r>
    </w:p>
    <w:p w14:paraId="42BCE08E" w14:textId="632FDB59" w:rsidR="006C5AB7" w:rsidRDefault="00147834">
      <w:r>
        <w:lastRenderedPageBreak/>
        <w:t>By making multiple mentions to the young age of Achilles towards the beginning of the book Statius draws attention to the move away from childhood</w:t>
      </w:r>
      <w:r w:rsidR="003E3160">
        <w:t xml:space="preserve">, </w:t>
      </w:r>
      <w:r>
        <w:t>“sweet”,</w:t>
      </w:r>
      <w:r>
        <w:rPr>
          <w:rStyle w:val="FootnoteReference"/>
        </w:rPr>
        <w:footnoteReference w:id="16"/>
      </w:r>
      <w:r>
        <w:t xml:space="preserve"> “boyish”</w:t>
      </w:r>
      <w:r>
        <w:rPr>
          <w:rStyle w:val="FootnoteReference"/>
        </w:rPr>
        <w:footnoteReference w:id="17"/>
      </w:r>
      <w:r w:rsidR="003E3160">
        <w:t>. A clear signifier is also in the mention of lacking facial hair prior to arriving on Scyros showing that before his time there he is on the cusp of puberty.</w:t>
      </w:r>
      <w:r w:rsidR="003E3160">
        <w:rPr>
          <w:rStyle w:val="FootnoteReference"/>
        </w:rPr>
        <w:footnoteReference w:id="18"/>
      </w:r>
      <w:r w:rsidR="003E3160">
        <w:t xml:space="preserve"> </w:t>
      </w:r>
      <w:r w:rsidR="008F6D4B">
        <w:t>A change of l</w:t>
      </w:r>
      <w:r w:rsidR="003E3160">
        <w:t>ocation is another method</w:t>
      </w:r>
      <w:r w:rsidR="008F6D4B">
        <w:t xml:space="preserve"> used to show the progression from boy to man</w:t>
      </w:r>
      <w:r w:rsidR="003E3160">
        <w:t xml:space="preserve">. Achilles grows up on Pelion in </w:t>
      </w:r>
      <w:proofErr w:type="spellStart"/>
      <w:r w:rsidR="003E3160">
        <w:t>Thesssaly</w:t>
      </w:r>
      <w:proofErr w:type="spellEnd"/>
      <w:r w:rsidR="003E3160">
        <w:t xml:space="preserve"> as a baby and a child. When he reaches the brink of adolescence he moves from Thessaly to Scyros. When he leaves </w:t>
      </w:r>
      <w:r w:rsidR="008F6D4B">
        <w:t>Scyros,</w:t>
      </w:r>
      <w:r w:rsidR="003E3160">
        <w:t xml:space="preserve"> he is undergoing the final transition into adult manhood and will complete this </w:t>
      </w:r>
      <w:r w:rsidR="008F6D4B">
        <w:t>once he lands in Troy.</w:t>
      </w:r>
      <w:r w:rsidR="008F6D4B">
        <w:rPr>
          <w:rStyle w:val="FootnoteReference"/>
        </w:rPr>
        <w:footnoteReference w:id="19"/>
      </w:r>
      <w:r w:rsidR="006C5AB7">
        <w:t xml:space="preserve"> Achilles’ time on Scyros is a pivotal point in his upbringing and when he leaves it triggers the beginning of his development into the Homeric Achilles </w:t>
      </w:r>
      <w:r w:rsidR="00D56517">
        <w:t xml:space="preserve">most familiar to Statius’ audience. </w:t>
      </w:r>
    </w:p>
    <w:p w14:paraId="3DFEC876" w14:textId="6A5E0F5C" w:rsidR="00D56517" w:rsidRDefault="00BB5B1B">
      <w:r>
        <w:t>The characterisation of Achilles as a child and adolescent by Statius is carefully crafted in full awareness of the Homeric character</w:t>
      </w:r>
      <w:r w:rsidR="00041F20">
        <w:t xml:space="preserve"> he will become</w:t>
      </w:r>
      <w:r>
        <w:t xml:space="preserve">. Statius is able to foreshadow the more recognisable </w:t>
      </w:r>
      <w:r w:rsidR="00041F20">
        <w:t xml:space="preserve">aspects of </w:t>
      </w:r>
      <w:r>
        <w:t xml:space="preserve">Achilles through allusions and parallels to the </w:t>
      </w:r>
      <w:r>
        <w:rPr>
          <w:i/>
          <w:iCs/>
        </w:rPr>
        <w:t>Iliad</w:t>
      </w:r>
      <w:r>
        <w:t>. Chiron warns of, “his precocious force brewing”,</w:t>
      </w:r>
      <w:r>
        <w:rPr>
          <w:rStyle w:val="FootnoteReference"/>
        </w:rPr>
        <w:footnoteReference w:id="20"/>
      </w:r>
      <w:r>
        <w:t xml:space="preserve"> and “plundered homes”.</w:t>
      </w:r>
      <w:r>
        <w:rPr>
          <w:rStyle w:val="FootnoteReference"/>
        </w:rPr>
        <w:footnoteReference w:id="21"/>
      </w:r>
      <w:r>
        <w:t xml:space="preserve"> </w:t>
      </w:r>
      <w:r w:rsidR="00041F20">
        <w:t>Statius also refers to him as being a, “lion”,</w:t>
      </w:r>
      <w:r w:rsidR="00041F20">
        <w:rPr>
          <w:rStyle w:val="FootnoteReference"/>
        </w:rPr>
        <w:footnoteReference w:id="22"/>
      </w:r>
      <w:r w:rsidR="00041F20">
        <w:t xml:space="preserve"> something which Homer does repeatedly throughout the </w:t>
      </w:r>
      <w:r w:rsidR="00041F20">
        <w:rPr>
          <w:i/>
          <w:iCs/>
        </w:rPr>
        <w:t>Iliad.</w:t>
      </w:r>
      <w:r w:rsidR="00041F20">
        <w:rPr>
          <w:rStyle w:val="FootnoteReference"/>
          <w:i/>
          <w:iCs/>
        </w:rPr>
        <w:footnoteReference w:id="23"/>
      </w:r>
      <w:r w:rsidR="00041F20">
        <w:t xml:space="preserve"> His absence from the preparations for war mimics his absence from the war in the </w:t>
      </w:r>
      <w:r w:rsidR="00041F20">
        <w:rPr>
          <w:i/>
          <w:iCs/>
        </w:rPr>
        <w:t>Iliad</w:t>
      </w:r>
      <w:r w:rsidR="00041F20">
        <w:t xml:space="preserve"> too. It is Ulysses who is tasked with the job of discovering him and convincing him to join them much like it is his responsibility, along with Ajax, to persuade Achilles to re-join the fight. </w:t>
      </w:r>
      <w:r w:rsidR="00325D3B">
        <w:t>Frequent mention of what he is destined to achieve also assist in this, “slowing his chariot with Hector’s corpse”,</w:t>
      </w:r>
      <w:r w:rsidR="00325D3B">
        <w:rPr>
          <w:rStyle w:val="FootnoteReference"/>
        </w:rPr>
        <w:footnoteReference w:id="24"/>
      </w:r>
      <w:r w:rsidR="00325D3B">
        <w:t xml:space="preserve"> “he stands in the centre of the trembling house, as though calling for Hector”,</w:t>
      </w:r>
      <w:r w:rsidR="00325D3B">
        <w:rPr>
          <w:rStyle w:val="FootnoteReference"/>
        </w:rPr>
        <w:footnoteReference w:id="25"/>
      </w:r>
      <w:r w:rsidR="00325D3B">
        <w:t xml:space="preserve"> “Destined sacker of great Troy”.</w:t>
      </w:r>
      <w:r w:rsidR="00325D3B">
        <w:rPr>
          <w:rStyle w:val="FootnoteReference"/>
        </w:rPr>
        <w:footnoteReference w:id="26"/>
      </w:r>
    </w:p>
    <w:p w14:paraId="35803D39" w14:textId="75E41553" w:rsidR="00325D3B" w:rsidRDefault="00FD5A16">
      <w:r>
        <w:t xml:space="preserve">The depiction of Achilles’ upbringing and education within Statius’ </w:t>
      </w:r>
      <w:proofErr w:type="spellStart"/>
      <w:r>
        <w:rPr>
          <w:i/>
          <w:iCs/>
        </w:rPr>
        <w:t>Achilleid</w:t>
      </w:r>
      <w:proofErr w:type="spellEnd"/>
      <w:r>
        <w:t xml:space="preserve"> does not serve just one function alone. By utilising it on multiple narrative levels Statius is able to explore a variety of themes connected by the topic alone. Changing the internal narrator allows Statius to play with relationships, reliability and characteristics of both Chiron and Achilles. Allowing for a more in-depth consideration of how and why the characters themselves might present the situation differently for their own narrative purpose. It also serves as a tool for the wider theme of </w:t>
      </w:r>
      <w:r w:rsidR="00B9789D">
        <w:t xml:space="preserve">differences and how they interact. The ambiguity of gender as well as the transition of age and the polarisation of love verses war are all explored using Achilles’ upbringing and education. Within the overall narrative we can presume the topic would have been used as a vehicle for foreshadowing later books, though sadly we will never know. </w:t>
      </w:r>
    </w:p>
    <w:p w14:paraId="4A1312EE" w14:textId="58C9FF03" w:rsidR="005B697F" w:rsidRDefault="005B697F"/>
    <w:p w14:paraId="58490C07" w14:textId="3DFA687B" w:rsidR="005B697F" w:rsidRPr="005B697F" w:rsidRDefault="005B697F">
      <w:pPr>
        <w:rPr>
          <w:u w:val="single"/>
        </w:rPr>
      </w:pPr>
      <w:r w:rsidRPr="005B697F">
        <w:rPr>
          <w:u w:val="single"/>
        </w:rPr>
        <w:t>Bibliography:</w:t>
      </w:r>
    </w:p>
    <w:p w14:paraId="647D654D" w14:textId="702226A4" w:rsidR="005B697F" w:rsidRDefault="005B697F">
      <w:pPr>
        <w:rPr>
          <w:u w:val="single"/>
        </w:rPr>
      </w:pPr>
      <w:r>
        <w:rPr>
          <w:u w:val="single"/>
        </w:rPr>
        <w:t>Ancient Sources:</w:t>
      </w:r>
    </w:p>
    <w:p w14:paraId="2C6F826C" w14:textId="77777777" w:rsidR="005B697F" w:rsidRDefault="005B697F">
      <w:r>
        <w:t xml:space="preserve">Homer, </w:t>
      </w:r>
      <w:r>
        <w:rPr>
          <w:i/>
          <w:iCs/>
        </w:rPr>
        <w:t xml:space="preserve">Iliad. </w:t>
      </w:r>
      <w:r>
        <w:t>(1924). Wyatt, W.F. (trans.). Cambridge, MA: Harvard University Press.</w:t>
      </w:r>
    </w:p>
    <w:p w14:paraId="250E0366" w14:textId="77777777" w:rsidR="005B697F" w:rsidRPr="005B697F" w:rsidRDefault="005B697F" w:rsidP="005B697F">
      <w:r>
        <w:lastRenderedPageBreak/>
        <w:t xml:space="preserve">(Pseudo-)Plutarch, </w:t>
      </w:r>
      <w:r>
        <w:rPr>
          <w:i/>
          <w:iCs/>
        </w:rPr>
        <w:t xml:space="preserve">On Homer. </w:t>
      </w:r>
      <w:r>
        <w:t>(2003). West, M.L. (trans.). Cambridge, MA: Harvard University Press.</w:t>
      </w:r>
    </w:p>
    <w:p w14:paraId="4CEB4685" w14:textId="77777777" w:rsidR="005B697F" w:rsidRDefault="005B697F">
      <w:r>
        <w:t xml:space="preserve">Statius, </w:t>
      </w:r>
      <w:proofErr w:type="spellStart"/>
      <w:r>
        <w:rPr>
          <w:i/>
          <w:iCs/>
        </w:rPr>
        <w:t>Achilleid</w:t>
      </w:r>
      <w:proofErr w:type="spellEnd"/>
      <w:r>
        <w:rPr>
          <w:i/>
          <w:iCs/>
        </w:rPr>
        <w:t xml:space="preserve">. </w:t>
      </w:r>
      <w:r>
        <w:t xml:space="preserve">(2004). Shackleton Bailey, D.R. (trans.). </w:t>
      </w:r>
      <w:r>
        <w:t>Cambridge, MA: Harvard University Press.</w:t>
      </w:r>
    </w:p>
    <w:p w14:paraId="2AED9A11" w14:textId="374F77A1" w:rsidR="005B697F" w:rsidRDefault="005B697F">
      <w:pPr>
        <w:rPr>
          <w:u w:val="single"/>
        </w:rPr>
      </w:pPr>
      <w:r>
        <w:rPr>
          <w:u w:val="single"/>
        </w:rPr>
        <w:t>Modern Scholarship:</w:t>
      </w:r>
    </w:p>
    <w:p w14:paraId="7EAD3686" w14:textId="25BA7A33" w:rsidR="005B697F" w:rsidRDefault="005B697F">
      <w:r>
        <w:t xml:space="preserve">Foley, J.M. (2008). </w:t>
      </w:r>
      <w:r>
        <w:rPr>
          <w:i/>
          <w:iCs/>
        </w:rPr>
        <w:t xml:space="preserve">A Companion to Ancient Epic. </w:t>
      </w:r>
      <w:r w:rsidR="005D234E">
        <w:t>John Wiley &amp; Sons.</w:t>
      </w:r>
    </w:p>
    <w:p w14:paraId="7DEEB397" w14:textId="45CCD27F" w:rsidR="005D234E" w:rsidRDefault="005D234E">
      <w:r>
        <w:t xml:space="preserve">Hunter, R. (2018). </w:t>
      </w:r>
      <w:r>
        <w:rPr>
          <w:i/>
          <w:iCs/>
        </w:rPr>
        <w:t xml:space="preserve">The Measure of Homer: The Ancient Reception of the Iliad and the Odyssey. </w:t>
      </w:r>
      <w:r>
        <w:t xml:space="preserve">Cambridge University Press. </w:t>
      </w:r>
    </w:p>
    <w:p w14:paraId="5DB42C33" w14:textId="106EE3F3" w:rsidR="005D234E" w:rsidRDefault="005D234E">
      <w:r>
        <w:t>Gagarin, M. (2010). ‘</w:t>
      </w:r>
      <w:r>
        <w:rPr>
          <w:i/>
          <w:iCs/>
        </w:rPr>
        <w:t xml:space="preserve">Statius’, </w:t>
      </w:r>
      <w:r>
        <w:t xml:space="preserve">in </w:t>
      </w:r>
      <w:r>
        <w:rPr>
          <w:i/>
          <w:iCs/>
        </w:rPr>
        <w:t xml:space="preserve">The Oxford Encyclopaedia of Ancient Greece and Rome. </w:t>
      </w:r>
      <w:proofErr w:type="spellStart"/>
      <w:r>
        <w:t>Gargarin</w:t>
      </w:r>
      <w:proofErr w:type="spellEnd"/>
      <w:r>
        <w:t xml:space="preserve">, M. (ed.). Oxford: Oxford University Press. </w:t>
      </w:r>
    </w:p>
    <w:p w14:paraId="092B99B4" w14:textId="29F3F6E6" w:rsidR="005D234E" w:rsidRDefault="005D234E">
      <w:r>
        <w:t xml:space="preserve">Paschalis, M. (2005). </w:t>
      </w:r>
      <w:r>
        <w:rPr>
          <w:i/>
          <w:iCs/>
        </w:rPr>
        <w:t xml:space="preserve">Roman and Greek Imperial Epic. </w:t>
      </w:r>
      <w:r>
        <w:t xml:space="preserve">Pub: </w:t>
      </w:r>
      <w:r w:rsidRPr="005D234E">
        <w:t>Michael Paschalis</w:t>
      </w:r>
      <w:r w:rsidRPr="005D234E">
        <w:t>.</w:t>
      </w:r>
    </w:p>
    <w:p w14:paraId="0F53A056" w14:textId="195B04B1" w:rsidR="005D234E" w:rsidRDefault="005D234E">
      <w:r>
        <w:t xml:space="preserve">Dominik, W.J.; Newlands, C.E.; Gervais, K. (2015). </w:t>
      </w:r>
      <w:r>
        <w:rPr>
          <w:i/>
          <w:iCs/>
        </w:rPr>
        <w:t xml:space="preserve">Brill’s Companion to Statius. </w:t>
      </w:r>
      <w:r>
        <w:t>BRILL.</w:t>
      </w:r>
    </w:p>
    <w:p w14:paraId="53CFC0F6" w14:textId="6687C0AA" w:rsidR="005D234E" w:rsidRPr="005D234E" w:rsidRDefault="005D234E">
      <w:r>
        <w:t xml:space="preserve">Russell, C.M. (2014). ‘The </w:t>
      </w:r>
      <w:proofErr w:type="gramStart"/>
      <w:r>
        <w:t>Most Unkindest</w:t>
      </w:r>
      <w:proofErr w:type="gramEnd"/>
      <w:r>
        <w:t xml:space="preserve"> Cut: Gender, Genre, and Castration in Statius’ “</w:t>
      </w:r>
      <w:proofErr w:type="spellStart"/>
      <w:r>
        <w:t>Achilleid</w:t>
      </w:r>
      <w:proofErr w:type="spellEnd"/>
      <w:r>
        <w:t>” and “</w:t>
      </w:r>
      <w:proofErr w:type="spellStart"/>
      <w:r>
        <w:t>Silvae</w:t>
      </w:r>
      <w:proofErr w:type="spellEnd"/>
      <w:r>
        <w:t xml:space="preserve">”. </w:t>
      </w:r>
      <w:r>
        <w:rPr>
          <w:i/>
          <w:iCs/>
        </w:rPr>
        <w:t>The American Journal of Philolo</w:t>
      </w:r>
      <w:bookmarkStart w:id="0" w:name="_GoBack"/>
      <w:bookmarkEnd w:id="0"/>
      <w:r>
        <w:rPr>
          <w:i/>
          <w:iCs/>
        </w:rPr>
        <w:t xml:space="preserve">gy. </w:t>
      </w:r>
      <w:r>
        <w:t>135. 1. 87-121.</w:t>
      </w:r>
    </w:p>
    <w:sectPr w:rsidR="005D234E" w:rsidRPr="005D23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6B235" w14:textId="77777777" w:rsidR="000F4F68" w:rsidRDefault="000F4F68" w:rsidP="00A43859">
      <w:pPr>
        <w:spacing w:after="0" w:line="240" w:lineRule="auto"/>
      </w:pPr>
      <w:r>
        <w:separator/>
      </w:r>
    </w:p>
  </w:endnote>
  <w:endnote w:type="continuationSeparator" w:id="0">
    <w:p w14:paraId="48F75611" w14:textId="77777777" w:rsidR="000F4F68" w:rsidRDefault="000F4F68" w:rsidP="00A43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DBD64" w14:textId="77777777" w:rsidR="000F4F68" w:rsidRDefault="000F4F68" w:rsidP="00A43859">
      <w:pPr>
        <w:spacing w:after="0" w:line="240" w:lineRule="auto"/>
      </w:pPr>
      <w:r>
        <w:separator/>
      </w:r>
    </w:p>
  </w:footnote>
  <w:footnote w:type="continuationSeparator" w:id="0">
    <w:p w14:paraId="29F24D5A" w14:textId="77777777" w:rsidR="000F4F68" w:rsidRDefault="000F4F68" w:rsidP="00A43859">
      <w:pPr>
        <w:spacing w:after="0" w:line="240" w:lineRule="auto"/>
      </w:pPr>
      <w:r>
        <w:continuationSeparator/>
      </w:r>
    </w:p>
  </w:footnote>
  <w:footnote w:id="1">
    <w:p w14:paraId="1073B020" w14:textId="77777777" w:rsidR="00515512" w:rsidRDefault="00515512" w:rsidP="00515512">
      <w:pPr>
        <w:pStyle w:val="FootnoteText"/>
      </w:pPr>
      <w:r>
        <w:rPr>
          <w:rStyle w:val="FootnoteReference"/>
        </w:rPr>
        <w:footnoteRef/>
      </w:r>
      <w:r>
        <w:t xml:space="preserve"> Foley. (2008). 1.</w:t>
      </w:r>
    </w:p>
  </w:footnote>
  <w:footnote w:id="2">
    <w:p w14:paraId="41387A57" w14:textId="77777777" w:rsidR="00515512" w:rsidRPr="00EA0CC0" w:rsidRDefault="00515512" w:rsidP="00515512">
      <w:pPr>
        <w:pStyle w:val="FootnoteText"/>
      </w:pPr>
      <w:r>
        <w:rPr>
          <w:rStyle w:val="FootnoteReference"/>
        </w:rPr>
        <w:footnoteRef/>
      </w:r>
      <w:r>
        <w:t xml:space="preserve"> Plutarch. </w:t>
      </w:r>
      <w:r>
        <w:rPr>
          <w:i/>
          <w:iCs/>
        </w:rPr>
        <w:t xml:space="preserve">On Homer. </w:t>
      </w:r>
      <w:r>
        <w:t>2.1.</w:t>
      </w:r>
    </w:p>
  </w:footnote>
  <w:footnote w:id="3">
    <w:p w14:paraId="22C1D072" w14:textId="77777777" w:rsidR="00515512" w:rsidRDefault="00515512" w:rsidP="00515512">
      <w:pPr>
        <w:pStyle w:val="FootnoteText"/>
      </w:pPr>
      <w:r>
        <w:rPr>
          <w:rStyle w:val="FootnoteReference"/>
        </w:rPr>
        <w:footnoteRef/>
      </w:r>
      <w:r>
        <w:t xml:space="preserve"> Hunter. (2018). 4.</w:t>
      </w:r>
    </w:p>
  </w:footnote>
  <w:footnote w:id="4">
    <w:p w14:paraId="467E58D9" w14:textId="77777777" w:rsidR="00C93E38" w:rsidRPr="00367454" w:rsidRDefault="00C93E38" w:rsidP="00C93E38">
      <w:pPr>
        <w:pStyle w:val="FootnoteText"/>
      </w:pPr>
      <w:r>
        <w:rPr>
          <w:rStyle w:val="FootnoteReference"/>
        </w:rPr>
        <w:footnoteRef/>
      </w:r>
      <w:r>
        <w:t xml:space="preserve"> Statius. </w:t>
      </w:r>
      <w:proofErr w:type="spellStart"/>
      <w:r>
        <w:rPr>
          <w:i/>
          <w:iCs/>
        </w:rPr>
        <w:t>Achilleid</w:t>
      </w:r>
      <w:proofErr w:type="spellEnd"/>
      <w:r>
        <w:rPr>
          <w:i/>
          <w:iCs/>
        </w:rPr>
        <w:t xml:space="preserve">. </w:t>
      </w:r>
      <w:r>
        <w:t>1.1-5.</w:t>
      </w:r>
    </w:p>
  </w:footnote>
  <w:footnote w:id="5">
    <w:p w14:paraId="638B05F8" w14:textId="4E9C46C4" w:rsidR="00D008A7" w:rsidRDefault="00D008A7">
      <w:pPr>
        <w:pStyle w:val="FootnoteText"/>
      </w:pPr>
      <w:r>
        <w:rPr>
          <w:rStyle w:val="FootnoteReference"/>
        </w:rPr>
        <w:footnoteRef/>
      </w:r>
      <w:r>
        <w:t xml:space="preserve"> Gagarin. (2010). </w:t>
      </w:r>
    </w:p>
  </w:footnote>
  <w:footnote w:id="6">
    <w:p w14:paraId="7268CE5C" w14:textId="77777777" w:rsidR="009357AC" w:rsidRPr="009357AC" w:rsidRDefault="009357AC" w:rsidP="009357AC">
      <w:pPr>
        <w:pStyle w:val="FootnoteText"/>
      </w:pPr>
      <w:r>
        <w:rPr>
          <w:rStyle w:val="FootnoteReference"/>
        </w:rPr>
        <w:footnoteRef/>
      </w:r>
      <w:r>
        <w:t xml:space="preserve"> Statius, </w:t>
      </w:r>
      <w:proofErr w:type="spellStart"/>
      <w:r>
        <w:rPr>
          <w:i/>
          <w:iCs/>
        </w:rPr>
        <w:t>Achilleid</w:t>
      </w:r>
      <w:proofErr w:type="spellEnd"/>
      <w:r>
        <w:rPr>
          <w:i/>
          <w:iCs/>
        </w:rPr>
        <w:t xml:space="preserve">, </w:t>
      </w:r>
      <w:r>
        <w:t>1.256.</w:t>
      </w:r>
    </w:p>
  </w:footnote>
  <w:footnote w:id="7">
    <w:p w14:paraId="6007D68D" w14:textId="73BE2473" w:rsidR="00A51DA5" w:rsidRDefault="00A51DA5">
      <w:pPr>
        <w:pStyle w:val="FootnoteText"/>
      </w:pPr>
      <w:r>
        <w:rPr>
          <w:rStyle w:val="FootnoteReference"/>
        </w:rPr>
        <w:footnoteRef/>
      </w:r>
      <w:r>
        <w:t xml:space="preserve"> Paschalis. (2005). 54.</w:t>
      </w:r>
    </w:p>
  </w:footnote>
  <w:footnote w:id="8">
    <w:p w14:paraId="67EB61EC" w14:textId="77777777" w:rsidR="00E04823" w:rsidRDefault="00E04823" w:rsidP="00E04823">
      <w:pPr>
        <w:pStyle w:val="FootnoteText"/>
      </w:pPr>
      <w:r>
        <w:rPr>
          <w:rStyle w:val="FootnoteReference"/>
        </w:rPr>
        <w:footnoteRef/>
      </w:r>
      <w:r>
        <w:t xml:space="preserve"> Paschalis. (2005). 54.</w:t>
      </w:r>
    </w:p>
  </w:footnote>
  <w:footnote w:id="9">
    <w:p w14:paraId="21B4888E" w14:textId="5B43AA92" w:rsidR="000E0A92" w:rsidRDefault="000E0A92">
      <w:pPr>
        <w:pStyle w:val="FootnoteText"/>
      </w:pPr>
      <w:r>
        <w:rPr>
          <w:rStyle w:val="FootnoteReference"/>
        </w:rPr>
        <w:footnoteRef/>
      </w:r>
      <w:r>
        <w:t xml:space="preserve"> Statius, </w:t>
      </w:r>
      <w:proofErr w:type="spellStart"/>
      <w:r>
        <w:rPr>
          <w:i/>
          <w:iCs/>
        </w:rPr>
        <w:t>Achilleid</w:t>
      </w:r>
      <w:proofErr w:type="spellEnd"/>
      <w:r>
        <w:rPr>
          <w:i/>
          <w:iCs/>
        </w:rPr>
        <w:t xml:space="preserve">, </w:t>
      </w:r>
      <w:r>
        <w:t>1.112-18.</w:t>
      </w:r>
    </w:p>
  </w:footnote>
  <w:footnote w:id="10">
    <w:p w14:paraId="708321F3" w14:textId="544F423C" w:rsidR="00EB79D1" w:rsidRDefault="00EB79D1">
      <w:pPr>
        <w:pStyle w:val="FootnoteText"/>
      </w:pPr>
      <w:r>
        <w:rPr>
          <w:rStyle w:val="FootnoteReference"/>
        </w:rPr>
        <w:footnoteRef/>
      </w:r>
      <w:r>
        <w:t xml:space="preserve"> Statius, </w:t>
      </w:r>
      <w:proofErr w:type="spellStart"/>
      <w:r>
        <w:rPr>
          <w:i/>
          <w:iCs/>
        </w:rPr>
        <w:t>Achilleid</w:t>
      </w:r>
      <w:proofErr w:type="spellEnd"/>
      <w:r>
        <w:rPr>
          <w:i/>
          <w:iCs/>
        </w:rPr>
        <w:t xml:space="preserve">, </w:t>
      </w:r>
      <w:r>
        <w:t>2.86-167.</w:t>
      </w:r>
    </w:p>
  </w:footnote>
  <w:footnote w:id="11">
    <w:p w14:paraId="74E72A34" w14:textId="63EA434B" w:rsidR="00EB79D1" w:rsidRDefault="00EB79D1">
      <w:pPr>
        <w:pStyle w:val="FootnoteText"/>
      </w:pPr>
      <w:r>
        <w:rPr>
          <w:rStyle w:val="FootnoteReference"/>
        </w:rPr>
        <w:footnoteRef/>
      </w:r>
      <w:r>
        <w:t xml:space="preserve"> Statius, </w:t>
      </w:r>
      <w:proofErr w:type="spellStart"/>
      <w:r>
        <w:rPr>
          <w:i/>
          <w:iCs/>
        </w:rPr>
        <w:t>Achilleid</w:t>
      </w:r>
      <w:proofErr w:type="spellEnd"/>
      <w:r>
        <w:rPr>
          <w:i/>
          <w:iCs/>
        </w:rPr>
        <w:t xml:space="preserve">, </w:t>
      </w:r>
      <w:r>
        <w:t>2.86-167.</w:t>
      </w:r>
    </w:p>
  </w:footnote>
  <w:footnote w:id="12">
    <w:p w14:paraId="6AC4DD4B" w14:textId="56B902F8" w:rsidR="00F649A7" w:rsidRDefault="00F649A7">
      <w:pPr>
        <w:pStyle w:val="FootnoteText"/>
      </w:pPr>
      <w:r>
        <w:rPr>
          <w:rStyle w:val="FootnoteReference"/>
        </w:rPr>
        <w:footnoteRef/>
      </w:r>
      <w:r>
        <w:t xml:space="preserve"> Statius, </w:t>
      </w:r>
      <w:proofErr w:type="spellStart"/>
      <w:r>
        <w:rPr>
          <w:i/>
          <w:iCs/>
        </w:rPr>
        <w:t>Achilleid</w:t>
      </w:r>
      <w:proofErr w:type="spellEnd"/>
      <w:r>
        <w:rPr>
          <w:i/>
          <w:iCs/>
        </w:rPr>
        <w:t xml:space="preserve">, </w:t>
      </w:r>
      <w:r>
        <w:t>2.86-167.</w:t>
      </w:r>
    </w:p>
  </w:footnote>
  <w:footnote w:id="13">
    <w:p w14:paraId="78764428" w14:textId="13A161AC" w:rsidR="000A680D" w:rsidRDefault="000A680D">
      <w:pPr>
        <w:pStyle w:val="FootnoteText"/>
      </w:pPr>
      <w:r>
        <w:rPr>
          <w:rStyle w:val="FootnoteReference"/>
        </w:rPr>
        <w:footnoteRef/>
      </w:r>
      <w:r>
        <w:t xml:space="preserve"> Dominik; Newlands; Gervais. (2015). 161.</w:t>
      </w:r>
    </w:p>
  </w:footnote>
  <w:footnote w:id="14">
    <w:p w14:paraId="376CCC30" w14:textId="665064FF" w:rsidR="000A6D03" w:rsidRDefault="000A6D03">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1.535-540.</w:t>
      </w:r>
    </w:p>
  </w:footnote>
  <w:footnote w:id="15">
    <w:p w14:paraId="72CADB19" w14:textId="77777777" w:rsidR="008F6D4B" w:rsidRDefault="008F6D4B" w:rsidP="008F6D4B">
      <w:pPr>
        <w:pStyle w:val="FootnoteText"/>
      </w:pPr>
      <w:r>
        <w:rPr>
          <w:rStyle w:val="FootnoteReference"/>
        </w:rPr>
        <w:footnoteRef/>
      </w:r>
      <w:r>
        <w:t xml:space="preserve"> Feeney. (2004).</w:t>
      </w:r>
    </w:p>
  </w:footnote>
  <w:footnote w:id="16">
    <w:p w14:paraId="4663941A" w14:textId="6BC78B9D" w:rsidR="00147834" w:rsidRDefault="00147834">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1.160-165.</w:t>
      </w:r>
    </w:p>
  </w:footnote>
  <w:footnote w:id="17">
    <w:p w14:paraId="587ED3F1" w14:textId="7480775E" w:rsidR="00147834" w:rsidRPr="00147834" w:rsidRDefault="00147834">
      <w:pPr>
        <w:pStyle w:val="FootnoteText"/>
      </w:pPr>
      <w:r>
        <w:rPr>
          <w:rStyle w:val="FootnoteReference"/>
        </w:rPr>
        <w:footnoteRef/>
      </w:r>
      <w:r>
        <w:t xml:space="preserve"> </w:t>
      </w:r>
      <w:r>
        <w:t xml:space="preserve">Statius, </w:t>
      </w:r>
      <w:proofErr w:type="spellStart"/>
      <w:r>
        <w:rPr>
          <w:i/>
          <w:iCs/>
        </w:rPr>
        <w:t>Achilleid</w:t>
      </w:r>
      <w:proofErr w:type="spellEnd"/>
      <w:r>
        <w:rPr>
          <w:i/>
          <w:iCs/>
        </w:rPr>
        <w:t>,</w:t>
      </w:r>
      <w:r>
        <w:rPr>
          <w:i/>
          <w:iCs/>
        </w:rPr>
        <w:t xml:space="preserve"> </w:t>
      </w:r>
      <w:r>
        <w:t>1.230-5.</w:t>
      </w:r>
    </w:p>
  </w:footnote>
  <w:footnote w:id="18">
    <w:p w14:paraId="7685D61B" w14:textId="389ACE66" w:rsidR="003E3160" w:rsidRDefault="003E3160">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1.163.</w:t>
      </w:r>
    </w:p>
  </w:footnote>
  <w:footnote w:id="19">
    <w:p w14:paraId="4BB16C68" w14:textId="75C246B8" w:rsidR="008F6D4B" w:rsidRDefault="008F6D4B">
      <w:pPr>
        <w:pStyle w:val="FootnoteText"/>
      </w:pPr>
      <w:r>
        <w:rPr>
          <w:rStyle w:val="FootnoteReference"/>
        </w:rPr>
        <w:footnoteRef/>
      </w:r>
      <w:r>
        <w:t xml:space="preserve"> Russell. (2014). 95.</w:t>
      </w:r>
    </w:p>
  </w:footnote>
  <w:footnote w:id="20">
    <w:p w14:paraId="6501D22E" w14:textId="3BE33EE6" w:rsidR="00BB5B1B" w:rsidRDefault="00BB5B1B">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1.154-150.</w:t>
      </w:r>
    </w:p>
  </w:footnote>
  <w:footnote w:id="21">
    <w:p w14:paraId="7B0D0C61" w14:textId="7DA45E68" w:rsidR="00BB5B1B" w:rsidRDefault="00BB5B1B">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1.155-160.</w:t>
      </w:r>
    </w:p>
  </w:footnote>
  <w:footnote w:id="22">
    <w:p w14:paraId="738AA133" w14:textId="389A2304" w:rsidR="00041F20" w:rsidRPr="00041F20" w:rsidRDefault="00041F20">
      <w:pPr>
        <w:pStyle w:val="FootnoteText"/>
      </w:pPr>
      <w:r>
        <w:rPr>
          <w:rStyle w:val="FootnoteReference"/>
        </w:rPr>
        <w:footnoteRef/>
      </w:r>
      <w:r>
        <w:t xml:space="preserve"> </w:t>
      </w:r>
      <w:r>
        <w:t xml:space="preserve">Statius, </w:t>
      </w:r>
      <w:proofErr w:type="spellStart"/>
      <w:r>
        <w:rPr>
          <w:i/>
          <w:iCs/>
        </w:rPr>
        <w:t>Achilleid</w:t>
      </w:r>
      <w:proofErr w:type="spellEnd"/>
      <w:r>
        <w:rPr>
          <w:i/>
          <w:iCs/>
        </w:rPr>
        <w:t>,</w:t>
      </w:r>
      <w:r>
        <w:t xml:space="preserve"> 1.858-63.</w:t>
      </w:r>
    </w:p>
  </w:footnote>
  <w:footnote w:id="23">
    <w:p w14:paraId="29C44475" w14:textId="6AF51F5B" w:rsidR="00041F20" w:rsidRPr="00041F20" w:rsidRDefault="00041F20">
      <w:pPr>
        <w:pStyle w:val="FootnoteText"/>
      </w:pPr>
      <w:r>
        <w:rPr>
          <w:rStyle w:val="FootnoteReference"/>
        </w:rPr>
        <w:footnoteRef/>
      </w:r>
      <w:r>
        <w:t xml:space="preserve"> Homer, </w:t>
      </w:r>
      <w:r>
        <w:rPr>
          <w:i/>
          <w:iCs/>
        </w:rPr>
        <w:t xml:space="preserve">Iliad. </w:t>
      </w:r>
      <w:r>
        <w:t>7.225-230</w:t>
      </w:r>
      <w:r>
        <w:rPr>
          <w:i/>
          <w:iCs/>
        </w:rPr>
        <w:t xml:space="preserve">; </w:t>
      </w:r>
      <w:r>
        <w:t>11.110-120; 20.156-170; 24.565-575.</w:t>
      </w:r>
    </w:p>
  </w:footnote>
  <w:footnote w:id="24">
    <w:p w14:paraId="29AC1BEB" w14:textId="27C3A590" w:rsidR="00325D3B" w:rsidRPr="00325D3B" w:rsidRDefault="00325D3B">
      <w:pPr>
        <w:pStyle w:val="FootnoteText"/>
      </w:pPr>
      <w:r>
        <w:rPr>
          <w:rStyle w:val="FootnoteReference"/>
        </w:rPr>
        <w:footnoteRef/>
      </w:r>
      <w:r>
        <w:t xml:space="preserve"> </w:t>
      </w:r>
      <w:r>
        <w:t xml:space="preserve">Statius, </w:t>
      </w:r>
      <w:proofErr w:type="spellStart"/>
      <w:r>
        <w:rPr>
          <w:i/>
          <w:iCs/>
        </w:rPr>
        <w:t>Achilleid</w:t>
      </w:r>
      <w:proofErr w:type="spellEnd"/>
      <w:r>
        <w:rPr>
          <w:i/>
          <w:iCs/>
        </w:rPr>
        <w:t>,</w:t>
      </w:r>
      <w:r>
        <w:rPr>
          <w:i/>
          <w:iCs/>
        </w:rPr>
        <w:t xml:space="preserve"> </w:t>
      </w:r>
      <w:r>
        <w:t>1.85-90.</w:t>
      </w:r>
    </w:p>
  </w:footnote>
  <w:footnote w:id="25">
    <w:p w14:paraId="34A73C47" w14:textId="29B799FA" w:rsidR="00325D3B" w:rsidRDefault="00325D3B">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1.880-885.</w:t>
      </w:r>
    </w:p>
  </w:footnote>
  <w:footnote w:id="26">
    <w:p w14:paraId="35DFDC53" w14:textId="6FB41387" w:rsidR="00325D3B" w:rsidRDefault="00325D3B">
      <w:pPr>
        <w:pStyle w:val="FootnoteText"/>
      </w:pPr>
      <w:r>
        <w:rPr>
          <w:rStyle w:val="FootnoteReference"/>
        </w:rPr>
        <w:footnoteRef/>
      </w:r>
      <w:r>
        <w:t xml:space="preserve"> </w:t>
      </w:r>
      <w:r>
        <w:t xml:space="preserve">Statius, </w:t>
      </w:r>
      <w:proofErr w:type="spellStart"/>
      <w:r>
        <w:rPr>
          <w:i/>
          <w:iCs/>
        </w:rPr>
        <w:t>Achilleid</w:t>
      </w:r>
      <w:proofErr w:type="spellEnd"/>
      <w:r>
        <w:rPr>
          <w:i/>
          <w:iCs/>
        </w:rPr>
        <w:t xml:space="preserve">, </w:t>
      </w:r>
      <w:r>
        <w:t>2.</w:t>
      </w:r>
      <w:r>
        <w:t>30-35.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F58"/>
    <w:rsid w:val="00041F20"/>
    <w:rsid w:val="000A680D"/>
    <w:rsid w:val="000A6D03"/>
    <w:rsid w:val="000E0A92"/>
    <w:rsid w:val="000E504A"/>
    <w:rsid w:val="000F4F68"/>
    <w:rsid w:val="00134E48"/>
    <w:rsid w:val="00147834"/>
    <w:rsid w:val="001514A2"/>
    <w:rsid w:val="00154F74"/>
    <w:rsid w:val="00174CAA"/>
    <w:rsid w:val="00223F9F"/>
    <w:rsid w:val="00265DC6"/>
    <w:rsid w:val="003232B9"/>
    <w:rsid w:val="00325D3B"/>
    <w:rsid w:val="0034758B"/>
    <w:rsid w:val="00367454"/>
    <w:rsid w:val="003B53D4"/>
    <w:rsid w:val="003E3160"/>
    <w:rsid w:val="00435AAC"/>
    <w:rsid w:val="00444F58"/>
    <w:rsid w:val="004D2B2E"/>
    <w:rsid w:val="00515512"/>
    <w:rsid w:val="005B697F"/>
    <w:rsid w:val="005D2086"/>
    <w:rsid w:val="005D234E"/>
    <w:rsid w:val="0064369A"/>
    <w:rsid w:val="006C5AB7"/>
    <w:rsid w:val="00751810"/>
    <w:rsid w:val="007B2369"/>
    <w:rsid w:val="008170B4"/>
    <w:rsid w:val="00841F30"/>
    <w:rsid w:val="008F6D4B"/>
    <w:rsid w:val="009357AC"/>
    <w:rsid w:val="00962113"/>
    <w:rsid w:val="009C63E7"/>
    <w:rsid w:val="009D720B"/>
    <w:rsid w:val="00A10543"/>
    <w:rsid w:val="00A43859"/>
    <w:rsid w:val="00A51DA5"/>
    <w:rsid w:val="00B111D6"/>
    <w:rsid w:val="00B22413"/>
    <w:rsid w:val="00B40452"/>
    <w:rsid w:val="00B7012D"/>
    <w:rsid w:val="00B9789D"/>
    <w:rsid w:val="00BB5B1B"/>
    <w:rsid w:val="00C11959"/>
    <w:rsid w:val="00C366D0"/>
    <w:rsid w:val="00C93E38"/>
    <w:rsid w:val="00D008A7"/>
    <w:rsid w:val="00D33D62"/>
    <w:rsid w:val="00D35BF6"/>
    <w:rsid w:val="00D56517"/>
    <w:rsid w:val="00E00D45"/>
    <w:rsid w:val="00E04823"/>
    <w:rsid w:val="00E76F73"/>
    <w:rsid w:val="00E87045"/>
    <w:rsid w:val="00EA0CC0"/>
    <w:rsid w:val="00EB79D1"/>
    <w:rsid w:val="00F00CB5"/>
    <w:rsid w:val="00F11E87"/>
    <w:rsid w:val="00F265AA"/>
    <w:rsid w:val="00F649A7"/>
    <w:rsid w:val="00FD5A16"/>
    <w:rsid w:val="00FE2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8AFF2"/>
  <w15:chartTrackingRefBased/>
  <w15:docId w15:val="{FA3DF9FF-8A6A-4A7F-85C4-D745E117B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438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3859"/>
    <w:rPr>
      <w:sz w:val="20"/>
      <w:szCs w:val="20"/>
    </w:rPr>
  </w:style>
  <w:style w:type="character" w:styleId="FootnoteReference">
    <w:name w:val="footnote reference"/>
    <w:basedOn w:val="DefaultParagraphFont"/>
    <w:uiPriority w:val="99"/>
    <w:semiHidden/>
    <w:unhideWhenUsed/>
    <w:rsid w:val="00A438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E7048-4FB7-4281-8CC0-3583E188C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441</TotalTime>
  <Pages>5</Pages>
  <Words>2266</Words>
  <Characters>12919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Sheep</cp:lastModifiedBy>
  <cp:revision>100</cp:revision>
  <dcterms:created xsi:type="dcterms:W3CDTF">2020-01-31T12:09:00Z</dcterms:created>
  <dcterms:modified xsi:type="dcterms:W3CDTF">2020-01-31T21:00:00Z</dcterms:modified>
</cp:coreProperties>
</file>