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6481003" w14:textId="77777777" w:rsidR="00D50FE0" w:rsidRPr="00FD5AD5" w:rsidRDefault="00D50FE0" w:rsidP="00F63ADC">
      <w:pPr>
        <w:rPr>
          <w:lang w:val="en-GB"/>
        </w:rPr>
      </w:pPr>
    </w:p>
    <w:p w14:paraId="38263A64" w14:textId="77777777" w:rsidR="00C1051F" w:rsidRPr="00FD5AD5" w:rsidRDefault="00C1051F" w:rsidP="00F63ADC">
      <w:pPr>
        <w:rPr>
          <w:lang w:val="en-GB"/>
        </w:rPr>
      </w:pPr>
    </w:p>
    <w:p w14:paraId="7539AB40" w14:textId="77777777" w:rsidR="00647927" w:rsidRPr="00FD5AD5" w:rsidRDefault="00647927" w:rsidP="00F63ADC">
      <w:pPr>
        <w:jc w:val="center"/>
        <w:rPr>
          <w:lang w:val="en-GB"/>
        </w:rPr>
      </w:pPr>
    </w:p>
    <w:p w14:paraId="7B3B603D" w14:textId="77777777" w:rsidR="00647927" w:rsidRPr="00FD5AD5" w:rsidRDefault="00647927" w:rsidP="00F63ADC">
      <w:pPr>
        <w:jc w:val="center"/>
        <w:rPr>
          <w:lang w:val="en-GB"/>
        </w:rPr>
      </w:pPr>
    </w:p>
    <w:p w14:paraId="7069F338" w14:textId="77777777" w:rsidR="00647927" w:rsidRPr="00FD5AD5" w:rsidRDefault="00647927" w:rsidP="00F63ADC">
      <w:pPr>
        <w:jc w:val="center"/>
        <w:rPr>
          <w:lang w:val="en-GB"/>
        </w:rPr>
      </w:pPr>
    </w:p>
    <w:p w14:paraId="2A4FC7CA" w14:textId="477CD68C" w:rsidR="00C1051F" w:rsidRPr="00FD5AD5" w:rsidRDefault="003C5EB5" w:rsidP="00F63ADC">
      <w:pPr>
        <w:jc w:val="center"/>
        <w:rPr>
          <w:b/>
          <w:bCs/>
          <w:sz w:val="28"/>
          <w:szCs w:val="28"/>
          <w:lang w:val="en-GB"/>
        </w:rPr>
      </w:pPr>
      <w:r>
        <w:rPr>
          <w:b/>
          <w:bCs/>
          <w:sz w:val="28"/>
          <w:szCs w:val="28"/>
          <w:lang w:val="en-GB"/>
        </w:rPr>
        <w:t>Strategic Review of Shell P</w:t>
      </w:r>
      <w:r w:rsidR="00C1051F" w:rsidRPr="00FD5AD5">
        <w:rPr>
          <w:b/>
          <w:bCs/>
          <w:sz w:val="28"/>
          <w:szCs w:val="28"/>
          <w:lang w:val="en-GB"/>
        </w:rPr>
        <w:t>lc</w:t>
      </w:r>
      <w:r w:rsidR="00C12F50">
        <w:rPr>
          <w:b/>
          <w:bCs/>
          <w:sz w:val="28"/>
          <w:szCs w:val="28"/>
          <w:lang w:val="en-GB"/>
        </w:rPr>
        <w:t xml:space="preserve"> </w:t>
      </w:r>
      <w:bookmarkStart w:id="0" w:name="_GoBack"/>
      <w:bookmarkEnd w:id="0"/>
    </w:p>
    <w:p w14:paraId="59A6203B" w14:textId="2A1346B4" w:rsidR="00811B96" w:rsidRPr="00264E3E" w:rsidRDefault="00811B96" w:rsidP="00F63ADC">
      <w:pPr>
        <w:jc w:val="center"/>
        <w:rPr>
          <w:b/>
          <w:bCs/>
          <w:i/>
          <w:iCs/>
          <w:lang w:val="en-GB"/>
        </w:rPr>
      </w:pPr>
      <w:r w:rsidRPr="00264E3E">
        <w:rPr>
          <w:b/>
          <w:bCs/>
          <w:i/>
          <w:iCs/>
          <w:lang w:val="en-GB"/>
        </w:rPr>
        <w:t>Student Name</w:t>
      </w:r>
      <w:r w:rsidR="00DF7716" w:rsidRPr="00264E3E">
        <w:rPr>
          <w:b/>
          <w:bCs/>
          <w:i/>
          <w:iCs/>
          <w:lang w:val="en-GB"/>
        </w:rPr>
        <w:t>: Anca Georgiana Cretan</w:t>
      </w:r>
    </w:p>
    <w:p w14:paraId="2E1CF0ED" w14:textId="679E2852" w:rsidR="00783464" w:rsidRPr="00264E3E" w:rsidRDefault="00811B96" w:rsidP="00F63ADC">
      <w:pPr>
        <w:jc w:val="center"/>
        <w:rPr>
          <w:b/>
          <w:bCs/>
          <w:i/>
          <w:iCs/>
          <w:lang w:val="en-GB"/>
        </w:rPr>
      </w:pPr>
      <w:r w:rsidRPr="00264E3E">
        <w:rPr>
          <w:b/>
          <w:bCs/>
          <w:i/>
          <w:iCs/>
          <w:lang w:val="en-GB"/>
        </w:rPr>
        <w:t>Student ID</w:t>
      </w:r>
      <w:r w:rsidR="00DF7716" w:rsidRPr="00264E3E">
        <w:rPr>
          <w:b/>
          <w:bCs/>
          <w:i/>
          <w:iCs/>
          <w:lang w:val="en-GB"/>
        </w:rPr>
        <w:t>:</w:t>
      </w:r>
      <w:r w:rsidR="00264E3E">
        <w:rPr>
          <w:b/>
          <w:bCs/>
          <w:i/>
          <w:iCs/>
          <w:lang w:val="en-GB"/>
        </w:rPr>
        <w:t>2030045</w:t>
      </w:r>
    </w:p>
    <w:p w14:paraId="5711BE58" w14:textId="77777777" w:rsidR="00783464" w:rsidRPr="00FD5AD5" w:rsidRDefault="00783464" w:rsidP="00F63ADC">
      <w:pPr>
        <w:rPr>
          <w:lang w:val="en-GB"/>
        </w:rPr>
      </w:pPr>
      <w:r w:rsidRPr="00FD5AD5">
        <w:rPr>
          <w:lang w:val="en-GB"/>
        </w:rPr>
        <w:br w:type="page"/>
      </w:r>
    </w:p>
    <w:sdt>
      <w:sdtPr>
        <w:rPr>
          <w:b/>
          <w:lang w:val="en-GB"/>
        </w:rPr>
        <w:id w:val="-1523397157"/>
        <w:docPartObj>
          <w:docPartGallery w:val="Table of Contents"/>
          <w:docPartUnique/>
        </w:docPartObj>
      </w:sdtPr>
      <w:sdtEndPr>
        <w:rPr>
          <w:bCs/>
        </w:rPr>
      </w:sdtEndPr>
      <w:sdtContent>
        <w:p w14:paraId="752CAA27" w14:textId="2C5C173D" w:rsidR="009E0928" w:rsidRPr="00FD5AD5" w:rsidRDefault="009E0928" w:rsidP="00613DB9">
          <w:pPr>
            <w:jc w:val="center"/>
            <w:rPr>
              <w:b/>
              <w:lang w:val="en-GB"/>
            </w:rPr>
          </w:pPr>
          <w:r w:rsidRPr="00FD5AD5">
            <w:rPr>
              <w:b/>
              <w:lang w:val="en-GB"/>
            </w:rPr>
            <w:t>Table of Contents</w:t>
          </w:r>
        </w:p>
        <w:p w14:paraId="1F8565F6" w14:textId="77777777" w:rsidR="00FD5AD5" w:rsidRPr="00FD5AD5" w:rsidRDefault="009E0928">
          <w:pPr>
            <w:pStyle w:val="TOC1"/>
            <w:tabs>
              <w:tab w:val="left" w:pos="1320"/>
              <w:tab w:val="right" w:leader="dot" w:pos="9350"/>
            </w:tabs>
            <w:rPr>
              <w:rFonts w:asciiTheme="minorHAnsi" w:eastAsiaTheme="minorEastAsia" w:hAnsiTheme="minorHAnsi"/>
              <w:noProof/>
              <w:sz w:val="22"/>
              <w:lang w:val="en-GB" w:eastAsia="en-GB"/>
            </w:rPr>
          </w:pPr>
          <w:r w:rsidRPr="00FD5AD5">
            <w:rPr>
              <w:rFonts w:cs="Times New Roman"/>
              <w:lang w:val="en-GB"/>
            </w:rPr>
            <w:fldChar w:fldCharType="begin"/>
          </w:r>
          <w:r w:rsidRPr="00FD5AD5">
            <w:rPr>
              <w:rFonts w:cs="Times New Roman"/>
              <w:lang w:val="en-GB"/>
            </w:rPr>
            <w:instrText xml:space="preserve"> TOC \o "1-3" \h \z \u </w:instrText>
          </w:r>
          <w:r w:rsidRPr="00FD5AD5">
            <w:rPr>
              <w:rFonts w:cs="Times New Roman"/>
              <w:lang w:val="en-GB"/>
            </w:rPr>
            <w:fldChar w:fldCharType="separate"/>
          </w:r>
          <w:hyperlink w:anchor="_Toc160574331" w:history="1">
            <w:r w:rsidR="00FD5AD5" w:rsidRPr="00FD5AD5">
              <w:rPr>
                <w:rStyle w:val="Hyperlink"/>
                <w:rFonts w:cs="Times New Roman"/>
                <w:noProof/>
                <w:lang w:val="en-GB"/>
              </w:rPr>
              <w:t>1.</w:t>
            </w:r>
            <w:r w:rsidR="00FD5AD5" w:rsidRPr="00FD5AD5">
              <w:rPr>
                <w:rFonts w:asciiTheme="minorHAnsi" w:eastAsiaTheme="minorEastAsia" w:hAnsiTheme="minorHAnsi"/>
                <w:noProof/>
                <w:sz w:val="22"/>
                <w:lang w:val="en-GB" w:eastAsia="en-GB"/>
              </w:rPr>
              <w:tab/>
            </w:r>
            <w:r w:rsidR="00FD5AD5" w:rsidRPr="00FD5AD5">
              <w:rPr>
                <w:rStyle w:val="Hyperlink"/>
                <w:rFonts w:cs="Times New Roman"/>
                <w:noProof/>
                <w:lang w:val="en-GB"/>
              </w:rPr>
              <w:t>Introduction</w:t>
            </w:r>
            <w:r w:rsidR="00FD5AD5" w:rsidRPr="00FD5AD5">
              <w:rPr>
                <w:noProof/>
                <w:webHidden/>
                <w:lang w:val="en-GB"/>
              </w:rPr>
              <w:tab/>
            </w:r>
            <w:r w:rsidR="00FD5AD5" w:rsidRPr="00FD5AD5">
              <w:rPr>
                <w:noProof/>
                <w:webHidden/>
                <w:lang w:val="en-GB"/>
              </w:rPr>
              <w:fldChar w:fldCharType="begin"/>
            </w:r>
            <w:r w:rsidR="00FD5AD5" w:rsidRPr="00FD5AD5">
              <w:rPr>
                <w:noProof/>
                <w:webHidden/>
                <w:lang w:val="en-GB"/>
              </w:rPr>
              <w:instrText xml:space="preserve"> PAGEREF _Toc160574331 \h </w:instrText>
            </w:r>
            <w:r w:rsidR="00FD5AD5" w:rsidRPr="00FD5AD5">
              <w:rPr>
                <w:noProof/>
                <w:webHidden/>
                <w:lang w:val="en-GB"/>
              </w:rPr>
            </w:r>
            <w:r w:rsidR="00FD5AD5" w:rsidRPr="00FD5AD5">
              <w:rPr>
                <w:noProof/>
                <w:webHidden/>
                <w:lang w:val="en-GB"/>
              </w:rPr>
              <w:fldChar w:fldCharType="separate"/>
            </w:r>
            <w:r w:rsidR="00FD5AD5" w:rsidRPr="00FD5AD5">
              <w:rPr>
                <w:noProof/>
                <w:webHidden/>
                <w:lang w:val="en-GB"/>
              </w:rPr>
              <w:t>3</w:t>
            </w:r>
            <w:r w:rsidR="00FD5AD5" w:rsidRPr="00FD5AD5">
              <w:rPr>
                <w:noProof/>
                <w:webHidden/>
                <w:lang w:val="en-GB"/>
              </w:rPr>
              <w:fldChar w:fldCharType="end"/>
            </w:r>
          </w:hyperlink>
        </w:p>
        <w:p w14:paraId="5BA54A3C" w14:textId="77777777" w:rsidR="00FD5AD5" w:rsidRPr="00FD5AD5" w:rsidRDefault="00C12F50">
          <w:pPr>
            <w:pStyle w:val="TOC2"/>
            <w:tabs>
              <w:tab w:val="left" w:pos="1540"/>
              <w:tab w:val="right" w:leader="dot" w:pos="9350"/>
            </w:tabs>
            <w:rPr>
              <w:rFonts w:asciiTheme="minorHAnsi" w:eastAsiaTheme="minorEastAsia" w:hAnsiTheme="minorHAnsi"/>
              <w:noProof/>
              <w:sz w:val="22"/>
              <w:lang w:val="en-GB" w:eastAsia="en-GB"/>
            </w:rPr>
          </w:pPr>
          <w:hyperlink w:anchor="_Toc160574332" w:history="1">
            <w:r w:rsidR="00FD5AD5" w:rsidRPr="00FD5AD5">
              <w:rPr>
                <w:rStyle w:val="Hyperlink"/>
                <w:noProof/>
                <w:lang w:val="en-GB"/>
              </w:rPr>
              <w:t>2.</w:t>
            </w:r>
            <w:r w:rsidR="00FD5AD5" w:rsidRPr="00FD5AD5">
              <w:rPr>
                <w:rFonts w:asciiTheme="minorHAnsi" w:eastAsiaTheme="minorEastAsia" w:hAnsiTheme="minorHAnsi"/>
                <w:noProof/>
                <w:sz w:val="22"/>
                <w:lang w:val="en-GB" w:eastAsia="en-GB"/>
              </w:rPr>
              <w:tab/>
            </w:r>
            <w:r w:rsidR="00FD5AD5" w:rsidRPr="00FD5AD5">
              <w:rPr>
                <w:rStyle w:val="Hyperlink"/>
                <w:noProof/>
                <w:lang w:val="en-GB"/>
              </w:rPr>
              <w:t>Business and Corporate Strategies</w:t>
            </w:r>
            <w:r w:rsidR="00FD5AD5" w:rsidRPr="00FD5AD5">
              <w:rPr>
                <w:noProof/>
                <w:webHidden/>
                <w:lang w:val="en-GB"/>
              </w:rPr>
              <w:tab/>
            </w:r>
            <w:r w:rsidR="00FD5AD5" w:rsidRPr="00FD5AD5">
              <w:rPr>
                <w:noProof/>
                <w:webHidden/>
                <w:lang w:val="en-GB"/>
              </w:rPr>
              <w:fldChar w:fldCharType="begin"/>
            </w:r>
            <w:r w:rsidR="00FD5AD5" w:rsidRPr="00FD5AD5">
              <w:rPr>
                <w:noProof/>
                <w:webHidden/>
                <w:lang w:val="en-GB"/>
              </w:rPr>
              <w:instrText xml:space="preserve"> PAGEREF _Toc160574332 \h </w:instrText>
            </w:r>
            <w:r w:rsidR="00FD5AD5" w:rsidRPr="00FD5AD5">
              <w:rPr>
                <w:noProof/>
                <w:webHidden/>
                <w:lang w:val="en-GB"/>
              </w:rPr>
            </w:r>
            <w:r w:rsidR="00FD5AD5" w:rsidRPr="00FD5AD5">
              <w:rPr>
                <w:noProof/>
                <w:webHidden/>
                <w:lang w:val="en-GB"/>
              </w:rPr>
              <w:fldChar w:fldCharType="separate"/>
            </w:r>
            <w:r w:rsidR="00FD5AD5" w:rsidRPr="00FD5AD5">
              <w:rPr>
                <w:noProof/>
                <w:webHidden/>
                <w:lang w:val="en-GB"/>
              </w:rPr>
              <w:t>3</w:t>
            </w:r>
            <w:r w:rsidR="00FD5AD5" w:rsidRPr="00FD5AD5">
              <w:rPr>
                <w:noProof/>
                <w:webHidden/>
                <w:lang w:val="en-GB"/>
              </w:rPr>
              <w:fldChar w:fldCharType="end"/>
            </w:r>
          </w:hyperlink>
        </w:p>
        <w:p w14:paraId="6F1DBEA7" w14:textId="77777777" w:rsidR="00FD5AD5" w:rsidRPr="00FD5AD5" w:rsidRDefault="00C12F50">
          <w:pPr>
            <w:pStyle w:val="TOC3"/>
            <w:tabs>
              <w:tab w:val="right" w:leader="dot" w:pos="9350"/>
            </w:tabs>
            <w:rPr>
              <w:rFonts w:asciiTheme="minorHAnsi" w:eastAsiaTheme="minorEastAsia" w:hAnsiTheme="minorHAnsi"/>
              <w:noProof/>
              <w:sz w:val="22"/>
              <w:lang w:val="en-GB" w:eastAsia="en-GB"/>
            </w:rPr>
          </w:pPr>
          <w:hyperlink w:anchor="_Toc160574333" w:history="1">
            <w:r w:rsidR="00FD5AD5" w:rsidRPr="00FD5AD5">
              <w:rPr>
                <w:rStyle w:val="Hyperlink"/>
                <w:rFonts w:eastAsia="Times New Roman"/>
                <w:noProof/>
                <w:lang w:val="en-GB"/>
              </w:rPr>
              <w:t>2.1 Powering Progress Strategy</w:t>
            </w:r>
            <w:r w:rsidR="00FD5AD5" w:rsidRPr="00FD5AD5">
              <w:rPr>
                <w:noProof/>
                <w:webHidden/>
                <w:lang w:val="en-GB"/>
              </w:rPr>
              <w:tab/>
            </w:r>
            <w:r w:rsidR="00FD5AD5" w:rsidRPr="00FD5AD5">
              <w:rPr>
                <w:noProof/>
                <w:webHidden/>
                <w:lang w:val="en-GB"/>
              </w:rPr>
              <w:fldChar w:fldCharType="begin"/>
            </w:r>
            <w:r w:rsidR="00FD5AD5" w:rsidRPr="00FD5AD5">
              <w:rPr>
                <w:noProof/>
                <w:webHidden/>
                <w:lang w:val="en-GB"/>
              </w:rPr>
              <w:instrText xml:space="preserve"> PAGEREF _Toc160574333 \h </w:instrText>
            </w:r>
            <w:r w:rsidR="00FD5AD5" w:rsidRPr="00FD5AD5">
              <w:rPr>
                <w:noProof/>
                <w:webHidden/>
                <w:lang w:val="en-GB"/>
              </w:rPr>
            </w:r>
            <w:r w:rsidR="00FD5AD5" w:rsidRPr="00FD5AD5">
              <w:rPr>
                <w:noProof/>
                <w:webHidden/>
                <w:lang w:val="en-GB"/>
              </w:rPr>
              <w:fldChar w:fldCharType="separate"/>
            </w:r>
            <w:r w:rsidR="00FD5AD5" w:rsidRPr="00FD5AD5">
              <w:rPr>
                <w:noProof/>
                <w:webHidden/>
                <w:lang w:val="en-GB"/>
              </w:rPr>
              <w:t>3</w:t>
            </w:r>
            <w:r w:rsidR="00FD5AD5" w:rsidRPr="00FD5AD5">
              <w:rPr>
                <w:noProof/>
                <w:webHidden/>
                <w:lang w:val="en-GB"/>
              </w:rPr>
              <w:fldChar w:fldCharType="end"/>
            </w:r>
          </w:hyperlink>
        </w:p>
        <w:p w14:paraId="63280B38" w14:textId="77777777" w:rsidR="00FD5AD5" w:rsidRPr="00FD5AD5" w:rsidRDefault="00C12F50">
          <w:pPr>
            <w:pStyle w:val="TOC3"/>
            <w:tabs>
              <w:tab w:val="right" w:leader="dot" w:pos="9350"/>
            </w:tabs>
            <w:rPr>
              <w:rFonts w:asciiTheme="minorHAnsi" w:eastAsiaTheme="minorEastAsia" w:hAnsiTheme="minorHAnsi"/>
              <w:noProof/>
              <w:sz w:val="22"/>
              <w:lang w:val="en-GB" w:eastAsia="en-GB"/>
            </w:rPr>
          </w:pPr>
          <w:hyperlink w:anchor="_Toc160574334" w:history="1">
            <w:r w:rsidR="00FD5AD5" w:rsidRPr="00FD5AD5">
              <w:rPr>
                <w:rStyle w:val="Hyperlink"/>
                <w:noProof/>
                <w:shd w:val="clear" w:color="auto" w:fill="FFFFFF"/>
                <w:lang w:val="en-GB"/>
              </w:rPr>
              <w:t>2.2 Integrated Gas Strategy</w:t>
            </w:r>
            <w:r w:rsidR="00FD5AD5" w:rsidRPr="00FD5AD5">
              <w:rPr>
                <w:noProof/>
                <w:webHidden/>
                <w:lang w:val="en-GB"/>
              </w:rPr>
              <w:tab/>
            </w:r>
            <w:r w:rsidR="00FD5AD5" w:rsidRPr="00FD5AD5">
              <w:rPr>
                <w:noProof/>
                <w:webHidden/>
                <w:lang w:val="en-GB"/>
              </w:rPr>
              <w:fldChar w:fldCharType="begin"/>
            </w:r>
            <w:r w:rsidR="00FD5AD5" w:rsidRPr="00FD5AD5">
              <w:rPr>
                <w:noProof/>
                <w:webHidden/>
                <w:lang w:val="en-GB"/>
              </w:rPr>
              <w:instrText xml:space="preserve"> PAGEREF _Toc160574334 \h </w:instrText>
            </w:r>
            <w:r w:rsidR="00FD5AD5" w:rsidRPr="00FD5AD5">
              <w:rPr>
                <w:noProof/>
                <w:webHidden/>
                <w:lang w:val="en-GB"/>
              </w:rPr>
            </w:r>
            <w:r w:rsidR="00FD5AD5" w:rsidRPr="00FD5AD5">
              <w:rPr>
                <w:noProof/>
                <w:webHidden/>
                <w:lang w:val="en-GB"/>
              </w:rPr>
              <w:fldChar w:fldCharType="separate"/>
            </w:r>
            <w:r w:rsidR="00FD5AD5" w:rsidRPr="00FD5AD5">
              <w:rPr>
                <w:noProof/>
                <w:webHidden/>
                <w:lang w:val="en-GB"/>
              </w:rPr>
              <w:t>4</w:t>
            </w:r>
            <w:r w:rsidR="00FD5AD5" w:rsidRPr="00FD5AD5">
              <w:rPr>
                <w:noProof/>
                <w:webHidden/>
                <w:lang w:val="en-GB"/>
              </w:rPr>
              <w:fldChar w:fldCharType="end"/>
            </w:r>
          </w:hyperlink>
        </w:p>
        <w:p w14:paraId="12435B9B" w14:textId="77777777" w:rsidR="00FD5AD5" w:rsidRPr="00FD5AD5" w:rsidRDefault="00C12F50">
          <w:pPr>
            <w:pStyle w:val="TOC2"/>
            <w:tabs>
              <w:tab w:val="left" w:pos="1540"/>
              <w:tab w:val="right" w:leader="dot" w:pos="9350"/>
            </w:tabs>
            <w:rPr>
              <w:rFonts w:asciiTheme="minorHAnsi" w:eastAsiaTheme="minorEastAsia" w:hAnsiTheme="minorHAnsi"/>
              <w:noProof/>
              <w:sz w:val="22"/>
              <w:lang w:val="en-GB" w:eastAsia="en-GB"/>
            </w:rPr>
          </w:pPr>
          <w:hyperlink w:anchor="_Toc160574335" w:history="1">
            <w:r w:rsidR="00FD5AD5" w:rsidRPr="00FD5AD5">
              <w:rPr>
                <w:rStyle w:val="Hyperlink"/>
                <w:noProof/>
                <w:lang w:val="en-GB"/>
              </w:rPr>
              <w:t>3.</w:t>
            </w:r>
            <w:r w:rsidR="00FD5AD5" w:rsidRPr="00FD5AD5">
              <w:rPr>
                <w:rFonts w:asciiTheme="minorHAnsi" w:eastAsiaTheme="minorEastAsia" w:hAnsiTheme="minorHAnsi"/>
                <w:noProof/>
                <w:sz w:val="22"/>
                <w:lang w:val="en-GB" w:eastAsia="en-GB"/>
              </w:rPr>
              <w:tab/>
            </w:r>
            <w:r w:rsidR="00FD5AD5" w:rsidRPr="00FD5AD5">
              <w:rPr>
                <w:rStyle w:val="Hyperlink"/>
                <w:noProof/>
                <w:lang w:val="en-GB"/>
              </w:rPr>
              <w:t>Resources and Capabilities Analysis</w:t>
            </w:r>
            <w:r w:rsidR="00FD5AD5" w:rsidRPr="00FD5AD5">
              <w:rPr>
                <w:noProof/>
                <w:webHidden/>
                <w:lang w:val="en-GB"/>
              </w:rPr>
              <w:tab/>
            </w:r>
            <w:r w:rsidR="00FD5AD5" w:rsidRPr="00FD5AD5">
              <w:rPr>
                <w:noProof/>
                <w:webHidden/>
                <w:lang w:val="en-GB"/>
              </w:rPr>
              <w:fldChar w:fldCharType="begin"/>
            </w:r>
            <w:r w:rsidR="00FD5AD5" w:rsidRPr="00FD5AD5">
              <w:rPr>
                <w:noProof/>
                <w:webHidden/>
                <w:lang w:val="en-GB"/>
              </w:rPr>
              <w:instrText xml:space="preserve"> PAGEREF _Toc160574335 \h </w:instrText>
            </w:r>
            <w:r w:rsidR="00FD5AD5" w:rsidRPr="00FD5AD5">
              <w:rPr>
                <w:noProof/>
                <w:webHidden/>
                <w:lang w:val="en-GB"/>
              </w:rPr>
            </w:r>
            <w:r w:rsidR="00FD5AD5" w:rsidRPr="00FD5AD5">
              <w:rPr>
                <w:noProof/>
                <w:webHidden/>
                <w:lang w:val="en-GB"/>
              </w:rPr>
              <w:fldChar w:fldCharType="separate"/>
            </w:r>
            <w:r w:rsidR="00FD5AD5" w:rsidRPr="00FD5AD5">
              <w:rPr>
                <w:noProof/>
                <w:webHidden/>
                <w:lang w:val="en-GB"/>
              </w:rPr>
              <w:t>4</w:t>
            </w:r>
            <w:r w:rsidR="00FD5AD5" w:rsidRPr="00FD5AD5">
              <w:rPr>
                <w:noProof/>
                <w:webHidden/>
                <w:lang w:val="en-GB"/>
              </w:rPr>
              <w:fldChar w:fldCharType="end"/>
            </w:r>
          </w:hyperlink>
        </w:p>
        <w:p w14:paraId="3D1E113E" w14:textId="77777777" w:rsidR="00FD5AD5" w:rsidRPr="00FD5AD5" w:rsidRDefault="00C12F50">
          <w:pPr>
            <w:pStyle w:val="TOC3"/>
            <w:tabs>
              <w:tab w:val="right" w:leader="dot" w:pos="9350"/>
            </w:tabs>
            <w:rPr>
              <w:rFonts w:asciiTheme="minorHAnsi" w:eastAsiaTheme="minorEastAsia" w:hAnsiTheme="minorHAnsi"/>
              <w:noProof/>
              <w:sz w:val="22"/>
              <w:lang w:val="en-GB" w:eastAsia="en-GB"/>
            </w:rPr>
          </w:pPr>
          <w:hyperlink w:anchor="_Toc160574336" w:history="1">
            <w:r w:rsidR="00FD5AD5" w:rsidRPr="00FD5AD5">
              <w:rPr>
                <w:rStyle w:val="Hyperlink"/>
                <w:rFonts w:eastAsia="Times New Roman"/>
                <w:noProof/>
                <w:lang w:val="en-GB"/>
              </w:rPr>
              <w:t>3.1 Resources and Capabilities</w:t>
            </w:r>
            <w:r w:rsidR="00FD5AD5" w:rsidRPr="00FD5AD5">
              <w:rPr>
                <w:noProof/>
                <w:webHidden/>
                <w:lang w:val="en-GB"/>
              </w:rPr>
              <w:tab/>
            </w:r>
            <w:r w:rsidR="00FD5AD5" w:rsidRPr="00FD5AD5">
              <w:rPr>
                <w:noProof/>
                <w:webHidden/>
                <w:lang w:val="en-GB"/>
              </w:rPr>
              <w:fldChar w:fldCharType="begin"/>
            </w:r>
            <w:r w:rsidR="00FD5AD5" w:rsidRPr="00FD5AD5">
              <w:rPr>
                <w:noProof/>
                <w:webHidden/>
                <w:lang w:val="en-GB"/>
              </w:rPr>
              <w:instrText xml:space="preserve"> PAGEREF _Toc160574336 \h </w:instrText>
            </w:r>
            <w:r w:rsidR="00FD5AD5" w:rsidRPr="00FD5AD5">
              <w:rPr>
                <w:noProof/>
                <w:webHidden/>
                <w:lang w:val="en-GB"/>
              </w:rPr>
            </w:r>
            <w:r w:rsidR="00FD5AD5" w:rsidRPr="00FD5AD5">
              <w:rPr>
                <w:noProof/>
                <w:webHidden/>
                <w:lang w:val="en-GB"/>
              </w:rPr>
              <w:fldChar w:fldCharType="separate"/>
            </w:r>
            <w:r w:rsidR="00FD5AD5" w:rsidRPr="00FD5AD5">
              <w:rPr>
                <w:noProof/>
                <w:webHidden/>
                <w:lang w:val="en-GB"/>
              </w:rPr>
              <w:t>4</w:t>
            </w:r>
            <w:r w:rsidR="00FD5AD5" w:rsidRPr="00FD5AD5">
              <w:rPr>
                <w:noProof/>
                <w:webHidden/>
                <w:lang w:val="en-GB"/>
              </w:rPr>
              <w:fldChar w:fldCharType="end"/>
            </w:r>
          </w:hyperlink>
        </w:p>
        <w:p w14:paraId="45883963" w14:textId="77777777" w:rsidR="00FD5AD5" w:rsidRPr="00FD5AD5" w:rsidRDefault="00C12F50">
          <w:pPr>
            <w:pStyle w:val="TOC3"/>
            <w:tabs>
              <w:tab w:val="right" w:leader="dot" w:pos="9350"/>
            </w:tabs>
            <w:rPr>
              <w:rFonts w:asciiTheme="minorHAnsi" w:eastAsiaTheme="minorEastAsia" w:hAnsiTheme="minorHAnsi"/>
              <w:noProof/>
              <w:sz w:val="22"/>
              <w:lang w:val="en-GB" w:eastAsia="en-GB"/>
            </w:rPr>
          </w:pPr>
          <w:hyperlink w:anchor="_Toc160574337" w:history="1">
            <w:r w:rsidR="00FD5AD5" w:rsidRPr="00FD5AD5">
              <w:rPr>
                <w:rStyle w:val="Hyperlink"/>
                <w:rFonts w:eastAsia="Times New Roman"/>
                <w:noProof/>
                <w:lang w:val="en-GB"/>
              </w:rPr>
              <w:t>3.2 Analysis of Shell Plc's Resources and Capabilities with Current Strategies</w:t>
            </w:r>
            <w:r w:rsidR="00FD5AD5" w:rsidRPr="00FD5AD5">
              <w:rPr>
                <w:noProof/>
                <w:webHidden/>
                <w:lang w:val="en-GB"/>
              </w:rPr>
              <w:tab/>
            </w:r>
            <w:r w:rsidR="00FD5AD5" w:rsidRPr="00FD5AD5">
              <w:rPr>
                <w:noProof/>
                <w:webHidden/>
                <w:lang w:val="en-GB"/>
              </w:rPr>
              <w:fldChar w:fldCharType="begin"/>
            </w:r>
            <w:r w:rsidR="00FD5AD5" w:rsidRPr="00FD5AD5">
              <w:rPr>
                <w:noProof/>
                <w:webHidden/>
                <w:lang w:val="en-GB"/>
              </w:rPr>
              <w:instrText xml:space="preserve"> PAGEREF _Toc160574337 \h </w:instrText>
            </w:r>
            <w:r w:rsidR="00FD5AD5" w:rsidRPr="00FD5AD5">
              <w:rPr>
                <w:noProof/>
                <w:webHidden/>
                <w:lang w:val="en-GB"/>
              </w:rPr>
            </w:r>
            <w:r w:rsidR="00FD5AD5" w:rsidRPr="00FD5AD5">
              <w:rPr>
                <w:noProof/>
                <w:webHidden/>
                <w:lang w:val="en-GB"/>
              </w:rPr>
              <w:fldChar w:fldCharType="separate"/>
            </w:r>
            <w:r w:rsidR="00FD5AD5" w:rsidRPr="00FD5AD5">
              <w:rPr>
                <w:noProof/>
                <w:webHidden/>
                <w:lang w:val="en-GB"/>
              </w:rPr>
              <w:t>5</w:t>
            </w:r>
            <w:r w:rsidR="00FD5AD5" w:rsidRPr="00FD5AD5">
              <w:rPr>
                <w:noProof/>
                <w:webHidden/>
                <w:lang w:val="en-GB"/>
              </w:rPr>
              <w:fldChar w:fldCharType="end"/>
            </w:r>
          </w:hyperlink>
        </w:p>
        <w:p w14:paraId="160E57D8" w14:textId="77777777" w:rsidR="00FD5AD5" w:rsidRPr="00FD5AD5" w:rsidRDefault="00C12F50">
          <w:pPr>
            <w:pStyle w:val="TOC2"/>
            <w:tabs>
              <w:tab w:val="left" w:pos="1540"/>
              <w:tab w:val="right" w:leader="dot" w:pos="9350"/>
            </w:tabs>
            <w:rPr>
              <w:rFonts w:asciiTheme="minorHAnsi" w:eastAsiaTheme="minorEastAsia" w:hAnsiTheme="minorHAnsi"/>
              <w:noProof/>
              <w:sz w:val="22"/>
              <w:lang w:val="en-GB" w:eastAsia="en-GB"/>
            </w:rPr>
          </w:pPr>
          <w:hyperlink w:anchor="_Toc160574338" w:history="1">
            <w:r w:rsidR="00FD5AD5" w:rsidRPr="00FD5AD5">
              <w:rPr>
                <w:rStyle w:val="Hyperlink"/>
                <w:noProof/>
                <w:lang w:val="en-GB"/>
              </w:rPr>
              <w:t>4.</w:t>
            </w:r>
            <w:r w:rsidR="00FD5AD5" w:rsidRPr="00FD5AD5">
              <w:rPr>
                <w:rFonts w:asciiTheme="minorHAnsi" w:eastAsiaTheme="minorEastAsia" w:hAnsiTheme="minorHAnsi"/>
                <w:noProof/>
                <w:sz w:val="22"/>
                <w:lang w:val="en-GB" w:eastAsia="en-GB"/>
              </w:rPr>
              <w:tab/>
            </w:r>
            <w:r w:rsidR="00FD5AD5" w:rsidRPr="00FD5AD5">
              <w:rPr>
                <w:rStyle w:val="Hyperlink"/>
                <w:noProof/>
                <w:lang w:val="en-GB"/>
              </w:rPr>
              <w:t>Implementation of Strategies</w:t>
            </w:r>
            <w:r w:rsidR="00FD5AD5" w:rsidRPr="00FD5AD5">
              <w:rPr>
                <w:noProof/>
                <w:webHidden/>
                <w:lang w:val="en-GB"/>
              </w:rPr>
              <w:tab/>
            </w:r>
            <w:r w:rsidR="00FD5AD5" w:rsidRPr="00FD5AD5">
              <w:rPr>
                <w:noProof/>
                <w:webHidden/>
                <w:lang w:val="en-GB"/>
              </w:rPr>
              <w:fldChar w:fldCharType="begin"/>
            </w:r>
            <w:r w:rsidR="00FD5AD5" w:rsidRPr="00FD5AD5">
              <w:rPr>
                <w:noProof/>
                <w:webHidden/>
                <w:lang w:val="en-GB"/>
              </w:rPr>
              <w:instrText xml:space="preserve"> PAGEREF _Toc160574338 \h </w:instrText>
            </w:r>
            <w:r w:rsidR="00FD5AD5" w:rsidRPr="00FD5AD5">
              <w:rPr>
                <w:noProof/>
                <w:webHidden/>
                <w:lang w:val="en-GB"/>
              </w:rPr>
            </w:r>
            <w:r w:rsidR="00FD5AD5" w:rsidRPr="00FD5AD5">
              <w:rPr>
                <w:noProof/>
                <w:webHidden/>
                <w:lang w:val="en-GB"/>
              </w:rPr>
              <w:fldChar w:fldCharType="separate"/>
            </w:r>
            <w:r w:rsidR="00FD5AD5" w:rsidRPr="00FD5AD5">
              <w:rPr>
                <w:noProof/>
                <w:webHidden/>
                <w:lang w:val="en-GB"/>
              </w:rPr>
              <w:t>6</w:t>
            </w:r>
            <w:r w:rsidR="00FD5AD5" w:rsidRPr="00FD5AD5">
              <w:rPr>
                <w:noProof/>
                <w:webHidden/>
                <w:lang w:val="en-GB"/>
              </w:rPr>
              <w:fldChar w:fldCharType="end"/>
            </w:r>
          </w:hyperlink>
        </w:p>
        <w:p w14:paraId="3F4CBAE2" w14:textId="77777777" w:rsidR="00FD5AD5" w:rsidRPr="00FD5AD5" w:rsidRDefault="00C12F50">
          <w:pPr>
            <w:pStyle w:val="TOC2"/>
            <w:tabs>
              <w:tab w:val="left" w:pos="1540"/>
              <w:tab w:val="right" w:leader="dot" w:pos="9350"/>
            </w:tabs>
            <w:rPr>
              <w:rFonts w:asciiTheme="minorHAnsi" w:eastAsiaTheme="minorEastAsia" w:hAnsiTheme="minorHAnsi"/>
              <w:noProof/>
              <w:sz w:val="22"/>
              <w:lang w:val="en-GB" w:eastAsia="en-GB"/>
            </w:rPr>
          </w:pPr>
          <w:hyperlink w:anchor="_Toc160574339" w:history="1">
            <w:r w:rsidR="00FD5AD5" w:rsidRPr="00FD5AD5">
              <w:rPr>
                <w:rStyle w:val="Hyperlink"/>
                <w:noProof/>
                <w:lang w:val="en-GB"/>
              </w:rPr>
              <w:t>5.</w:t>
            </w:r>
            <w:r w:rsidR="00FD5AD5" w:rsidRPr="00FD5AD5">
              <w:rPr>
                <w:rFonts w:asciiTheme="minorHAnsi" w:eastAsiaTheme="minorEastAsia" w:hAnsiTheme="minorHAnsi"/>
                <w:noProof/>
                <w:sz w:val="22"/>
                <w:lang w:val="en-GB" w:eastAsia="en-GB"/>
              </w:rPr>
              <w:tab/>
            </w:r>
            <w:r w:rsidR="00FD5AD5" w:rsidRPr="00FD5AD5">
              <w:rPr>
                <w:rStyle w:val="Hyperlink"/>
                <w:noProof/>
                <w:lang w:val="en-GB"/>
              </w:rPr>
              <w:t>Sustainability and Environmental Considerations</w:t>
            </w:r>
            <w:r w:rsidR="00FD5AD5" w:rsidRPr="00FD5AD5">
              <w:rPr>
                <w:noProof/>
                <w:webHidden/>
                <w:lang w:val="en-GB"/>
              </w:rPr>
              <w:tab/>
            </w:r>
            <w:r w:rsidR="00FD5AD5" w:rsidRPr="00FD5AD5">
              <w:rPr>
                <w:noProof/>
                <w:webHidden/>
                <w:lang w:val="en-GB"/>
              </w:rPr>
              <w:fldChar w:fldCharType="begin"/>
            </w:r>
            <w:r w:rsidR="00FD5AD5" w:rsidRPr="00FD5AD5">
              <w:rPr>
                <w:noProof/>
                <w:webHidden/>
                <w:lang w:val="en-GB"/>
              </w:rPr>
              <w:instrText xml:space="preserve"> PAGEREF _Toc160574339 \h </w:instrText>
            </w:r>
            <w:r w:rsidR="00FD5AD5" w:rsidRPr="00FD5AD5">
              <w:rPr>
                <w:noProof/>
                <w:webHidden/>
                <w:lang w:val="en-GB"/>
              </w:rPr>
            </w:r>
            <w:r w:rsidR="00FD5AD5" w:rsidRPr="00FD5AD5">
              <w:rPr>
                <w:noProof/>
                <w:webHidden/>
                <w:lang w:val="en-GB"/>
              </w:rPr>
              <w:fldChar w:fldCharType="separate"/>
            </w:r>
            <w:r w:rsidR="00FD5AD5" w:rsidRPr="00FD5AD5">
              <w:rPr>
                <w:noProof/>
                <w:webHidden/>
                <w:lang w:val="en-GB"/>
              </w:rPr>
              <w:t>7</w:t>
            </w:r>
            <w:r w:rsidR="00FD5AD5" w:rsidRPr="00FD5AD5">
              <w:rPr>
                <w:noProof/>
                <w:webHidden/>
                <w:lang w:val="en-GB"/>
              </w:rPr>
              <w:fldChar w:fldCharType="end"/>
            </w:r>
          </w:hyperlink>
        </w:p>
        <w:p w14:paraId="7DAA3987" w14:textId="77777777" w:rsidR="00FD5AD5" w:rsidRPr="00FD5AD5" w:rsidRDefault="00C12F50">
          <w:pPr>
            <w:pStyle w:val="TOC2"/>
            <w:tabs>
              <w:tab w:val="left" w:pos="1540"/>
              <w:tab w:val="right" w:leader="dot" w:pos="9350"/>
            </w:tabs>
            <w:rPr>
              <w:rFonts w:asciiTheme="minorHAnsi" w:eastAsiaTheme="minorEastAsia" w:hAnsiTheme="minorHAnsi"/>
              <w:noProof/>
              <w:sz w:val="22"/>
              <w:lang w:val="en-GB" w:eastAsia="en-GB"/>
            </w:rPr>
          </w:pPr>
          <w:hyperlink w:anchor="_Toc160574340" w:history="1">
            <w:r w:rsidR="00FD5AD5" w:rsidRPr="00FD5AD5">
              <w:rPr>
                <w:rStyle w:val="Hyperlink"/>
                <w:noProof/>
                <w:lang w:val="en-GB"/>
              </w:rPr>
              <w:t>6.</w:t>
            </w:r>
            <w:r w:rsidR="00FD5AD5" w:rsidRPr="00FD5AD5">
              <w:rPr>
                <w:rFonts w:asciiTheme="minorHAnsi" w:eastAsiaTheme="minorEastAsia" w:hAnsiTheme="minorHAnsi"/>
                <w:noProof/>
                <w:sz w:val="22"/>
                <w:lang w:val="en-GB" w:eastAsia="en-GB"/>
              </w:rPr>
              <w:tab/>
            </w:r>
            <w:r w:rsidR="00FD5AD5" w:rsidRPr="00FD5AD5">
              <w:rPr>
                <w:rStyle w:val="Hyperlink"/>
                <w:noProof/>
                <w:lang w:val="en-GB"/>
              </w:rPr>
              <w:t>Future Strategic Direction</w:t>
            </w:r>
            <w:r w:rsidR="00FD5AD5" w:rsidRPr="00FD5AD5">
              <w:rPr>
                <w:noProof/>
                <w:webHidden/>
                <w:lang w:val="en-GB"/>
              </w:rPr>
              <w:tab/>
            </w:r>
            <w:r w:rsidR="00FD5AD5" w:rsidRPr="00FD5AD5">
              <w:rPr>
                <w:noProof/>
                <w:webHidden/>
                <w:lang w:val="en-GB"/>
              </w:rPr>
              <w:fldChar w:fldCharType="begin"/>
            </w:r>
            <w:r w:rsidR="00FD5AD5" w:rsidRPr="00FD5AD5">
              <w:rPr>
                <w:noProof/>
                <w:webHidden/>
                <w:lang w:val="en-GB"/>
              </w:rPr>
              <w:instrText xml:space="preserve"> PAGEREF _Toc160574340 \h </w:instrText>
            </w:r>
            <w:r w:rsidR="00FD5AD5" w:rsidRPr="00FD5AD5">
              <w:rPr>
                <w:noProof/>
                <w:webHidden/>
                <w:lang w:val="en-GB"/>
              </w:rPr>
            </w:r>
            <w:r w:rsidR="00FD5AD5" w:rsidRPr="00FD5AD5">
              <w:rPr>
                <w:noProof/>
                <w:webHidden/>
                <w:lang w:val="en-GB"/>
              </w:rPr>
              <w:fldChar w:fldCharType="separate"/>
            </w:r>
            <w:r w:rsidR="00FD5AD5" w:rsidRPr="00FD5AD5">
              <w:rPr>
                <w:noProof/>
                <w:webHidden/>
                <w:lang w:val="en-GB"/>
              </w:rPr>
              <w:t>8</w:t>
            </w:r>
            <w:r w:rsidR="00FD5AD5" w:rsidRPr="00FD5AD5">
              <w:rPr>
                <w:noProof/>
                <w:webHidden/>
                <w:lang w:val="en-GB"/>
              </w:rPr>
              <w:fldChar w:fldCharType="end"/>
            </w:r>
          </w:hyperlink>
        </w:p>
        <w:p w14:paraId="066DF08D" w14:textId="77777777" w:rsidR="00FD5AD5" w:rsidRPr="00FD5AD5" w:rsidRDefault="00C12F50">
          <w:pPr>
            <w:pStyle w:val="TOC3"/>
            <w:tabs>
              <w:tab w:val="right" w:leader="dot" w:pos="9350"/>
            </w:tabs>
            <w:rPr>
              <w:rFonts w:asciiTheme="minorHAnsi" w:eastAsiaTheme="minorEastAsia" w:hAnsiTheme="minorHAnsi"/>
              <w:noProof/>
              <w:sz w:val="22"/>
              <w:lang w:val="en-GB" w:eastAsia="en-GB"/>
            </w:rPr>
          </w:pPr>
          <w:hyperlink w:anchor="_Toc160574341" w:history="1">
            <w:r w:rsidR="00FD5AD5" w:rsidRPr="00FD5AD5">
              <w:rPr>
                <w:rStyle w:val="Hyperlink"/>
                <w:noProof/>
                <w:lang w:val="en-GB"/>
              </w:rPr>
              <w:t>6.1 Evaluation of Future Strategic Directions for Shell PLC</w:t>
            </w:r>
            <w:r w:rsidR="00FD5AD5" w:rsidRPr="00FD5AD5">
              <w:rPr>
                <w:noProof/>
                <w:webHidden/>
                <w:lang w:val="en-GB"/>
              </w:rPr>
              <w:tab/>
            </w:r>
            <w:r w:rsidR="00FD5AD5" w:rsidRPr="00FD5AD5">
              <w:rPr>
                <w:noProof/>
                <w:webHidden/>
                <w:lang w:val="en-GB"/>
              </w:rPr>
              <w:fldChar w:fldCharType="begin"/>
            </w:r>
            <w:r w:rsidR="00FD5AD5" w:rsidRPr="00FD5AD5">
              <w:rPr>
                <w:noProof/>
                <w:webHidden/>
                <w:lang w:val="en-GB"/>
              </w:rPr>
              <w:instrText xml:space="preserve"> PAGEREF _Toc160574341 \h </w:instrText>
            </w:r>
            <w:r w:rsidR="00FD5AD5" w:rsidRPr="00FD5AD5">
              <w:rPr>
                <w:noProof/>
                <w:webHidden/>
                <w:lang w:val="en-GB"/>
              </w:rPr>
            </w:r>
            <w:r w:rsidR="00FD5AD5" w:rsidRPr="00FD5AD5">
              <w:rPr>
                <w:noProof/>
                <w:webHidden/>
                <w:lang w:val="en-GB"/>
              </w:rPr>
              <w:fldChar w:fldCharType="separate"/>
            </w:r>
            <w:r w:rsidR="00FD5AD5" w:rsidRPr="00FD5AD5">
              <w:rPr>
                <w:noProof/>
                <w:webHidden/>
                <w:lang w:val="en-GB"/>
              </w:rPr>
              <w:t>8</w:t>
            </w:r>
            <w:r w:rsidR="00FD5AD5" w:rsidRPr="00FD5AD5">
              <w:rPr>
                <w:noProof/>
                <w:webHidden/>
                <w:lang w:val="en-GB"/>
              </w:rPr>
              <w:fldChar w:fldCharType="end"/>
            </w:r>
          </w:hyperlink>
        </w:p>
        <w:p w14:paraId="42B1F21E" w14:textId="77777777" w:rsidR="00FD5AD5" w:rsidRPr="00FD5AD5" w:rsidRDefault="00C12F50">
          <w:pPr>
            <w:pStyle w:val="TOC3"/>
            <w:tabs>
              <w:tab w:val="right" w:leader="dot" w:pos="9350"/>
            </w:tabs>
            <w:rPr>
              <w:rFonts w:asciiTheme="minorHAnsi" w:eastAsiaTheme="minorEastAsia" w:hAnsiTheme="minorHAnsi"/>
              <w:noProof/>
              <w:sz w:val="22"/>
              <w:lang w:val="en-GB" w:eastAsia="en-GB"/>
            </w:rPr>
          </w:pPr>
          <w:hyperlink w:anchor="_Toc160574342" w:history="1">
            <w:r w:rsidR="00FD5AD5" w:rsidRPr="00FD5AD5">
              <w:rPr>
                <w:rStyle w:val="Hyperlink"/>
                <w:rFonts w:eastAsia="Times New Roman"/>
                <w:noProof/>
                <w:lang w:val="en-GB"/>
              </w:rPr>
              <w:t>6.2 Recommendations for Enhanced Sustainability Practices</w:t>
            </w:r>
            <w:r w:rsidR="00FD5AD5" w:rsidRPr="00FD5AD5">
              <w:rPr>
                <w:noProof/>
                <w:webHidden/>
                <w:lang w:val="en-GB"/>
              </w:rPr>
              <w:tab/>
            </w:r>
            <w:r w:rsidR="00FD5AD5" w:rsidRPr="00FD5AD5">
              <w:rPr>
                <w:noProof/>
                <w:webHidden/>
                <w:lang w:val="en-GB"/>
              </w:rPr>
              <w:fldChar w:fldCharType="begin"/>
            </w:r>
            <w:r w:rsidR="00FD5AD5" w:rsidRPr="00FD5AD5">
              <w:rPr>
                <w:noProof/>
                <w:webHidden/>
                <w:lang w:val="en-GB"/>
              </w:rPr>
              <w:instrText xml:space="preserve"> PAGEREF _Toc160574342 \h </w:instrText>
            </w:r>
            <w:r w:rsidR="00FD5AD5" w:rsidRPr="00FD5AD5">
              <w:rPr>
                <w:noProof/>
                <w:webHidden/>
                <w:lang w:val="en-GB"/>
              </w:rPr>
            </w:r>
            <w:r w:rsidR="00FD5AD5" w:rsidRPr="00FD5AD5">
              <w:rPr>
                <w:noProof/>
                <w:webHidden/>
                <w:lang w:val="en-GB"/>
              </w:rPr>
              <w:fldChar w:fldCharType="separate"/>
            </w:r>
            <w:r w:rsidR="00FD5AD5" w:rsidRPr="00FD5AD5">
              <w:rPr>
                <w:noProof/>
                <w:webHidden/>
                <w:lang w:val="en-GB"/>
              </w:rPr>
              <w:t>8</w:t>
            </w:r>
            <w:r w:rsidR="00FD5AD5" w:rsidRPr="00FD5AD5">
              <w:rPr>
                <w:noProof/>
                <w:webHidden/>
                <w:lang w:val="en-GB"/>
              </w:rPr>
              <w:fldChar w:fldCharType="end"/>
            </w:r>
          </w:hyperlink>
        </w:p>
        <w:p w14:paraId="3FA238C6" w14:textId="77777777" w:rsidR="00FD5AD5" w:rsidRPr="00FD5AD5" w:rsidRDefault="00C12F50">
          <w:pPr>
            <w:pStyle w:val="TOC2"/>
            <w:tabs>
              <w:tab w:val="left" w:pos="1540"/>
              <w:tab w:val="right" w:leader="dot" w:pos="9350"/>
            </w:tabs>
            <w:rPr>
              <w:rFonts w:asciiTheme="minorHAnsi" w:eastAsiaTheme="minorEastAsia" w:hAnsiTheme="minorHAnsi"/>
              <w:noProof/>
              <w:sz w:val="22"/>
              <w:lang w:val="en-GB" w:eastAsia="en-GB"/>
            </w:rPr>
          </w:pPr>
          <w:hyperlink w:anchor="_Toc160574343" w:history="1">
            <w:r w:rsidR="00FD5AD5" w:rsidRPr="00FD5AD5">
              <w:rPr>
                <w:rStyle w:val="Hyperlink"/>
                <w:noProof/>
                <w:lang w:val="en-GB"/>
              </w:rPr>
              <w:t>7.</w:t>
            </w:r>
            <w:r w:rsidR="00FD5AD5" w:rsidRPr="00FD5AD5">
              <w:rPr>
                <w:rFonts w:asciiTheme="minorHAnsi" w:eastAsiaTheme="minorEastAsia" w:hAnsiTheme="minorHAnsi"/>
                <w:noProof/>
                <w:sz w:val="22"/>
                <w:lang w:val="en-GB" w:eastAsia="en-GB"/>
              </w:rPr>
              <w:tab/>
            </w:r>
            <w:r w:rsidR="00FD5AD5" w:rsidRPr="00FD5AD5">
              <w:rPr>
                <w:rStyle w:val="Hyperlink"/>
                <w:noProof/>
                <w:lang w:val="en-GB"/>
              </w:rPr>
              <w:t>Conclusion</w:t>
            </w:r>
            <w:r w:rsidR="00FD5AD5" w:rsidRPr="00FD5AD5">
              <w:rPr>
                <w:noProof/>
                <w:webHidden/>
                <w:lang w:val="en-GB"/>
              </w:rPr>
              <w:tab/>
            </w:r>
            <w:r w:rsidR="00FD5AD5" w:rsidRPr="00FD5AD5">
              <w:rPr>
                <w:noProof/>
                <w:webHidden/>
                <w:lang w:val="en-GB"/>
              </w:rPr>
              <w:fldChar w:fldCharType="begin"/>
            </w:r>
            <w:r w:rsidR="00FD5AD5" w:rsidRPr="00FD5AD5">
              <w:rPr>
                <w:noProof/>
                <w:webHidden/>
                <w:lang w:val="en-GB"/>
              </w:rPr>
              <w:instrText xml:space="preserve"> PAGEREF _Toc160574343 \h </w:instrText>
            </w:r>
            <w:r w:rsidR="00FD5AD5" w:rsidRPr="00FD5AD5">
              <w:rPr>
                <w:noProof/>
                <w:webHidden/>
                <w:lang w:val="en-GB"/>
              </w:rPr>
            </w:r>
            <w:r w:rsidR="00FD5AD5" w:rsidRPr="00FD5AD5">
              <w:rPr>
                <w:noProof/>
                <w:webHidden/>
                <w:lang w:val="en-GB"/>
              </w:rPr>
              <w:fldChar w:fldCharType="separate"/>
            </w:r>
            <w:r w:rsidR="00FD5AD5" w:rsidRPr="00FD5AD5">
              <w:rPr>
                <w:noProof/>
                <w:webHidden/>
                <w:lang w:val="en-GB"/>
              </w:rPr>
              <w:t>9</w:t>
            </w:r>
            <w:r w:rsidR="00FD5AD5" w:rsidRPr="00FD5AD5">
              <w:rPr>
                <w:noProof/>
                <w:webHidden/>
                <w:lang w:val="en-GB"/>
              </w:rPr>
              <w:fldChar w:fldCharType="end"/>
            </w:r>
          </w:hyperlink>
        </w:p>
        <w:p w14:paraId="4D68CF88" w14:textId="77777777" w:rsidR="00FD5AD5" w:rsidRPr="00FD5AD5" w:rsidRDefault="00C12F50">
          <w:pPr>
            <w:pStyle w:val="TOC1"/>
            <w:tabs>
              <w:tab w:val="right" w:leader="dot" w:pos="9350"/>
            </w:tabs>
            <w:rPr>
              <w:rFonts w:asciiTheme="minorHAnsi" w:eastAsiaTheme="minorEastAsia" w:hAnsiTheme="minorHAnsi"/>
              <w:noProof/>
              <w:sz w:val="22"/>
              <w:lang w:val="en-GB" w:eastAsia="en-GB"/>
            </w:rPr>
          </w:pPr>
          <w:hyperlink w:anchor="_Toc160574344" w:history="1">
            <w:r w:rsidR="00FD5AD5" w:rsidRPr="00FD5AD5">
              <w:rPr>
                <w:rStyle w:val="Hyperlink"/>
                <w:rFonts w:cs="Times New Roman"/>
                <w:noProof/>
                <w:lang w:val="en-GB"/>
              </w:rPr>
              <w:t>References</w:t>
            </w:r>
            <w:r w:rsidR="00FD5AD5" w:rsidRPr="00FD5AD5">
              <w:rPr>
                <w:noProof/>
                <w:webHidden/>
                <w:lang w:val="en-GB"/>
              </w:rPr>
              <w:tab/>
            </w:r>
            <w:r w:rsidR="00FD5AD5" w:rsidRPr="00FD5AD5">
              <w:rPr>
                <w:noProof/>
                <w:webHidden/>
                <w:lang w:val="en-GB"/>
              </w:rPr>
              <w:fldChar w:fldCharType="begin"/>
            </w:r>
            <w:r w:rsidR="00FD5AD5" w:rsidRPr="00FD5AD5">
              <w:rPr>
                <w:noProof/>
                <w:webHidden/>
                <w:lang w:val="en-GB"/>
              </w:rPr>
              <w:instrText xml:space="preserve"> PAGEREF _Toc160574344 \h </w:instrText>
            </w:r>
            <w:r w:rsidR="00FD5AD5" w:rsidRPr="00FD5AD5">
              <w:rPr>
                <w:noProof/>
                <w:webHidden/>
                <w:lang w:val="en-GB"/>
              </w:rPr>
            </w:r>
            <w:r w:rsidR="00FD5AD5" w:rsidRPr="00FD5AD5">
              <w:rPr>
                <w:noProof/>
                <w:webHidden/>
                <w:lang w:val="en-GB"/>
              </w:rPr>
              <w:fldChar w:fldCharType="separate"/>
            </w:r>
            <w:r w:rsidR="00FD5AD5" w:rsidRPr="00FD5AD5">
              <w:rPr>
                <w:noProof/>
                <w:webHidden/>
                <w:lang w:val="en-GB"/>
              </w:rPr>
              <w:t>10</w:t>
            </w:r>
            <w:r w:rsidR="00FD5AD5" w:rsidRPr="00FD5AD5">
              <w:rPr>
                <w:noProof/>
                <w:webHidden/>
                <w:lang w:val="en-GB"/>
              </w:rPr>
              <w:fldChar w:fldCharType="end"/>
            </w:r>
          </w:hyperlink>
        </w:p>
        <w:p w14:paraId="48EE78CF" w14:textId="77777777" w:rsidR="00FD5AD5" w:rsidRPr="00FD5AD5" w:rsidRDefault="00C12F50">
          <w:pPr>
            <w:pStyle w:val="TOC1"/>
            <w:tabs>
              <w:tab w:val="right" w:leader="dot" w:pos="9350"/>
            </w:tabs>
            <w:rPr>
              <w:rFonts w:asciiTheme="minorHAnsi" w:eastAsiaTheme="minorEastAsia" w:hAnsiTheme="minorHAnsi"/>
              <w:noProof/>
              <w:sz w:val="22"/>
              <w:lang w:val="en-GB" w:eastAsia="en-GB"/>
            </w:rPr>
          </w:pPr>
          <w:hyperlink w:anchor="_Toc160574345" w:history="1">
            <w:r w:rsidR="00FD5AD5" w:rsidRPr="00FD5AD5">
              <w:rPr>
                <w:rStyle w:val="Hyperlink"/>
                <w:rFonts w:cs="Times New Roman"/>
                <w:noProof/>
                <w:lang w:val="en-GB"/>
              </w:rPr>
              <w:t>Appendices</w:t>
            </w:r>
            <w:r w:rsidR="00FD5AD5" w:rsidRPr="00FD5AD5">
              <w:rPr>
                <w:noProof/>
                <w:webHidden/>
                <w:lang w:val="en-GB"/>
              </w:rPr>
              <w:tab/>
            </w:r>
            <w:r w:rsidR="00FD5AD5" w:rsidRPr="00FD5AD5">
              <w:rPr>
                <w:noProof/>
                <w:webHidden/>
                <w:lang w:val="en-GB"/>
              </w:rPr>
              <w:fldChar w:fldCharType="begin"/>
            </w:r>
            <w:r w:rsidR="00FD5AD5" w:rsidRPr="00FD5AD5">
              <w:rPr>
                <w:noProof/>
                <w:webHidden/>
                <w:lang w:val="en-GB"/>
              </w:rPr>
              <w:instrText xml:space="preserve"> PAGEREF _Toc160574345 \h </w:instrText>
            </w:r>
            <w:r w:rsidR="00FD5AD5" w:rsidRPr="00FD5AD5">
              <w:rPr>
                <w:noProof/>
                <w:webHidden/>
                <w:lang w:val="en-GB"/>
              </w:rPr>
            </w:r>
            <w:r w:rsidR="00FD5AD5" w:rsidRPr="00FD5AD5">
              <w:rPr>
                <w:noProof/>
                <w:webHidden/>
                <w:lang w:val="en-GB"/>
              </w:rPr>
              <w:fldChar w:fldCharType="separate"/>
            </w:r>
            <w:r w:rsidR="00FD5AD5" w:rsidRPr="00FD5AD5">
              <w:rPr>
                <w:noProof/>
                <w:webHidden/>
                <w:lang w:val="en-GB"/>
              </w:rPr>
              <w:t>12</w:t>
            </w:r>
            <w:r w:rsidR="00FD5AD5" w:rsidRPr="00FD5AD5">
              <w:rPr>
                <w:noProof/>
                <w:webHidden/>
                <w:lang w:val="en-GB"/>
              </w:rPr>
              <w:fldChar w:fldCharType="end"/>
            </w:r>
          </w:hyperlink>
        </w:p>
        <w:p w14:paraId="7F9D8652" w14:textId="77777777" w:rsidR="00FD5AD5" w:rsidRPr="00FD5AD5" w:rsidRDefault="00C12F50">
          <w:pPr>
            <w:pStyle w:val="TOC2"/>
            <w:tabs>
              <w:tab w:val="right" w:leader="dot" w:pos="9350"/>
            </w:tabs>
            <w:rPr>
              <w:rFonts w:asciiTheme="minorHAnsi" w:eastAsiaTheme="minorEastAsia" w:hAnsiTheme="minorHAnsi"/>
              <w:noProof/>
              <w:sz w:val="22"/>
              <w:lang w:val="en-GB" w:eastAsia="en-GB"/>
            </w:rPr>
          </w:pPr>
          <w:hyperlink w:anchor="_Toc160574346" w:history="1">
            <w:r w:rsidR="00FD5AD5" w:rsidRPr="00FD5AD5">
              <w:rPr>
                <w:rStyle w:val="Hyperlink"/>
                <w:noProof/>
                <w:lang w:val="en-GB"/>
              </w:rPr>
              <w:t>Appendix A SWOT Analysis</w:t>
            </w:r>
            <w:r w:rsidR="00FD5AD5" w:rsidRPr="00FD5AD5">
              <w:rPr>
                <w:noProof/>
                <w:webHidden/>
                <w:lang w:val="en-GB"/>
              </w:rPr>
              <w:tab/>
            </w:r>
            <w:r w:rsidR="00FD5AD5" w:rsidRPr="00FD5AD5">
              <w:rPr>
                <w:noProof/>
                <w:webHidden/>
                <w:lang w:val="en-GB"/>
              </w:rPr>
              <w:fldChar w:fldCharType="begin"/>
            </w:r>
            <w:r w:rsidR="00FD5AD5" w:rsidRPr="00FD5AD5">
              <w:rPr>
                <w:noProof/>
                <w:webHidden/>
                <w:lang w:val="en-GB"/>
              </w:rPr>
              <w:instrText xml:space="preserve"> PAGEREF _Toc160574346 \h </w:instrText>
            </w:r>
            <w:r w:rsidR="00FD5AD5" w:rsidRPr="00FD5AD5">
              <w:rPr>
                <w:noProof/>
                <w:webHidden/>
                <w:lang w:val="en-GB"/>
              </w:rPr>
            </w:r>
            <w:r w:rsidR="00FD5AD5" w:rsidRPr="00FD5AD5">
              <w:rPr>
                <w:noProof/>
                <w:webHidden/>
                <w:lang w:val="en-GB"/>
              </w:rPr>
              <w:fldChar w:fldCharType="separate"/>
            </w:r>
            <w:r w:rsidR="00FD5AD5" w:rsidRPr="00FD5AD5">
              <w:rPr>
                <w:noProof/>
                <w:webHidden/>
                <w:lang w:val="en-GB"/>
              </w:rPr>
              <w:t>12</w:t>
            </w:r>
            <w:r w:rsidR="00FD5AD5" w:rsidRPr="00FD5AD5">
              <w:rPr>
                <w:noProof/>
                <w:webHidden/>
                <w:lang w:val="en-GB"/>
              </w:rPr>
              <w:fldChar w:fldCharType="end"/>
            </w:r>
          </w:hyperlink>
        </w:p>
        <w:p w14:paraId="5936F1EC" w14:textId="77777777" w:rsidR="00FD5AD5" w:rsidRPr="00FD5AD5" w:rsidRDefault="00C12F50">
          <w:pPr>
            <w:pStyle w:val="TOC2"/>
            <w:tabs>
              <w:tab w:val="right" w:leader="dot" w:pos="9350"/>
            </w:tabs>
            <w:rPr>
              <w:rFonts w:asciiTheme="minorHAnsi" w:eastAsiaTheme="minorEastAsia" w:hAnsiTheme="minorHAnsi"/>
              <w:noProof/>
              <w:sz w:val="22"/>
              <w:lang w:val="en-GB" w:eastAsia="en-GB"/>
            </w:rPr>
          </w:pPr>
          <w:hyperlink w:anchor="_Toc160574347" w:history="1">
            <w:r w:rsidR="00FD5AD5" w:rsidRPr="00FD5AD5">
              <w:rPr>
                <w:rStyle w:val="Hyperlink"/>
                <w:noProof/>
                <w:lang w:val="en-GB"/>
              </w:rPr>
              <w:t>Appendix B Porter's Five Forces</w:t>
            </w:r>
            <w:r w:rsidR="00FD5AD5" w:rsidRPr="00FD5AD5">
              <w:rPr>
                <w:noProof/>
                <w:webHidden/>
                <w:lang w:val="en-GB"/>
              </w:rPr>
              <w:tab/>
            </w:r>
            <w:r w:rsidR="00FD5AD5" w:rsidRPr="00FD5AD5">
              <w:rPr>
                <w:noProof/>
                <w:webHidden/>
                <w:lang w:val="en-GB"/>
              </w:rPr>
              <w:fldChar w:fldCharType="begin"/>
            </w:r>
            <w:r w:rsidR="00FD5AD5" w:rsidRPr="00FD5AD5">
              <w:rPr>
                <w:noProof/>
                <w:webHidden/>
                <w:lang w:val="en-GB"/>
              </w:rPr>
              <w:instrText xml:space="preserve"> PAGEREF _Toc160574347 \h </w:instrText>
            </w:r>
            <w:r w:rsidR="00FD5AD5" w:rsidRPr="00FD5AD5">
              <w:rPr>
                <w:noProof/>
                <w:webHidden/>
                <w:lang w:val="en-GB"/>
              </w:rPr>
            </w:r>
            <w:r w:rsidR="00FD5AD5" w:rsidRPr="00FD5AD5">
              <w:rPr>
                <w:noProof/>
                <w:webHidden/>
                <w:lang w:val="en-GB"/>
              </w:rPr>
              <w:fldChar w:fldCharType="separate"/>
            </w:r>
            <w:r w:rsidR="00FD5AD5" w:rsidRPr="00FD5AD5">
              <w:rPr>
                <w:noProof/>
                <w:webHidden/>
                <w:lang w:val="en-GB"/>
              </w:rPr>
              <w:t>13</w:t>
            </w:r>
            <w:r w:rsidR="00FD5AD5" w:rsidRPr="00FD5AD5">
              <w:rPr>
                <w:noProof/>
                <w:webHidden/>
                <w:lang w:val="en-GB"/>
              </w:rPr>
              <w:fldChar w:fldCharType="end"/>
            </w:r>
          </w:hyperlink>
        </w:p>
        <w:p w14:paraId="1E952FFC" w14:textId="7E3BA88A" w:rsidR="00811B96" w:rsidRPr="00FD5AD5" w:rsidRDefault="009E0928" w:rsidP="009946C0">
          <w:pPr>
            <w:rPr>
              <w:lang w:val="en-GB"/>
            </w:rPr>
          </w:pPr>
          <w:r w:rsidRPr="00FD5AD5">
            <w:rPr>
              <w:rFonts w:cs="Times New Roman"/>
              <w:b/>
              <w:bCs/>
              <w:lang w:val="en-GB"/>
            </w:rPr>
            <w:fldChar w:fldCharType="end"/>
          </w:r>
        </w:p>
      </w:sdtContent>
    </w:sdt>
    <w:p w14:paraId="45156DAC" w14:textId="5E88F220" w:rsidR="00C1051F" w:rsidRPr="00FD5AD5" w:rsidRDefault="00613DB9" w:rsidP="00613DB9">
      <w:pPr>
        <w:rPr>
          <w:lang w:val="en-GB"/>
        </w:rPr>
      </w:pPr>
      <w:r w:rsidRPr="00FD5AD5">
        <w:rPr>
          <w:lang w:val="en-GB"/>
        </w:rPr>
        <w:br w:type="page"/>
      </w:r>
    </w:p>
    <w:p w14:paraId="5C807519" w14:textId="49371CE1" w:rsidR="00264F04" w:rsidRPr="00FD5AD5" w:rsidRDefault="00C1051F" w:rsidP="00BF15DB">
      <w:pPr>
        <w:pStyle w:val="Heading1"/>
        <w:numPr>
          <w:ilvl w:val="0"/>
          <w:numId w:val="15"/>
        </w:numPr>
        <w:rPr>
          <w:rFonts w:ascii="Times New Roman" w:hAnsi="Times New Roman" w:cs="Times New Roman"/>
          <w:color w:val="auto"/>
          <w:lang w:val="en-GB"/>
        </w:rPr>
      </w:pPr>
      <w:bookmarkStart w:id="1" w:name="_Toc160574331"/>
      <w:r w:rsidRPr="00FD5AD5">
        <w:rPr>
          <w:rFonts w:ascii="Times New Roman" w:hAnsi="Times New Roman" w:cs="Times New Roman"/>
          <w:color w:val="auto"/>
          <w:lang w:val="en-GB"/>
        </w:rPr>
        <w:lastRenderedPageBreak/>
        <w:t>Introduction</w:t>
      </w:r>
      <w:bookmarkEnd w:id="1"/>
      <w:r w:rsidRPr="00FD5AD5">
        <w:rPr>
          <w:rFonts w:ascii="Times New Roman" w:hAnsi="Times New Roman" w:cs="Times New Roman"/>
          <w:color w:val="auto"/>
          <w:lang w:val="en-GB"/>
        </w:rPr>
        <w:t xml:space="preserve"> </w:t>
      </w:r>
    </w:p>
    <w:p w14:paraId="29CF945F" w14:textId="77777777" w:rsidR="00613DB9" w:rsidRPr="00FD5AD5" w:rsidRDefault="00C40D2B" w:rsidP="00BF15DB">
      <w:pPr>
        <w:rPr>
          <w:rFonts w:eastAsia="Times New Roman" w:cs="Times New Roman"/>
          <w:szCs w:val="24"/>
          <w:lang w:val="en-GB"/>
        </w:rPr>
      </w:pPr>
      <w:r w:rsidRPr="00FD5AD5">
        <w:rPr>
          <w:rFonts w:eastAsia="Times New Roman" w:cs="Times New Roman"/>
          <w:szCs w:val="24"/>
          <w:lang w:val="en-GB"/>
        </w:rPr>
        <w:t xml:space="preserve">Shell plc is a British multinational oil and gas company headquartered in London. The London Stock Exchange serves as Shell's primary listing location as a public limited company. </w:t>
      </w:r>
      <w:r w:rsidR="00015DFA" w:rsidRPr="00FD5AD5">
        <w:rPr>
          <w:rFonts w:cs="Times New Roman"/>
          <w:shd w:val="clear" w:color="auto" w:fill="FFFFFF"/>
          <w:lang w:val="en-GB"/>
        </w:rPr>
        <w:t>Shell is a customer-focused organisation, serving more than </w:t>
      </w:r>
      <w:r w:rsidR="00015DFA" w:rsidRPr="00FD5AD5">
        <w:rPr>
          <w:rStyle w:val="nowrap"/>
          <w:rFonts w:cs="Times New Roman"/>
          <w:shd w:val="clear" w:color="auto" w:fill="FFFFFF"/>
          <w:lang w:val="en-GB"/>
        </w:rPr>
        <w:t>1 million</w:t>
      </w:r>
      <w:r w:rsidR="00015DFA" w:rsidRPr="00FD5AD5">
        <w:rPr>
          <w:rFonts w:cs="Times New Roman"/>
          <w:shd w:val="clear" w:color="auto" w:fill="FFFFFF"/>
          <w:lang w:val="en-GB"/>
        </w:rPr>
        <w:t> commercial and industrial customers, and around </w:t>
      </w:r>
      <w:r w:rsidR="00015DFA" w:rsidRPr="00FD5AD5">
        <w:rPr>
          <w:rStyle w:val="nowrap"/>
          <w:rFonts w:cs="Times New Roman"/>
          <w:shd w:val="clear" w:color="auto" w:fill="FFFFFF"/>
          <w:lang w:val="en-GB"/>
        </w:rPr>
        <w:t>32 million</w:t>
      </w:r>
      <w:r w:rsidR="00015DFA" w:rsidRPr="00FD5AD5">
        <w:rPr>
          <w:rFonts w:cs="Times New Roman"/>
          <w:shd w:val="clear" w:color="auto" w:fill="FFFFFF"/>
          <w:lang w:val="en-GB"/>
        </w:rPr>
        <w:t xml:space="preserve"> customers daily at more than 46,000 Shell-branded retail service stations </w:t>
      </w:r>
      <w:r w:rsidRPr="00FD5AD5">
        <w:rPr>
          <w:rFonts w:eastAsia="Times New Roman" w:cs="Times New Roman"/>
          <w:szCs w:val="24"/>
          <w:lang w:val="en-GB"/>
        </w:rPr>
        <w:t>(Shell plc, 2024). It operates in several energy-related sectors, such as production, distribution, marketing, refining, and exploration. The company employs thousands of people and serves millions of clients globally through its activities in more than 70 countries. Shell is a frontrunner in the oil, gas, and renewable energy sectors and its activities span the whole energy value chain, from production and refining to distribution and exploration. Organisations need to conduct strategic reviews to determine their current standing, analyse their performance, and set goals for the future. It guarantees adaptation to changing market conditions, provides opportunity and threat identification, and facilitates well-informed decision-making</w:t>
      </w:r>
      <w:r w:rsidR="00015DFA" w:rsidRPr="00FD5AD5">
        <w:rPr>
          <w:rFonts w:eastAsia="Times New Roman" w:cs="Times New Roman"/>
          <w:szCs w:val="24"/>
          <w:lang w:val="en-GB"/>
        </w:rPr>
        <w:t xml:space="preserve"> </w:t>
      </w:r>
      <w:r w:rsidR="00A83855" w:rsidRPr="00FD5AD5">
        <w:rPr>
          <w:rFonts w:eastAsia="Times New Roman" w:cs="Times New Roman"/>
          <w:szCs w:val="24"/>
          <w:lang w:val="en-GB"/>
        </w:rPr>
        <w:t>(Silva, 2021)</w:t>
      </w:r>
      <w:r w:rsidR="007A4761" w:rsidRPr="00FD5AD5">
        <w:rPr>
          <w:rFonts w:eastAsia="Times New Roman" w:cs="Times New Roman"/>
          <w:szCs w:val="24"/>
          <w:lang w:val="en-GB"/>
        </w:rPr>
        <w:t xml:space="preserve">. </w:t>
      </w:r>
    </w:p>
    <w:p w14:paraId="7E273611" w14:textId="44E3AF63" w:rsidR="00C40D2B" w:rsidRPr="00FD5AD5" w:rsidRDefault="007A4761" w:rsidP="00BF15DB">
      <w:pPr>
        <w:rPr>
          <w:rFonts w:eastAsia="Times New Roman" w:cs="Times New Roman"/>
          <w:szCs w:val="24"/>
          <w:lang w:val="en-GB"/>
        </w:rPr>
      </w:pPr>
      <w:r w:rsidRPr="00FD5AD5">
        <w:rPr>
          <w:rFonts w:eastAsia="Times New Roman" w:cs="Times New Roman"/>
          <w:szCs w:val="24"/>
          <w:lang w:val="en-GB"/>
        </w:rPr>
        <w:t xml:space="preserve">The aim of this report is to analyse and evaluate Shell PLC's strategic choices and actions, focusing on its business and corporate strategies, resource alignment, implementation effectiveness, sustainability efforts, and future strategic directions to enhance competitiveness. </w:t>
      </w:r>
      <w:r w:rsidR="00C40D2B" w:rsidRPr="00FD5AD5">
        <w:rPr>
          <w:rFonts w:eastAsia="Times New Roman" w:cs="Times New Roman"/>
          <w:szCs w:val="24"/>
          <w:lang w:val="en-GB"/>
        </w:rPr>
        <w:t xml:space="preserve">This report starts with an overview of Shell plc before providing a strategic analysis of the company. After that, it assesses Shell's resources and competencies, </w:t>
      </w:r>
      <w:r w:rsidR="00A83855" w:rsidRPr="00FD5AD5">
        <w:rPr>
          <w:rFonts w:eastAsia="Times New Roman" w:cs="Times New Roman"/>
          <w:szCs w:val="24"/>
          <w:lang w:val="en-GB"/>
        </w:rPr>
        <w:t>analyse</w:t>
      </w:r>
      <w:r w:rsidR="00613DB9" w:rsidRPr="00FD5AD5">
        <w:rPr>
          <w:rFonts w:eastAsia="Times New Roman" w:cs="Times New Roman"/>
          <w:szCs w:val="24"/>
          <w:lang w:val="en-GB"/>
        </w:rPr>
        <w:t>s</w:t>
      </w:r>
      <w:r w:rsidR="00C40D2B" w:rsidRPr="00FD5AD5">
        <w:rPr>
          <w:rFonts w:eastAsia="Times New Roman" w:cs="Times New Roman"/>
          <w:szCs w:val="24"/>
          <w:lang w:val="en-GB"/>
        </w:rPr>
        <w:t xml:space="preserve"> how these plans are being implemented, and analyses the company's business and corporate strategies. It also looks at Shell's sustainability programmes and how they affect </w:t>
      </w:r>
      <w:r w:rsidRPr="00FD5AD5">
        <w:rPr>
          <w:rFonts w:eastAsia="Times New Roman" w:cs="Times New Roman"/>
          <w:szCs w:val="24"/>
          <w:lang w:val="en-GB"/>
        </w:rPr>
        <w:t>competitiveness.</w:t>
      </w:r>
      <w:r w:rsidR="00FD5AD5">
        <w:rPr>
          <w:rFonts w:eastAsia="Times New Roman" w:cs="Times New Roman"/>
          <w:szCs w:val="24"/>
          <w:lang w:val="en-GB"/>
        </w:rPr>
        <w:t xml:space="preserve"> </w:t>
      </w:r>
      <w:r w:rsidR="00E0052D">
        <w:rPr>
          <w:rFonts w:eastAsia="Times New Roman" w:cs="Times New Roman"/>
          <w:szCs w:val="24"/>
          <w:lang w:val="en-GB"/>
        </w:rPr>
        <w:t xml:space="preserve"> </w:t>
      </w:r>
    </w:p>
    <w:p w14:paraId="00D5F388" w14:textId="77777777" w:rsidR="00C40D2B" w:rsidRPr="00FD5AD5" w:rsidRDefault="00C1051F" w:rsidP="00FB5892">
      <w:pPr>
        <w:pStyle w:val="Heading2"/>
      </w:pPr>
      <w:bookmarkStart w:id="2" w:name="_Toc160574332"/>
      <w:r w:rsidRPr="00FD5AD5">
        <w:t>Business and Corporate Strategies</w:t>
      </w:r>
      <w:bookmarkEnd w:id="2"/>
      <w:r w:rsidRPr="00FD5AD5">
        <w:t xml:space="preserve"> </w:t>
      </w:r>
    </w:p>
    <w:p w14:paraId="759B4CF6" w14:textId="78B54729" w:rsidR="00F70986" w:rsidRPr="004C2BF1" w:rsidRDefault="00C40D2B" w:rsidP="00AD4BCC">
      <w:pPr>
        <w:pStyle w:val="Heading3"/>
        <w:rPr>
          <w:rFonts w:eastAsia="Times New Roman"/>
        </w:rPr>
      </w:pPr>
      <w:bookmarkStart w:id="3" w:name="_Toc160574333"/>
      <w:r w:rsidRPr="00FD5AD5">
        <w:rPr>
          <w:rFonts w:eastAsia="Times New Roman"/>
        </w:rPr>
        <w:t>2.1 Powering Progress Strategy</w:t>
      </w:r>
      <w:bookmarkEnd w:id="3"/>
    </w:p>
    <w:p w14:paraId="6C96EB76" w14:textId="1547913B" w:rsidR="009C6B12" w:rsidRPr="00FD5AD5" w:rsidRDefault="00C40D2B" w:rsidP="00613DB9">
      <w:pPr>
        <w:spacing w:after="0"/>
        <w:rPr>
          <w:rFonts w:eastAsia="Times New Roman" w:cs="Times New Roman"/>
          <w:szCs w:val="24"/>
          <w:lang w:val="en-GB"/>
        </w:rPr>
      </w:pPr>
      <w:r w:rsidRPr="00FD5AD5">
        <w:rPr>
          <w:rFonts w:eastAsia="Times New Roman" w:cs="Times New Roman"/>
          <w:szCs w:val="24"/>
          <w:lang w:val="en-GB"/>
        </w:rPr>
        <w:t xml:space="preserve">Shell's Powering Progress Strategy is a comprehensive plan that encourages cooperation, innovation, and decarbonisation. Shell's </w:t>
      </w:r>
      <w:r w:rsidR="009E0928" w:rsidRPr="00FD5AD5">
        <w:rPr>
          <w:rFonts w:eastAsia="Times New Roman" w:cs="Times New Roman"/>
          <w:szCs w:val="24"/>
          <w:lang w:val="en-GB"/>
        </w:rPr>
        <w:t>initiat</w:t>
      </w:r>
      <w:r w:rsidR="00613DB9" w:rsidRPr="00FD5AD5">
        <w:rPr>
          <w:rFonts w:eastAsia="Times New Roman" w:cs="Times New Roman"/>
          <w:szCs w:val="24"/>
          <w:lang w:val="en-GB"/>
        </w:rPr>
        <w:t>iv</w:t>
      </w:r>
      <w:r w:rsidR="009E0928" w:rsidRPr="00FD5AD5">
        <w:rPr>
          <w:rFonts w:eastAsia="Times New Roman" w:cs="Times New Roman"/>
          <w:szCs w:val="24"/>
          <w:lang w:val="en-GB"/>
        </w:rPr>
        <w:t>e</w:t>
      </w:r>
      <w:r w:rsidRPr="00FD5AD5">
        <w:rPr>
          <w:rFonts w:eastAsia="Times New Roman" w:cs="Times New Roman"/>
          <w:szCs w:val="24"/>
          <w:lang w:val="en-GB"/>
        </w:rPr>
        <w:t xml:space="preserve"> to achieve net-zero emissions by 2050, in line with the most aggressive targets of the Paris Agreement, is the cornerstone of this </w:t>
      </w:r>
      <w:r w:rsidR="009E0928" w:rsidRPr="00FD5AD5">
        <w:rPr>
          <w:rFonts w:eastAsia="Times New Roman" w:cs="Times New Roman"/>
          <w:szCs w:val="24"/>
          <w:lang w:val="en-GB"/>
        </w:rPr>
        <w:t>plan.</w:t>
      </w:r>
      <w:r w:rsidRPr="00FD5AD5">
        <w:rPr>
          <w:rFonts w:eastAsia="Times New Roman" w:cs="Times New Roman"/>
          <w:szCs w:val="24"/>
          <w:lang w:val="en-GB"/>
        </w:rPr>
        <w:t xml:space="preserve"> Shell places a strong emphasis on being customer-centric and works closely with clients to find and execute low- and zero-carbon energy solutions</w:t>
      </w:r>
      <w:r w:rsidR="007A4761" w:rsidRPr="00FD5AD5">
        <w:rPr>
          <w:rFonts w:eastAsia="Times New Roman" w:cs="Times New Roman"/>
          <w:szCs w:val="24"/>
          <w:lang w:val="en-GB"/>
        </w:rPr>
        <w:t xml:space="preserve"> (Shell plc Annual Report, 2022).</w:t>
      </w:r>
      <w:r w:rsidR="009E0928" w:rsidRPr="00FD5AD5">
        <w:rPr>
          <w:rFonts w:eastAsia="Times New Roman" w:cs="Times New Roman"/>
          <w:szCs w:val="24"/>
          <w:lang w:val="en-GB"/>
        </w:rPr>
        <w:t xml:space="preserve"> </w:t>
      </w:r>
      <w:r w:rsidRPr="00FD5AD5">
        <w:rPr>
          <w:rFonts w:eastAsia="Times New Roman" w:cs="Times New Roman"/>
          <w:szCs w:val="24"/>
          <w:lang w:val="en-GB"/>
        </w:rPr>
        <w:t>With investments in research and development propelling the development of sustainable energy solutions, innovation and technology leadership p</w:t>
      </w:r>
      <w:r w:rsidR="009E0928" w:rsidRPr="00FD5AD5">
        <w:rPr>
          <w:rFonts w:eastAsia="Times New Roman" w:cs="Times New Roman"/>
          <w:szCs w:val="24"/>
          <w:lang w:val="en-GB"/>
        </w:rPr>
        <w:t>erform</w:t>
      </w:r>
      <w:r w:rsidRPr="00FD5AD5">
        <w:rPr>
          <w:rFonts w:eastAsia="Times New Roman" w:cs="Times New Roman"/>
          <w:szCs w:val="24"/>
          <w:lang w:val="en-GB"/>
        </w:rPr>
        <w:t xml:space="preserve"> a crucial role. With the help of its efficient supply chains and </w:t>
      </w:r>
      <w:r w:rsidRPr="00FD5AD5">
        <w:rPr>
          <w:rFonts w:eastAsia="Times New Roman" w:cs="Times New Roman"/>
          <w:szCs w:val="24"/>
          <w:lang w:val="en-GB"/>
        </w:rPr>
        <w:lastRenderedPageBreak/>
        <w:t>integrated assets, Shell provides complete energy solutions. Collaborations and alliances with many industries and stakeholders also promote innovation and the shift to net-zero emissions. The goal of the Powering Progress strategy is to increase shareholder value, grow our businesses via targeted and disciplined investment, and make Shell more resilient and competitive. Shell aims to lead the way in addressing climate change through these important business and corporate objectives while generating profit for shareholders and society at large (Sh</w:t>
      </w:r>
      <w:r w:rsidR="00BF4BA7" w:rsidRPr="00FD5AD5">
        <w:rPr>
          <w:rFonts w:eastAsia="Times New Roman" w:cs="Times New Roman"/>
          <w:szCs w:val="24"/>
          <w:lang w:val="en-GB"/>
        </w:rPr>
        <w:t>ell plc Annual Report, 2022) (</w:t>
      </w:r>
      <w:r w:rsidR="00401214" w:rsidRPr="00FD5AD5">
        <w:rPr>
          <w:rFonts w:cs="Times New Roman"/>
          <w:shd w:val="clear" w:color="auto" w:fill="FFFFFF"/>
          <w:lang w:val="en-GB"/>
        </w:rPr>
        <w:t xml:space="preserve">Refer to Appendix A for </w:t>
      </w:r>
      <w:r w:rsidR="00613DB9" w:rsidRPr="00FD5AD5">
        <w:rPr>
          <w:rFonts w:cs="Times New Roman"/>
          <w:shd w:val="clear" w:color="auto" w:fill="FFFFFF"/>
          <w:lang w:val="en-GB"/>
        </w:rPr>
        <w:t xml:space="preserve">a </w:t>
      </w:r>
      <w:r w:rsidR="00401214" w:rsidRPr="00FD5AD5">
        <w:rPr>
          <w:rFonts w:cs="Times New Roman"/>
          <w:shd w:val="clear" w:color="auto" w:fill="FFFFFF"/>
          <w:lang w:val="en-GB"/>
        </w:rPr>
        <w:t>detailed SWOT Analysis</w:t>
      </w:r>
      <w:r w:rsidR="00BF4BA7" w:rsidRPr="00FD5AD5">
        <w:rPr>
          <w:rFonts w:cs="Times New Roman"/>
          <w:shd w:val="clear" w:color="auto" w:fill="FFFFFF"/>
          <w:lang w:val="en-GB"/>
        </w:rPr>
        <w:t>)</w:t>
      </w:r>
      <w:r w:rsidR="00401214" w:rsidRPr="00FD5AD5">
        <w:rPr>
          <w:rFonts w:cs="Times New Roman"/>
          <w:shd w:val="clear" w:color="auto" w:fill="FFFFFF"/>
          <w:lang w:val="en-GB"/>
        </w:rPr>
        <w:t>.</w:t>
      </w:r>
    </w:p>
    <w:p w14:paraId="630CBA96" w14:textId="0E13E337" w:rsidR="00401214" w:rsidRPr="00FD5AD5" w:rsidRDefault="00C40D2B" w:rsidP="00AD4BCC">
      <w:pPr>
        <w:pStyle w:val="Heading3"/>
        <w:rPr>
          <w:shd w:val="clear" w:color="auto" w:fill="FFFFFF"/>
        </w:rPr>
      </w:pPr>
      <w:bookmarkStart w:id="4" w:name="_Toc160574334"/>
      <w:r w:rsidRPr="00FD5AD5">
        <w:rPr>
          <w:shd w:val="clear" w:color="auto" w:fill="FFFFFF"/>
        </w:rPr>
        <w:t xml:space="preserve">2.2 </w:t>
      </w:r>
      <w:r w:rsidR="00401214" w:rsidRPr="00FD5AD5">
        <w:rPr>
          <w:shd w:val="clear" w:color="auto" w:fill="FFFFFF"/>
        </w:rPr>
        <w:t>Integrated Gas Strategy</w:t>
      </w:r>
      <w:bookmarkEnd w:id="4"/>
    </w:p>
    <w:p w14:paraId="67F83133" w14:textId="7F4BF0F7" w:rsidR="009C6B12" w:rsidRDefault="00811B96" w:rsidP="00613DB9">
      <w:pPr>
        <w:spacing w:after="0"/>
        <w:ind w:firstLine="360"/>
        <w:rPr>
          <w:rFonts w:cs="Times New Roman"/>
          <w:shd w:val="clear" w:color="auto" w:fill="FFFFFF"/>
          <w:lang w:val="en-GB"/>
        </w:rPr>
      </w:pPr>
      <w:r w:rsidRPr="00FD5AD5">
        <w:rPr>
          <w:rFonts w:eastAsia="Times New Roman" w:cs="Times New Roman"/>
          <w:szCs w:val="24"/>
          <w:lang w:val="en-GB"/>
        </w:rPr>
        <w:t xml:space="preserve">One of Shell's main strategy goals is to grow its integrated gas business. This plan includes the whole natural gas value chain, from finding and producing gas to turning it into a liquid, moving it, and selling it. Shell has </w:t>
      </w:r>
      <w:r w:rsidR="00FF31AD" w:rsidRPr="00FD5AD5">
        <w:rPr>
          <w:rFonts w:eastAsia="Times New Roman" w:cs="Times New Roman"/>
          <w:szCs w:val="24"/>
          <w:lang w:val="en-GB"/>
        </w:rPr>
        <w:t xml:space="preserve">invested </w:t>
      </w:r>
      <w:r w:rsidRPr="00FD5AD5">
        <w:rPr>
          <w:rFonts w:eastAsia="Times New Roman" w:cs="Times New Roman"/>
          <w:szCs w:val="24"/>
          <w:lang w:val="en-GB"/>
        </w:rPr>
        <w:t>in LNG projects all over the world, such as ones in Australia, Qatar, and Canada</w:t>
      </w:r>
      <w:r w:rsidR="007A4761" w:rsidRPr="00FD5AD5">
        <w:rPr>
          <w:rFonts w:eastAsia="Times New Roman" w:cs="Times New Roman"/>
          <w:szCs w:val="24"/>
          <w:lang w:val="en-GB"/>
        </w:rPr>
        <w:t xml:space="preserve"> (Shell plc Annual Report, 2020)</w:t>
      </w:r>
      <w:r w:rsidRPr="00FD5AD5">
        <w:rPr>
          <w:rFonts w:eastAsia="Times New Roman" w:cs="Times New Roman"/>
          <w:szCs w:val="24"/>
          <w:lang w:val="en-GB"/>
        </w:rPr>
        <w:t xml:space="preserve">. These investments show that Shell is committed to the combined gas business, which includes shipping, marketing, and liquefaction. Shell </w:t>
      </w:r>
      <w:r w:rsidR="00BF4BA7" w:rsidRPr="00FD5AD5">
        <w:rPr>
          <w:rFonts w:eastAsia="Times New Roman" w:cs="Times New Roman"/>
          <w:szCs w:val="24"/>
          <w:lang w:val="en-GB"/>
        </w:rPr>
        <w:t>works</w:t>
      </w:r>
      <w:r w:rsidRPr="00FD5AD5">
        <w:rPr>
          <w:rFonts w:eastAsia="Times New Roman" w:cs="Times New Roman"/>
          <w:szCs w:val="24"/>
          <w:lang w:val="en-GB"/>
        </w:rPr>
        <w:t xml:space="preserve"> in natural gas exploration and production, which shows that it wants to make sure it has a steady supply of natural gas, which is an important part of the integrated gas plan. To get stronger in the integrated gas market, Shell has teamed up with other businesses in strategic relationships and joint ventures</w:t>
      </w:r>
      <w:r w:rsidR="007A4761" w:rsidRPr="00FD5AD5">
        <w:rPr>
          <w:rFonts w:eastAsia="Times New Roman" w:cs="Times New Roman"/>
          <w:szCs w:val="24"/>
          <w:lang w:val="en-GB"/>
        </w:rPr>
        <w:t xml:space="preserve"> (Shell plc Annual Report, 2020)</w:t>
      </w:r>
      <w:r w:rsidRPr="00FD5AD5">
        <w:rPr>
          <w:rFonts w:eastAsia="Times New Roman" w:cs="Times New Roman"/>
          <w:szCs w:val="24"/>
          <w:lang w:val="en-GB"/>
        </w:rPr>
        <w:t xml:space="preserve">. For instance, Shell's work with Qatar Petroleum on the Pearl GTL project shows that it is dedicated to working together </w:t>
      </w:r>
      <w:r w:rsidR="00BF4BA7" w:rsidRPr="00FD5AD5">
        <w:rPr>
          <w:rFonts w:eastAsia="Times New Roman" w:cs="Times New Roman"/>
          <w:szCs w:val="24"/>
          <w:lang w:val="en-GB"/>
        </w:rPr>
        <w:t>and integrating the value chain</w:t>
      </w:r>
      <w:r w:rsidRPr="00FD5AD5">
        <w:rPr>
          <w:rFonts w:eastAsia="Times New Roman" w:cs="Times New Roman"/>
          <w:szCs w:val="24"/>
          <w:lang w:val="en-GB"/>
        </w:rPr>
        <w:t xml:space="preserve"> </w:t>
      </w:r>
      <w:r w:rsidR="00BF4BA7" w:rsidRPr="00FD5AD5">
        <w:rPr>
          <w:rFonts w:eastAsia="Times New Roman" w:cs="Times New Roman"/>
          <w:szCs w:val="24"/>
          <w:lang w:val="en-GB"/>
        </w:rPr>
        <w:t>(</w:t>
      </w:r>
      <w:r w:rsidR="00401214" w:rsidRPr="00FD5AD5">
        <w:rPr>
          <w:rFonts w:cs="Times New Roman"/>
          <w:shd w:val="clear" w:color="auto" w:fill="FFFFFF"/>
          <w:lang w:val="en-GB"/>
        </w:rPr>
        <w:t xml:space="preserve">Refer to Appendix B for detailed </w:t>
      </w:r>
      <w:r w:rsidR="00401214" w:rsidRPr="00FD5AD5">
        <w:rPr>
          <w:rFonts w:cs="Times New Roman"/>
          <w:lang w:val="en-GB"/>
        </w:rPr>
        <w:t>Porter's Five Forces</w:t>
      </w:r>
      <w:r w:rsidR="00BF4BA7" w:rsidRPr="00FD5AD5">
        <w:rPr>
          <w:rFonts w:cs="Times New Roman"/>
          <w:lang w:val="en-GB"/>
        </w:rPr>
        <w:t>)</w:t>
      </w:r>
      <w:r w:rsidR="00C40D2B" w:rsidRPr="00FD5AD5">
        <w:rPr>
          <w:rFonts w:cs="Times New Roman"/>
          <w:shd w:val="clear" w:color="auto" w:fill="FFFFFF"/>
          <w:lang w:val="en-GB"/>
        </w:rPr>
        <w:t>.</w:t>
      </w:r>
    </w:p>
    <w:p w14:paraId="0734B03E" w14:textId="77777777" w:rsidR="005B4E4D" w:rsidRPr="00AD4BCC" w:rsidRDefault="004C2BF1" w:rsidP="00FB5892">
      <w:pPr>
        <w:pStyle w:val="Heading2"/>
        <w:rPr>
          <w:rFonts w:eastAsia="Times New Roman"/>
          <w:highlight w:val="yellow"/>
        </w:rPr>
      </w:pPr>
      <w:r w:rsidRPr="00AD4BCC">
        <w:rPr>
          <w:rFonts w:eastAsia="Times New Roman"/>
          <w:highlight w:val="yellow"/>
        </w:rPr>
        <w:t>Porter's Generic Strategies</w:t>
      </w:r>
    </w:p>
    <w:p w14:paraId="11C7A1CC" w14:textId="2C58D898" w:rsidR="005B4E4D" w:rsidRPr="00AD4BCC" w:rsidRDefault="005B4E4D" w:rsidP="003E3348">
      <w:pPr>
        <w:ind w:firstLine="0"/>
        <w:rPr>
          <w:rFonts w:cs="Times New Roman"/>
          <w:color w:val="222222"/>
          <w:szCs w:val="24"/>
          <w:highlight w:val="yellow"/>
          <w:shd w:val="clear" w:color="auto" w:fill="FFFFFF"/>
        </w:rPr>
      </w:pPr>
      <w:r w:rsidRPr="00AD4BCC">
        <w:rPr>
          <w:highlight w:val="yellow"/>
          <w:lang w:val="en-GB"/>
        </w:rPr>
        <w:t>Porter's generic strategy refers to the set of varying approaches to business, which have a different focus and details. One of the strategies is known as cost leadership, which is followed by a distention strategy and focus strategy</w:t>
      </w:r>
      <w:r w:rsidR="003E3348" w:rsidRPr="00AD4BCC">
        <w:rPr>
          <w:highlight w:val="yellow"/>
          <w:lang w:val="en-GB"/>
        </w:rPr>
        <w:t xml:space="preserve"> </w:t>
      </w:r>
      <w:r w:rsidR="003E3348" w:rsidRPr="00AD4BCC">
        <w:rPr>
          <w:rFonts w:cs="Times New Roman"/>
          <w:color w:val="222222"/>
          <w:szCs w:val="24"/>
          <w:highlight w:val="yellow"/>
          <w:shd w:val="clear" w:color="auto" w:fill="FFFFFF"/>
        </w:rPr>
        <w:t>(Ali and Anwar, 2021)</w:t>
      </w:r>
      <w:r w:rsidRPr="00AD4BCC">
        <w:rPr>
          <w:highlight w:val="yellow"/>
          <w:lang w:val="en-GB"/>
        </w:rPr>
        <w:t xml:space="preserve">. Porter proposed </w:t>
      </w:r>
      <w:r w:rsidR="00AD4BCC">
        <w:rPr>
          <w:highlight w:val="yellow"/>
          <w:lang w:val="en-GB"/>
        </w:rPr>
        <w:t>generic s</w:t>
      </w:r>
      <w:r w:rsidRPr="00AD4BCC">
        <w:rPr>
          <w:highlight w:val="yellow"/>
          <w:lang w:val="en-GB"/>
        </w:rPr>
        <w:t xml:space="preserve">trategies </w:t>
      </w:r>
      <w:r w:rsidR="00AD4BCC">
        <w:rPr>
          <w:highlight w:val="yellow"/>
          <w:lang w:val="en-GB"/>
        </w:rPr>
        <w:t xml:space="preserve">as </w:t>
      </w:r>
      <w:r w:rsidRPr="00AD4BCC">
        <w:rPr>
          <w:highlight w:val="yellow"/>
          <w:lang w:val="en-GB"/>
        </w:rPr>
        <w:t xml:space="preserve">being </w:t>
      </w:r>
      <w:r w:rsidR="00AD4BCC" w:rsidRPr="00AD4BCC">
        <w:rPr>
          <w:highlight w:val="yellow"/>
          <w:lang w:val="en-GB"/>
        </w:rPr>
        <w:t>substantial</w:t>
      </w:r>
      <w:r w:rsidRPr="00AD4BCC">
        <w:rPr>
          <w:highlight w:val="yellow"/>
          <w:lang w:val="en-GB"/>
        </w:rPr>
        <w:t xml:space="preserve"> because they provide </w:t>
      </w:r>
      <w:r w:rsidR="00AD4BCC">
        <w:rPr>
          <w:highlight w:val="yellow"/>
          <w:lang w:val="en-GB"/>
        </w:rPr>
        <w:t xml:space="preserve">a </w:t>
      </w:r>
      <w:r w:rsidRPr="00AD4BCC">
        <w:rPr>
          <w:highlight w:val="yellow"/>
          <w:lang w:val="en-GB"/>
        </w:rPr>
        <w:t xml:space="preserve">structured basis for businesses to find their competitive edge, allocate properly needed resources and place themselves strategically well in the niche market in the meantime getting profitability and sustainability on the way. </w:t>
      </w:r>
    </w:p>
    <w:p w14:paraId="7037A180" w14:textId="0D50C34A" w:rsidR="00D84CD4" w:rsidRPr="00AD4BCC" w:rsidRDefault="00D84CD4" w:rsidP="003E3348">
      <w:pPr>
        <w:ind w:firstLine="0"/>
        <w:rPr>
          <w:rFonts w:cs="Times New Roman"/>
          <w:color w:val="222222"/>
          <w:szCs w:val="24"/>
          <w:highlight w:val="yellow"/>
          <w:shd w:val="clear" w:color="auto" w:fill="FFFFFF"/>
        </w:rPr>
      </w:pPr>
      <w:r w:rsidRPr="00AD4BCC">
        <w:rPr>
          <w:b/>
          <w:bCs/>
          <w:highlight w:val="yellow"/>
          <w:lang w:val="en-GB"/>
        </w:rPr>
        <w:t xml:space="preserve">Cost </w:t>
      </w:r>
      <w:r w:rsidR="006A7172" w:rsidRPr="00AD4BCC">
        <w:rPr>
          <w:b/>
          <w:bCs/>
          <w:highlight w:val="yellow"/>
          <w:lang w:val="en-GB"/>
        </w:rPr>
        <w:t>Leadership:</w:t>
      </w:r>
      <w:r w:rsidR="006A7172" w:rsidRPr="00AD4BCC">
        <w:rPr>
          <w:highlight w:val="yellow"/>
          <w:lang w:val="en-GB"/>
        </w:rPr>
        <w:t xml:space="preserve"> Shell</w:t>
      </w:r>
      <w:r w:rsidRPr="00AD4BCC">
        <w:rPr>
          <w:highlight w:val="yellow"/>
          <w:lang w:val="en-GB"/>
        </w:rPr>
        <w:t xml:space="preserve"> can employ a cost leadership strategy through </w:t>
      </w:r>
      <w:r w:rsidR="00AD4BCC">
        <w:rPr>
          <w:highlight w:val="yellow"/>
          <w:lang w:val="en-GB"/>
        </w:rPr>
        <w:t xml:space="preserve">the </w:t>
      </w:r>
      <w:r w:rsidRPr="00AD4BCC">
        <w:rPr>
          <w:highlight w:val="yellow"/>
          <w:lang w:val="en-GB"/>
        </w:rPr>
        <w:t xml:space="preserve">reduction of costs of production and operating expenses while at the same time maintaining satisfactory quality standards. This could entail </w:t>
      </w:r>
      <w:r w:rsidR="00AD4BCC">
        <w:rPr>
          <w:highlight w:val="yellow"/>
          <w:lang w:val="en-GB"/>
        </w:rPr>
        <w:t xml:space="preserve">the </w:t>
      </w:r>
      <w:r w:rsidRPr="00AD4BCC">
        <w:rPr>
          <w:highlight w:val="yellow"/>
          <w:lang w:val="en-GB"/>
        </w:rPr>
        <w:t xml:space="preserve">installation of advanced hydrogen production and distribution pipelines, streamlining logistics, and making use of economic laws of scale </w:t>
      </w:r>
      <w:r w:rsidR="006A7172" w:rsidRPr="00AD4BCC">
        <w:rPr>
          <w:highlight w:val="yellow"/>
          <w:lang w:val="en-GB"/>
        </w:rPr>
        <w:t>to</w:t>
      </w:r>
      <w:r w:rsidRPr="00AD4BCC">
        <w:rPr>
          <w:highlight w:val="yellow"/>
          <w:lang w:val="en-GB"/>
        </w:rPr>
        <w:t xml:space="preserve"> reduce costs</w:t>
      </w:r>
      <w:r w:rsidR="003E3348" w:rsidRPr="00AD4BCC">
        <w:rPr>
          <w:highlight w:val="yellow"/>
          <w:lang w:val="en-GB"/>
        </w:rPr>
        <w:t xml:space="preserve"> </w:t>
      </w:r>
      <w:r w:rsidR="003E3348" w:rsidRPr="00AD4BCC">
        <w:rPr>
          <w:rFonts w:cs="Times New Roman"/>
          <w:color w:val="222222"/>
          <w:szCs w:val="24"/>
          <w:highlight w:val="yellow"/>
          <w:shd w:val="clear" w:color="auto" w:fill="FFFFFF"/>
        </w:rPr>
        <w:t>(</w:t>
      </w:r>
      <w:proofErr w:type="spellStart"/>
      <w:r w:rsidR="003E3348" w:rsidRPr="00AD4BCC">
        <w:rPr>
          <w:rFonts w:cs="Times New Roman"/>
          <w:color w:val="222222"/>
          <w:szCs w:val="24"/>
          <w:highlight w:val="yellow"/>
          <w:shd w:val="clear" w:color="auto" w:fill="FFFFFF"/>
        </w:rPr>
        <w:t>Islami</w:t>
      </w:r>
      <w:proofErr w:type="spellEnd"/>
      <w:r w:rsidR="003E3348" w:rsidRPr="00AD4BCC">
        <w:rPr>
          <w:rFonts w:cs="Times New Roman"/>
          <w:color w:val="222222"/>
          <w:szCs w:val="24"/>
          <w:highlight w:val="yellow"/>
          <w:shd w:val="clear" w:color="auto" w:fill="FFFFFF"/>
        </w:rPr>
        <w:t xml:space="preserve"> </w:t>
      </w:r>
      <w:r w:rsidR="003E3348" w:rsidRPr="00AD4BCC">
        <w:rPr>
          <w:rFonts w:cs="Times New Roman"/>
          <w:color w:val="222222"/>
          <w:szCs w:val="24"/>
          <w:highlight w:val="yellow"/>
          <w:shd w:val="clear" w:color="auto" w:fill="FFFFFF"/>
        </w:rPr>
        <w:lastRenderedPageBreak/>
        <w:t xml:space="preserve">et al., 2020). </w:t>
      </w:r>
      <w:r w:rsidRPr="00AD4BCC">
        <w:rPr>
          <w:highlight w:val="yellow"/>
          <w:lang w:val="en-GB"/>
        </w:rPr>
        <w:t>The company has the potential to capture price</w:t>
      </w:r>
      <w:r w:rsidR="00AD4BCC">
        <w:rPr>
          <w:highlight w:val="yellow"/>
          <w:lang w:val="en-GB"/>
        </w:rPr>
        <w:t>-</w:t>
      </w:r>
      <w:r w:rsidRPr="00AD4BCC">
        <w:rPr>
          <w:highlight w:val="yellow"/>
          <w:lang w:val="en-GB"/>
        </w:rPr>
        <w:t xml:space="preserve">conscious consumers in addition to increasing </w:t>
      </w:r>
      <w:r w:rsidR="00AD4BCC">
        <w:rPr>
          <w:highlight w:val="yellow"/>
          <w:lang w:val="en-GB"/>
        </w:rPr>
        <w:t>its</w:t>
      </w:r>
      <w:r w:rsidRPr="00AD4BCC">
        <w:rPr>
          <w:highlight w:val="yellow"/>
          <w:lang w:val="en-GB"/>
        </w:rPr>
        <w:t xml:space="preserve"> market share if it offers competing energy products at competitive prices.</w:t>
      </w:r>
    </w:p>
    <w:p w14:paraId="17F8CB26" w14:textId="503E9685" w:rsidR="006A7172" w:rsidRPr="00AD4BCC" w:rsidRDefault="00D84CD4" w:rsidP="003E3348">
      <w:pPr>
        <w:ind w:firstLine="0"/>
        <w:rPr>
          <w:rFonts w:cs="Times New Roman"/>
          <w:color w:val="222222"/>
          <w:szCs w:val="24"/>
          <w:highlight w:val="yellow"/>
          <w:shd w:val="clear" w:color="auto" w:fill="FFFFFF"/>
        </w:rPr>
      </w:pPr>
      <w:r w:rsidRPr="00AD4BCC">
        <w:rPr>
          <w:b/>
          <w:bCs/>
          <w:highlight w:val="yellow"/>
          <w:lang w:val="en-GB"/>
        </w:rPr>
        <w:t>Differentiation</w:t>
      </w:r>
      <w:r w:rsidR="006A7172" w:rsidRPr="00AD4BCC">
        <w:rPr>
          <w:b/>
          <w:bCs/>
          <w:highlight w:val="yellow"/>
          <w:lang w:val="en-GB"/>
        </w:rPr>
        <w:t>:</w:t>
      </w:r>
      <w:r w:rsidR="006A7172" w:rsidRPr="00AD4BCC">
        <w:rPr>
          <w:highlight w:val="yellow"/>
          <w:lang w:val="en-GB"/>
        </w:rPr>
        <w:t xml:space="preserve"> </w:t>
      </w:r>
      <w:r w:rsidRPr="00AD4BCC">
        <w:rPr>
          <w:highlight w:val="yellow"/>
          <w:lang w:val="en-GB"/>
        </w:rPr>
        <w:t xml:space="preserve">Shell can pursue a differentiation strategy by introducing products or services that are not </w:t>
      </w:r>
      <w:r w:rsidR="006A7172" w:rsidRPr="00AD4BCC">
        <w:rPr>
          <w:highlight w:val="yellow"/>
          <w:lang w:val="en-GB"/>
        </w:rPr>
        <w:t>like</w:t>
      </w:r>
      <w:r w:rsidRPr="00AD4BCC">
        <w:rPr>
          <w:highlight w:val="yellow"/>
          <w:lang w:val="en-GB"/>
        </w:rPr>
        <w:t xml:space="preserve"> other </w:t>
      </w:r>
      <w:r w:rsidR="006A7172" w:rsidRPr="00AD4BCC">
        <w:rPr>
          <w:highlight w:val="yellow"/>
          <w:lang w:val="en-GB"/>
        </w:rPr>
        <w:t xml:space="preserve">companies </w:t>
      </w:r>
      <w:r w:rsidRPr="00AD4BCC">
        <w:rPr>
          <w:highlight w:val="yellow"/>
          <w:lang w:val="en-GB"/>
        </w:rPr>
        <w:t xml:space="preserve">and which form a unique spectrum. It is possible to implement this by offering innovative fuel formulations with improved function features, </w:t>
      </w:r>
      <w:r w:rsidR="00AD4BCC">
        <w:rPr>
          <w:highlight w:val="yellow"/>
          <w:lang w:val="en-GB"/>
        </w:rPr>
        <w:t xml:space="preserve">and </w:t>
      </w:r>
      <w:r w:rsidRPr="00AD4BCC">
        <w:rPr>
          <w:highlight w:val="yellow"/>
          <w:lang w:val="en-GB"/>
        </w:rPr>
        <w:t xml:space="preserve">financial investment in environmentally friendly technologies to reduce the </w:t>
      </w:r>
      <w:r w:rsidR="006A7172" w:rsidRPr="00AD4BCC">
        <w:rPr>
          <w:highlight w:val="yellow"/>
          <w:lang w:val="en-GB"/>
        </w:rPr>
        <w:t>impact and</w:t>
      </w:r>
      <w:r w:rsidRPr="00AD4BCC">
        <w:rPr>
          <w:highlight w:val="yellow"/>
          <w:lang w:val="en-GB"/>
        </w:rPr>
        <w:t xml:space="preserve"> present the customer with an outstanding service experience at the gas station</w:t>
      </w:r>
      <w:r w:rsidR="00FB5892" w:rsidRPr="00AD4BCC">
        <w:rPr>
          <w:highlight w:val="yellow"/>
          <w:lang w:val="en-GB"/>
        </w:rPr>
        <w:t xml:space="preserve"> </w:t>
      </w:r>
      <w:r w:rsidR="003E3348" w:rsidRPr="00AD4BCC">
        <w:rPr>
          <w:rFonts w:cs="Times New Roman"/>
          <w:color w:val="222222"/>
          <w:szCs w:val="24"/>
          <w:highlight w:val="yellow"/>
          <w:shd w:val="clear" w:color="auto" w:fill="FFFFFF"/>
        </w:rPr>
        <w:t>(Suleman et al., 2019)</w:t>
      </w:r>
      <w:r w:rsidRPr="00AD4BCC">
        <w:rPr>
          <w:highlight w:val="yellow"/>
          <w:lang w:val="en-GB"/>
        </w:rPr>
        <w:t>.</w:t>
      </w:r>
      <w:r w:rsidR="006A7172" w:rsidRPr="00AD4BCC">
        <w:rPr>
          <w:highlight w:val="yellow"/>
          <w:lang w:val="en-GB"/>
        </w:rPr>
        <w:t xml:space="preserve"> Shell can establish its position in the market and receive high-margin prices; as a result, it will more likely increase its profits.</w:t>
      </w:r>
    </w:p>
    <w:p w14:paraId="20A1135F" w14:textId="036EE472" w:rsidR="005B4E4D" w:rsidRPr="003E3348" w:rsidRDefault="006A7172" w:rsidP="003E3348">
      <w:pPr>
        <w:ind w:firstLine="0"/>
        <w:rPr>
          <w:rFonts w:cs="Times New Roman"/>
          <w:color w:val="222222"/>
          <w:szCs w:val="24"/>
          <w:shd w:val="clear" w:color="auto" w:fill="FFFFFF"/>
        </w:rPr>
      </w:pPr>
      <w:r w:rsidRPr="00AD4BCC">
        <w:rPr>
          <w:b/>
          <w:bCs/>
          <w:highlight w:val="yellow"/>
          <w:lang w:val="en-GB"/>
        </w:rPr>
        <w:t>Focus:</w:t>
      </w:r>
      <w:r w:rsidRPr="00AD4BCC">
        <w:rPr>
          <w:highlight w:val="yellow"/>
          <w:lang w:val="en-GB"/>
        </w:rPr>
        <w:t xml:space="preserve"> </w:t>
      </w:r>
      <w:r w:rsidR="00FB5892" w:rsidRPr="00AD4BCC">
        <w:rPr>
          <w:highlight w:val="yellow"/>
          <w:lang w:val="en-GB"/>
        </w:rPr>
        <w:t xml:space="preserve">Businesses </w:t>
      </w:r>
      <w:r w:rsidRPr="00AD4BCC">
        <w:rPr>
          <w:highlight w:val="yellow"/>
          <w:lang w:val="en-GB"/>
        </w:rPr>
        <w:t>can execute the focus strategy with one of the options being to concentrate its product range on a particular market segment or niche markets with customi</w:t>
      </w:r>
      <w:r w:rsidR="0040603E" w:rsidRPr="00AD4BCC">
        <w:rPr>
          <w:highlight w:val="yellow"/>
          <w:lang w:val="en-GB"/>
        </w:rPr>
        <w:t>s</w:t>
      </w:r>
      <w:r w:rsidRPr="00AD4BCC">
        <w:rPr>
          <w:highlight w:val="yellow"/>
          <w:lang w:val="en-GB"/>
        </w:rPr>
        <w:t>ed energy solutions</w:t>
      </w:r>
      <w:r w:rsidR="00FB5892" w:rsidRPr="00AD4BCC">
        <w:rPr>
          <w:highlight w:val="yellow"/>
          <w:lang w:val="en-GB"/>
        </w:rPr>
        <w:t xml:space="preserve"> </w:t>
      </w:r>
      <w:r w:rsidR="003E3348" w:rsidRPr="00AD4BCC">
        <w:rPr>
          <w:rFonts w:cs="Times New Roman"/>
          <w:color w:val="222222"/>
          <w:szCs w:val="24"/>
          <w:highlight w:val="yellow"/>
          <w:shd w:val="clear" w:color="auto" w:fill="FFFFFF"/>
        </w:rPr>
        <w:t>(Daniluk, 2021)</w:t>
      </w:r>
      <w:r w:rsidRPr="00AD4BCC">
        <w:rPr>
          <w:highlight w:val="yellow"/>
          <w:lang w:val="en-GB"/>
        </w:rPr>
        <w:t>. For instance, Shell could focus on the needs of commercial and industrial clients who would be provided with customi</w:t>
      </w:r>
      <w:r w:rsidR="0040603E" w:rsidRPr="00AD4BCC">
        <w:rPr>
          <w:highlight w:val="yellow"/>
          <w:lang w:val="en-GB"/>
        </w:rPr>
        <w:t>s</w:t>
      </w:r>
      <w:r w:rsidRPr="00AD4BCC">
        <w:rPr>
          <w:highlight w:val="yellow"/>
          <w:lang w:val="en-GB"/>
        </w:rPr>
        <w:t xml:space="preserve">ed energy solutions aligned to their specific requirements. </w:t>
      </w:r>
      <w:r w:rsidR="0040603E" w:rsidRPr="00AD4BCC">
        <w:rPr>
          <w:highlight w:val="yellow"/>
          <w:lang w:val="en-GB"/>
        </w:rPr>
        <w:t>Additionally</w:t>
      </w:r>
      <w:r w:rsidRPr="00AD4BCC">
        <w:rPr>
          <w:highlight w:val="yellow"/>
          <w:lang w:val="en-GB"/>
        </w:rPr>
        <w:t xml:space="preserve">, Shell might aim </w:t>
      </w:r>
      <w:r w:rsidR="00AD4BCC">
        <w:rPr>
          <w:highlight w:val="yellow"/>
          <w:lang w:val="en-GB"/>
        </w:rPr>
        <w:t>at</w:t>
      </w:r>
      <w:r w:rsidRPr="00AD4BCC">
        <w:rPr>
          <w:highlight w:val="yellow"/>
          <w:lang w:val="en-GB"/>
        </w:rPr>
        <w:t xml:space="preserve"> these consumers who are environmentally conscious by capitali</w:t>
      </w:r>
      <w:r w:rsidR="0040603E" w:rsidRPr="00AD4BCC">
        <w:rPr>
          <w:highlight w:val="yellow"/>
          <w:lang w:val="en-GB"/>
        </w:rPr>
        <w:t>s</w:t>
      </w:r>
      <w:r w:rsidRPr="00AD4BCC">
        <w:rPr>
          <w:highlight w:val="yellow"/>
          <w:lang w:val="en-GB"/>
        </w:rPr>
        <w:t>ing on selling a range of eco-friendly energy products such as biofuels or renewable power which might grab the attention of the public with having this perception. Through the selective application of resources to specific market sections, Shell will better fill the client</w:t>
      </w:r>
      <w:r w:rsidR="00AD4BCC">
        <w:rPr>
          <w:highlight w:val="yellow"/>
          <w:lang w:val="en-GB"/>
        </w:rPr>
        <w:t>'s</w:t>
      </w:r>
      <w:r w:rsidRPr="00AD4BCC">
        <w:rPr>
          <w:highlight w:val="yellow"/>
          <w:lang w:val="en-GB"/>
        </w:rPr>
        <w:t xml:space="preserve"> needs and can create </w:t>
      </w:r>
      <w:r w:rsidR="00AD4BCC">
        <w:rPr>
          <w:highlight w:val="yellow"/>
          <w:lang w:val="en-GB"/>
        </w:rPr>
        <w:t>a</w:t>
      </w:r>
      <w:r w:rsidRPr="00AD4BCC">
        <w:rPr>
          <w:highlight w:val="yellow"/>
          <w:lang w:val="en-GB"/>
        </w:rPr>
        <w:t xml:space="preserve"> stronger connection with them, caused by increased commitment and a greater profit.</w:t>
      </w:r>
    </w:p>
    <w:p w14:paraId="04519C95" w14:textId="23C3C73A" w:rsidR="004C2BF1" w:rsidRPr="00957D69" w:rsidRDefault="004C2BF1" w:rsidP="00FB5892">
      <w:pPr>
        <w:pStyle w:val="Heading2"/>
        <w:rPr>
          <w:highlight w:val="yellow"/>
        </w:rPr>
      </w:pPr>
      <w:r w:rsidRPr="00957D69">
        <w:rPr>
          <w:highlight w:val="yellow"/>
        </w:rPr>
        <w:t xml:space="preserve">Ansoff Matrix </w:t>
      </w:r>
    </w:p>
    <w:p w14:paraId="633E9C1E" w14:textId="0A67F90E" w:rsidR="00B34615" w:rsidRPr="003E3348" w:rsidRDefault="00B34615" w:rsidP="00AD4BCC">
      <w:pPr>
        <w:ind w:firstLine="360"/>
        <w:rPr>
          <w:rFonts w:cs="Times New Roman"/>
          <w:color w:val="222222"/>
          <w:szCs w:val="24"/>
          <w:shd w:val="clear" w:color="auto" w:fill="FFFFFF"/>
          <w:lang w:val="it-IT"/>
        </w:rPr>
      </w:pPr>
      <w:r w:rsidRPr="00AD4BCC">
        <w:rPr>
          <w:rFonts w:cs="Times New Roman"/>
          <w:highlight w:val="yellow"/>
          <w:lang w:val="en-GB"/>
        </w:rPr>
        <w:t>The Ansoff Matrix, often called the Product/Market Expansion Grid, is a two-by-two framework used by management teams and the analyst community to help plan and evaluate growth initiatives</w:t>
      </w:r>
      <w:r w:rsidR="00FB5892" w:rsidRPr="00AD4BCC">
        <w:rPr>
          <w:rFonts w:cs="Times New Roman"/>
          <w:highlight w:val="yellow"/>
          <w:lang w:val="en-GB"/>
        </w:rPr>
        <w:t xml:space="preserve"> </w:t>
      </w:r>
      <w:r w:rsidR="003E3348" w:rsidRPr="00AD4BCC">
        <w:rPr>
          <w:rFonts w:cs="Times New Roman"/>
          <w:color w:val="222222"/>
          <w:szCs w:val="24"/>
          <w:highlight w:val="yellow"/>
          <w:shd w:val="clear" w:color="auto" w:fill="FFFFFF"/>
        </w:rPr>
        <w:t>(</w:t>
      </w:r>
      <w:proofErr w:type="spellStart"/>
      <w:r w:rsidR="003E3348" w:rsidRPr="00AD4BCC">
        <w:rPr>
          <w:rFonts w:cs="Times New Roman"/>
          <w:color w:val="222222"/>
          <w:szCs w:val="24"/>
          <w:highlight w:val="yellow"/>
          <w:shd w:val="clear" w:color="auto" w:fill="FFFFFF"/>
        </w:rPr>
        <w:t>Khajezadeh</w:t>
      </w:r>
      <w:proofErr w:type="spellEnd"/>
      <w:r w:rsidR="003E3348" w:rsidRPr="00AD4BCC">
        <w:rPr>
          <w:rFonts w:cs="Times New Roman"/>
          <w:color w:val="222222"/>
          <w:szCs w:val="24"/>
          <w:highlight w:val="yellow"/>
          <w:shd w:val="clear" w:color="auto" w:fill="FFFFFF"/>
        </w:rPr>
        <w:t xml:space="preserve"> et al., 2019)</w:t>
      </w:r>
      <w:r w:rsidRPr="00AD4BCC">
        <w:rPr>
          <w:rFonts w:cs="Times New Roman"/>
          <w:highlight w:val="yellow"/>
          <w:lang w:val="en-GB"/>
        </w:rPr>
        <w:t>.</w:t>
      </w:r>
      <w:r w:rsidR="0071240D" w:rsidRPr="00AD4BCC">
        <w:rPr>
          <w:rFonts w:cs="Times New Roman"/>
          <w:highlight w:val="yellow"/>
          <w:lang w:val="en-GB"/>
        </w:rPr>
        <w:t xml:space="preserve"> </w:t>
      </w:r>
      <w:r w:rsidR="009A2DAF" w:rsidRPr="00AD4BCC">
        <w:rPr>
          <w:rFonts w:cs="Times New Roman"/>
          <w:color w:val="0D0D0D"/>
          <w:highlight w:val="yellow"/>
          <w:shd w:val="clear" w:color="auto" w:fill="FFFFFF"/>
        </w:rPr>
        <w:t xml:space="preserve">The Ansoff Matrix is important as it provides a structured framework for businesses to explore growth opportunities by considering both existing and new products and markets. </w:t>
      </w:r>
      <w:r w:rsidR="00AD4BCC" w:rsidRPr="00AD4BCC">
        <w:rPr>
          <w:rFonts w:cs="Times New Roman"/>
          <w:color w:val="0D0D0D"/>
          <w:highlight w:val="yellow"/>
          <w:shd w:val="clear" w:color="auto" w:fill="FFFFFF"/>
        </w:rPr>
        <w:t>F</w:t>
      </w:r>
      <w:r w:rsidR="009A2DAF" w:rsidRPr="00AD4BCC">
        <w:rPr>
          <w:rFonts w:cs="Times New Roman"/>
          <w:color w:val="0D0D0D"/>
          <w:highlight w:val="yellow"/>
          <w:shd w:val="clear" w:color="auto" w:fill="FFFFFF"/>
        </w:rPr>
        <w:t>acilitating strategic decision-</w:t>
      </w:r>
      <w:proofErr w:type="gramStart"/>
      <w:r w:rsidR="009A2DAF" w:rsidRPr="00AD4BCC">
        <w:rPr>
          <w:rFonts w:cs="Times New Roman"/>
          <w:color w:val="0D0D0D"/>
          <w:highlight w:val="yellow"/>
          <w:shd w:val="clear" w:color="auto" w:fill="FFFFFF"/>
        </w:rPr>
        <w:t>making,</w:t>
      </w:r>
      <w:proofErr w:type="gramEnd"/>
      <w:r w:rsidR="009A2DAF" w:rsidRPr="00AD4BCC">
        <w:rPr>
          <w:rFonts w:cs="Times New Roman"/>
          <w:color w:val="0D0D0D"/>
          <w:highlight w:val="yellow"/>
          <w:shd w:val="clear" w:color="auto" w:fill="FFFFFF"/>
        </w:rPr>
        <w:t xml:space="preserve"> helps organi</w:t>
      </w:r>
      <w:r w:rsidR="0040603E" w:rsidRPr="00AD4BCC">
        <w:rPr>
          <w:rFonts w:cs="Times New Roman"/>
          <w:color w:val="0D0D0D"/>
          <w:highlight w:val="yellow"/>
          <w:shd w:val="clear" w:color="auto" w:fill="FFFFFF"/>
        </w:rPr>
        <w:t>s</w:t>
      </w:r>
      <w:r w:rsidR="009A2DAF" w:rsidRPr="00AD4BCC">
        <w:rPr>
          <w:rFonts w:cs="Times New Roman"/>
          <w:color w:val="0D0D0D"/>
          <w:highlight w:val="yellow"/>
          <w:shd w:val="clear" w:color="auto" w:fill="FFFFFF"/>
        </w:rPr>
        <w:t xml:space="preserve">ations effectively allocate resources and </w:t>
      </w:r>
      <w:proofErr w:type="spellStart"/>
      <w:r w:rsidR="009A2DAF" w:rsidRPr="00AD4BCC">
        <w:rPr>
          <w:rFonts w:cs="Times New Roman"/>
          <w:color w:val="0D0D0D"/>
          <w:highlight w:val="yellow"/>
          <w:shd w:val="clear" w:color="auto" w:fill="FFFFFF"/>
        </w:rPr>
        <w:t>minimi</w:t>
      </w:r>
      <w:r w:rsidR="0040603E" w:rsidRPr="00AD4BCC">
        <w:rPr>
          <w:rFonts w:cs="Times New Roman"/>
          <w:color w:val="0D0D0D"/>
          <w:highlight w:val="yellow"/>
          <w:shd w:val="clear" w:color="auto" w:fill="FFFFFF"/>
        </w:rPr>
        <w:t>s</w:t>
      </w:r>
      <w:r w:rsidR="009A2DAF" w:rsidRPr="00AD4BCC">
        <w:rPr>
          <w:rFonts w:cs="Times New Roman"/>
          <w:color w:val="0D0D0D"/>
          <w:highlight w:val="yellow"/>
          <w:shd w:val="clear" w:color="auto" w:fill="FFFFFF"/>
        </w:rPr>
        <w:t>e</w:t>
      </w:r>
      <w:proofErr w:type="spellEnd"/>
      <w:r w:rsidR="009A2DAF" w:rsidRPr="00AD4BCC">
        <w:rPr>
          <w:rFonts w:cs="Times New Roman"/>
          <w:color w:val="0D0D0D"/>
          <w:highlight w:val="yellow"/>
          <w:shd w:val="clear" w:color="auto" w:fill="FFFFFF"/>
        </w:rPr>
        <w:t xml:space="preserve"> risks associated with expansion efforts</w:t>
      </w:r>
      <w:r w:rsidR="00FB5892" w:rsidRPr="00AD4BCC">
        <w:rPr>
          <w:rFonts w:cs="Times New Roman"/>
          <w:color w:val="0D0D0D"/>
          <w:highlight w:val="yellow"/>
          <w:shd w:val="clear" w:color="auto" w:fill="FFFFFF"/>
        </w:rPr>
        <w:t xml:space="preserve"> </w:t>
      </w:r>
      <w:r w:rsidR="003E3348" w:rsidRPr="00AD4BCC">
        <w:rPr>
          <w:rFonts w:cs="Times New Roman"/>
          <w:color w:val="222222"/>
          <w:szCs w:val="24"/>
          <w:highlight w:val="yellow"/>
          <w:shd w:val="clear" w:color="auto" w:fill="FFFFFF"/>
        </w:rPr>
        <w:t>(Clarissia, 2020)</w:t>
      </w:r>
      <w:r w:rsidR="009A2DAF" w:rsidRPr="00AD4BCC">
        <w:rPr>
          <w:rFonts w:cs="Times New Roman"/>
          <w:color w:val="0D0D0D"/>
          <w:highlight w:val="yellow"/>
          <w:shd w:val="clear" w:color="auto" w:fill="FFFFFF"/>
        </w:rPr>
        <w:t xml:space="preserve">. </w:t>
      </w:r>
      <w:r w:rsidR="002B37D8" w:rsidRPr="00AD4BCC">
        <w:rPr>
          <w:rFonts w:cs="Times New Roman"/>
          <w:color w:val="0D0D0D"/>
          <w:highlight w:val="yellow"/>
          <w:shd w:val="clear" w:color="auto" w:fill="FFFFFF"/>
        </w:rPr>
        <w:t>The Ansoff Matrix is used to help businesses identify and evaluate strategic growth opportunities by considering two key factors: products and markets. By analy</w:t>
      </w:r>
      <w:r w:rsidR="0040603E" w:rsidRPr="00AD4BCC">
        <w:rPr>
          <w:rFonts w:cs="Times New Roman"/>
          <w:color w:val="0D0D0D"/>
          <w:highlight w:val="yellow"/>
          <w:shd w:val="clear" w:color="auto" w:fill="FFFFFF"/>
        </w:rPr>
        <w:t>s</w:t>
      </w:r>
      <w:r w:rsidR="002B37D8" w:rsidRPr="00AD4BCC">
        <w:rPr>
          <w:rFonts w:cs="Times New Roman"/>
          <w:color w:val="0D0D0D"/>
          <w:highlight w:val="yellow"/>
          <w:shd w:val="clear" w:color="auto" w:fill="FFFFFF"/>
        </w:rPr>
        <w:t>ing these factors, businesses can make informed decisions about how to expand and grow their operations.</w:t>
      </w:r>
    </w:p>
    <w:p w14:paraId="3CE95805" w14:textId="77777777" w:rsidR="00AD4BCC" w:rsidRDefault="0071240D" w:rsidP="00AD4BCC">
      <w:pPr>
        <w:keepNext/>
      </w:pPr>
      <w:r>
        <w:rPr>
          <w:noProof/>
          <w:lang w:val="en-GB" w:eastAsia="en-GB"/>
        </w:rPr>
        <w:lastRenderedPageBreak/>
        <w:drawing>
          <wp:inline distT="0" distB="0" distL="0" distR="0" wp14:anchorId="7F7D560F" wp14:editId="7F130D9D">
            <wp:extent cx="5716905" cy="5539740"/>
            <wp:effectExtent l="0" t="0" r="0" b="3810"/>
            <wp:docPr id="145684180"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575C948C" w14:textId="2ABDF0D1" w:rsidR="0071240D" w:rsidRPr="00B34615" w:rsidRDefault="00AD4BCC" w:rsidP="00AD4BCC">
      <w:pPr>
        <w:pStyle w:val="Caption"/>
        <w:jc w:val="center"/>
        <w:rPr>
          <w:lang w:val="en-GB"/>
        </w:rPr>
      </w:pPr>
      <w:r>
        <w:t xml:space="preserve">Figure </w:t>
      </w:r>
      <w:r>
        <w:fldChar w:fldCharType="begin"/>
      </w:r>
      <w:r>
        <w:instrText xml:space="preserve"> SEQ Figure \* ARABIC </w:instrText>
      </w:r>
      <w:r>
        <w:fldChar w:fldCharType="separate"/>
      </w:r>
      <w:r>
        <w:rPr>
          <w:noProof/>
        </w:rPr>
        <w:t>1</w:t>
      </w:r>
      <w:r>
        <w:fldChar w:fldCharType="end"/>
      </w:r>
      <w:r>
        <w:t xml:space="preserve">. Ansoff Matrix for Shell Source: </w:t>
      </w:r>
      <w:proofErr w:type="spellStart"/>
      <w:r>
        <w:t>Selfmade</w:t>
      </w:r>
      <w:proofErr w:type="spellEnd"/>
    </w:p>
    <w:p w14:paraId="396C5C7C" w14:textId="77777777" w:rsidR="004C2BF1" w:rsidRPr="002B37D8" w:rsidRDefault="004C2BF1" w:rsidP="004C2BF1">
      <w:pPr>
        <w:rPr>
          <w:highlight w:val="yellow"/>
        </w:rPr>
      </w:pPr>
    </w:p>
    <w:p w14:paraId="738591E4" w14:textId="6DA7136A" w:rsidR="00C1051F" w:rsidRPr="00FD5AD5" w:rsidRDefault="00C1051F" w:rsidP="00FB5892">
      <w:pPr>
        <w:pStyle w:val="Heading2"/>
      </w:pPr>
      <w:bookmarkStart w:id="5" w:name="_Toc160574335"/>
      <w:r w:rsidRPr="00FD5AD5">
        <w:t>Resources and Capabilities Analysis</w:t>
      </w:r>
      <w:bookmarkEnd w:id="5"/>
    </w:p>
    <w:p w14:paraId="79ADADC8" w14:textId="2B80B5CB" w:rsidR="00F63ADC" w:rsidRPr="00FD5AD5" w:rsidRDefault="00F63ADC" w:rsidP="00AD4BCC">
      <w:pPr>
        <w:pStyle w:val="Heading3"/>
        <w:numPr>
          <w:ilvl w:val="1"/>
          <w:numId w:val="35"/>
        </w:numPr>
        <w:rPr>
          <w:rStyle w:val="Heading3Char"/>
        </w:rPr>
      </w:pPr>
      <w:bookmarkStart w:id="6" w:name="_Toc160574336"/>
      <w:r w:rsidRPr="00FD5AD5">
        <w:rPr>
          <w:rFonts w:eastAsia="Times New Roman"/>
        </w:rPr>
        <w:t>Resources and Capabilities</w:t>
      </w:r>
      <w:bookmarkEnd w:id="6"/>
      <w:r w:rsidRPr="00FD5AD5">
        <w:rPr>
          <w:rFonts w:eastAsia="Times New Roman"/>
        </w:rPr>
        <w:t xml:space="preserve"> </w:t>
      </w:r>
    </w:p>
    <w:p w14:paraId="5F74719E" w14:textId="3A4595A6" w:rsidR="00FD5AD5" w:rsidRPr="00FB5892" w:rsidRDefault="00FD5AD5" w:rsidP="00FB5892">
      <w:pPr>
        <w:pStyle w:val="ListParagraph"/>
        <w:numPr>
          <w:ilvl w:val="2"/>
          <w:numId w:val="35"/>
        </w:numPr>
        <w:rPr>
          <w:b/>
          <w:bCs/>
        </w:rPr>
      </w:pPr>
      <w:r w:rsidRPr="00FB5892">
        <w:rPr>
          <w:b/>
          <w:bCs/>
        </w:rPr>
        <w:t>Global Presence</w:t>
      </w:r>
    </w:p>
    <w:p w14:paraId="5EFCE5D2" w14:textId="20B819D9" w:rsidR="00F63ADC" w:rsidRPr="00FD5AD5" w:rsidRDefault="00BF4BA7" w:rsidP="00FD5AD5">
      <w:pPr>
        <w:rPr>
          <w:lang w:val="en-GB"/>
        </w:rPr>
      </w:pPr>
      <w:r w:rsidRPr="00FD5AD5">
        <w:rPr>
          <w:lang w:val="en-GB"/>
        </w:rPr>
        <w:t>Shell Plc</w:t>
      </w:r>
      <w:r w:rsidR="00F63ADC" w:rsidRPr="00FD5AD5">
        <w:rPr>
          <w:lang w:val="en-GB"/>
        </w:rPr>
        <w:t>'s ability to do business in more than 70 countries around the world is a valuable resource called "global presence." This large geographic reach gives them access to many markets, resources, and growth possibilities</w:t>
      </w:r>
      <w:r w:rsidR="00157D8E" w:rsidRPr="00FD5AD5">
        <w:rPr>
          <w:lang w:val="en-GB"/>
        </w:rPr>
        <w:t xml:space="preserve"> (Shell, 2024)</w:t>
      </w:r>
      <w:r w:rsidR="00F63ADC" w:rsidRPr="00FD5AD5">
        <w:rPr>
          <w:lang w:val="en-GB"/>
        </w:rPr>
        <w:t xml:space="preserve">. Shell's ability to set up businesses and </w:t>
      </w:r>
      <w:r w:rsidR="00F63ADC" w:rsidRPr="00FD5AD5">
        <w:rPr>
          <w:lang w:val="en-GB"/>
        </w:rPr>
        <w:lastRenderedPageBreak/>
        <w:t xml:space="preserve">partnerships in different areas strengthens its standing in the market and makes strategic expansion plans easier to carry out. </w:t>
      </w:r>
    </w:p>
    <w:p w14:paraId="68DA1227" w14:textId="67250E4C" w:rsidR="00FD5AD5" w:rsidRPr="00FB5892" w:rsidRDefault="00FD5AD5" w:rsidP="00FB5892">
      <w:pPr>
        <w:pStyle w:val="ListParagraph"/>
        <w:numPr>
          <w:ilvl w:val="2"/>
          <w:numId w:val="35"/>
        </w:numPr>
        <w:rPr>
          <w:b/>
          <w:bCs/>
          <w:lang w:val="en-GB"/>
        </w:rPr>
      </w:pPr>
      <w:r w:rsidRPr="00FB5892">
        <w:rPr>
          <w:b/>
          <w:bCs/>
          <w:lang w:val="en-GB"/>
        </w:rPr>
        <w:t>Technological Innovation</w:t>
      </w:r>
    </w:p>
    <w:p w14:paraId="00F5BA79" w14:textId="049B70E0" w:rsidR="00F63ADC" w:rsidRDefault="00F63ADC" w:rsidP="00FD5AD5">
      <w:pPr>
        <w:rPr>
          <w:lang w:val="en-GB"/>
        </w:rPr>
      </w:pPr>
      <w:r w:rsidRPr="00FD5AD5">
        <w:rPr>
          <w:lang w:val="en-GB"/>
        </w:rPr>
        <w:t>Commitment to new technology is one of the most important things that makes Shell competitive and a leader in the energy business. Shell is always improving its technology in many areas, such as exploration, production, refining, and green energy solutions</w:t>
      </w:r>
      <w:r w:rsidR="00157D8E" w:rsidRPr="00FD5AD5">
        <w:rPr>
          <w:lang w:val="en-GB"/>
        </w:rPr>
        <w:t xml:space="preserve"> (Shell plc, 2023)</w:t>
      </w:r>
      <w:r w:rsidRPr="00FD5AD5">
        <w:rPr>
          <w:lang w:val="en-GB"/>
        </w:rPr>
        <w:t xml:space="preserve">. </w:t>
      </w:r>
      <w:r w:rsidR="00157D8E" w:rsidRPr="00FD5AD5">
        <w:rPr>
          <w:lang w:val="en-GB"/>
        </w:rPr>
        <w:t>Shell achieves</w:t>
      </w:r>
      <w:r w:rsidRPr="00FD5AD5">
        <w:rPr>
          <w:lang w:val="en-GB"/>
        </w:rPr>
        <w:t xml:space="preserve"> this by </w:t>
      </w:r>
      <w:r w:rsidR="00015DFA" w:rsidRPr="00FD5AD5">
        <w:rPr>
          <w:lang w:val="en-GB"/>
        </w:rPr>
        <w:t xml:space="preserve">investing </w:t>
      </w:r>
      <w:r w:rsidR="00FD5AD5" w:rsidRPr="00FD5AD5">
        <w:rPr>
          <w:lang w:val="en-GB"/>
        </w:rPr>
        <w:t xml:space="preserve">in </w:t>
      </w:r>
      <w:r w:rsidRPr="00FD5AD5">
        <w:rPr>
          <w:lang w:val="en-GB"/>
        </w:rPr>
        <w:t>research and development</w:t>
      </w:r>
      <w:r w:rsidR="00015DFA" w:rsidRPr="00FD5AD5">
        <w:rPr>
          <w:lang w:val="en-GB"/>
        </w:rPr>
        <w:t xml:space="preserve"> and t</w:t>
      </w:r>
      <w:r w:rsidRPr="00FD5AD5">
        <w:rPr>
          <w:lang w:val="en-GB"/>
        </w:rPr>
        <w:t>his new idea helps Shell run its business more efficiently, find more environmentally friendly energy sources, and stay on top of the latest developments in its field.</w:t>
      </w:r>
    </w:p>
    <w:p w14:paraId="27AE2AD9" w14:textId="525B564F" w:rsidR="00D9472B" w:rsidRPr="00FB5892" w:rsidRDefault="00D9472B" w:rsidP="00FB5892">
      <w:pPr>
        <w:pStyle w:val="ListParagraph"/>
        <w:numPr>
          <w:ilvl w:val="2"/>
          <w:numId w:val="35"/>
        </w:numPr>
        <w:rPr>
          <w:b/>
          <w:bCs/>
        </w:rPr>
      </w:pPr>
      <w:r w:rsidRPr="00FB5892">
        <w:rPr>
          <w:b/>
          <w:bCs/>
        </w:rPr>
        <w:t>Strategic Partnerships</w:t>
      </w:r>
    </w:p>
    <w:p w14:paraId="798D4D66" w14:textId="7AB7291B" w:rsidR="00D9472B" w:rsidRPr="00FD5AD5" w:rsidRDefault="00D9472B" w:rsidP="00D9472B">
      <w:pPr>
        <w:rPr>
          <w:lang w:val="en-GB"/>
        </w:rPr>
      </w:pPr>
      <w:r w:rsidRPr="00FD5AD5">
        <w:rPr>
          <w:rFonts w:eastAsia="Times New Roman" w:cs="Times New Roman"/>
          <w:szCs w:val="24"/>
          <w:lang w:val="en-GB"/>
        </w:rPr>
        <w:t>Shell's ability to make strategic partnerships is a key part of its ability to reach more people, get into new markets, and use resources and expertise that complement its own. Shell can get access to useful tools, market information, and chances to come up with new ideas by working with other companies in the same field, governments, research institutions, and technology providers. For instance, Microsoft and Shell are collaborating on the development of new technologies that will help them accomplish their carbon reduction goals and bring new products to market to assist other organisations and customers in managing and reducing their own carbon footprints (Shell plc, 2024). They will use their existing skills and technologies to develop and implement new AI solutions to help Shell speed up its digital transformation. Shell will provide Microsoft with low-carbon energy goods and services.  Through these partnerships, Shell can work on joint ventures, innovation projects, and market development plans. This makes the company more competitive and promotes long-term growth in the world's energy market.</w:t>
      </w:r>
    </w:p>
    <w:p w14:paraId="46D257C2" w14:textId="4C291344" w:rsidR="00FD5AD5" w:rsidRPr="004C2BF1" w:rsidRDefault="00FD5AD5" w:rsidP="00FB5892">
      <w:pPr>
        <w:pStyle w:val="Heading2"/>
        <w:rPr>
          <w:highlight w:val="yellow"/>
        </w:rPr>
      </w:pPr>
      <w:r w:rsidRPr="004C2BF1">
        <w:rPr>
          <w:highlight w:val="yellow"/>
        </w:rPr>
        <w:t xml:space="preserve"> Value Chain</w:t>
      </w:r>
      <w:r w:rsidR="00B34615">
        <w:rPr>
          <w:highlight w:val="yellow"/>
        </w:rPr>
        <w:t xml:space="preserve"> Analysis</w:t>
      </w:r>
    </w:p>
    <w:p w14:paraId="7823BF18" w14:textId="24975CCB" w:rsidR="006A2CAC" w:rsidRPr="007D6B8E" w:rsidRDefault="00840BE5" w:rsidP="00AD4BCC">
      <w:pPr>
        <w:ind w:firstLine="360"/>
        <w:rPr>
          <w:lang w:val="en-GB"/>
        </w:rPr>
      </w:pPr>
      <w:r w:rsidRPr="00AD4BCC">
        <w:rPr>
          <w:highlight w:val="yellow"/>
          <w:lang w:val="en-GB"/>
        </w:rPr>
        <w:t xml:space="preserve">The value chain analysis is one of the effective and useful strategic management </w:t>
      </w:r>
      <w:r w:rsidR="00383390" w:rsidRPr="00AD4BCC">
        <w:rPr>
          <w:highlight w:val="yellow"/>
          <w:lang w:val="en-GB"/>
        </w:rPr>
        <w:t>tools</w:t>
      </w:r>
      <w:r w:rsidRPr="00AD4BCC">
        <w:rPr>
          <w:highlight w:val="yellow"/>
          <w:lang w:val="en-GB"/>
        </w:rPr>
        <w:t xml:space="preserve"> that is used by organisations to identify and highlight </w:t>
      </w:r>
      <w:r w:rsidR="007D6B8E" w:rsidRPr="00AD4BCC">
        <w:rPr>
          <w:highlight w:val="yellow"/>
          <w:lang w:val="en-GB"/>
        </w:rPr>
        <w:t>the functions</w:t>
      </w:r>
      <w:r w:rsidRPr="00AD4BCC">
        <w:rPr>
          <w:highlight w:val="yellow"/>
          <w:lang w:val="en-GB"/>
        </w:rPr>
        <w:t xml:space="preserve"> that are performed by a company to </w:t>
      </w:r>
      <w:proofErr w:type="gramStart"/>
      <w:r w:rsidRPr="00AD4BCC">
        <w:rPr>
          <w:highlight w:val="yellow"/>
          <w:lang w:val="en-GB"/>
        </w:rPr>
        <w:t>provide</w:t>
      </w:r>
      <w:proofErr w:type="gramEnd"/>
      <w:r w:rsidRPr="00AD4BCC">
        <w:rPr>
          <w:highlight w:val="yellow"/>
          <w:lang w:val="en-GB"/>
        </w:rPr>
        <w:t xml:space="preserve"> a product or service to its c</w:t>
      </w:r>
      <w:r w:rsidR="007D6B8E" w:rsidRPr="00AD4BCC">
        <w:rPr>
          <w:highlight w:val="yellow"/>
          <w:lang w:val="en-GB"/>
        </w:rPr>
        <w:t xml:space="preserve">onsumers </w:t>
      </w:r>
      <w:r w:rsidR="003E3348" w:rsidRPr="00AD4BCC">
        <w:rPr>
          <w:rFonts w:cs="Times New Roman"/>
          <w:color w:val="222222"/>
          <w:szCs w:val="24"/>
          <w:highlight w:val="yellow"/>
          <w:shd w:val="clear" w:color="auto" w:fill="FFFFFF"/>
        </w:rPr>
        <w:t>(Tarekegn et al., 2020)</w:t>
      </w:r>
      <w:r w:rsidRPr="00AD4BCC">
        <w:rPr>
          <w:highlight w:val="yellow"/>
          <w:lang w:val="en-GB"/>
        </w:rPr>
        <w:t xml:space="preserve">. </w:t>
      </w:r>
      <w:r w:rsidR="007D6B8E" w:rsidRPr="00AD4BCC">
        <w:rPr>
          <w:highlight w:val="yellow"/>
          <w:lang w:val="en-GB"/>
        </w:rPr>
        <w:t>Through analysis, causes and consequen</w:t>
      </w:r>
      <w:r w:rsidR="00AD4BCC" w:rsidRPr="00AD4BCC">
        <w:rPr>
          <w:highlight w:val="yellow"/>
          <w:lang w:val="en-GB"/>
        </w:rPr>
        <w:t>c</w:t>
      </w:r>
      <w:r w:rsidR="007D6B8E" w:rsidRPr="00AD4BCC">
        <w:rPr>
          <w:highlight w:val="yellow"/>
          <w:lang w:val="en-GB"/>
        </w:rPr>
        <w:t xml:space="preserve">es of business problems are identically detected allowing firms to essentially re-define their production processes with the purpose of gaining a competitive advantage in the market. </w:t>
      </w:r>
      <w:r w:rsidRPr="00AD4BCC">
        <w:rPr>
          <w:highlight w:val="yellow"/>
          <w:lang w:val="en-GB"/>
        </w:rPr>
        <w:t xml:space="preserve">This </w:t>
      </w:r>
      <w:r w:rsidRPr="00AD4BCC">
        <w:rPr>
          <w:highlight w:val="yellow"/>
          <w:lang w:val="en-GB"/>
        </w:rPr>
        <w:lastRenderedPageBreak/>
        <w:t xml:space="preserve">value chain is usually </w:t>
      </w:r>
      <w:r w:rsidR="00D0222A" w:rsidRPr="00AD4BCC">
        <w:rPr>
          <w:highlight w:val="yellow"/>
          <w:lang w:val="en-GB"/>
        </w:rPr>
        <w:t>divided</w:t>
      </w:r>
      <w:r w:rsidRPr="00AD4BCC">
        <w:rPr>
          <w:highlight w:val="yellow"/>
          <w:lang w:val="en-GB"/>
        </w:rPr>
        <w:t xml:space="preserve"> into the primary and the support activities which reinforce the process of production.</w:t>
      </w:r>
      <w:r w:rsidRPr="00840BE5">
        <w:rPr>
          <w:lang w:val="en-GB"/>
        </w:rPr>
        <w:t xml:space="preserve"> </w:t>
      </w:r>
    </w:p>
    <w:p w14:paraId="22E7426E" w14:textId="3081DFDD" w:rsidR="00957D69" w:rsidRPr="006A2CAC" w:rsidRDefault="00957D69" w:rsidP="006A2CAC">
      <w:pPr>
        <w:ind w:firstLine="0"/>
        <w:rPr>
          <w:bCs/>
          <w:lang w:val="en-GB"/>
        </w:rPr>
      </w:pPr>
      <w:r>
        <w:rPr>
          <w:bCs/>
          <w:noProof/>
          <w:lang w:val="en-GB" w:eastAsia="en-GB"/>
        </w:rPr>
        <w:drawing>
          <wp:inline distT="0" distB="0" distL="0" distR="0" wp14:anchorId="0175DE22" wp14:editId="509DEE22">
            <wp:extent cx="5486400" cy="3200400"/>
            <wp:effectExtent l="0" t="19050" r="38100" b="38100"/>
            <wp:docPr id="479219738"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6CBAE2B9" w14:textId="0C6F5847" w:rsidR="006A2CAC" w:rsidRPr="00AD4BCC" w:rsidRDefault="006A2CAC" w:rsidP="00AD4BCC">
      <w:pPr>
        <w:pStyle w:val="Heading3"/>
        <w:numPr>
          <w:ilvl w:val="1"/>
          <w:numId w:val="30"/>
        </w:numPr>
        <w:rPr>
          <w:highlight w:val="yellow"/>
        </w:rPr>
      </w:pPr>
      <w:r w:rsidRPr="00AD4BCC">
        <w:rPr>
          <w:highlight w:val="yellow"/>
        </w:rPr>
        <w:t>Primary Activities</w:t>
      </w:r>
    </w:p>
    <w:p w14:paraId="4070CAC3" w14:textId="0A88AF66" w:rsidR="00840BE5" w:rsidRPr="00AD4BCC" w:rsidRDefault="00840BE5" w:rsidP="00A748A1">
      <w:pPr>
        <w:ind w:firstLine="0"/>
        <w:rPr>
          <w:highlight w:val="yellow"/>
          <w:lang w:val="en-GB"/>
        </w:rPr>
      </w:pPr>
      <w:r w:rsidRPr="00AD4BCC">
        <w:rPr>
          <w:b/>
          <w:bCs/>
          <w:highlight w:val="yellow"/>
          <w:lang w:val="en-GB"/>
        </w:rPr>
        <w:t>Inbound Logistics:</w:t>
      </w:r>
      <w:r w:rsidRPr="00AD4BCC">
        <w:rPr>
          <w:highlight w:val="yellow"/>
          <w:lang w:val="en-GB"/>
        </w:rPr>
        <w:t xml:space="preserve"> This process encompasses the technique of collecting, storing, as well as delivering the inputs that are needed for production</w:t>
      </w:r>
      <w:r w:rsidR="00A748A1" w:rsidRPr="00AD4BCC">
        <w:rPr>
          <w:highlight w:val="yellow"/>
          <w:lang w:val="en-GB"/>
        </w:rPr>
        <w:t xml:space="preserve"> </w:t>
      </w:r>
      <w:r w:rsidR="00A748A1" w:rsidRPr="00AD4BCC">
        <w:rPr>
          <w:rFonts w:cs="Times New Roman"/>
          <w:color w:val="222222"/>
          <w:szCs w:val="24"/>
          <w:highlight w:val="yellow"/>
          <w:shd w:val="clear" w:color="auto" w:fill="FFFFFF"/>
        </w:rPr>
        <w:t>(Hahn, 2020)</w:t>
      </w:r>
      <w:r w:rsidRPr="00AD4BCC">
        <w:rPr>
          <w:highlight w:val="yellow"/>
          <w:lang w:val="en-GB"/>
        </w:rPr>
        <w:t xml:space="preserve">. Shell, inbound logistics come </w:t>
      </w:r>
      <w:r w:rsidR="00AD4BCC">
        <w:rPr>
          <w:highlight w:val="yellow"/>
          <w:lang w:val="en-GB"/>
        </w:rPr>
        <w:t xml:space="preserve">from </w:t>
      </w:r>
      <w:r w:rsidRPr="00AD4BCC">
        <w:rPr>
          <w:highlight w:val="yellow"/>
          <w:lang w:val="en-GB"/>
        </w:rPr>
        <w:t xml:space="preserve">to supply of crude oil and gas by different suppliers from different markets all </w:t>
      </w:r>
      <w:r w:rsidR="00AD4BCC">
        <w:rPr>
          <w:highlight w:val="yellow"/>
          <w:lang w:val="en-GB"/>
        </w:rPr>
        <w:t xml:space="preserve">over </w:t>
      </w:r>
      <w:r w:rsidRPr="00AD4BCC">
        <w:rPr>
          <w:highlight w:val="yellow"/>
          <w:lang w:val="en-GB"/>
        </w:rPr>
        <w:t>the world. Inbound logistics that are efficient scarce for the constant availability of raw materials essential for the company's manufacturing and processing operations.</w:t>
      </w:r>
    </w:p>
    <w:p w14:paraId="4D7E155B" w14:textId="665A5E8E" w:rsidR="00840BE5" w:rsidRPr="00AD4BCC" w:rsidRDefault="00840BE5" w:rsidP="00A748A1">
      <w:pPr>
        <w:ind w:firstLine="0"/>
        <w:rPr>
          <w:rFonts w:cs="Times New Roman"/>
          <w:color w:val="222222"/>
          <w:szCs w:val="24"/>
          <w:highlight w:val="yellow"/>
          <w:shd w:val="clear" w:color="auto" w:fill="FFFFFF"/>
        </w:rPr>
      </w:pPr>
      <w:r w:rsidRPr="00AD4BCC">
        <w:rPr>
          <w:b/>
          <w:bCs/>
          <w:highlight w:val="yellow"/>
          <w:lang w:val="en-GB"/>
        </w:rPr>
        <w:t>Operations:</w:t>
      </w:r>
      <w:r w:rsidRPr="00AD4BCC">
        <w:rPr>
          <w:highlight w:val="yellow"/>
          <w:lang w:val="en-GB"/>
        </w:rPr>
        <w:t xml:space="preserve"> Operations concern the areas which are responsible for the conversion of inputs into finished products or the actual </w:t>
      </w:r>
      <w:r w:rsidR="007D6B8E" w:rsidRPr="00AD4BCC">
        <w:rPr>
          <w:highlight w:val="yellow"/>
          <w:lang w:val="en-GB"/>
        </w:rPr>
        <w:t>labour</w:t>
      </w:r>
      <w:r w:rsidRPr="00AD4BCC">
        <w:rPr>
          <w:highlight w:val="yellow"/>
          <w:lang w:val="en-GB"/>
        </w:rPr>
        <w:t xml:space="preserve"> service</w:t>
      </w:r>
      <w:r w:rsidR="00FB5892" w:rsidRPr="00AD4BCC">
        <w:rPr>
          <w:highlight w:val="yellow"/>
          <w:lang w:val="en-GB"/>
        </w:rPr>
        <w:t xml:space="preserve"> </w:t>
      </w:r>
      <w:r w:rsidR="00A748A1" w:rsidRPr="00AD4BCC">
        <w:rPr>
          <w:rFonts w:cs="Times New Roman"/>
          <w:color w:val="222222"/>
          <w:szCs w:val="24"/>
          <w:highlight w:val="yellow"/>
          <w:shd w:val="clear" w:color="auto" w:fill="FFFFFF"/>
        </w:rPr>
        <w:t>(</w:t>
      </w:r>
      <w:proofErr w:type="spellStart"/>
      <w:r w:rsidR="00A748A1" w:rsidRPr="00AD4BCC">
        <w:rPr>
          <w:rFonts w:cs="Times New Roman"/>
          <w:color w:val="222222"/>
          <w:szCs w:val="24"/>
          <w:highlight w:val="yellow"/>
          <w:shd w:val="clear" w:color="auto" w:fill="FFFFFF"/>
        </w:rPr>
        <w:t>Bienhaus</w:t>
      </w:r>
      <w:proofErr w:type="spellEnd"/>
      <w:r w:rsidR="00A748A1" w:rsidRPr="00AD4BCC">
        <w:rPr>
          <w:rFonts w:cs="Times New Roman"/>
          <w:color w:val="222222"/>
          <w:szCs w:val="24"/>
          <w:highlight w:val="yellow"/>
          <w:shd w:val="clear" w:color="auto" w:fill="FFFFFF"/>
        </w:rPr>
        <w:t xml:space="preserve"> and </w:t>
      </w:r>
      <w:proofErr w:type="spellStart"/>
      <w:r w:rsidR="00A748A1" w:rsidRPr="00AD4BCC">
        <w:rPr>
          <w:rFonts w:cs="Times New Roman"/>
          <w:color w:val="222222"/>
          <w:szCs w:val="24"/>
          <w:highlight w:val="yellow"/>
          <w:shd w:val="clear" w:color="auto" w:fill="FFFFFF"/>
        </w:rPr>
        <w:t>Haddud</w:t>
      </w:r>
      <w:proofErr w:type="spellEnd"/>
      <w:r w:rsidR="00A748A1" w:rsidRPr="00AD4BCC">
        <w:rPr>
          <w:rFonts w:cs="Times New Roman"/>
          <w:color w:val="222222"/>
          <w:szCs w:val="24"/>
          <w:highlight w:val="yellow"/>
          <w:shd w:val="clear" w:color="auto" w:fill="FFFFFF"/>
        </w:rPr>
        <w:t>, 2018)</w:t>
      </w:r>
      <w:r w:rsidRPr="00AD4BCC">
        <w:rPr>
          <w:highlight w:val="yellow"/>
          <w:lang w:val="en-GB"/>
        </w:rPr>
        <w:t>. In Shell</w:t>
      </w:r>
      <w:r w:rsidR="00AD4BCC">
        <w:rPr>
          <w:highlight w:val="yellow"/>
          <w:lang w:val="en-GB"/>
        </w:rPr>
        <w:t>,</w:t>
      </w:r>
      <w:r w:rsidRPr="00AD4BCC">
        <w:rPr>
          <w:highlight w:val="yellow"/>
          <w:lang w:val="en-GB"/>
        </w:rPr>
        <w:t xml:space="preserve"> the role includes processing crude oil into several petroleum products such as gasoline, diesel and lubricants </w:t>
      </w:r>
      <w:r w:rsidR="00A748A1" w:rsidRPr="00AD4BCC">
        <w:rPr>
          <w:highlight w:val="yellow"/>
          <w:lang w:val="en-GB"/>
        </w:rPr>
        <w:t>and</w:t>
      </w:r>
      <w:r w:rsidRPr="00AD4BCC">
        <w:rPr>
          <w:highlight w:val="yellow"/>
          <w:lang w:val="en-GB"/>
        </w:rPr>
        <w:t xml:space="preserve"> processing the natural gas into liquefied natural gas (LNG). Cost savings, product consistency, and delivery accuracy are achieved by the way Shell operates; these in turn bring value in terms of contributing to better business performance.</w:t>
      </w:r>
    </w:p>
    <w:p w14:paraId="795FC19D" w14:textId="5581F124" w:rsidR="00840BE5" w:rsidRPr="00AD4BCC" w:rsidRDefault="00840BE5" w:rsidP="00A748A1">
      <w:pPr>
        <w:ind w:firstLine="0"/>
        <w:rPr>
          <w:rFonts w:cs="Times New Roman"/>
          <w:color w:val="222222"/>
          <w:szCs w:val="24"/>
          <w:highlight w:val="yellow"/>
          <w:shd w:val="clear" w:color="auto" w:fill="FFFFFF"/>
        </w:rPr>
      </w:pPr>
      <w:r w:rsidRPr="00AD4BCC">
        <w:rPr>
          <w:b/>
          <w:bCs/>
          <w:highlight w:val="yellow"/>
          <w:lang w:val="en-GB"/>
        </w:rPr>
        <w:t>Outbound Logistics:</w:t>
      </w:r>
      <w:r w:rsidRPr="00AD4BCC">
        <w:rPr>
          <w:highlight w:val="yellow"/>
          <w:lang w:val="en-GB"/>
        </w:rPr>
        <w:t xml:space="preserve"> Distribution and delivery of the processed products to the customers are the core of outbound logistics</w:t>
      </w:r>
      <w:r w:rsidR="00FB5892" w:rsidRPr="00AD4BCC">
        <w:rPr>
          <w:highlight w:val="yellow"/>
          <w:lang w:val="en-GB"/>
        </w:rPr>
        <w:t xml:space="preserve"> </w:t>
      </w:r>
      <w:r w:rsidR="00A748A1" w:rsidRPr="00AD4BCC">
        <w:rPr>
          <w:rFonts w:cs="Times New Roman"/>
          <w:color w:val="222222"/>
          <w:szCs w:val="24"/>
          <w:highlight w:val="yellow"/>
          <w:shd w:val="clear" w:color="auto" w:fill="FFFFFF"/>
        </w:rPr>
        <w:t>(Hugos, 2024)</w:t>
      </w:r>
      <w:r w:rsidRPr="00AD4BCC">
        <w:rPr>
          <w:highlight w:val="yellow"/>
          <w:lang w:val="en-GB"/>
        </w:rPr>
        <w:t xml:space="preserve">. Shells, outbound logistics involves the process of </w:t>
      </w:r>
      <w:r w:rsidRPr="00AD4BCC">
        <w:rPr>
          <w:highlight w:val="yellow"/>
          <w:lang w:val="en-GB"/>
        </w:rPr>
        <w:lastRenderedPageBreak/>
        <w:t xml:space="preserve">transporting refined petroleum products to retail stations, commercial distributors, and other channels outside of the company worldwide. Efficient process of outbound logistics gives timely product delivery, </w:t>
      </w:r>
      <w:r w:rsidR="00AD4BCC" w:rsidRPr="00AD4BCC">
        <w:rPr>
          <w:highlight w:val="yellow"/>
          <w:lang w:val="en-GB"/>
        </w:rPr>
        <w:t xml:space="preserve">and </w:t>
      </w:r>
      <w:r w:rsidRPr="00AD4BCC">
        <w:rPr>
          <w:highlight w:val="yellow"/>
          <w:lang w:val="en-GB"/>
        </w:rPr>
        <w:t>customer satisfaction and accomplish</w:t>
      </w:r>
      <w:r w:rsidR="00AD4BCC" w:rsidRPr="00AD4BCC">
        <w:rPr>
          <w:highlight w:val="yellow"/>
          <w:lang w:val="en-GB"/>
        </w:rPr>
        <w:t>es</w:t>
      </w:r>
      <w:r w:rsidRPr="00AD4BCC">
        <w:rPr>
          <w:highlight w:val="yellow"/>
          <w:lang w:val="en-GB"/>
        </w:rPr>
        <w:t xml:space="preserve"> market access.</w:t>
      </w:r>
    </w:p>
    <w:p w14:paraId="48AB007E" w14:textId="750CCBFD" w:rsidR="00840BE5" w:rsidRPr="00AD4BCC" w:rsidRDefault="00840BE5" w:rsidP="00A748A1">
      <w:pPr>
        <w:ind w:firstLine="0"/>
        <w:rPr>
          <w:rFonts w:cs="Times New Roman"/>
          <w:color w:val="222222"/>
          <w:szCs w:val="24"/>
          <w:highlight w:val="yellow"/>
          <w:shd w:val="clear" w:color="auto" w:fill="FFFFFF"/>
        </w:rPr>
      </w:pPr>
      <w:r w:rsidRPr="00AD4BCC">
        <w:rPr>
          <w:b/>
          <w:bCs/>
          <w:highlight w:val="yellow"/>
          <w:lang w:val="en-GB"/>
        </w:rPr>
        <w:t>Marketing and Sales:</w:t>
      </w:r>
      <w:r w:rsidRPr="00AD4BCC">
        <w:rPr>
          <w:highlight w:val="yellow"/>
          <w:lang w:val="en-GB"/>
        </w:rPr>
        <w:t xml:space="preserve"> There are marketing and sales operations that are aimed at not only promoting but also selling the company's products</w:t>
      </w:r>
      <w:r w:rsidR="00FB5892" w:rsidRPr="00AD4BCC">
        <w:rPr>
          <w:highlight w:val="yellow"/>
          <w:lang w:val="en-GB"/>
        </w:rPr>
        <w:t xml:space="preserve"> </w:t>
      </w:r>
      <w:r w:rsidR="00A748A1" w:rsidRPr="00AD4BCC">
        <w:rPr>
          <w:rFonts w:cs="Times New Roman"/>
          <w:color w:val="222222"/>
          <w:szCs w:val="24"/>
          <w:highlight w:val="yellow"/>
          <w:shd w:val="clear" w:color="auto" w:fill="FFFFFF"/>
        </w:rPr>
        <w:t>(Alfaro et al., 2019)</w:t>
      </w:r>
      <w:r w:rsidR="00FB5892" w:rsidRPr="00AD4BCC">
        <w:rPr>
          <w:highlight w:val="yellow"/>
          <w:lang w:val="en-GB"/>
        </w:rPr>
        <w:t xml:space="preserve">. </w:t>
      </w:r>
      <w:r w:rsidRPr="00AD4BCC">
        <w:rPr>
          <w:highlight w:val="yellow"/>
          <w:lang w:val="en-GB"/>
        </w:rPr>
        <w:t xml:space="preserve">The Shell Company presents different kinds of marketing techniques for building up brand awareness, attracting customers, and </w:t>
      </w:r>
      <w:r w:rsidR="00AD4BCC" w:rsidRPr="00AD4BCC">
        <w:rPr>
          <w:highlight w:val="yellow"/>
          <w:lang w:val="en-GB"/>
        </w:rPr>
        <w:t>distinguishing</w:t>
      </w:r>
      <w:r w:rsidRPr="00AD4BCC">
        <w:rPr>
          <w:highlight w:val="yellow"/>
          <w:lang w:val="en-GB"/>
        </w:rPr>
        <w:t xml:space="preserve"> one`s products from rival brands. Sales targets revolve around assessing customer needs, offering customi</w:t>
      </w:r>
      <w:r w:rsidR="0040603E" w:rsidRPr="00AD4BCC">
        <w:rPr>
          <w:highlight w:val="yellow"/>
          <w:lang w:val="en-GB"/>
        </w:rPr>
        <w:t>s</w:t>
      </w:r>
      <w:r w:rsidRPr="00AD4BCC">
        <w:rPr>
          <w:highlight w:val="yellow"/>
          <w:lang w:val="en-GB"/>
        </w:rPr>
        <w:t xml:space="preserve">ed solutions, and building lasting connections. Get full access to our platform to benefit from our writing prompts, video transcripts, and webinars for free. Successful marketing efforts and selling </w:t>
      </w:r>
      <w:r w:rsidR="0040603E" w:rsidRPr="00AD4BCC">
        <w:rPr>
          <w:highlight w:val="yellow"/>
          <w:lang w:val="en-GB"/>
        </w:rPr>
        <w:t>are</w:t>
      </w:r>
      <w:r w:rsidRPr="00AD4BCC">
        <w:rPr>
          <w:highlight w:val="yellow"/>
          <w:lang w:val="en-GB"/>
        </w:rPr>
        <w:t xml:space="preserve"> ways for Shell to increase the company's market share (presence) and influence on competition.</w:t>
      </w:r>
    </w:p>
    <w:p w14:paraId="75045C96" w14:textId="6116E024" w:rsidR="006A2CAC" w:rsidRPr="00AD4BCC" w:rsidRDefault="006A2CAC" w:rsidP="00AD4BCC">
      <w:pPr>
        <w:pStyle w:val="Heading3"/>
        <w:numPr>
          <w:ilvl w:val="1"/>
          <w:numId w:val="30"/>
        </w:numPr>
        <w:rPr>
          <w:highlight w:val="yellow"/>
        </w:rPr>
      </w:pPr>
      <w:r w:rsidRPr="00AD4BCC">
        <w:rPr>
          <w:highlight w:val="yellow"/>
        </w:rPr>
        <w:t>Secondary Activities</w:t>
      </w:r>
    </w:p>
    <w:p w14:paraId="3CC25173" w14:textId="548B3E07" w:rsidR="0040603E" w:rsidRPr="00AD4BCC" w:rsidRDefault="0040603E" w:rsidP="00A748A1">
      <w:pPr>
        <w:ind w:firstLine="0"/>
        <w:rPr>
          <w:rFonts w:cs="Times New Roman"/>
          <w:color w:val="222222"/>
          <w:szCs w:val="24"/>
          <w:highlight w:val="yellow"/>
          <w:shd w:val="clear" w:color="auto" w:fill="FFFFFF"/>
        </w:rPr>
      </w:pPr>
      <w:r w:rsidRPr="00AD4BCC">
        <w:rPr>
          <w:b/>
          <w:bCs/>
          <w:highlight w:val="yellow"/>
          <w:lang w:val="en-GB"/>
        </w:rPr>
        <w:t>Procurement:</w:t>
      </w:r>
      <w:r w:rsidRPr="00AD4BCC">
        <w:rPr>
          <w:highlight w:val="yellow"/>
          <w:lang w:val="en-GB"/>
        </w:rPr>
        <w:t xml:space="preserve"> Procurement practices include searching and receiving such goods and services as the company needs to operate its </w:t>
      </w:r>
      <w:r w:rsidR="007D6B8E" w:rsidRPr="00AD4BCC">
        <w:rPr>
          <w:highlight w:val="yellow"/>
          <w:lang w:val="en-GB"/>
        </w:rPr>
        <w:t>business</w:t>
      </w:r>
      <w:r w:rsidR="007D6B8E" w:rsidRPr="00AD4BCC">
        <w:rPr>
          <w:rFonts w:cs="Times New Roman"/>
          <w:color w:val="222222"/>
          <w:szCs w:val="24"/>
          <w:highlight w:val="yellow"/>
          <w:shd w:val="clear" w:color="auto" w:fill="FFFFFF"/>
        </w:rPr>
        <w:t xml:space="preserve"> (</w:t>
      </w:r>
      <w:r w:rsidR="00A748A1" w:rsidRPr="00AD4BCC">
        <w:rPr>
          <w:rFonts w:cs="Times New Roman"/>
          <w:color w:val="222222"/>
          <w:szCs w:val="24"/>
          <w:highlight w:val="yellow"/>
          <w:shd w:val="clear" w:color="auto" w:fill="FFFFFF"/>
        </w:rPr>
        <w:t>Stevenson and Cole, 2018)</w:t>
      </w:r>
      <w:r w:rsidRPr="00AD4BCC">
        <w:rPr>
          <w:highlight w:val="yellow"/>
          <w:lang w:val="en-GB"/>
        </w:rPr>
        <w:t>. For Shell, procurement covers mainly all the procurement activities that involve purchasing tools, technologies, and services essential for exploration, production, piping, and distribution. Efficient procurement methods make the difference in being cost</w:t>
      </w:r>
      <w:r w:rsidR="00AD4BCC" w:rsidRPr="00AD4BCC">
        <w:rPr>
          <w:highlight w:val="yellow"/>
          <w:lang w:val="en-GB"/>
        </w:rPr>
        <w:t>-</w:t>
      </w:r>
      <w:r w:rsidRPr="00AD4BCC">
        <w:rPr>
          <w:highlight w:val="yellow"/>
          <w:lang w:val="en-GB"/>
        </w:rPr>
        <w:t xml:space="preserve">effective </w:t>
      </w:r>
      <w:r w:rsidR="00AD4BCC" w:rsidRPr="00AD4BCC">
        <w:rPr>
          <w:highlight w:val="yellow"/>
          <w:lang w:val="en-GB"/>
        </w:rPr>
        <w:t xml:space="preserve">and </w:t>
      </w:r>
      <w:r w:rsidRPr="00AD4BCC">
        <w:rPr>
          <w:highlight w:val="yellow"/>
          <w:lang w:val="en-GB"/>
        </w:rPr>
        <w:t xml:space="preserve">in productive relationships with the supplier as well </w:t>
      </w:r>
      <w:r w:rsidR="00AD4BCC" w:rsidRPr="00AD4BCC">
        <w:rPr>
          <w:highlight w:val="yellow"/>
          <w:lang w:val="en-GB"/>
        </w:rPr>
        <w:t>as</w:t>
      </w:r>
      <w:r w:rsidRPr="00AD4BCC">
        <w:rPr>
          <w:highlight w:val="yellow"/>
          <w:lang w:val="en-GB"/>
        </w:rPr>
        <w:t xml:space="preserve"> the quality of the product.</w:t>
      </w:r>
    </w:p>
    <w:p w14:paraId="0640F10E" w14:textId="6F34DF78" w:rsidR="0040603E" w:rsidRPr="00AD4BCC" w:rsidRDefault="0040603E" w:rsidP="00A748A1">
      <w:pPr>
        <w:ind w:firstLine="0"/>
        <w:rPr>
          <w:rFonts w:cs="Times New Roman"/>
          <w:color w:val="222222"/>
          <w:szCs w:val="24"/>
          <w:highlight w:val="yellow"/>
          <w:shd w:val="clear" w:color="auto" w:fill="FFFFFF"/>
        </w:rPr>
      </w:pPr>
      <w:r w:rsidRPr="00AD4BCC">
        <w:rPr>
          <w:b/>
          <w:bCs/>
          <w:highlight w:val="yellow"/>
          <w:lang w:val="en-GB"/>
        </w:rPr>
        <w:t>Technology Development:</w:t>
      </w:r>
      <w:r w:rsidRPr="00AD4BCC">
        <w:rPr>
          <w:highlight w:val="yellow"/>
          <w:lang w:val="en-GB"/>
        </w:rPr>
        <w:t xml:space="preserve"> Technological development means the diligent efforts that are </w:t>
      </w:r>
      <w:r w:rsidR="00AD4BCC" w:rsidRPr="00AD4BCC">
        <w:rPr>
          <w:highlight w:val="yellow"/>
          <w:lang w:val="en-GB"/>
        </w:rPr>
        <w:t>mad</w:t>
      </w:r>
      <w:r w:rsidRPr="00AD4BCC">
        <w:rPr>
          <w:highlight w:val="yellow"/>
          <w:lang w:val="en-GB"/>
        </w:rPr>
        <w:t>e to keep innovating and refining products, processes, and systems</w:t>
      </w:r>
      <w:r w:rsidR="00A748A1" w:rsidRPr="00AD4BCC">
        <w:rPr>
          <w:highlight w:val="yellow"/>
          <w:lang w:val="en-GB"/>
        </w:rPr>
        <w:t xml:space="preserve"> </w:t>
      </w:r>
      <w:r w:rsidR="00A748A1" w:rsidRPr="00AD4BCC">
        <w:rPr>
          <w:rFonts w:cs="Times New Roman"/>
          <w:color w:val="222222"/>
          <w:szCs w:val="24"/>
          <w:highlight w:val="yellow"/>
          <w:shd w:val="clear" w:color="auto" w:fill="FFFFFF"/>
        </w:rPr>
        <w:t>(Chang and Chen, 2020)</w:t>
      </w:r>
      <w:r w:rsidRPr="00AD4BCC">
        <w:rPr>
          <w:highlight w:val="yellow"/>
          <w:lang w:val="en-GB"/>
        </w:rPr>
        <w:t>. Shell activities in technology development for the sake of improving exploration and finally refining procedures as well as for green energy.</w:t>
      </w:r>
      <w:r w:rsidR="004660D3" w:rsidRPr="00AD4BCC">
        <w:rPr>
          <w:highlight w:val="yellow"/>
          <w:lang w:val="en-GB"/>
        </w:rPr>
        <w:t xml:space="preserve"> In addition to help</w:t>
      </w:r>
      <w:r w:rsidR="00AD4BCC" w:rsidRPr="00AD4BCC">
        <w:rPr>
          <w:highlight w:val="yellow"/>
          <w:lang w:val="en-GB"/>
        </w:rPr>
        <w:t>ing</w:t>
      </w:r>
      <w:r w:rsidR="004660D3" w:rsidRPr="00AD4BCC">
        <w:rPr>
          <w:highlight w:val="yellow"/>
          <w:lang w:val="en-GB"/>
        </w:rPr>
        <w:t xml:space="preserve"> Shell maintain its leadership by using technologies, these advanced technologies also reduce the amount of resources and time spent on production and introduce new products that </w:t>
      </w:r>
      <w:r w:rsidR="00314D5F" w:rsidRPr="00AD4BCC">
        <w:rPr>
          <w:highlight w:val="yellow"/>
          <w:lang w:val="en-GB"/>
        </w:rPr>
        <w:t>align with market trends.</w:t>
      </w:r>
    </w:p>
    <w:p w14:paraId="125FA173" w14:textId="2962A2C3" w:rsidR="0040603E" w:rsidRPr="00A748A1" w:rsidRDefault="0040603E" w:rsidP="00A748A1">
      <w:pPr>
        <w:ind w:firstLine="0"/>
        <w:rPr>
          <w:rFonts w:cs="Times New Roman"/>
          <w:color w:val="222222"/>
          <w:szCs w:val="24"/>
          <w:shd w:val="clear" w:color="auto" w:fill="FFFFFF"/>
        </w:rPr>
      </w:pPr>
      <w:r w:rsidRPr="00AD4BCC">
        <w:rPr>
          <w:b/>
          <w:bCs/>
          <w:highlight w:val="yellow"/>
          <w:lang w:val="en-GB"/>
        </w:rPr>
        <w:t>Human Resource Management:</w:t>
      </w:r>
      <w:r w:rsidRPr="00AD4BCC">
        <w:rPr>
          <w:highlight w:val="yellow"/>
          <w:lang w:val="en-GB"/>
        </w:rPr>
        <w:t xml:space="preserve"> Human resources management is a process of hiring, training, and keeping competent personnel to help </w:t>
      </w:r>
      <w:r w:rsidR="00AD4BCC" w:rsidRPr="00AD4BCC">
        <w:rPr>
          <w:highlight w:val="yellow"/>
          <w:lang w:val="en-GB"/>
        </w:rPr>
        <w:t xml:space="preserve">the </w:t>
      </w:r>
      <w:r w:rsidRPr="00AD4BCC">
        <w:rPr>
          <w:highlight w:val="yellow"/>
          <w:lang w:val="en-GB"/>
        </w:rPr>
        <w:t>organisation achieve its goals</w:t>
      </w:r>
      <w:r w:rsidR="00FB5892" w:rsidRPr="00AD4BCC">
        <w:rPr>
          <w:highlight w:val="yellow"/>
          <w:lang w:val="en-GB"/>
        </w:rPr>
        <w:t xml:space="preserve"> </w:t>
      </w:r>
      <w:r w:rsidR="00A748A1" w:rsidRPr="00AD4BCC">
        <w:rPr>
          <w:rFonts w:cs="Times New Roman"/>
          <w:color w:val="222222"/>
          <w:szCs w:val="24"/>
          <w:highlight w:val="yellow"/>
          <w:shd w:val="clear" w:color="auto" w:fill="FFFFFF"/>
        </w:rPr>
        <w:t>(</w:t>
      </w:r>
      <w:proofErr w:type="spellStart"/>
      <w:r w:rsidR="00A748A1" w:rsidRPr="00AD4BCC">
        <w:rPr>
          <w:rFonts w:cs="Times New Roman"/>
          <w:color w:val="222222"/>
          <w:szCs w:val="24"/>
          <w:highlight w:val="yellow"/>
          <w:shd w:val="clear" w:color="auto" w:fill="FFFFFF"/>
        </w:rPr>
        <w:t>Gereffi</w:t>
      </w:r>
      <w:proofErr w:type="spellEnd"/>
      <w:r w:rsidR="00A748A1" w:rsidRPr="00AD4BCC">
        <w:rPr>
          <w:rFonts w:cs="Times New Roman"/>
          <w:color w:val="222222"/>
          <w:szCs w:val="24"/>
          <w:highlight w:val="yellow"/>
          <w:shd w:val="clear" w:color="auto" w:fill="FFFFFF"/>
        </w:rPr>
        <w:t>, 2018)</w:t>
      </w:r>
      <w:r w:rsidRPr="00AD4BCC">
        <w:rPr>
          <w:highlight w:val="yellow"/>
          <w:lang w:val="en-GB"/>
        </w:rPr>
        <w:t>. Shell formulates a talent acquisition practice with leadership and worker development to assemble the right personnel. Compared to employees, professional workers help the company attain operating effectiveness, productivity, and capability to change and le</w:t>
      </w:r>
      <w:r w:rsidR="00AD4BCC" w:rsidRPr="00AD4BCC">
        <w:rPr>
          <w:highlight w:val="yellow"/>
          <w:lang w:val="en-GB"/>
        </w:rPr>
        <w:t>a</w:t>
      </w:r>
      <w:r w:rsidRPr="00AD4BCC">
        <w:rPr>
          <w:highlight w:val="yellow"/>
          <w:lang w:val="en-GB"/>
        </w:rPr>
        <w:t>d to improved competitive advantage.</w:t>
      </w:r>
    </w:p>
    <w:p w14:paraId="0CDBE6EA" w14:textId="28C9602A" w:rsidR="00F63ADC" w:rsidRPr="00FD5AD5" w:rsidRDefault="00F63ADC" w:rsidP="00FB5892">
      <w:pPr>
        <w:pStyle w:val="Heading2"/>
        <w:rPr>
          <w:rFonts w:eastAsia="Times New Roman"/>
        </w:rPr>
      </w:pPr>
      <w:bookmarkStart w:id="7" w:name="_Toc160574337"/>
      <w:r w:rsidRPr="00FD5AD5">
        <w:rPr>
          <w:rFonts w:eastAsia="Times New Roman"/>
        </w:rPr>
        <w:lastRenderedPageBreak/>
        <w:t>Analysi</w:t>
      </w:r>
      <w:r w:rsidR="00FD5AD5" w:rsidRPr="00FD5AD5">
        <w:rPr>
          <w:rFonts w:eastAsia="Times New Roman"/>
        </w:rPr>
        <w:t>s of Shell Plc</w:t>
      </w:r>
      <w:r w:rsidRPr="00FD5AD5">
        <w:rPr>
          <w:rFonts w:eastAsia="Times New Roman"/>
        </w:rPr>
        <w:t>'s Resources and Capabilities with Current Strategies</w:t>
      </w:r>
      <w:bookmarkEnd w:id="7"/>
    </w:p>
    <w:p w14:paraId="7E05CDF7" w14:textId="76654A35" w:rsidR="00C65BD5" w:rsidRPr="00FD5AD5" w:rsidRDefault="00FD5AD5" w:rsidP="00974612">
      <w:pPr>
        <w:rPr>
          <w:rFonts w:eastAsia="Times New Roman" w:cs="Times New Roman"/>
          <w:szCs w:val="24"/>
          <w:lang w:val="en-GB"/>
        </w:rPr>
      </w:pPr>
      <w:r w:rsidRPr="00FD5AD5">
        <w:rPr>
          <w:rFonts w:eastAsia="Times New Roman" w:cs="Times New Roman"/>
          <w:szCs w:val="24"/>
          <w:lang w:val="en-GB"/>
        </w:rPr>
        <w:t>Some of Shell Plc</w:t>
      </w:r>
      <w:r w:rsidR="00F63ADC" w:rsidRPr="00FD5AD5">
        <w:rPr>
          <w:rFonts w:eastAsia="Times New Roman" w:cs="Times New Roman"/>
          <w:szCs w:val="24"/>
          <w:lang w:val="en-GB"/>
        </w:rPr>
        <w:t xml:space="preserve">'s current business strategies are the Integrated Gas Strategy and the Powering Progress Strategy. </w:t>
      </w:r>
      <w:r w:rsidR="001444E9" w:rsidRPr="00FD5AD5">
        <w:rPr>
          <w:rFonts w:eastAsia="Times New Roman" w:cs="Times New Roman"/>
          <w:szCs w:val="24"/>
          <w:lang w:val="en-GB"/>
        </w:rPr>
        <w:t xml:space="preserve">These strategies are in line with how the company has strategically aligned its resources and capabilities. The company is present in more than 70 countries around the world helps it carry out its Integrated Gas Strategy by giving it access to many markets and resources for finding, producing, and delivering natural gas (Sayah et al., 2020). Shell is also committed to creating new technologies that help both goals by making its processes more efficient and better for the environment. </w:t>
      </w:r>
      <w:r w:rsidR="00974612" w:rsidRPr="00FD5AD5">
        <w:rPr>
          <w:rFonts w:eastAsia="Times New Roman" w:cs="Times New Roman"/>
          <w:szCs w:val="24"/>
          <w:lang w:val="en-GB"/>
        </w:rPr>
        <w:t xml:space="preserve">Shell is a leader in finding new green energy sources because it </w:t>
      </w:r>
      <w:r w:rsidR="00135E2F">
        <w:rPr>
          <w:rFonts w:eastAsia="Times New Roman" w:cs="Times New Roman"/>
          <w:szCs w:val="24"/>
          <w:lang w:val="en-GB"/>
        </w:rPr>
        <w:t>invest</w:t>
      </w:r>
      <w:r w:rsidR="00AD4BCC">
        <w:rPr>
          <w:rFonts w:eastAsia="Times New Roman" w:cs="Times New Roman"/>
          <w:szCs w:val="24"/>
          <w:lang w:val="en-GB"/>
        </w:rPr>
        <w:t>s</w:t>
      </w:r>
      <w:r w:rsidR="00974612" w:rsidRPr="00FD5AD5">
        <w:rPr>
          <w:rFonts w:eastAsia="Times New Roman" w:cs="Times New Roman"/>
          <w:szCs w:val="24"/>
          <w:lang w:val="en-GB"/>
        </w:rPr>
        <w:t xml:space="preserve"> </w:t>
      </w:r>
      <w:r w:rsidR="00F905A2">
        <w:rPr>
          <w:rFonts w:eastAsia="Times New Roman" w:cs="Times New Roman"/>
          <w:szCs w:val="24"/>
          <w:lang w:val="en-GB"/>
        </w:rPr>
        <w:t>i</w:t>
      </w:r>
      <w:r w:rsidR="00974612" w:rsidRPr="00FD5AD5">
        <w:rPr>
          <w:rFonts w:eastAsia="Times New Roman" w:cs="Times New Roman"/>
          <w:szCs w:val="24"/>
          <w:lang w:val="en-GB"/>
        </w:rPr>
        <w:t xml:space="preserve">n research and development. By 2050, the company wants to have net-zero pollution, which is in line with its Powering Progress Strategy. Because it can handle </w:t>
      </w:r>
      <w:r w:rsidR="00135E2F" w:rsidRPr="00FD5AD5">
        <w:rPr>
          <w:rFonts w:eastAsia="Times New Roman" w:cs="Times New Roman"/>
          <w:szCs w:val="24"/>
          <w:lang w:val="en-GB"/>
        </w:rPr>
        <w:t>a</w:t>
      </w:r>
      <w:r w:rsidR="00135E2F">
        <w:rPr>
          <w:rFonts w:eastAsia="Times New Roman" w:cs="Times New Roman"/>
          <w:szCs w:val="24"/>
          <w:lang w:val="en-GB"/>
        </w:rPr>
        <w:t xml:space="preserve">n </w:t>
      </w:r>
      <w:r w:rsidR="00135E2F" w:rsidRPr="00FD5AD5">
        <w:rPr>
          <w:rFonts w:eastAsia="Times New Roman" w:cs="Times New Roman"/>
          <w:szCs w:val="24"/>
          <w:lang w:val="en-GB"/>
        </w:rPr>
        <w:t>integrated</w:t>
      </w:r>
      <w:r w:rsidR="00974612" w:rsidRPr="00FD5AD5">
        <w:rPr>
          <w:rFonts w:eastAsia="Times New Roman" w:cs="Times New Roman"/>
          <w:szCs w:val="24"/>
          <w:lang w:val="en-GB"/>
        </w:rPr>
        <w:t xml:space="preserve"> value chain, Shell is also more competitive and makes more money when its plans come true. Shell has control over different parts of the energy supply chain, from finding oil and gas to processing it and selling it to consumers. It gets value along the value chain, makes </w:t>
      </w:r>
      <w:r w:rsidR="00135E2F">
        <w:rPr>
          <w:rFonts w:eastAsia="Times New Roman" w:cs="Times New Roman"/>
          <w:szCs w:val="24"/>
          <w:lang w:val="en-GB"/>
        </w:rPr>
        <w:t xml:space="preserve">effective </w:t>
      </w:r>
      <w:r w:rsidR="00974612" w:rsidRPr="00FD5AD5">
        <w:rPr>
          <w:rFonts w:eastAsia="Times New Roman" w:cs="Times New Roman"/>
          <w:szCs w:val="24"/>
          <w:lang w:val="en-GB"/>
        </w:rPr>
        <w:t>use of its resources, and boosts business benefits this way. Because its resources and skills are aligned, Shell PLC is ready to face challenges in the market, seize growth chances, and reach its strategic goals.</w:t>
      </w:r>
    </w:p>
    <w:p w14:paraId="50AC44E5" w14:textId="0AD2732D" w:rsidR="00C1051F" w:rsidRPr="00FD5AD5" w:rsidRDefault="00C1051F" w:rsidP="00AD4BCC">
      <w:pPr>
        <w:pStyle w:val="Heading3"/>
        <w:numPr>
          <w:ilvl w:val="1"/>
          <w:numId w:val="31"/>
        </w:numPr>
      </w:pPr>
      <w:bookmarkStart w:id="8" w:name="_Toc160574338"/>
      <w:r w:rsidRPr="00FD5AD5">
        <w:t>Implementation of Strategies</w:t>
      </w:r>
      <w:bookmarkEnd w:id="8"/>
      <w:r w:rsidRPr="00FD5AD5">
        <w:t xml:space="preserve"> </w:t>
      </w:r>
    </w:p>
    <w:p w14:paraId="38E6F208" w14:textId="00243D44" w:rsidR="00974612" w:rsidRPr="00FD5AD5" w:rsidRDefault="00015DFA" w:rsidP="00974612">
      <w:pPr>
        <w:rPr>
          <w:rFonts w:eastAsia="Times New Roman" w:cs="Times New Roman"/>
          <w:szCs w:val="24"/>
          <w:lang w:val="en-GB"/>
        </w:rPr>
      </w:pPr>
      <w:r w:rsidRPr="00FD5AD5">
        <w:rPr>
          <w:rFonts w:eastAsia="Times New Roman" w:cs="Times New Roman"/>
          <w:szCs w:val="24"/>
          <w:lang w:val="en-GB"/>
        </w:rPr>
        <w:t xml:space="preserve">Shell PLC has demonstrated notable success in implementing its Integrated Gas Strategy and Powering Progress Strategy, positioning itself as a leader in the global energy industry while creating competitive advantages over rivals. </w:t>
      </w:r>
      <w:r w:rsidR="00974612" w:rsidRPr="00FD5AD5">
        <w:rPr>
          <w:rFonts w:eastAsia="Times New Roman" w:cs="Times New Roman"/>
          <w:szCs w:val="24"/>
          <w:lang w:val="en-GB"/>
        </w:rPr>
        <w:t>According to Shell (2024), its Integrated Gas Strategy aims to get value from all parts of the natural gas value chain. It uses its network around the world and</w:t>
      </w:r>
      <w:r w:rsidR="00A67B29" w:rsidRPr="00FD5AD5">
        <w:rPr>
          <w:rFonts w:eastAsia="Times New Roman" w:cs="Times New Roman"/>
          <w:szCs w:val="24"/>
          <w:lang w:val="en-GB"/>
        </w:rPr>
        <w:t xml:space="preserve"> invests </w:t>
      </w:r>
      <w:r w:rsidR="00974612" w:rsidRPr="00FD5AD5">
        <w:rPr>
          <w:rFonts w:eastAsia="Times New Roman" w:cs="Times New Roman"/>
          <w:szCs w:val="24"/>
          <w:lang w:val="en-GB"/>
        </w:rPr>
        <w:t xml:space="preserve">in LNG projects to do this. In Australia, Canada, Qatar, and other places around the world, Shell has </w:t>
      </w:r>
      <w:r w:rsidR="00A67B29" w:rsidRPr="00FD5AD5">
        <w:rPr>
          <w:rFonts w:eastAsia="Times New Roman" w:cs="Times New Roman"/>
          <w:szCs w:val="24"/>
          <w:lang w:val="en-GB"/>
        </w:rPr>
        <w:t>invest</w:t>
      </w:r>
      <w:r w:rsidR="00FD5AD5" w:rsidRPr="00FD5AD5">
        <w:rPr>
          <w:rFonts w:eastAsia="Times New Roman" w:cs="Times New Roman"/>
          <w:szCs w:val="24"/>
          <w:lang w:val="en-GB"/>
        </w:rPr>
        <w:t>ed</w:t>
      </w:r>
      <w:r w:rsidR="00A67B29" w:rsidRPr="00FD5AD5">
        <w:rPr>
          <w:rFonts w:eastAsia="Times New Roman" w:cs="Times New Roman"/>
          <w:szCs w:val="24"/>
          <w:lang w:val="en-GB"/>
        </w:rPr>
        <w:t xml:space="preserve"> </w:t>
      </w:r>
      <w:r w:rsidR="00974612" w:rsidRPr="00FD5AD5">
        <w:rPr>
          <w:rFonts w:eastAsia="Times New Roman" w:cs="Times New Roman"/>
          <w:szCs w:val="24"/>
          <w:lang w:val="en-GB"/>
        </w:rPr>
        <w:t xml:space="preserve">in LNG projects that have proven to be successful. And because more people need better energy sources, this makes Shell a strong player in the LNG market. An important reason why Shell has been able to stay ahead of the competition and in </w:t>
      </w:r>
      <w:r w:rsidR="00FD5AD5" w:rsidRPr="00FD5AD5">
        <w:rPr>
          <w:rFonts w:eastAsia="Times New Roman" w:cs="Times New Roman"/>
          <w:szCs w:val="24"/>
          <w:lang w:val="en-GB"/>
        </w:rPr>
        <w:t xml:space="preserve">the </w:t>
      </w:r>
      <w:r w:rsidR="00974612" w:rsidRPr="00FD5AD5">
        <w:rPr>
          <w:rFonts w:eastAsia="Times New Roman" w:cs="Times New Roman"/>
          <w:szCs w:val="24"/>
          <w:lang w:val="en-GB"/>
        </w:rPr>
        <w:t>first place is its dedication to cutting</w:t>
      </w:r>
      <w:r w:rsidR="00FD5AD5" w:rsidRPr="00FD5AD5">
        <w:rPr>
          <w:rFonts w:eastAsia="Times New Roman" w:cs="Times New Roman"/>
          <w:szCs w:val="24"/>
          <w:lang w:val="en-GB"/>
        </w:rPr>
        <w:t>-</w:t>
      </w:r>
      <w:r w:rsidR="00974612" w:rsidRPr="00FD5AD5">
        <w:rPr>
          <w:rFonts w:eastAsia="Times New Roman" w:cs="Times New Roman"/>
          <w:szCs w:val="24"/>
          <w:lang w:val="en-GB"/>
        </w:rPr>
        <w:t xml:space="preserve">edge technology. The company spent money on research and development that makes automation, drilling technology, and green energy choices better. Because of these changes, the business is now more </w:t>
      </w:r>
      <w:r w:rsidR="00135E2F" w:rsidRPr="00FD5AD5">
        <w:rPr>
          <w:rFonts w:eastAsia="Times New Roman" w:cs="Times New Roman"/>
          <w:szCs w:val="24"/>
          <w:lang w:val="en-GB"/>
        </w:rPr>
        <w:t>eco-friendly,</w:t>
      </w:r>
      <w:r w:rsidR="00974612" w:rsidRPr="00FD5AD5">
        <w:rPr>
          <w:rFonts w:eastAsia="Times New Roman" w:cs="Times New Roman"/>
          <w:szCs w:val="24"/>
          <w:lang w:val="en-GB"/>
        </w:rPr>
        <w:t xml:space="preserve"> and its processes work better (Shell Annual Report, 2022). As part of its Powering Progress Strategy, Shell has done more to help businesses that use clean energy grow. It has </w:t>
      </w:r>
      <w:r w:rsidR="00A67B29" w:rsidRPr="00FD5AD5">
        <w:rPr>
          <w:rFonts w:eastAsia="Times New Roman" w:cs="Times New Roman"/>
          <w:szCs w:val="24"/>
          <w:lang w:val="en-GB"/>
        </w:rPr>
        <w:t xml:space="preserve">invested </w:t>
      </w:r>
      <w:r w:rsidR="00974612" w:rsidRPr="00FD5AD5">
        <w:rPr>
          <w:rFonts w:eastAsia="Times New Roman" w:cs="Times New Roman"/>
          <w:szCs w:val="24"/>
          <w:lang w:val="en-GB"/>
        </w:rPr>
        <w:t xml:space="preserve">in biofuels, wind power, and solar power, for example. </w:t>
      </w:r>
      <w:r w:rsidR="00974612" w:rsidRPr="00FD5AD5">
        <w:rPr>
          <w:rFonts w:eastAsia="Times New Roman" w:cs="Times New Roman"/>
          <w:szCs w:val="24"/>
          <w:lang w:val="en-GB"/>
        </w:rPr>
        <w:lastRenderedPageBreak/>
        <w:t>The goal for Shell is to have no waste at all by 2050. Because of these steps, the company is now at the front of the movement towards better energy sources.</w:t>
      </w:r>
    </w:p>
    <w:p w14:paraId="364AFF19" w14:textId="0147EA7A" w:rsidR="00441F3D" w:rsidRDefault="00974612" w:rsidP="004C2BF1">
      <w:pPr>
        <w:rPr>
          <w:rFonts w:eastAsia="Times New Roman" w:cs="Times New Roman"/>
          <w:szCs w:val="24"/>
          <w:lang w:val="en-GB"/>
        </w:rPr>
      </w:pPr>
      <w:r w:rsidRPr="00FD5AD5">
        <w:rPr>
          <w:rFonts w:eastAsia="Times New Roman" w:cs="Times New Roman"/>
          <w:szCs w:val="24"/>
          <w:lang w:val="en-GB"/>
        </w:rPr>
        <w:t xml:space="preserve">Shell PLC is ahead of its competitors because it has a global presence, an integrated value chain, makes technological advances, has a strong brand image, and does things to be environmentally friendly. Shell goes after many different markets, spends money on ecology, and makes its processes more efficient. Shell did this by staying true to its brand, being a leader in drilling and green energy technology, and keeping control of many parts of the energy supply chain (Shell Annual Report, 2022). Because of these advantages, Shell </w:t>
      </w:r>
      <w:r w:rsidR="0040603E" w:rsidRPr="00FD5AD5">
        <w:rPr>
          <w:rFonts w:eastAsia="Times New Roman" w:cs="Times New Roman"/>
          <w:szCs w:val="24"/>
          <w:lang w:val="en-GB"/>
        </w:rPr>
        <w:t>can</w:t>
      </w:r>
      <w:r w:rsidRPr="00FD5AD5">
        <w:rPr>
          <w:rFonts w:eastAsia="Times New Roman" w:cs="Times New Roman"/>
          <w:szCs w:val="24"/>
          <w:lang w:val="en-GB"/>
        </w:rPr>
        <w:t xml:space="preserve"> do better than its rivals, stay ahead of the market, and have long-term success in the volatile energy sector.</w:t>
      </w:r>
    </w:p>
    <w:p w14:paraId="2468BB61" w14:textId="3511834D" w:rsidR="00441F3D" w:rsidRPr="00F905A2" w:rsidRDefault="00441F3D" w:rsidP="00FB5892">
      <w:pPr>
        <w:pStyle w:val="Heading2"/>
        <w:rPr>
          <w:rFonts w:eastAsia="Times New Roman"/>
          <w:highlight w:val="yellow"/>
        </w:rPr>
      </w:pPr>
      <w:r w:rsidRPr="004C2BF1">
        <w:rPr>
          <w:rFonts w:eastAsia="Times New Roman"/>
          <w:highlight w:val="yellow"/>
        </w:rPr>
        <w:t xml:space="preserve">SAFE (Suitability, </w:t>
      </w:r>
      <w:r w:rsidR="004C2BF1">
        <w:rPr>
          <w:rFonts w:eastAsia="Times New Roman"/>
          <w:highlight w:val="yellow"/>
        </w:rPr>
        <w:t>A</w:t>
      </w:r>
      <w:r w:rsidRPr="004C2BF1">
        <w:rPr>
          <w:rFonts w:eastAsia="Times New Roman"/>
          <w:highlight w:val="yellow"/>
        </w:rPr>
        <w:t xml:space="preserve">cceptability and </w:t>
      </w:r>
      <w:r w:rsidR="004C2BF1" w:rsidRPr="00F905A2">
        <w:rPr>
          <w:rFonts w:eastAsia="Times New Roman"/>
          <w:highlight w:val="yellow"/>
        </w:rPr>
        <w:t>F</w:t>
      </w:r>
      <w:r w:rsidRPr="00F905A2">
        <w:rPr>
          <w:rFonts w:eastAsia="Times New Roman"/>
          <w:highlight w:val="yellow"/>
        </w:rPr>
        <w:t>easibility)</w:t>
      </w:r>
      <w:r w:rsidR="00F905A2">
        <w:rPr>
          <w:rFonts w:eastAsia="Times New Roman"/>
          <w:highlight w:val="yellow"/>
        </w:rPr>
        <w:t xml:space="preserve"> Framework</w:t>
      </w:r>
    </w:p>
    <w:p w14:paraId="4910B1C9" w14:textId="26DCC9DE" w:rsidR="002B37D8" w:rsidRPr="00F905A2" w:rsidRDefault="002B37D8" w:rsidP="00F905A2">
      <w:pPr>
        <w:ind w:firstLine="360"/>
        <w:rPr>
          <w:rFonts w:cs="Times New Roman"/>
          <w:color w:val="222222"/>
          <w:szCs w:val="24"/>
          <w:highlight w:val="yellow"/>
          <w:shd w:val="clear" w:color="auto" w:fill="FFFFFF"/>
        </w:rPr>
      </w:pPr>
      <w:r w:rsidRPr="00F905A2">
        <w:rPr>
          <w:rFonts w:cs="Times New Roman"/>
          <w:color w:val="0D0D0D"/>
          <w:highlight w:val="yellow"/>
          <w:shd w:val="clear" w:color="auto" w:fill="FFFFFF"/>
        </w:rPr>
        <w:t>SAFE (Suitability, Acceptability, Feasibility) analysis is a strategic management tool used to evaluate the viability and effectiveness of proposed strategies or initiatives</w:t>
      </w:r>
      <w:r w:rsidR="00FB5892" w:rsidRPr="00F905A2">
        <w:rPr>
          <w:rFonts w:cs="Times New Roman"/>
          <w:color w:val="0D0D0D"/>
          <w:highlight w:val="yellow"/>
          <w:shd w:val="clear" w:color="auto" w:fill="FFFFFF"/>
        </w:rPr>
        <w:t xml:space="preserve"> </w:t>
      </w:r>
      <w:r w:rsidR="00A748A1" w:rsidRPr="00F905A2">
        <w:rPr>
          <w:rFonts w:cs="Times New Roman"/>
          <w:color w:val="222222"/>
          <w:szCs w:val="24"/>
          <w:highlight w:val="yellow"/>
          <w:shd w:val="clear" w:color="auto" w:fill="FFFFFF"/>
        </w:rPr>
        <w:t>(Ismail et al., 2020)</w:t>
      </w:r>
      <w:r w:rsidRPr="00F905A2">
        <w:rPr>
          <w:rFonts w:cs="Times New Roman"/>
          <w:color w:val="0D0D0D"/>
          <w:highlight w:val="yellow"/>
          <w:shd w:val="clear" w:color="auto" w:fill="FFFFFF"/>
        </w:rPr>
        <w:t xml:space="preserve">. </w:t>
      </w:r>
      <w:r w:rsidR="0040603E" w:rsidRPr="00F905A2">
        <w:rPr>
          <w:rFonts w:cs="Times New Roman"/>
          <w:color w:val="0D0D0D"/>
          <w:highlight w:val="yellow"/>
          <w:shd w:val="clear" w:color="auto" w:fill="FFFFFF"/>
        </w:rPr>
        <w:t>Th</w:t>
      </w:r>
      <w:r w:rsidR="00FB5892" w:rsidRPr="00F905A2">
        <w:rPr>
          <w:rFonts w:cs="Times New Roman"/>
          <w:color w:val="0D0D0D"/>
          <w:highlight w:val="yellow"/>
          <w:shd w:val="clear" w:color="auto" w:fill="FFFFFF"/>
        </w:rPr>
        <w:t xml:space="preserve">ese strategies </w:t>
      </w:r>
      <w:r w:rsidR="00135E2F" w:rsidRPr="00F905A2">
        <w:rPr>
          <w:rFonts w:cs="Times New Roman"/>
          <w:color w:val="0D0D0D"/>
          <w:highlight w:val="yellow"/>
          <w:shd w:val="clear" w:color="auto" w:fill="FFFFFF"/>
        </w:rPr>
        <w:t>ensure</w:t>
      </w:r>
      <w:r w:rsidR="0040603E" w:rsidRPr="00F905A2">
        <w:rPr>
          <w:rFonts w:cs="Times New Roman"/>
          <w:color w:val="0D0D0D"/>
          <w:highlight w:val="yellow"/>
          <w:shd w:val="clear" w:color="auto" w:fill="FFFFFF"/>
        </w:rPr>
        <w:t xml:space="preserve"> that will guide an organisation towards the formulation of strategic decisions that strike a healthy balance against their objectives, acceptance by their stakeholders and implement</w:t>
      </w:r>
      <w:r w:rsidR="00F905A2" w:rsidRPr="00F905A2">
        <w:rPr>
          <w:rFonts w:cs="Times New Roman"/>
          <w:color w:val="0D0D0D"/>
          <w:highlight w:val="yellow"/>
          <w:shd w:val="clear" w:color="auto" w:fill="FFFFFF"/>
        </w:rPr>
        <w:t>ation</w:t>
      </w:r>
      <w:r w:rsidR="0040603E" w:rsidRPr="00F905A2">
        <w:rPr>
          <w:rFonts w:cs="Times New Roman"/>
          <w:color w:val="0D0D0D"/>
          <w:highlight w:val="yellow"/>
          <w:shd w:val="clear" w:color="auto" w:fill="FFFFFF"/>
        </w:rPr>
        <w:t xml:space="preserve"> ability with given resources and capabilities. </w:t>
      </w:r>
    </w:p>
    <w:p w14:paraId="433881FF" w14:textId="1491A73C" w:rsidR="0040603E" w:rsidRPr="00F905A2" w:rsidRDefault="0040603E" w:rsidP="00AD4BCC">
      <w:pPr>
        <w:pStyle w:val="Heading3"/>
        <w:numPr>
          <w:ilvl w:val="1"/>
          <w:numId w:val="34"/>
        </w:numPr>
        <w:rPr>
          <w:highlight w:val="yellow"/>
        </w:rPr>
      </w:pPr>
      <w:r w:rsidRPr="00F905A2">
        <w:rPr>
          <w:highlight w:val="yellow"/>
        </w:rPr>
        <w:t>Suitability</w:t>
      </w:r>
    </w:p>
    <w:p w14:paraId="4EE57025" w14:textId="274E99BE" w:rsidR="0040603E" w:rsidRPr="00F905A2" w:rsidRDefault="0040603E" w:rsidP="00F905A2">
      <w:pPr>
        <w:ind w:firstLine="375"/>
        <w:rPr>
          <w:rFonts w:cs="Times New Roman"/>
          <w:color w:val="222222"/>
          <w:szCs w:val="24"/>
          <w:highlight w:val="yellow"/>
          <w:shd w:val="clear" w:color="auto" w:fill="FFFFFF"/>
        </w:rPr>
      </w:pPr>
      <w:r w:rsidRPr="00F905A2">
        <w:rPr>
          <w:highlight w:val="yellow"/>
          <w:lang w:val="en-GB"/>
        </w:rPr>
        <w:t xml:space="preserve">The Powering Progress Plan matches the trend of increasing the sustainability of energy across the globe which is suitable for Shell. This target is </w:t>
      </w:r>
      <w:r w:rsidR="00FB5892" w:rsidRPr="00F905A2">
        <w:rPr>
          <w:highlight w:val="yellow"/>
          <w:lang w:val="en-GB"/>
        </w:rPr>
        <w:t>required</w:t>
      </w:r>
      <w:r w:rsidRPr="00F905A2">
        <w:rPr>
          <w:highlight w:val="yellow"/>
          <w:lang w:val="en-GB"/>
        </w:rPr>
        <w:t xml:space="preserve"> by means of building up zero-carbon emissions and becoming net-zero </w:t>
      </w:r>
      <w:r w:rsidR="00F905A2" w:rsidRPr="00F905A2">
        <w:rPr>
          <w:highlight w:val="yellow"/>
          <w:lang w:val="en-GB"/>
        </w:rPr>
        <w:t>at</w:t>
      </w:r>
      <w:r w:rsidRPr="00F905A2">
        <w:rPr>
          <w:highlight w:val="yellow"/>
          <w:lang w:val="en-GB"/>
        </w:rPr>
        <w:t xml:space="preserve"> the same time as well by 2050. Increasing concerns about the environment and regulations cause such decision</w:t>
      </w:r>
      <w:r w:rsidR="00F905A2" w:rsidRPr="00F905A2">
        <w:rPr>
          <w:highlight w:val="yellow"/>
          <w:lang w:val="en-GB"/>
        </w:rPr>
        <w:t>s</w:t>
      </w:r>
      <w:r w:rsidRPr="00F905A2">
        <w:rPr>
          <w:highlight w:val="yellow"/>
          <w:lang w:val="en-GB"/>
        </w:rPr>
        <w:t>. A</w:t>
      </w:r>
      <w:r w:rsidR="00D0222A" w:rsidRPr="00F905A2">
        <w:rPr>
          <w:highlight w:val="yellow"/>
          <w:lang w:val="en-GB"/>
        </w:rPr>
        <w:t>dditionally</w:t>
      </w:r>
      <w:r w:rsidRPr="00F905A2">
        <w:rPr>
          <w:highlight w:val="yellow"/>
          <w:lang w:val="en-GB"/>
        </w:rPr>
        <w:t xml:space="preserve">, it has the capability to pull up the company’s competency in energy production, distribution, and marketing to gain </w:t>
      </w:r>
      <w:r w:rsidR="00F905A2" w:rsidRPr="00F905A2">
        <w:rPr>
          <w:highlight w:val="yellow"/>
          <w:lang w:val="en-GB"/>
        </w:rPr>
        <w:t>i</w:t>
      </w:r>
      <w:r w:rsidRPr="00F905A2">
        <w:rPr>
          <w:highlight w:val="yellow"/>
          <w:lang w:val="en-GB"/>
        </w:rPr>
        <w:t>n the renewable energy sector</w:t>
      </w:r>
      <w:r w:rsidR="00A748A1" w:rsidRPr="00F905A2">
        <w:rPr>
          <w:highlight w:val="yellow"/>
          <w:lang w:val="en-GB"/>
        </w:rPr>
        <w:t xml:space="preserve"> </w:t>
      </w:r>
      <w:r w:rsidR="00A748A1" w:rsidRPr="00F905A2">
        <w:rPr>
          <w:rFonts w:cs="Times New Roman"/>
          <w:color w:val="222222"/>
          <w:szCs w:val="24"/>
          <w:highlight w:val="yellow"/>
          <w:shd w:val="clear" w:color="auto" w:fill="FFFFFF"/>
        </w:rPr>
        <w:t>(Gomes et al., 2018)</w:t>
      </w:r>
      <w:r w:rsidRPr="00F905A2">
        <w:rPr>
          <w:highlight w:val="yellow"/>
          <w:lang w:val="en-GB"/>
        </w:rPr>
        <w:t xml:space="preserve">. </w:t>
      </w:r>
    </w:p>
    <w:p w14:paraId="15311372" w14:textId="0EC18E46" w:rsidR="0040603E" w:rsidRPr="00F905A2" w:rsidRDefault="0040603E" w:rsidP="00AD4BCC">
      <w:pPr>
        <w:pStyle w:val="Heading3"/>
        <w:numPr>
          <w:ilvl w:val="1"/>
          <w:numId w:val="34"/>
        </w:numPr>
        <w:rPr>
          <w:highlight w:val="yellow"/>
        </w:rPr>
      </w:pPr>
      <w:r w:rsidRPr="00F905A2">
        <w:rPr>
          <w:highlight w:val="yellow"/>
        </w:rPr>
        <w:t>Acceptability</w:t>
      </w:r>
    </w:p>
    <w:p w14:paraId="6FC626E4" w14:textId="3AB4BA5C" w:rsidR="0040603E" w:rsidRPr="00F905A2" w:rsidRDefault="0040603E" w:rsidP="00F905A2">
      <w:pPr>
        <w:ind w:firstLine="375"/>
        <w:rPr>
          <w:rFonts w:cs="Times New Roman"/>
          <w:color w:val="222222"/>
          <w:szCs w:val="24"/>
          <w:highlight w:val="yellow"/>
          <w:shd w:val="clear" w:color="auto" w:fill="FFFFFF"/>
        </w:rPr>
      </w:pPr>
      <w:r w:rsidRPr="00F905A2">
        <w:rPr>
          <w:highlight w:val="yellow"/>
          <w:lang w:val="en-GB"/>
        </w:rPr>
        <w:t xml:space="preserve">Shell's strategic options must be acceptable to everyone who has stakes in the company, e.g. shareholders, the workers, the customers, the host communities, and the regulatory bodies. Shell's Powering Progress Strategy and the Integrated Gas Strategy, which is focused on environmental sustainability, are signs of the company's desire to implement environmentally friendly carbon-reducing solutions, which most likely would be appreciated by stakeholders who are conscious </w:t>
      </w:r>
      <w:r w:rsidRPr="00F905A2">
        <w:rPr>
          <w:highlight w:val="yellow"/>
          <w:lang w:val="en-GB"/>
        </w:rPr>
        <w:lastRenderedPageBreak/>
        <w:t>about climate change and air pollution. The Powering Progress Strategy and the Integrated Gas Strategy should demonstrate good financial results and high return</w:t>
      </w:r>
      <w:r w:rsidR="00F905A2" w:rsidRPr="00F905A2">
        <w:rPr>
          <w:highlight w:val="yellow"/>
          <w:lang w:val="en-GB"/>
        </w:rPr>
        <w:t>s</w:t>
      </w:r>
      <w:r w:rsidRPr="00F905A2">
        <w:rPr>
          <w:highlight w:val="yellow"/>
          <w:lang w:val="en-GB"/>
        </w:rPr>
        <w:t xml:space="preserve"> on investments so shareholders and investors will support </w:t>
      </w:r>
      <w:proofErr w:type="gramStart"/>
      <w:r w:rsidRPr="00F905A2">
        <w:rPr>
          <w:highlight w:val="yellow"/>
          <w:lang w:val="en-GB"/>
        </w:rPr>
        <w:t>them</w:t>
      </w:r>
      <w:proofErr w:type="gramEnd"/>
      <w:r w:rsidR="00A748A1" w:rsidRPr="00F905A2">
        <w:rPr>
          <w:highlight w:val="yellow"/>
          <w:lang w:val="en-GB"/>
        </w:rPr>
        <w:t xml:space="preserve"> </w:t>
      </w:r>
      <w:r w:rsidR="00A748A1" w:rsidRPr="00F905A2">
        <w:rPr>
          <w:rFonts w:cs="Times New Roman"/>
          <w:color w:val="222222"/>
          <w:szCs w:val="24"/>
          <w:highlight w:val="yellow"/>
          <w:shd w:val="clear" w:color="auto" w:fill="FFFFFF"/>
        </w:rPr>
        <w:t>(Subedi et al., 2020)</w:t>
      </w:r>
      <w:r w:rsidRPr="00F905A2">
        <w:rPr>
          <w:highlight w:val="yellow"/>
          <w:lang w:val="en-GB"/>
        </w:rPr>
        <w:t>.</w:t>
      </w:r>
    </w:p>
    <w:p w14:paraId="2A94E018" w14:textId="09508CB9" w:rsidR="0040603E" w:rsidRPr="00F905A2" w:rsidRDefault="0040603E" w:rsidP="00AD4BCC">
      <w:pPr>
        <w:pStyle w:val="Heading3"/>
        <w:numPr>
          <w:ilvl w:val="1"/>
          <w:numId w:val="34"/>
        </w:numPr>
        <w:rPr>
          <w:highlight w:val="yellow"/>
        </w:rPr>
      </w:pPr>
      <w:r w:rsidRPr="00F905A2">
        <w:rPr>
          <w:highlight w:val="yellow"/>
        </w:rPr>
        <w:t>Feasibility</w:t>
      </w:r>
    </w:p>
    <w:p w14:paraId="44DB016A" w14:textId="63F0B3AD" w:rsidR="0040603E" w:rsidRPr="00A748A1" w:rsidRDefault="0040603E" w:rsidP="00F905A2">
      <w:pPr>
        <w:ind w:firstLine="360"/>
        <w:rPr>
          <w:rFonts w:cs="Times New Roman"/>
          <w:color w:val="222222"/>
          <w:szCs w:val="24"/>
          <w:shd w:val="clear" w:color="auto" w:fill="FFFFFF"/>
        </w:rPr>
      </w:pPr>
      <w:r w:rsidRPr="00F905A2">
        <w:rPr>
          <w:highlight w:val="yellow"/>
          <w:lang w:val="en-GB"/>
        </w:rPr>
        <w:t xml:space="preserve">The actions that Shell Company must take after considering the operational realities of the existing business processes, competencies, and infrastructure are strategic. The </w:t>
      </w:r>
      <w:r w:rsidR="00383390" w:rsidRPr="00F905A2">
        <w:rPr>
          <w:highlight w:val="yellow"/>
          <w:lang w:val="en-GB"/>
        </w:rPr>
        <w:t xml:space="preserve">feasibility </w:t>
      </w:r>
      <w:r w:rsidRPr="00F905A2">
        <w:rPr>
          <w:highlight w:val="yellow"/>
          <w:lang w:val="en-GB"/>
        </w:rPr>
        <w:t xml:space="preserve">Strategy relies on </w:t>
      </w:r>
      <w:r w:rsidR="00F905A2" w:rsidRPr="00F905A2">
        <w:rPr>
          <w:highlight w:val="yellow"/>
          <w:lang w:val="en-GB"/>
        </w:rPr>
        <w:t>large</w:t>
      </w:r>
      <w:r w:rsidRPr="00F905A2">
        <w:rPr>
          <w:highlight w:val="yellow"/>
          <w:lang w:val="en-GB"/>
        </w:rPr>
        <w:t xml:space="preserve"> amounts spent on research and development of green technologies, mass-scale projects, and technological innovation. The depth of Shell's operational experience and the range of its worldwide operations is a strong base for the strategy implementation in practical terms. Furthermore, Feasibility </w:t>
      </w:r>
      <w:r w:rsidR="00F905A2" w:rsidRPr="00F905A2">
        <w:rPr>
          <w:highlight w:val="yellow"/>
          <w:lang w:val="en-GB"/>
        </w:rPr>
        <w:t>is</w:t>
      </w:r>
      <w:r w:rsidRPr="00F905A2">
        <w:rPr>
          <w:highlight w:val="yellow"/>
          <w:lang w:val="en-GB"/>
        </w:rPr>
        <w:t xml:space="preserve"> based on the availability of the resources stipulated for the implementation of </w:t>
      </w:r>
      <w:r w:rsidR="00F905A2" w:rsidRPr="00F905A2">
        <w:rPr>
          <w:highlight w:val="yellow"/>
          <w:lang w:val="en-GB"/>
        </w:rPr>
        <w:t xml:space="preserve">the </w:t>
      </w:r>
      <w:r w:rsidRPr="00F905A2">
        <w:rPr>
          <w:highlight w:val="yellow"/>
          <w:lang w:val="en-GB"/>
        </w:rPr>
        <w:t>strategy</w:t>
      </w:r>
      <w:r w:rsidR="00A748A1" w:rsidRPr="00F905A2">
        <w:rPr>
          <w:highlight w:val="yellow"/>
          <w:lang w:val="en-GB"/>
        </w:rPr>
        <w:t xml:space="preserve"> </w:t>
      </w:r>
      <w:r w:rsidR="00A748A1" w:rsidRPr="00F905A2">
        <w:rPr>
          <w:rFonts w:cs="Times New Roman"/>
          <w:color w:val="222222"/>
          <w:szCs w:val="24"/>
          <w:highlight w:val="yellow"/>
          <w:shd w:val="clear" w:color="auto" w:fill="FFFFFF"/>
        </w:rPr>
        <w:t>(</w:t>
      </w:r>
      <w:proofErr w:type="spellStart"/>
      <w:r w:rsidR="00A748A1" w:rsidRPr="00F905A2">
        <w:rPr>
          <w:rFonts w:cs="Times New Roman"/>
          <w:color w:val="222222"/>
          <w:szCs w:val="24"/>
          <w:highlight w:val="yellow"/>
          <w:shd w:val="clear" w:color="auto" w:fill="FFFFFF"/>
        </w:rPr>
        <w:t>Rossignoli</w:t>
      </w:r>
      <w:proofErr w:type="spellEnd"/>
      <w:r w:rsidR="00A748A1" w:rsidRPr="00F905A2">
        <w:rPr>
          <w:rFonts w:cs="Times New Roman"/>
          <w:color w:val="222222"/>
          <w:szCs w:val="24"/>
          <w:highlight w:val="yellow"/>
          <w:shd w:val="clear" w:color="auto" w:fill="FFFFFF"/>
        </w:rPr>
        <w:t xml:space="preserve"> and </w:t>
      </w:r>
      <w:proofErr w:type="spellStart"/>
      <w:r w:rsidR="00A748A1" w:rsidRPr="00F905A2">
        <w:rPr>
          <w:rFonts w:cs="Times New Roman"/>
          <w:color w:val="222222"/>
          <w:szCs w:val="24"/>
          <w:highlight w:val="yellow"/>
          <w:shd w:val="clear" w:color="auto" w:fill="FFFFFF"/>
        </w:rPr>
        <w:t>Lionzo</w:t>
      </w:r>
      <w:proofErr w:type="spellEnd"/>
      <w:r w:rsidR="00A748A1" w:rsidRPr="00F905A2">
        <w:rPr>
          <w:rFonts w:cs="Times New Roman"/>
          <w:color w:val="222222"/>
          <w:szCs w:val="24"/>
          <w:highlight w:val="yellow"/>
          <w:shd w:val="clear" w:color="auto" w:fill="FFFFFF"/>
        </w:rPr>
        <w:t>, 2018)</w:t>
      </w:r>
      <w:r w:rsidR="000C27F5" w:rsidRPr="00F905A2">
        <w:rPr>
          <w:highlight w:val="yellow"/>
          <w:lang w:val="en-GB"/>
        </w:rPr>
        <w:t>.</w:t>
      </w:r>
    </w:p>
    <w:p w14:paraId="6B0457EC" w14:textId="7F54A9BA" w:rsidR="00C1051F" w:rsidRPr="00FD5AD5" w:rsidRDefault="00C1051F" w:rsidP="00FB5892">
      <w:pPr>
        <w:pStyle w:val="Heading2"/>
        <w:rPr>
          <w:rStyle w:val="Heading2Char"/>
        </w:rPr>
      </w:pPr>
      <w:bookmarkStart w:id="9" w:name="_Toc160574339"/>
      <w:r w:rsidRPr="00FD5AD5">
        <w:rPr>
          <w:rStyle w:val="Heading2Char"/>
        </w:rPr>
        <w:t>Sustainability and Environmental Considerations</w:t>
      </w:r>
      <w:bookmarkEnd w:id="9"/>
      <w:r w:rsidRPr="00FD5AD5">
        <w:rPr>
          <w:rStyle w:val="Heading2Char"/>
        </w:rPr>
        <w:t xml:space="preserve">  </w:t>
      </w:r>
    </w:p>
    <w:p w14:paraId="5D7C6D71" w14:textId="569EEC1D" w:rsidR="009E4533" w:rsidRPr="00FD5AD5" w:rsidRDefault="00974612" w:rsidP="00FD5AD5">
      <w:pPr>
        <w:spacing w:after="0"/>
        <w:ind w:firstLine="360"/>
        <w:rPr>
          <w:rFonts w:eastAsia="Times New Roman" w:cs="Times New Roman"/>
          <w:szCs w:val="24"/>
          <w:lang w:val="en-GB"/>
        </w:rPr>
      </w:pPr>
      <w:r w:rsidRPr="00FD5AD5">
        <w:rPr>
          <w:rFonts w:eastAsia="Times New Roman" w:cs="Times New Roman"/>
          <w:szCs w:val="24"/>
          <w:lang w:val="en-GB"/>
        </w:rPr>
        <w:t xml:space="preserve">Apart from proactively seeking strategies to enhance its competitiveness, Shell PLC has incorporated environmental and sustainable considerations into its operations. Shell PLC has made several moves to increase its competitiveness, with a focus on durability and environmental responsibility. With investments in its Powering Progress and Integrated Gas strategies, Shell has improved everyone's lives and increased its competitiveness by leveraging its advanced technology, worldwide reach, and completely integrated value chain. Shell has demonstrated its commitment to addressing climate change and achieving net-zero emissions by 2050 in several ways, including by concentrating on renewable energy solutions, creating strategic partnerships, and investing in research and development. </w:t>
      </w:r>
      <w:r w:rsidR="009E4533" w:rsidRPr="00FD5AD5">
        <w:rPr>
          <w:rFonts w:eastAsia="Times New Roman" w:cs="Times New Roman"/>
          <w:szCs w:val="24"/>
          <w:lang w:val="en-GB"/>
        </w:rPr>
        <w:t xml:space="preserve">Shell has taken a proactive approach to sustainability through measures like responsible sourcing, energy efficiency, and clear reporting. This has helped the company's image and brought in investors who care about social problems. Shell also needs to </w:t>
      </w:r>
      <w:r w:rsidR="00D962F6" w:rsidRPr="00FD5AD5">
        <w:rPr>
          <w:rFonts w:eastAsia="Times New Roman" w:cs="Times New Roman"/>
          <w:szCs w:val="24"/>
          <w:lang w:val="en-GB"/>
        </w:rPr>
        <w:t>plan</w:t>
      </w:r>
      <w:r w:rsidR="009E4533" w:rsidRPr="00FD5AD5">
        <w:rPr>
          <w:rFonts w:eastAsia="Times New Roman" w:cs="Times New Roman"/>
          <w:szCs w:val="24"/>
          <w:lang w:val="en-GB"/>
        </w:rPr>
        <w:t xml:space="preserve"> and decide where it wants to go. It needs to carefully think about switching to green energy sources while keeping its investments in fossil fuels in check if it wants to stay profitable and last.</w:t>
      </w:r>
    </w:p>
    <w:p w14:paraId="49ED407F" w14:textId="293F25E2" w:rsidR="00410BB4" w:rsidRPr="00FD5AD5" w:rsidRDefault="00410BB4" w:rsidP="00974612">
      <w:pPr>
        <w:rPr>
          <w:rStyle w:val="Heading2Char"/>
          <w:rFonts w:eastAsia="Times New Roman" w:cs="Times New Roman"/>
          <w:bCs w:val="0"/>
          <w:sz w:val="24"/>
          <w:szCs w:val="24"/>
        </w:rPr>
      </w:pPr>
      <w:r w:rsidRPr="00FD5AD5">
        <w:rPr>
          <w:rFonts w:eastAsia="Times New Roman" w:cs="Times New Roman"/>
          <w:szCs w:val="24"/>
          <w:lang w:val="en-GB"/>
        </w:rPr>
        <w:t xml:space="preserve">Shell also interacts with stakeholders, works with industry partners, and pushes for openness in how it reports on its sustainable and environmental performance </w:t>
      </w:r>
      <w:r w:rsidRPr="00FD5AD5">
        <w:rPr>
          <w:rFonts w:cs="Times New Roman"/>
          <w:szCs w:val="24"/>
          <w:shd w:val="clear" w:color="auto" w:fill="FFFFFF"/>
          <w:lang w:val="en-GB"/>
        </w:rPr>
        <w:t>(Shell Sustainability Report, 2021)</w:t>
      </w:r>
      <w:r w:rsidRPr="00FD5AD5">
        <w:rPr>
          <w:rFonts w:eastAsia="Times New Roman" w:cs="Times New Roman"/>
          <w:szCs w:val="24"/>
          <w:lang w:val="en-GB"/>
        </w:rPr>
        <w:t xml:space="preserve">. </w:t>
      </w:r>
      <w:r w:rsidR="001444E9" w:rsidRPr="00FD5AD5">
        <w:rPr>
          <w:rFonts w:eastAsia="Times New Roman" w:cs="Times New Roman"/>
          <w:szCs w:val="24"/>
          <w:lang w:val="en-GB"/>
        </w:rPr>
        <w:t xml:space="preserve">These acts show that Shell cares about being good to the environment. In a market that changes quickly, they also make Shell more competitive by letting it keep up with changing </w:t>
      </w:r>
      <w:r w:rsidR="001444E9" w:rsidRPr="00FD5AD5">
        <w:rPr>
          <w:rFonts w:eastAsia="Times New Roman" w:cs="Times New Roman"/>
          <w:szCs w:val="24"/>
          <w:lang w:val="en-GB"/>
        </w:rPr>
        <w:lastRenderedPageBreak/>
        <w:t xml:space="preserve">government rules and customer tastes. </w:t>
      </w:r>
      <w:r w:rsidR="0007149E" w:rsidRPr="00FD5AD5">
        <w:rPr>
          <w:rFonts w:eastAsia="Times New Roman" w:cs="Times New Roman"/>
          <w:szCs w:val="24"/>
          <w:lang w:val="en-GB"/>
        </w:rPr>
        <w:t>Shell practices sustainable practices like protecting biodiversity, managing water, and cutting down on waste. Not only does the company work with other businesses and governments to help solve environmental problems, but it also works with NGOs and governments to support organic growth. Shell can use the information, tools, and unique suggestions shared through these agreements to become more competitive and protect the environment (Shell Sustainability Report, 2022). It shows that Shell PLC is committed to being a good corporate citizen by incorporating sustainability and environmental concerns into its business strategies and operations. This also makes Shell PLC more competitive in the international energy market. Not only do these projects lower risks to the environment, but they also help build long-term value and get people involved.</w:t>
      </w:r>
    </w:p>
    <w:p w14:paraId="0487B443" w14:textId="2CBDBA35" w:rsidR="00C1051F" w:rsidRPr="00FD5AD5" w:rsidRDefault="00C1051F" w:rsidP="00FB5892">
      <w:pPr>
        <w:pStyle w:val="Heading2"/>
      </w:pPr>
      <w:bookmarkStart w:id="10" w:name="_Toc160574340"/>
      <w:r w:rsidRPr="00FD5AD5">
        <w:t>Future Strategic Direction</w:t>
      </w:r>
      <w:bookmarkEnd w:id="10"/>
      <w:r w:rsidRPr="00FD5AD5">
        <w:t xml:space="preserve"> </w:t>
      </w:r>
    </w:p>
    <w:p w14:paraId="1D8DDDB8" w14:textId="276CD086" w:rsidR="00D05B0D" w:rsidRPr="00FD5AD5" w:rsidRDefault="00D05B0D" w:rsidP="00AD4BCC">
      <w:pPr>
        <w:pStyle w:val="Heading3"/>
        <w:numPr>
          <w:ilvl w:val="1"/>
          <w:numId w:val="32"/>
        </w:numPr>
      </w:pPr>
      <w:bookmarkStart w:id="11" w:name="_Toc160574341"/>
      <w:r w:rsidRPr="00FD5AD5">
        <w:t>Evaluation of Future Strategic Directions for Shell PLC</w:t>
      </w:r>
      <w:bookmarkEnd w:id="11"/>
    </w:p>
    <w:p w14:paraId="30F715EC" w14:textId="23409EB7" w:rsidR="009946C0" w:rsidRPr="00FD5AD5" w:rsidRDefault="003807B0" w:rsidP="00BE4CC9">
      <w:pPr>
        <w:rPr>
          <w:rFonts w:eastAsia="Times New Roman" w:cs="Times New Roman"/>
          <w:szCs w:val="24"/>
          <w:lang w:val="en-GB"/>
        </w:rPr>
      </w:pPr>
      <w:r w:rsidRPr="00FD5AD5">
        <w:rPr>
          <w:rFonts w:eastAsia="Times New Roman" w:cs="Times New Roman"/>
          <w:szCs w:val="24"/>
          <w:lang w:val="en-GB"/>
        </w:rPr>
        <w:t>Shell</w:t>
      </w:r>
      <w:r w:rsidR="009946C0" w:rsidRPr="00FD5AD5">
        <w:rPr>
          <w:rFonts w:eastAsia="Times New Roman" w:cs="Times New Roman"/>
          <w:szCs w:val="24"/>
          <w:lang w:val="en-GB"/>
        </w:rPr>
        <w:t xml:space="preserve"> plc</w:t>
      </w:r>
      <w:r w:rsidRPr="00FD5AD5">
        <w:rPr>
          <w:rFonts w:eastAsia="Times New Roman" w:cs="Times New Roman"/>
          <w:szCs w:val="24"/>
          <w:lang w:val="en-GB"/>
        </w:rPr>
        <w:t xml:space="preserve"> </w:t>
      </w:r>
      <w:r w:rsidR="009946C0" w:rsidRPr="00FD5AD5">
        <w:rPr>
          <w:rFonts w:eastAsia="Times New Roman" w:cs="Times New Roman"/>
          <w:szCs w:val="24"/>
          <w:lang w:val="en-GB"/>
        </w:rPr>
        <w:t xml:space="preserve">can </w:t>
      </w:r>
      <w:r w:rsidRPr="00FD5AD5">
        <w:rPr>
          <w:rFonts w:eastAsia="Times New Roman" w:cs="Times New Roman"/>
          <w:szCs w:val="24"/>
          <w:lang w:val="en-GB"/>
        </w:rPr>
        <w:t xml:space="preserve">focus on fossil fuels using its oil and gas exploration, production, and distribution skills. In this plan, investing in new oil and gas projects and getting the most out of current fossil fuel assets would be the goals. </w:t>
      </w:r>
      <w:r w:rsidR="00974612" w:rsidRPr="00FD5AD5">
        <w:rPr>
          <w:rFonts w:eastAsia="Times New Roman" w:cs="Times New Roman"/>
          <w:szCs w:val="24"/>
          <w:lang w:val="en-GB"/>
        </w:rPr>
        <w:t xml:space="preserve">However, </w:t>
      </w:r>
      <w:r w:rsidR="00FD5AD5" w:rsidRPr="00FD5AD5">
        <w:rPr>
          <w:rFonts w:eastAsia="Times New Roman" w:cs="Times New Roman"/>
          <w:szCs w:val="24"/>
          <w:lang w:val="en-GB"/>
        </w:rPr>
        <w:t xml:space="preserve">the </w:t>
      </w:r>
      <w:r w:rsidR="00BE4CC9" w:rsidRPr="00FD5AD5">
        <w:rPr>
          <w:rFonts w:eastAsia="Times New Roman" w:cs="Times New Roman"/>
          <w:szCs w:val="24"/>
          <w:lang w:val="en-GB"/>
        </w:rPr>
        <w:t xml:space="preserve">world is moving more and more towards green energy, it can be hard to make this choice. This means that assets cannot be </w:t>
      </w:r>
      <w:r w:rsidR="007D6B8E" w:rsidRPr="00FD5AD5">
        <w:rPr>
          <w:rFonts w:eastAsia="Times New Roman" w:cs="Times New Roman"/>
          <w:szCs w:val="24"/>
          <w:lang w:val="en-GB"/>
        </w:rPr>
        <w:t>used,</w:t>
      </w:r>
      <w:r w:rsidR="00BE4CC9" w:rsidRPr="00FD5AD5">
        <w:rPr>
          <w:rFonts w:eastAsia="Times New Roman" w:cs="Times New Roman"/>
          <w:szCs w:val="24"/>
          <w:lang w:val="en-GB"/>
        </w:rPr>
        <w:t xml:space="preserve"> and rules are in place to cut down on carbon pollution (Shell plc Sustainability Report, 2019). Moving to clean energy sources like biofuels, wind, and sun is another thing Shell needs to do. Invest in projects that use clean energy instead of assets that use dirty fuels as part of this plan. Shell will be able to lower its carbon impact, change with the times, and deal with the risks that come with new rules and climate change in this way. But moving to green energy would mean spending money on technology and learning how to deal with markets that are not clear and rules that are hard to understand. As the Shell plc Sustainability Report 2019 says, sustainability and ESG (environmental, social, and governance) issues are the most important to the company in all its business operations. Businesses will use greener methods, put out less carbon dioxide, be more socially responsible, and give more open and honest reports because they chose this approach. If Shell includes ESG principles in its business plan, it can find partners who share its desire to solve social problems, slow down climate change, and follow the rules while lowering the risks that come with them.</w:t>
      </w:r>
    </w:p>
    <w:p w14:paraId="19062AC3" w14:textId="6B68686B" w:rsidR="00D05B0D" w:rsidRPr="00FD5AD5" w:rsidRDefault="00D05B0D" w:rsidP="00AD4BCC">
      <w:pPr>
        <w:pStyle w:val="Heading3"/>
        <w:numPr>
          <w:ilvl w:val="1"/>
          <w:numId w:val="32"/>
        </w:numPr>
        <w:rPr>
          <w:rFonts w:eastAsia="Times New Roman"/>
        </w:rPr>
      </w:pPr>
      <w:bookmarkStart w:id="12" w:name="_Toc160574342"/>
      <w:r w:rsidRPr="00FD5AD5">
        <w:rPr>
          <w:rFonts w:eastAsia="Times New Roman"/>
        </w:rPr>
        <w:lastRenderedPageBreak/>
        <w:t>Recommendations for Enhanced Sustainability Practices</w:t>
      </w:r>
      <w:bookmarkEnd w:id="12"/>
    </w:p>
    <w:p w14:paraId="08F7FD51" w14:textId="717D9AD2" w:rsidR="003807B0" w:rsidRPr="00FD5AD5" w:rsidRDefault="009946C0" w:rsidP="00714C6E">
      <w:pPr>
        <w:rPr>
          <w:rFonts w:eastAsia="Times New Roman" w:cs="Times New Roman"/>
          <w:szCs w:val="24"/>
          <w:lang w:val="en-GB"/>
        </w:rPr>
      </w:pPr>
      <w:r w:rsidRPr="00FD5AD5">
        <w:rPr>
          <w:rFonts w:eastAsia="Times New Roman" w:cs="Times New Roman"/>
          <w:szCs w:val="24"/>
          <w:lang w:val="en-GB"/>
        </w:rPr>
        <w:t xml:space="preserve">Shell PLC should add more sustainability practices to its business plan if it wants to gain competitive advantages in the future. </w:t>
      </w:r>
      <w:r w:rsidR="00BE4CC9" w:rsidRPr="00FD5AD5">
        <w:rPr>
          <w:rFonts w:eastAsia="Times New Roman" w:cs="Times New Roman"/>
          <w:szCs w:val="24"/>
          <w:lang w:val="en-GB"/>
        </w:rPr>
        <w:t>Shell can adapt to the times and reduce its carbon footprint by investing in clean technologies and energy sources that do not use carbon (</w:t>
      </w:r>
      <w:proofErr w:type="spellStart"/>
      <w:r w:rsidR="00BE4CC9" w:rsidRPr="00FD5AD5">
        <w:rPr>
          <w:rFonts w:eastAsia="Times New Roman" w:cs="Times New Roman"/>
          <w:szCs w:val="24"/>
          <w:lang w:val="en-GB"/>
        </w:rPr>
        <w:t>Chenic</w:t>
      </w:r>
      <w:proofErr w:type="spellEnd"/>
      <w:r w:rsidR="00BE4CC9" w:rsidRPr="00FD5AD5">
        <w:rPr>
          <w:rFonts w:eastAsia="Times New Roman" w:cs="Times New Roman"/>
          <w:szCs w:val="24"/>
          <w:lang w:val="en-GB"/>
        </w:rPr>
        <w:t xml:space="preserve"> et al., 2022). Shell can lead the way towards clean energy if it improves its plans for biofuels, wind, and solar power. It will be different from other companies that still use various fossil fuels. Changes that are very important to Shell should also be made. The company needs to be able to compete on price with these changes that will cut down on waste and make better use of resources. Patel (2023) stated that Shell can make its supply chain more sustainable by encouraging ethical buying, cutting down on pollution caused by shipping and transportation, and teaming up with suppliers who share its values. Shell should also be honest and responsible in the reports it makes about how well it treats the earth. </w:t>
      </w:r>
      <w:r w:rsidR="000C0AB6" w:rsidRPr="00FD5AD5">
        <w:rPr>
          <w:rFonts w:eastAsia="Times New Roman" w:cs="Times New Roman"/>
          <w:szCs w:val="24"/>
          <w:lang w:val="en-GB"/>
        </w:rPr>
        <w:t>Partners will be able to trust each other and get generous backers this way. Shell can improve its long-term value, reputation, and growth in a market that is becoming more competitive and aware of environmental problems by making sustainability a top business goal.</w:t>
      </w:r>
    </w:p>
    <w:p w14:paraId="2873A632" w14:textId="0F8B7D03" w:rsidR="00C1051F" w:rsidRPr="00FD5AD5" w:rsidRDefault="00C1051F" w:rsidP="00FB5892">
      <w:pPr>
        <w:pStyle w:val="Heading2"/>
      </w:pPr>
      <w:bookmarkStart w:id="13" w:name="_Toc160574343"/>
      <w:r w:rsidRPr="00FD5AD5">
        <w:t>Conclusion</w:t>
      </w:r>
      <w:bookmarkEnd w:id="13"/>
      <w:r w:rsidRPr="00FD5AD5">
        <w:t xml:space="preserve"> </w:t>
      </w:r>
    </w:p>
    <w:p w14:paraId="7AC96E8E" w14:textId="30CA469D" w:rsidR="009946C0" w:rsidRPr="00FD5AD5" w:rsidRDefault="00714C6E" w:rsidP="00714C6E">
      <w:pPr>
        <w:spacing w:after="0"/>
        <w:rPr>
          <w:rFonts w:eastAsia="Times New Roman" w:cs="Times New Roman"/>
          <w:szCs w:val="24"/>
          <w:lang w:val="en-GB"/>
        </w:rPr>
      </w:pPr>
      <w:r w:rsidRPr="00FD5AD5">
        <w:rPr>
          <w:rFonts w:eastAsia="Times New Roman" w:cs="Times New Roman"/>
          <w:szCs w:val="24"/>
          <w:lang w:val="en-GB"/>
        </w:rPr>
        <w:t xml:space="preserve">In conclusion, Shell PLC has successfully positioned itself as a leader in the global energy industry by implementing successful business and corporate strategies, utilising its capabilities and resources, and giving environmental and sustainability considerations top priority. To fight climate change and get to net-zero emissions by 2050, Shell has focused on renewable energy sources, made good relationships, and paid for research and development. Shell took care of the land in good ways. They must officially get their things, cut down on the amount of energy they use, and say what they did. That company should think about moving to green energy sources and investing in fossil fuels if it wants to stay in business and keep making </w:t>
      </w:r>
      <w:r w:rsidR="00FD5AD5" w:rsidRPr="00FD5AD5">
        <w:rPr>
          <w:rFonts w:eastAsia="Times New Roman" w:cs="Times New Roman"/>
          <w:szCs w:val="24"/>
          <w:lang w:val="en-GB"/>
        </w:rPr>
        <w:t xml:space="preserve">a </w:t>
      </w:r>
      <w:r w:rsidRPr="00FD5AD5">
        <w:rPr>
          <w:rFonts w:eastAsia="Times New Roman" w:cs="Times New Roman"/>
          <w:szCs w:val="24"/>
          <w:lang w:val="en-GB"/>
        </w:rPr>
        <w:t xml:space="preserve">profit. </w:t>
      </w:r>
      <w:r w:rsidR="00974612" w:rsidRPr="00FD5AD5">
        <w:rPr>
          <w:rFonts w:eastAsia="Times New Roman" w:cs="Times New Roman"/>
          <w:szCs w:val="24"/>
          <w:lang w:val="en-GB"/>
        </w:rPr>
        <w:t xml:space="preserve">By making sustainability a part of its business plans, Shell can become more resilient, take advantage of new development opportunities, and create long-term value for society and its shareholders. </w:t>
      </w:r>
      <w:r w:rsidR="009946C0" w:rsidRPr="00FD5AD5">
        <w:rPr>
          <w:rFonts w:eastAsia="Times New Roman" w:cs="Times New Roman"/>
          <w:szCs w:val="24"/>
          <w:lang w:val="en-GB"/>
        </w:rPr>
        <w:t xml:space="preserve">Shell PLC is well-positioned for future success in the fast-paced energy market due to its strategic focus on innovation, sustainability, and stakeholder involvement. Maintaining a commitment to sustainability will be essential in fostering continued growth and competitiveness while fostering a more sustainable future for the business as it navigates new challenges and opportunities. </w:t>
      </w:r>
    </w:p>
    <w:p w14:paraId="71DDC915" w14:textId="77777777" w:rsidR="008E1B56" w:rsidRPr="00291AAB" w:rsidRDefault="008E1B56" w:rsidP="00291AAB">
      <w:pPr>
        <w:ind w:firstLine="0"/>
        <w:rPr>
          <w:lang w:val="en-GB"/>
        </w:rPr>
      </w:pPr>
    </w:p>
    <w:p w14:paraId="20A0C620" w14:textId="5B4C6303" w:rsidR="008E1B56" w:rsidRPr="00FD5AD5" w:rsidRDefault="008E1B56" w:rsidP="00291AAB">
      <w:pPr>
        <w:pStyle w:val="Heading1"/>
        <w:ind w:firstLine="0"/>
        <w:rPr>
          <w:rFonts w:ascii="Times New Roman" w:hAnsi="Times New Roman" w:cs="Times New Roman"/>
          <w:color w:val="auto"/>
          <w:lang w:val="en-GB"/>
        </w:rPr>
      </w:pPr>
      <w:bookmarkStart w:id="14" w:name="_Toc160574344"/>
      <w:r w:rsidRPr="00FD5AD5">
        <w:rPr>
          <w:rFonts w:ascii="Times New Roman" w:hAnsi="Times New Roman" w:cs="Times New Roman"/>
          <w:color w:val="auto"/>
          <w:lang w:val="en-GB"/>
        </w:rPr>
        <w:lastRenderedPageBreak/>
        <w:t>References</w:t>
      </w:r>
      <w:bookmarkEnd w:id="14"/>
    </w:p>
    <w:p w14:paraId="57E05C27" w14:textId="77777777" w:rsidR="00554A45" w:rsidRPr="00554A45" w:rsidRDefault="00554A45" w:rsidP="00554A45">
      <w:pPr>
        <w:ind w:left="720" w:hanging="720"/>
        <w:rPr>
          <w:rFonts w:cs="Times New Roman"/>
          <w:color w:val="222222"/>
          <w:szCs w:val="24"/>
          <w:highlight w:val="yellow"/>
          <w:shd w:val="clear" w:color="auto" w:fill="FFFFFF"/>
        </w:rPr>
      </w:pPr>
      <w:r w:rsidRPr="00554A45">
        <w:rPr>
          <w:rFonts w:cs="Times New Roman"/>
          <w:color w:val="222222"/>
          <w:szCs w:val="24"/>
          <w:highlight w:val="yellow"/>
          <w:shd w:val="clear" w:color="auto" w:fill="FFFFFF"/>
        </w:rPr>
        <w:t xml:space="preserve">Alfaro, L., Chor, D., </w:t>
      </w:r>
      <w:proofErr w:type="spellStart"/>
      <w:r w:rsidRPr="00554A45">
        <w:rPr>
          <w:rFonts w:cs="Times New Roman"/>
          <w:color w:val="222222"/>
          <w:szCs w:val="24"/>
          <w:highlight w:val="yellow"/>
          <w:shd w:val="clear" w:color="auto" w:fill="FFFFFF"/>
        </w:rPr>
        <w:t>Antras</w:t>
      </w:r>
      <w:proofErr w:type="spellEnd"/>
      <w:r w:rsidRPr="00554A45">
        <w:rPr>
          <w:rFonts w:cs="Times New Roman"/>
          <w:color w:val="222222"/>
          <w:szCs w:val="24"/>
          <w:highlight w:val="yellow"/>
          <w:shd w:val="clear" w:color="auto" w:fill="FFFFFF"/>
        </w:rPr>
        <w:t xml:space="preserve">, P. and Conconi, P. (2019) ‘Internalizing global value chains: A firm-level analysis’, </w:t>
      </w:r>
      <w:r w:rsidRPr="00554A45">
        <w:rPr>
          <w:rFonts w:cs="Times New Roman"/>
          <w:i/>
          <w:iCs/>
          <w:color w:val="222222"/>
          <w:szCs w:val="24"/>
          <w:highlight w:val="yellow"/>
          <w:shd w:val="clear" w:color="auto" w:fill="FFFFFF"/>
        </w:rPr>
        <w:t>Journal of Political Economy</w:t>
      </w:r>
      <w:r w:rsidRPr="00554A45">
        <w:rPr>
          <w:rFonts w:cs="Times New Roman"/>
          <w:color w:val="222222"/>
          <w:szCs w:val="24"/>
          <w:highlight w:val="yellow"/>
          <w:shd w:val="clear" w:color="auto" w:fill="FFFFFF"/>
        </w:rPr>
        <w:t>, 127(2), pp.508-559.</w:t>
      </w:r>
    </w:p>
    <w:p w14:paraId="553C22A7" w14:textId="77777777" w:rsidR="00554A45" w:rsidRPr="00554A45" w:rsidRDefault="00554A45" w:rsidP="00554A45">
      <w:pPr>
        <w:ind w:left="720" w:hanging="720"/>
        <w:rPr>
          <w:rFonts w:cs="Times New Roman"/>
          <w:color w:val="222222"/>
          <w:szCs w:val="24"/>
          <w:highlight w:val="yellow"/>
          <w:shd w:val="clear" w:color="auto" w:fill="FFFFFF"/>
        </w:rPr>
      </w:pPr>
      <w:r w:rsidRPr="00554A45">
        <w:rPr>
          <w:rFonts w:cs="Times New Roman"/>
          <w:color w:val="222222"/>
          <w:szCs w:val="24"/>
          <w:highlight w:val="yellow"/>
          <w:shd w:val="clear" w:color="auto" w:fill="FFFFFF"/>
        </w:rPr>
        <w:t>Ali, B.J. and Anwar, G. (2021) Porter’s Generic Competitive Strategies and its influence on the Competitive Advantage. </w:t>
      </w:r>
      <w:r w:rsidRPr="00554A45">
        <w:rPr>
          <w:rFonts w:cs="Times New Roman"/>
          <w:i/>
          <w:iCs/>
          <w:color w:val="222222"/>
          <w:szCs w:val="24"/>
          <w:highlight w:val="yellow"/>
          <w:shd w:val="clear" w:color="auto" w:fill="FFFFFF"/>
        </w:rPr>
        <w:t>Ali, BJ, &amp; Anwar, G</w:t>
      </w:r>
      <w:proofErr w:type="gramStart"/>
      <w:r w:rsidRPr="00554A45">
        <w:rPr>
          <w:rFonts w:cs="Times New Roman"/>
          <w:i/>
          <w:iCs/>
          <w:color w:val="222222"/>
          <w:szCs w:val="24"/>
          <w:highlight w:val="yellow"/>
          <w:shd w:val="clear" w:color="auto" w:fill="FFFFFF"/>
        </w:rPr>
        <w:t>.(</w:t>
      </w:r>
      <w:proofErr w:type="gramEnd"/>
      <w:r w:rsidRPr="00554A45">
        <w:rPr>
          <w:rFonts w:cs="Times New Roman"/>
          <w:i/>
          <w:iCs/>
          <w:color w:val="222222"/>
          <w:szCs w:val="24"/>
          <w:highlight w:val="yellow"/>
          <w:shd w:val="clear" w:color="auto" w:fill="FFFFFF"/>
        </w:rPr>
        <w:t>2021). Porter’s Generic Competitive Strategies and its influence on the Competitive Advantage. International Journal of Advanced Engineering, Management and Science</w:t>
      </w:r>
      <w:r w:rsidRPr="00554A45">
        <w:rPr>
          <w:rFonts w:cs="Times New Roman"/>
          <w:color w:val="222222"/>
          <w:szCs w:val="24"/>
          <w:highlight w:val="yellow"/>
          <w:shd w:val="clear" w:color="auto" w:fill="FFFFFF"/>
        </w:rPr>
        <w:t>, 7(6), pp.42-51.</w:t>
      </w:r>
    </w:p>
    <w:p w14:paraId="7F0A3C60" w14:textId="77777777" w:rsidR="00554A45" w:rsidRPr="00554A45" w:rsidRDefault="00554A45" w:rsidP="00554A45">
      <w:pPr>
        <w:ind w:left="720" w:hanging="720"/>
        <w:rPr>
          <w:rFonts w:cs="Times New Roman"/>
          <w:color w:val="222222"/>
          <w:szCs w:val="24"/>
          <w:highlight w:val="yellow"/>
          <w:shd w:val="clear" w:color="auto" w:fill="FFFFFF"/>
        </w:rPr>
      </w:pPr>
      <w:proofErr w:type="spellStart"/>
      <w:r w:rsidRPr="00554A45">
        <w:rPr>
          <w:rFonts w:cs="Times New Roman"/>
          <w:color w:val="222222"/>
          <w:szCs w:val="24"/>
          <w:highlight w:val="yellow"/>
          <w:shd w:val="clear" w:color="auto" w:fill="FFFFFF"/>
        </w:rPr>
        <w:t>Bienhaus</w:t>
      </w:r>
      <w:proofErr w:type="spellEnd"/>
      <w:r w:rsidRPr="00554A45">
        <w:rPr>
          <w:rFonts w:cs="Times New Roman"/>
          <w:color w:val="222222"/>
          <w:szCs w:val="24"/>
          <w:highlight w:val="yellow"/>
          <w:shd w:val="clear" w:color="auto" w:fill="FFFFFF"/>
        </w:rPr>
        <w:t xml:space="preserve">, F. and </w:t>
      </w:r>
      <w:proofErr w:type="spellStart"/>
      <w:r w:rsidRPr="00554A45">
        <w:rPr>
          <w:rFonts w:cs="Times New Roman"/>
          <w:color w:val="222222"/>
          <w:szCs w:val="24"/>
          <w:highlight w:val="yellow"/>
          <w:shd w:val="clear" w:color="auto" w:fill="FFFFFF"/>
        </w:rPr>
        <w:t>Haddud</w:t>
      </w:r>
      <w:proofErr w:type="spellEnd"/>
      <w:r w:rsidRPr="00554A45">
        <w:rPr>
          <w:rFonts w:cs="Times New Roman"/>
          <w:color w:val="222222"/>
          <w:szCs w:val="24"/>
          <w:highlight w:val="yellow"/>
          <w:shd w:val="clear" w:color="auto" w:fill="FFFFFF"/>
        </w:rPr>
        <w:t xml:space="preserve">, A. (2018) ‘Procurement 4.0: factors influencing the </w:t>
      </w:r>
      <w:proofErr w:type="spellStart"/>
      <w:r w:rsidRPr="00554A45">
        <w:rPr>
          <w:rFonts w:cs="Times New Roman"/>
          <w:color w:val="222222"/>
          <w:szCs w:val="24"/>
          <w:highlight w:val="yellow"/>
          <w:shd w:val="clear" w:color="auto" w:fill="FFFFFF"/>
        </w:rPr>
        <w:t>digitisation</w:t>
      </w:r>
      <w:proofErr w:type="spellEnd"/>
      <w:r w:rsidRPr="00554A45">
        <w:rPr>
          <w:rFonts w:cs="Times New Roman"/>
          <w:color w:val="222222"/>
          <w:szCs w:val="24"/>
          <w:highlight w:val="yellow"/>
          <w:shd w:val="clear" w:color="auto" w:fill="FFFFFF"/>
        </w:rPr>
        <w:t xml:space="preserve"> of procurement and supply chains’, </w:t>
      </w:r>
      <w:r w:rsidRPr="00554A45">
        <w:rPr>
          <w:rFonts w:cs="Times New Roman"/>
          <w:i/>
          <w:iCs/>
          <w:color w:val="222222"/>
          <w:szCs w:val="24"/>
          <w:highlight w:val="yellow"/>
          <w:shd w:val="clear" w:color="auto" w:fill="FFFFFF"/>
        </w:rPr>
        <w:t>Business Process Management Journal</w:t>
      </w:r>
      <w:r w:rsidRPr="00554A45">
        <w:rPr>
          <w:rFonts w:cs="Times New Roman"/>
          <w:color w:val="222222"/>
          <w:szCs w:val="24"/>
          <w:highlight w:val="yellow"/>
          <w:shd w:val="clear" w:color="auto" w:fill="FFFFFF"/>
        </w:rPr>
        <w:t>, 24(4), pp.965-984.</w:t>
      </w:r>
    </w:p>
    <w:p w14:paraId="46BB3BAA" w14:textId="77777777" w:rsidR="00554A45" w:rsidRPr="00554A45" w:rsidRDefault="00554A45" w:rsidP="00554A45">
      <w:pPr>
        <w:ind w:left="720" w:hanging="720"/>
        <w:rPr>
          <w:rFonts w:cs="Times New Roman"/>
          <w:color w:val="222222"/>
          <w:szCs w:val="24"/>
          <w:highlight w:val="yellow"/>
          <w:shd w:val="clear" w:color="auto" w:fill="FFFFFF"/>
        </w:rPr>
      </w:pPr>
      <w:r w:rsidRPr="00554A45">
        <w:rPr>
          <w:rFonts w:cs="Times New Roman"/>
          <w:color w:val="222222"/>
          <w:szCs w:val="24"/>
          <w:highlight w:val="yellow"/>
          <w:shd w:val="clear" w:color="auto" w:fill="FFFFFF"/>
        </w:rPr>
        <w:t>Chang, S.E. and Chen, Y. (2020) ‘When blockchain meets supply chain: A systematic literature review on current development and potential applications’, </w:t>
      </w:r>
      <w:proofErr w:type="spellStart"/>
      <w:r w:rsidRPr="00554A45">
        <w:rPr>
          <w:rFonts w:cs="Times New Roman"/>
          <w:i/>
          <w:iCs/>
          <w:color w:val="222222"/>
          <w:szCs w:val="24"/>
          <w:highlight w:val="yellow"/>
          <w:shd w:val="clear" w:color="auto" w:fill="FFFFFF"/>
        </w:rPr>
        <w:t>Ieee</w:t>
      </w:r>
      <w:proofErr w:type="spellEnd"/>
      <w:r w:rsidRPr="00554A45">
        <w:rPr>
          <w:rFonts w:cs="Times New Roman"/>
          <w:i/>
          <w:iCs/>
          <w:color w:val="222222"/>
          <w:szCs w:val="24"/>
          <w:highlight w:val="yellow"/>
          <w:shd w:val="clear" w:color="auto" w:fill="FFFFFF"/>
        </w:rPr>
        <w:t xml:space="preserve"> Access</w:t>
      </w:r>
      <w:r w:rsidRPr="00554A45">
        <w:rPr>
          <w:rFonts w:cs="Times New Roman"/>
          <w:color w:val="222222"/>
          <w:szCs w:val="24"/>
          <w:highlight w:val="yellow"/>
          <w:shd w:val="clear" w:color="auto" w:fill="FFFFFF"/>
        </w:rPr>
        <w:t>, 8, pp.62478-62494.</w:t>
      </w:r>
    </w:p>
    <w:p w14:paraId="17ECCE4A" w14:textId="77777777" w:rsidR="00554A45" w:rsidRPr="00FD5AD5" w:rsidRDefault="00554A45" w:rsidP="00A83855">
      <w:pPr>
        <w:ind w:left="720" w:hanging="720"/>
        <w:rPr>
          <w:rFonts w:cs="Times New Roman"/>
          <w:color w:val="222222"/>
          <w:szCs w:val="24"/>
          <w:shd w:val="clear" w:color="auto" w:fill="FFFFFF"/>
          <w:lang w:val="en-GB"/>
        </w:rPr>
      </w:pPr>
      <w:proofErr w:type="spellStart"/>
      <w:r w:rsidRPr="00FD5AD5">
        <w:rPr>
          <w:rFonts w:cs="Times New Roman"/>
          <w:color w:val="222222"/>
          <w:szCs w:val="24"/>
          <w:shd w:val="clear" w:color="auto" w:fill="FFFFFF"/>
          <w:lang w:val="en-GB"/>
        </w:rPr>
        <w:t>Chenic</w:t>
      </w:r>
      <w:proofErr w:type="spellEnd"/>
      <w:r w:rsidRPr="00FD5AD5">
        <w:rPr>
          <w:rFonts w:cs="Times New Roman"/>
          <w:color w:val="222222"/>
          <w:szCs w:val="24"/>
          <w:shd w:val="clear" w:color="auto" w:fill="FFFFFF"/>
          <w:lang w:val="en-GB"/>
        </w:rPr>
        <w:t xml:space="preserve">, A.Ș., </w:t>
      </w:r>
      <w:proofErr w:type="spellStart"/>
      <w:r w:rsidRPr="00FD5AD5">
        <w:rPr>
          <w:rFonts w:cs="Times New Roman"/>
          <w:color w:val="222222"/>
          <w:szCs w:val="24"/>
          <w:shd w:val="clear" w:color="auto" w:fill="FFFFFF"/>
          <w:lang w:val="en-GB"/>
        </w:rPr>
        <w:t>Cretu</w:t>
      </w:r>
      <w:proofErr w:type="spellEnd"/>
      <w:r w:rsidRPr="00FD5AD5">
        <w:rPr>
          <w:rFonts w:cs="Times New Roman"/>
          <w:color w:val="222222"/>
          <w:szCs w:val="24"/>
          <w:shd w:val="clear" w:color="auto" w:fill="FFFFFF"/>
          <w:lang w:val="en-GB"/>
        </w:rPr>
        <w:t xml:space="preserve">, A.I., Burlacu, A., Moroianu, N., </w:t>
      </w:r>
      <w:proofErr w:type="spellStart"/>
      <w:r w:rsidRPr="00FD5AD5">
        <w:rPr>
          <w:rFonts w:cs="Times New Roman"/>
          <w:color w:val="222222"/>
          <w:szCs w:val="24"/>
          <w:shd w:val="clear" w:color="auto" w:fill="FFFFFF"/>
          <w:lang w:val="en-GB"/>
        </w:rPr>
        <w:t>Vîrjan</w:t>
      </w:r>
      <w:proofErr w:type="spellEnd"/>
      <w:r w:rsidRPr="00FD5AD5">
        <w:rPr>
          <w:rFonts w:cs="Times New Roman"/>
          <w:color w:val="222222"/>
          <w:szCs w:val="24"/>
          <w:shd w:val="clear" w:color="auto" w:fill="FFFFFF"/>
          <w:lang w:val="en-GB"/>
        </w:rPr>
        <w:t xml:space="preserve">, D., Huru, D., </w:t>
      </w:r>
      <w:proofErr w:type="spellStart"/>
      <w:r w:rsidRPr="00FD5AD5">
        <w:rPr>
          <w:rFonts w:cs="Times New Roman"/>
          <w:color w:val="222222"/>
          <w:szCs w:val="24"/>
          <w:shd w:val="clear" w:color="auto" w:fill="FFFFFF"/>
          <w:lang w:val="en-GB"/>
        </w:rPr>
        <w:t>Stanef-Puica</w:t>
      </w:r>
      <w:proofErr w:type="spellEnd"/>
      <w:r w:rsidRPr="00FD5AD5">
        <w:rPr>
          <w:rFonts w:cs="Times New Roman"/>
          <w:color w:val="222222"/>
          <w:szCs w:val="24"/>
          <w:shd w:val="clear" w:color="auto" w:fill="FFFFFF"/>
          <w:lang w:val="en-GB"/>
        </w:rPr>
        <w:t xml:space="preserve">, M.R. and </w:t>
      </w:r>
      <w:proofErr w:type="spellStart"/>
      <w:r w:rsidRPr="00FD5AD5">
        <w:rPr>
          <w:rFonts w:cs="Times New Roman"/>
          <w:color w:val="222222"/>
          <w:szCs w:val="24"/>
          <w:shd w:val="clear" w:color="auto" w:fill="FFFFFF"/>
          <w:lang w:val="en-GB"/>
        </w:rPr>
        <w:t>Enachescu</w:t>
      </w:r>
      <w:proofErr w:type="spellEnd"/>
      <w:r w:rsidRPr="00FD5AD5">
        <w:rPr>
          <w:rFonts w:cs="Times New Roman"/>
          <w:color w:val="222222"/>
          <w:szCs w:val="24"/>
          <w:shd w:val="clear" w:color="auto" w:fill="FFFFFF"/>
          <w:lang w:val="en-GB"/>
        </w:rPr>
        <w:t>, V. (2022) ‘Logical analysis on the strategy for a sustainable transition of the world to green energy—2050’, Smart cities and villages coupled to renewable energy sources with low carbon footprint. Sustainability, 14(14), p.8622.</w:t>
      </w:r>
    </w:p>
    <w:p w14:paraId="72B2A514" w14:textId="77777777" w:rsidR="00554A45" w:rsidRPr="00554A45" w:rsidRDefault="00554A45" w:rsidP="00554A45">
      <w:pPr>
        <w:ind w:left="720" w:hanging="720"/>
        <w:rPr>
          <w:rFonts w:cs="Times New Roman"/>
          <w:color w:val="222222"/>
          <w:szCs w:val="24"/>
          <w:highlight w:val="yellow"/>
          <w:shd w:val="clear" w:color="auto" w:fill="FFFFFF"/>
        </w:rPr>
      </w:pPr>
      <w:r w:rsidRPr="00554A45">
        <w:rPr>
          <w:rFonts w:cs="Times New Roman"/>
          <w:color w:val="222222"/>
          <w:szCs w:val="24"/>
          <w:highlight w:val="yellow"/>
          <w:shd w:val="clear" w:color="auto" w:fill="FFFFFF"/>
        </w:rPr>
        <w:t xml:space="preserve">Clarissia, S.M.S. (2020) ‘A study on Ansoff Matrix Technique: As a growth strategy and an adaptive learning technique adopted in the leading brand of products’, </w:t>
      </w:r>
      <w:r w:rsidRPr="00554A45">
        <w:rPr>
          <w:rFonts w:cs="Times New Roman"/>
          <w:i/>
          <w:iCs/>
          <w:color w:val="222222"/>
          <w:szCs w:val="24"/>
          <w:highlight w:val="yellow"/>
          <w:shd w:val="clear" w:color="auto" w:fill="FFFFFF"/>
        </w:rPr>
        <w:t>BIMS Journal of Management</w:t>
      </w:r>
      <w:r w:rsidRPr="00554A45">
        <w:rPr>
          <w:rFonts w:cs="Times New Roman"/>
          <w:color w:val="222222"/>
          <w:szCs w:val="24"/>
          <w:highlight w:val="yellow"/>
          <w:shd w:val="clear" w:color="auto" w:fill="FFFFFF"/>
        </w:rPr>
        <w:t>, </w:t>
      </w:r>
      <w:r w:rsidRPr="00554A45">
        <w:rPr>
          <w:rFonts w:cs="Times New Roman"/>
          <w:i/>
          <w:iCs/>
          <w:color w:val="222222"/>
          <w:szCs w:val="24"/>
          <w:highlight w:val="yellow"/>
          <w:shd w:val="clear" w:color="auto" w:fill="FFFFFF"/>
        </w:rPr>
        <w:t>18</w:t>
      </w:r>
      <w:r w:rsidRPr="00554A45">
        <w:rPr>
          <w:rFonts w:cs="Times New Roman"/>
          <w:color w:val="222222"/>
          <w:szCs w:val="24"/>
          <w:highlight w:val="yellow"/>
          <w:shd w:val="clear" w:color="auto" w:fill="FFFFFF"/>
        </w:rPr>
        <w:t>.</w:t>
      </w:r>
    </w:p>
    <w:p w14:paraId="4A73D2F2" w14:textId="77777777" w:rsidR="00554A45" w:rsidRPr="00554A45" w:rsidRDefault="00554A45" w:rsidP="00554A45">
      <w:pPr>
        <w:ind w:left="720" w:hanging="720"/>
        <w:rPr>
          <w:rFonts w:cs="Times New Roman"/>
          <w:color w:val="222222"/>
          <w:szCs w:val="24"/>
          <w:highlight w:val="yellow"/>
          <w:shd w:val="clear" w:color="auto" w:fill="FFFFFF"/>
        </w:rPr>
      </w:pPr>
      <w:r w:rsidRPr="00554A45">
        <w:rPr>
          <w:rFonts w:cs="Times New Roman"/>
          <w:color w:val="222222"/>
          <w:szCs w:val="24"/>
          <w:highlight w:val="yellow"/>
          <w:shd w:val="clear" w:color="auto" w:fill="FFFFFF"/>
        </w:rPr>
        <w:t xml:space="preserve">Daniluk, P. (2021) ‘Strategic analysis of energy security. methodological aspects of the scenario approach’, </w:t>
      </w:r>
      <w:r w:rsidRPr="00554A45">
        <w:rPr>
          <w:rFonts w:cs="Times New Roman"/>
          <w:i/>
          <w:iCs/>
          <w:color w:val="222222"/>
          <w:szCs w:val="24"/>
          <w:highlight w:val="yellow"/>
          <w:shd w:val="clear" w:color="auto" w:fill="FFFFFF"/>
        </w:rPr>
        <w:t>Energies</w:t>
      </w:r>
      <w:r w:rsidRPr="00554A45">
        <w:rPr>
          <w:rFonts w:cs="Times New Roman"/>
          <w:color w:val="222222"/>
          <w:szCs w:val="24"/>
          <w:highlight w:val="yellow"/>
          <w:shd w:val="clear" w:color="auto" w:fill="FFFFFF"/>
        </w:rPr>
        <w:t>, 14(15), p.4639.</w:t>
      </w:r>
    </w:p>
    <w:p w14:paraId="5870704B" w14:textId="77777777" w:rsidR="00554A45" w:rsidRPr="00554A45" w:rsidRDefault="00554A45" w:rsidP="00554A45">
      <w:pPr>
        <w:ind w:left="720" w:hanging="720"/>
        <w:rPr>
          <w:rFonts w:cs="Times New Roman"/>
          <w:color w:val="222222"/>
          <w:szCs w:val="24"/>
          <w:highlight w:val="yellow"/>
          <w:shd w:val="clear" w:color="auto" w:fill="FFFFFF"/>
        </w:rPr>
      </w:pPr>
      <w:r w:rsidRPr="00554A45">
        <w:rPr>
          <w:rFonts w:cs="Times New Roman"/>
          <w:color w:val="222222"/>
          <w:szCs w:val="24"/>
          <w:highlight w:val="yellow"/>
          <w:shd w:val="clear" w:color="auto" w:fill="FFFFFF"/>
        </w:rPr>
        <w:t xml:space="preserve">Firoz Suleman, M., </w:t>
      </w:r>
      <w:proofErr w:type="spellStart"/>
      <w:r w:rsidRPr="00554A45">
        <w:rPr>
          <w:rFonts w:cs="Times New Roman"/>
          <w:color w:val="222222"/>
          <w:szCs w:val="24"/>
          <w:highlight w:val="yellow"/>
          <w:shd w:val="clear" w:color="auto" w:fill="FFFFFF"/>
        </w:rPr>
        <w:t>Rashidirad</w:t>
      </w:r>
      <w:proofErr w:type="spellEnd"/>
      <w:r w:rsidRPr="00554A45">
        <w:rPr>
          <w:rFonts w:cs="Times New Roman"/>
          <w:color w:val="222222"/>
          <w:szCs w:val="24"/>
          <w:highlight w:val="yellow"/>
          <w:shd w:val="clear" w:color="auto" w:fill="FFFFFF"/>
        </w:rPr>
        <w:t>, M. and Firoz Suleman, S. (2019) ‘The applicability of Porter's generic strategies in pure online firms: A case study approach’, </w:t>
      </w:r>
      <w:r w:rsidRPr="00554A45">
        <w:rPr>
          <w:rFonts w:cs="Times New Roman"/>
          <w:i/>
          <w:iCs/>
          <w:color w:val="222222"/>
          <w:szCs w:val="24"/>
          <w:highlight w:val="yellow"/>
          <w:shd w:val="clear" w:color="auto" w:fill="FFFFFF"/>
        </w:rPr>
        <w:t>Strategic Change</w:t>
      </w:r>
      <w:r w:rsidRPr="00554A45">
        <w:rPr>
          <w:rFonts w:cs="Times New Roman"/>
          <w:color w:val="222222"/>
          <w:szCs w:val="24"/>
          <w:highlight w:val="yellow"/>
          <w:shd w:val="clear" w:color="auto" w:fill="FFFFFF"/>
        </w:rPr>
        <w:t>, 28(3), pp.167-176.</w:t>
      </w:r>
    </w:p>
    <w:p w14:paraId="6C90DA0A" w14:textId="77777777" w:rsidR="00554A45" w:rsidRPr="00554A45" w:rsidRDefault="00554A45" w:rsidP="00554A45">
      <w:pPr>
        <w:ind w:left="720" w:hanging="720"/>
        <w:rPr>
          <w:rFonts w:cs="Times New Roman"/>
          <w:color w:val="222222"/>
          <w:szCs w:val="24"/>
          <w:highlight w:val="yellow"/>
          <w:shd w:val="clear" w:color="auto" w:fill="FFFFFF"/>
        </w:rPr>
      </w:pPr>
      <w:proofErr w:type="spellStart"/>
      <w:r w:rsidRPr="00554A45">
        <w:rPr>
          <w:rFonts w:cs="Times New Roman"/>
          <w:color w:val="222222"/>
          <w:szCs w:val="24"/>
          <w:highlight w:val="yellow"/>
          <w:shd w:val="clear" w:color="auto" w:fill="FFFFFF"/>
        </w:rPr>
        <w:t>Gereffi</w:t>
      </w:r>
      <w:proofErr w:type="spellEnd"/>
      <w:r w:rsidRPr="00554A45">
        <w:rPr>
          <w:rFonts w:cs="Times New Roman"/>
          <w:color w:val="222222"/>
          <w:szCs w:val="24"/>
          <w:highlight w:val="yellow"/>
          <w:shd w:val="clear" w:color="auto" w:fill="FFFFFF"/>
        </w:rPr>
        <w:t>, G. (2018) ‘</w:t>
      </w:r>
      <w:r w:rsidRPr="00554A45">
        <w:rPr>
          <w:rFonts w:cs="Times New Roman"/>
          <w:i/>
          <w:iCs/>
          <w:color w:val="222222"/>
          <w:szCs w:val="24"/>
          <w:highlight w:val="yellow"/>
          <w:shd w:val="clear" w:color="auto" w:fill="FFFFFF"/>
        </w:rPr>
        <w:t>Global value chains and development: Redefining the contours of 21st century capitalism</w:t>
      </w:r>
      <w:r w:rsidRPr="00554A45">
        <w:rPr>
          <w:rFonts w:cs="Times New Roman"/>
          <w:color w:val="222222"/>
          <w:szCs w:val="24"/>
          <w:highlight w:val="yellow"/>
          <w:shd w:val="clear" w:color="auto" w:fill="FFFFFF"/>
        </w:rPr>
        <w:t>’, Cambridge University Press.</w:t>
      </w:r>
    </w:p>
    <w:p w14:paraId="0C09A7F3" w14:textId="77777777" w:rsidR="00554A45" w:rsidRPr="00554A45" w:rsidRDefault="00554A45" w:rsidP="00554A45">
      <w:pPr>
        <w:ind w:left="720" w:hanging="720"/>
        <w:rPr>
          <w:rFonts w:cs="Times New Roman"/>
          <w:color w:val="222222"/>
          <w:szCs w:val="24"/>
          <w:highlight w:val="yellow"/>
          <w:shd w:val="clear" w:color="auto" w:fill="FFFFFF"/>
        </w:rPr>
      </w:pPr>
      <w:r w:rsidRPr="00554A45">
        <w:rPr>
          <w:rFonts w:cs="Times New Roman"/>
          <w:color w:val="222222"/>
          <w:szCs w:val="24"/>
          <w:highlight w:val="yellow"/>
          <w:shd w:val="clear" w:color="auto" w:fill="FFFFFF"/>
        </w:rPr>
        <w:lastRenderedPageBreak/>
        <w:t xml:space="preserve">Gomes, G.C.V., do Socorro Simões, M., Lin, S.M., </w:t>
      </w:r>
      <w:proofErr w:type="spellStart"/>
      <w:r w:rsidRPr="00554A45">
        <w:rPr>
          <w:rFonts w:cs="Times New Roman"/>
          <w:color w:val="222222"/>
          <w:szCs w:val="24"/>
          <w:highlight w:val="yellow"/>
          <w:shd w:val="clear" w:color="auto" w:fill="FFFFFF"/>
        </w:rPr>
        <w:t>Bacha</w:t>
      </w:r>
      <w:proofErr w:type="spellEnd"/>
      <w:r w:rsidRPr="00554A45">
        <w:rPr>
          <w:rFonts w:cs="Times New Roman"/>
          <w:color w:val="222222"/>
          <w:szCs w:val="24"/>
          <w:highlight w:val="yellow"/>
          <w:shd w:val="clear" w:color="auto" w:fill="FFFFFF"/>
        </w:rPr>
        <w:t xml:space="preserve">, J.M.R., </w:t>
      </w:r>
      <w:proofErr w:type="spellStart"/>
      <w:r w:rsidRPr="00554A45">
        <w:rPr>
          <w:rFonts w:cs="Times New Roman"/>
          <w:color w:val="222222"/>
          <w:szCs w:val="24"/>
          <w:highlight w:val="yellow"/>
          <w:shd w:val="clear" w:color="auto" w:fill="FFFFFF"/>
        </w:rPr>
        <w:t>Viveiro</w:t>
      </w:r>
      <w:proofErr w:type="spellEnd"/>
      <w:r w:rsidRPr="00554A45">
        <w:rPr>
          <w:rFonts w:cs="Times New Roman"/>
          <w:color w:val="222222"/>
          <w:szCs w:val="24"/>
          <w:highlight w:val="yellow"/>
          <w:shd w:val="clear" w:color="auto" w:fill="FFFFFF"/>
        </w:rPr>
        <w:t xml:space="preserve">, L.A.P., </w:t>
      </w:r>
      <w:proofErr w:type="spellStart"/>
      <w:r w:rsidRPr="00554A45">
        <w:rPr>
          <w:rFonts w:cs="Times New Roman"/>
          <w:color w:val="222222"/>
          <w:szCs w:val="24"/>
          <w:highlight w:val="yellow"/>
          <w:shd w:val="clear" w:color="auto" w:fill="FFFFFF"/>
        </w:rPr>
        <w:t>Varise</w:t>
      </w:r>
      <w:proofErr w:type="spellEnd"/>
      <w:r w:rsidRPr="00554A45">
        <w:rPr>
          <w:rFonts w:cs="Times New Roman"/>
          <w:color w:val="222222"/>
          <w:szCs w:val="24"/>
          <w:highlight w:val="yellow"/>
          <w:shd w:val="clear" w:color="auto" w:fill="FFFFFF"/>
        </w:rPr>
        <w:t>, E.M., Junior, N.C., Lange, B., Jacob Filho, W. and Pompeu, J.E. (2018</w:t>
      </w:r>
      <w:proofErr w:type="gramStart"/>
      <w:r w:rsidRPr="00554A45">
        <w:rPr>
          <w:rFonts w:cs="Times New Roman"/>
          <w:color w:val="222222"/>
          <w:szCs w:val="24"/>
          <w:highlight w:val="yellow"/>
          <w:shd w:val="clear" w:color="auto" w:fill="FFFFFF"/>
        </w:rPr>
        <w:t>)  Feasibility</w:t>
      </w:r>
      <w:proofErr w:type="gramEnd"/>
      <w:r w:rsidRPr="00554A45">
        <w:rPr>
          <w:rFonts w:cs="Times New Roman"/>
          <w:color w:val="222222"/>
          <w:szCs w:val="24"/>
          <w:highlight w:val="yellow"/>
          <w:shd w:val="clear" w:color="auto" w:fill="FFFFFF"/>
        </w:rPr>
        <w:t xml:space="preserve">, safety, acceptability, and functional outcomes of playing Nintendo Wii Fit </w:t>
      </w:r>
      <w:proofErr w:type="spellStart"/>
      <w:r w:rsidRPr="00554A45">
        <w:rPr>
          <w:rFonts w:cs="Times New Roman"/>
          <w:color w:val="222222"/>
          <w:szCs w:val="24"/>
          <w:highlight w:val="yellow"/>
          <w:shd w:val="clear" w:color="auto" w:fill="FFFFFF"/>
        </w:rPr>
        <w:t>PlusTM</w:t>
      </w:r>
      <w:proofErr w:type="spellEnd"/>
      <w:r w:rsidRPr="00554A45">
        <w:rPr>
          <w:rFonts w:cs="Times New Roman"/>
          <w:color w:val="222222"/>
          <w:szCs w:val="24"/>
          <w:highlight w:val="yellow"/>
          <w:shd w:val="clear" w:color="auto" w:fill="FFFFFF"/>
        </w:rPr>
        <w:t xml:space="preserve"> for frail older adults: A randomized feasibility clinical trial. </w:t>
      </w:r>
      <w:proofErr w:type="spellStart"/>
      <w:r w:rsidRPr="00554A45">
        <w:rPr>
          <w:rFonts w:cs="Times New Roman"/>
          <w:i/>
          <w:iCs/>
          <w:color w:val="222222"/>
          <w:szCs w:val="24"/>
          <w:highlight w:val="yellow"/>
          <w:shd w:val="clear" w:color="auto" w:fill="FFFFFF"/>
        </w:rPr>
        <w:t>Maturitas</w:t>
      </w:r>
      <w:proofErr w:type="spellEnd"/>
      <w:r w:rsidRPr="00554A45">
        <w:rPr>
          <w:rFonts w:cs="Times New Roman"/>
          <w:color w:val="222222"/>
          <w:szCs w:val="24"/>
          <w:highlight w:val="yellow"/>
          <w:shd w:val="clear" w:color="auto" w:fill="FFFFFF"/>
        </w:rPr>
        <w:t>, 118, pp.20-28.</w:t>
      </w:r>
    </w:p>
    <w:p w14:paraId="697CC18F" w14:textId="77777777" w:rsidR="00554A45" w:rsidRPr="00554A45" w:rsidRDefault="00554A45" w:rsidP="00554A45">
      <w:pPr>
        <w:ind w:left="720" w:hanging="720"/>
        <w:rPr>
          <w:rFonts w:cs="Times New Roman"/>
          <w:color w:val="222222"/>
          <w:szCs w:val="24"/>
          <w:highlight w:val="yellow"/>
          <w:shd w:val="clear" w:color="auto" w:fill="FFFFFF"/>
        </w:rPr>
      </w:pPr>
      <w:r w:rsidRPr="00554A45">
        <w:rPr>
          <w:rFonts w:cs="Times New Roman"/>
          <w:color w:val="222222"/>
          <w:szCs w:val="24"/>
          <w:highlight w:val="yellow"/>
          <w:shd w:val="clear" w:color="auto" w:fill="FFFFFF"/>
        </w:rPr>
        <w:t xml:space="preserve">Hahn, G.J. (2020) ‘Industry 4.0: a supply chain innovation perspective’, </w:t>
      </w:r>
      <w:r w:rsidRPr="00554A45">
        <w:rPr>
          <w:rFonts w:cs="Times New Roman"/>
          <w:i/>
          <w:iCs/>
          <w:color w:val="222222"/>
          <w:szCs w:val="24"/>
          <w:highlight w:val="yellow"/>
          <w:shd w:val="clear" w:color="auto" w:fill="FFFFFF"/>
        </w:rPr>
        <w:t>International Journal of Production Research</w:t>
      </w:r>
      <w:r w:rsidRPr="00554A45">
        <w:rPr>
          <w:rFonts w:cs="Times New Roman"/>
          <w:color w:val="222222"/>
          <w:szCs w:val="24"/>
          <w:highlight w:val="yellow"/>
          <w:shd w:val="clear" w:color="auto" w:fill="FFFFFF"/>
        </w:rPr>
        <w:t>, 58(5), pp.1425-1441.</w:t>
      </w:r>
    </w:p>
    <w:p w14:paraId="721A7233" w14:textId="77777777" w:rsidR="00554A45" w:rsidRPr="00554A45" w:rsidRDefault="00554A45" w:rsidP="00554A45">
      <w:pPr>
        <w:ind w:left="720" w:hanging="720"/>
        <w:rPr>
          <w:rFonts w:cs="Times New Roman"/>
          <w:color w:val="222222"/>
          <w:szCs w:val="24"/>
          <w:highlight w:val="yellow"/>
          <w:shd w:val="clear" w:color="auto" w:fill="FFFFFF"/>
        </w:rPr>
      </w:pPr>
      <w:r w:rsidRPr="00554A45">
        <w:rPr>
          <w:rFonts w:cs="Times New Roman"/>
          <w:color w:val="222222"/>
          <w:szCs w:val="24"/>
          <w:highlight w:val="yellow"/>
          <w:shd w:val="clear" w:color="auto" w:fill="FFFFFF"/>
        </w:rPr>
        <w:t>Hugos, M.H. (2024) ‘</w:t>
      </w:r>
      <w:r w:rsidRPr="00554A45">
        <w:rPr>
          <w:rFonts w:cs="Times New Roman"/>
          <w:i/>
          <w:iCs/>
          <w:color w:val="222222"/>
          <w:szCs w:val="24"/>
          <w:highlight w:val="yellow"/>
          <w:shd w:val="clear" w:color="auto" w:fill="FFFFFF"/>
        </w:rPr>
        <w:t>Essentials of supply chain management</w:t>
      </w:r>
      <w:r w:rsidRPr="00554A45">
        <w:rPr>
          <w:rFonts w:cs="Times New Roman"/>
          <w:color w:val="222222"/>
          <w:szCs w:val="24"/>
          <w:highlight w:val="yellow"/>
          <w:shd w:val="clear" w:color="auto" w:fill="FFFFFF"/>
        </w:rPr>
        <w:t>’, John Wiley &amp; Sons.</w:t>
      </w:r>
    </w:p>
    <w:p w14:paraId="7B9BF3E7" w14:textId="77777777" w:rsidR="00554A45" w:rsidRPr="00554A45" w:rsidRDefault="00554A45" w:rsidP="00554A45">
      <w:pPr>
        <w:ind w:left="720" w:hanging="720"/>
        <w:rPr>
          <w:rFonts w:cs="Times New Roman"/>
          <w:color w:val="222222"/>
          <w:szCs w:val="24"/>
          <w:highlight w:val="yellow"/>
          <w:shd w:val="clear" w:color="auto" w:fill="FFFFFF"/>
        </w:rPr>
      </w:pPr>
      <w:r w:rsidRPr="00554A45">
        <w:rPr>
          <w:rFonts w:cs="Times New Roman"/>
          <w:color w:val="222222"/>
          <w:szCs w:val="24"/>
          <w:highlight w:val="yellow"/>
          <w:shd w:val="clear" w:color="auto" w:fill="FFFFFF"/>
        </w:rPr>
        <w:t xml:space="preserve">Islami, X., Mustafa, N. and </w:t>
      </w:r>
      <w:proofErr w:type="spellStart"/>
      <w:r w:rsidRPr="00554A45">
        <w:rPr>
          <w:rFonts w:cs="Times New Roman"/>
          <w:color w:val="222222"/>
          <w:szCs w:val="24"/>
          <w:highlight w:val="yellow"/>
          <w:shd w:val="clear" w:color="auto" w:fill="FFFFFF"/>
        </w:rPr>
        <w:t>Topuzovska</w:t>
      </w:r>
      <w:proofErr w:type="spellEnd"/>
      <w:r w:rsidRPr="00554A45">
        <w:rPr>
          <w:rFonts w:cs="Times New Roman"/>
          <w:color w:val="222222"/>
          <w:szCs w:val="24"/>
          <w:highlight w:val="yellow"/>
          <w:shd w:val="clear" w:color="auto" w:fill="FFFFFF"/>
        </w:rPr>
        <w:t xml:space="preserve"> </w:t>
      </w:r>
      <w:proofErr w:type="spellStart"/>
      <w:r w:rsidRPr="00554A45">
        <w:rPr>
          <w:rFonts w:cs="Times New Roman"/>
          <w:color w:val="222222"/>
          <w:szCs w:val="24"/>
          <w:highlight w:val="yellow"/>
          <w:shd w:val="clear" w:color="auto" w:fill="FFFFFF"/>
        </w:rPr>
        <w:t>Latkovikj</w:t>
      </w:r>
      <w:proofErr w:type="spellEnd"/>
      <w:r w:rsidRPr="00554A45">
        <w:rPr>
          <w:rFonts w:cs="Times New Roman"/>
          <w:color w:val="222222"/>
          <w:szCs w:val="24"/>
          <w:highlight w:val="yellow"/>
          <w:shd w:val="clear" w:color="auto" w:fill="FFFFFF"/>
        </w:rPr>
        <w:t xml:space="preserve">, M. (2020) ‘Linking Porter’s generic strategies to firm performance’, </w:t>
      </w:r>
      <w:r w:rsidRPr="00554A45">
        <w:rPr>
          <w:rFonts w:cs="Times New Roman"/>
          <w:i/>
          <w:iCs/>
          <w:color w:val="222222"/>
          <w:szCs w:val="24"/>
          <w:highlight w:val="yellow"/>
          <w:shd w:val="clear" w:color="auto" w:fill="FFFFFF"/>
        </w:rPr>
        <w:t>Future Business Journal</w:t>
      </w:r>
      <w:r w:rsidRPr="00554A45">
        <w:rPr>
          <w:rFonts w:cs="Times New Roman"/>
          <w:color w:val="222222"/>
          <w:szCs w:val="24"/>
          <w:highlight w:val="yellow"/>
          <w:shd w:val="clear" w:color="auto" w:fill="FFFFFF"/>
        </w:rPr>
        <w:t>, 6, pp.1-15.</w:t>
      </w:r>
    </w:p>
    <w:p w14:paraId="28E8DBFB" w14:textId="77777777" w:rsidR="00554A45" w:rsidRPr="00554A45" w:rsidRDefault="00554A45" w:rsidP="00554A45">
      <w:pPr>
        <w:ind w:left="720" w:hanging="720"/>
        <w:rPr>
          <w:rFonts w:cs="Times New Roman"/>
          <w:color w:val="222222"/>
          <w:szCs w:val="24"/>
          <w:highlight w:val="yellow"/>
          <w:shd w:val="clear" w:color="auto" w:fill="FFFFFF"/>
        </w:rPr>
      </w:pPr>
      <w:r w:rsidRPr="00554A45">
        <w:rPr>
          <w:rFonts w:cs="Times New Roman"/>
          <w:color w:val="222222"/>
          <w:szCs w:val="24"/>
          <w:highlight w:val="yellow"/>
          <w:shd w:val="clear" w:color="auto" w:fill="FFFFFF"/>
        </w:rPr>
        <w:t xml:space="preserve">Ismail, S.J., Hardy, K., Tunis, M.C., Young, K., Sicard, N. and Quach, C. (2020) ‘A framework for the systematic consideration of ethics, equity, feasibility, and acceptability in vaccine program recommendations’, </w:t>
      </w:r>
      <w:r w:rsidRPr="00554A45">
        <w:rPr>
          <w:rFonts w:cs="Times New Roman"/>
          <w:i/>
          <w:iCs/>
          <w:color w:val="222222"/>
          <w:szCs w:val="24"/>
          <w:highlight w:val="yellow"/>
          <w:shd w:val="clear" w:color="auto" w:fill="FFFFFF"/>
        </w:rPr>
        <w:t>Vaccine</w:t>
      </w:r>
      <w:r w:rsidRPr="00554A45">
        <w:rPr>
          <w:rFonts w:cs="Times New Roman"/>
          <w:color w:val="222222"/>
          <w:szCs w:val="24"/>
          <w:highlight w:val="yellow"/>
          <w:shd w:val="clear" w:color="auto" w:fill="FFFFFF"/>
        </w:rPr>
        <w:t>, 38(36), pp.5861-5876.</w:t>
      </w:r>
    </w:p>
    <w:p w14:paraId="084BF7CA" w14:textId="77777777" w:rsidR="00554A45" w:rsidRPr="00FD5AD5" w:rsidRDefault="00554A45" w:rsidP="00A83855">
      <w:pPr>
        <w:ind w:left="720" w:hanging="720"/>
        <w:rPr>
          <w:rFonts w:cs="Times New Roman"/>
          <w:color w:val="222222"/>
          <w:szCs w:val="24"/>
          <w:shd w:val="clear" w:color="auto" w:fill="FFFFFF"/>
          <w:lang w:val="en-GB"/>
        </w:rPr>
      </w:pPr>
      <w:r w:rsidRPr="00FD5AD5">
        <w:rPr>
          <w:rFonts w:cs="Times New Roman"/>
          <w:color w:val="222222"/>
          <w:szCs w:val="24"/>
          <w:shd w:val="clear" w:color="auto" w:fill="FFFFFF"/>
          <w:lang w:val="en-GB"/>
        </w:rPr>
        <w:t>Kalam, K.K. (2021) ‘The Effects of Mergers &amp; Acquisitions on Financial Performance: Case Study of Acquisition of BG Group by Royal Dutch Shell’, </w:t>
      </w:r>
      <w:r w:rsidRPr="00FD5AD5">
        <w:rPr>
          <w:rFonts w:cs="Times New Roman"/>
          <w:i/>
          <w:iCs/>
          <w:color w:val="222222"/>
          <w:szCs w:val="24"/>
          <w:shd w:val="clear" w:color="auto" w:fill="FFFFFF"/>
          <w:lang w:val="en-GB"/>
        </w:rPr>
        <w:t>Open Access Library Journal</w:t>
      </w:r>
      <w:r w:rsidRPr="00FD5AD5">
        <w:rPr>
          <w:rFonts w:cs="Times New Roman"/>
          <w:color w:val="222222"/>
          <w:szCs w:val="24"/>
          <w:shd w:val="clear" w:color="auto" w:fill="FFFFFF"/>
          <w:lang w:val="en-GB"/>
        </w:rPr>
        <w:t xml:space="preserve">, 8(3), pp.1-21. Retrieved from </w:t>
      </w:r>
      <w:hyperlink r:id="rId16" w:history="1">
        <w:r w:rsidRPr="00FD5AD5">
          <w:rPr>
            <w:rStyle w:val="Hyperlink"/>
            <w:rFonts w:cs="Times New Roman"/>
            <w:color w:val="0070C0"/>
            <w:szCs w:val="24"/>
            <w:shd w:val="clear" w:color="auto" w:fill="FFFFFF"/>
            <w:lang w:val="en-GB"/>
          </w:rPr>
          <w:t>https://samples.freshessays.com/corporate-strategy-positioning-and-scope-strategic-planning-at-royal-dutch-shell.html</w:t>
        </w:r>
      </w:hyperlink>
    </w:p>
    <w:p w14:paraId="656DBE6C" w14:textId="77777777" w:rsidR="00554A45" w:rsidRPr="00554A45" w:rsidRDefault="00554A45" w:rsidP="00554A45">
      <w:pPr>
        <w:ind w:left="720" w:hanging="720"/>
        <w:rPr>
          <w:rFonts w:cs="Times New Roman"/>
          <w:color w:val="222222"/>
          <w:szCs w:val="24"/>
          <w:highlight w:val="yellow"/>
          <w:shd w:val="clear" w:color="auto" w:fill="FFFFFF"/>
        </w:rPr>
      </w:pPr>
      <w:proofErr w:type="spellStart"/>
      <w:r w:rsidRPr="00554A45">
        <w:rPr>
          <w:rFonts w:cs="Times New Roman"/>
          <w:color w:val="222222"/>
          <w:szCs w:val="24"/>
          <w:highlight w:val="yellow"/>
          <w:shd w:val="clear" w:color="auto" w:fill="FFFFFF"/>
        </w:rPr>
        <w:t>Khajezadeh</w:t>
      </w:r>
      <w:proofErr w:type="spellEnd"/>
      <w:r w:rsidRPr="00554A45">
        <w:rPr>
          <w:rFonts w:cs="Times New Roman"/>
          <w:color w:val="222222"/>
          <w:szCs w:val="24"/>
          <w:highlight w:val="yellow"/>
          <w:shd w:val="clear" w:color="auto" w:fill="FFFFFF"/>
        </w:rPr>
        <w:t xml:space="preserve">, M., </w:t>
      </w:r>
      <w:proofErr w:type="spellStart"/>
      <w:r w:rsidRPr="00554A45">
        <w:rPr>
          <w:rFonts w:cs="Times New Roman"/>
          <w:color w:val="222222"/>
          <w:szCs w:val="24"/>
          <w:highlight w:val="yellow"/>
          <w:shd w:val="clear" w:color="auto" w:fill="FFFFFF"/>
        </w:rPr>
        <w:t>Niasar</w:t>
      </w:r>
      <w:proofErr w:type="spellEnd"/>
      <w:r w:rsidRPr="00554A45">
        <w:rPr>
          <w:rFonts w:cs="Times New Roman"/>
          <w:color w:val="222222"/>
          <w:szCs w:val="24"/>
          <w:highlight w:val="yellow"/>
          <w:shd w:val="clear" w:color="auto" w:fill="FFFFFF"/>
        </w:rPr>
        <w:t xml:space="preserve">, M.S.F., </w:t>
      </w:r>
      <w:proofErr w:type="spellStart"/>
      <w:r w:rsidRPr="00554A45">
        <w:rPr>
          <w:rFonts w:cs="Times New Roman"/>
          <w:color w:val="222222"/>
          <w:szCs w:val="24"/>
          <w:highlight w:val="yellow"/>
          <w:shd w:val="clear" w:color="auto" w:fill="FFFFFF"/>
        </w:rPr>
        <w:t>Asli</w:t>
      </w:r>
      <w:proofErr w:type="spellEnd"/>
      <w:r w:rsidRPr="00554A45">
        <w:rPr>
          <w:rFonts w:cs="Times New Roman"/>
          <w:color w:val="222222"/>
          <w:szCs w:val="24"/>
          <w:highlight w:val="yellow"/>
          <w:shd w:val="clear" w:color="auto" w:fill="FFFFFF"/>
        </w:rPr>
        <w:t xml:space="preserve">, S.A., </w:t>
      </w:r>
      <w:proofErr w:type="spellStart"/>
      <w:r w:rsidRPr="00554A45">
        <w:rPr>
          <w:rFonts w:cs="Times New Roman"/>
          <w:color w:val="222222"/>
          <w:szCs w:val="24"/>
          <w:highlight w:val="yellow"/>
          <w:shd w:val="clear" w:color="auto" w:fill="FFFFFF"/>
        </w:rPr>
        <w:t>Davari</w:t>
      </w:r>
      <w:proofErr w:type="spellEnd"/>
      <w:r w:rsidRPr="00554A45">
        <w:rPr>
          <w:rFonts w:cs="Times New Roman"/>
          <w:color w:val="222222"/>
          <w:szCs w:val="24"/>
          <w:highlight w:val="yellow"/>
          <w:shd w:val="clear" w:color="auto" w:fill="FFFFFF"/>
        </w:rPr>
        <w:t xml:space="preserve">, D.D., </w:t>
      </w:r>
      <w:proofErr w:type="spellStart"/>
      <w:r w:rsidRPr="00554A45">
        <w:rPr>
          <w:rFonts w:cs="Times New Roman"/>
          <w:color w:val="222222"/>
          <w:szCs w:val="24"/>
          <w:highlight w:val="yellow"/>
          <w:shd w:val="clear" w:color="auto" w:fill="FFFFFF"/>
        </w:rPr>
        <w:t>Godarzi</w:t>
      </w:r>
      <w:proofErr w:type="spellEnd"/>
      <w:r w:rsidRPr="00554A45">
        <w:rPr>
          <w:rFonts w:cs="Times New Roman"/>
          <w:color w:val="222222"/>
          <w:szCs w:val="24"/>
          <w:highlight w:val="yellow"/>
          <w:shd w:val="clear" w:color="auto" w:fill="FFFFFF"/>
        </w:rPr>
        <w:t>, M. and Asgari, Y. (2019) ‘Application of neural network in portfolio product companies: Integration of Boston consulting group matrix and Ansoff matrix’, </w:t>
      </w:r>
      <w:r w:rsidRPr="00554A45">
        <w:rPr>
          <w:rFonts w:cs="Times New Roman"/>
          <w:i/>
          <w:iCs/>
          <w:color w:val="222222"/>
          <w:szCs w:val="24"/>
          <w:highlight w:val="yellow"/>
          <w:shd w:val="clear" w:color="auto" w:fill="FFFFFF"/>
        </w:rPr>
        <w:t>International Journal of Economics and Management Engineering</w:t>
      </w:r>
      <w:r w:rsidRPr="00554A45">
        <w:rPr>
          <w:rFonts w:cs="Times New Roman"/>
          <w:color w:val="222222"/>
          <w:szCs w:val="24"/>
          <w:highlight w:val="yellow"/>
          <w:shd w:val="clear" w:color="auto" w:fill="FFFFFF"/>
        </w:rPr>
        <w:t>, 13(6), pp.821-825.</w:t>
      </w:r>
    </w:p>
    <w:p w14:paraId="3E2F1E5C" w14:textId="77777777" w:rsidR="00554A45" w:rsidRPr="00FD5AD5" w:rsidRDefault="00554A45" w:rsidP="002D3113">
      <w:pPr>
        <w:ind w:left="720" w:hanging="720"/>
        <w:rPr>
          <w:rFonts w:cs="Times New Roman"/>
          <w:color w:val="222222"/>
          <w:szCs w:val="24"/>
          <w:shd w:val="clear" w:color="auto" w:fill="FFFFFF"/>
          <w:lang w:val="en-GB"/>
        </w:rPr>
      </w:pPr>
      <w:r w:rsidRPr="00FD5AD5">
        <w:rPr>
          <w:rFonts w:cs="Times New Roman"/>
          <w:color w:val="222222"/>
          <w:szCs w:val="24"/>
          <w:shd w:val="clear" w:color="auto" w:fill="FFFFFF"/>
          <w:lang w:val="en-GB"/>
        </w:rPr>
        <w:t xml:space="preserve">Patel, K.R. (2023) ‘Harmonizing Sustainability, Functionality, and Cost: Navigating Responsible Packaging Innovations in Modern Supply Chains’, </w:t>
      </w:r>
      <w:r w:rsidRPr="00FD5AD5">
        <w:rPr>
          <w:rFonts w:cs="Times New Roman"/>
          <w:i/>
          <w:iCs/>
          <w:color w:val="222222"/>
          <w:szCs w:val="24"/>
          <w:shd w:val="clear" w:color="auto" w:fill="FFFFFF"/>
          <w:lang w:val="en-GB"/>
        </w:rPr>
        <w:t>American Journal of Economic and Management Business (AJEMB)</w:t>
      </w:r>
      <w:r w:rsidRPr="00FD5AD5">
        <w:rPr>
          <w:rFonts w:cs="Times New Roman"/>
          <w:color w:val="222222"/>
          <w:szCs w:val="24"/>
          <w:shd w:val="clear" w:color="auto" w:fill="FFFFFF"/>
          <w:lang w:val="en-GB"/>
        </w:rPr>
        <w:t>, 2(8), pp.287-300.</w:t>
      </w:r>
    </w:p>
    <w:p w14:paraId="30AC8331" w14:textId="77777777" w:rsidR="00554A45" w:rsidRPr="00554A45" w:rsidRDefault="00554A45" w:rsidP="00554A45">
      <w:pPr>
        <w:ind w:left="720" w:hanging="720"/>
        <w:rPr>
          <w:rFonts w:cs="Times New Roman"/>
          <w:szCs w:val="24"/>
          <w:highlight w:val="yellow"/>
        </w:rPr>
      </w:pPr>
      <w:proofErr w:type="spellStart"/>
      <w:r w:rsidRPr="00554A45">
        <w:rPr>
          <w:rFonts w:cs="Times New Roman"/>
          <w:color w:val="222222"/>
          <w:szCs w:val="24"/>
          <w:highlight w:val="yellow"/>
          <w:shd w:val="clear" w:color="auto" w:fill="FFFFFF"/>
        </w:rPr>
        <w:t>Rossignoli</w:t>
      </w:r>
      <w:proofErr w:type="spellEnd"/>
      <w:r w:rsidRPr="00554A45">
        <w:rPr>
          <w:rFonts w:cs="Times New Roman"/>
          <w:color w:val="222222"/>
          <w:szCs w:val="24"/>
          <w:highlight w:val="yellow"/>
          <w:shd w:val="clear" w:color="auto" w:fill="FFFFFF"/>
        </w:rPr>
        <w:t xml:space="preserve">, F. and </w:t>
      </w:r>
      <w:proofErr w:type="spellStart"/>
      <w:r w:rsidRPr="00554A45">
        <w:rPr>
          <w:rFonts w:cs="Times New Roman"/>
          <w:color w:val="222222"/>
          <w:szCs w:val="24"/>
          <w:highlight w:val="yellow"/>
          <w:shd w:val="clear" w:color="auto" w:fill="FFFFFF"/>
        </w:rPr>
        <w:t>Lionzo</w:t>
      </w:r>
      <w:proofErr w:type="spellEnd"/>
      <w:r w:rsidRPr="00554A45">
        <w:rPr>
          <w:rFonts w:cs="Times New Roman"/>
          <w:color w:val="222222"/>
          <w:szCs w:val="24"/>
          <w:highlight w:val="yellow"/>
          <w:shd w:val="clear" w:color="auto" w:fill="FFFFFF"/>
        </w:rPr>
        <w:t xml:space="preserve">, A. (2018) ‘Network impact on business models for sustainability: Case study in the energy sector’, </w:t>
      </w:r>
      <w:r w:rsidRPr="00554A45">
        <w:rPr>
          <w:rFonts w:cs="Times New Roman"/>
          <w:i/>
          <w:iCs/>
          <w:color w:val="222222"/>
          <w:szCs w:val="24"/>
          <w:highlight w:val="yellow"/>
          <w:shd w:val="clear" w:color="auto" w:fill="FFFFFF"/>
        </w:rPr>
        <w:t>Journal of cleaner production</w:t>
      </w:r>
      <w:r w:rsidRPr="00554A45">
        <w:rPr>
          <w:rFonts w:cs="Times New Roman"/>
          <w:color w:val="222222"/>
          <w:szCs w:val="24"/>
          <w:highlight w:val="yellow"/>
          <w:shd w:val="clear" w:color="auto" w:fill="FFFFFF"/>
        </w:rPr>
        <w:t>, 182, pp.694-704.</w:t>
      </w:r>
    </w:p>
    <w:p w14:paraId="6531CB7C" w14:textId="77777777" w:rsidR="00554A45" w:rsidRPr="00FD5AD5" w:rsidRDefault="00554A45" w:rsidP="00A83855">
      <w:pPr>
        <w:ind w:left="720" w:hanging="720"/>
        <w:rPr>
          <w:rFonts w:cs="Times New Roman"/>
          <w:color w:val="222222"/>
          <w:szCs w:val="24"/>
          <w:shd w:val="clear" w:color="auto" w:fill="FFFFFF"/>
          <w:lang w:val="en-GB"/>
        </w:rPr>
      </w:pPr>
      <w:r w:rsidRPr="00FD5AD5">
        <w:rPr>
          <w:rFonts w:cs="Times New Roman"/>
          <w:color w:val="222222"/>
          <w:szCs w:val="24"/>
          <w:shd w:val="clear" w:color="auto" w:fill="FFFFFF"/>
          <w:lang w:val="en-GB"/>
        </w:rPr>
        <w:t xml:space="preserve">Sayah, K.D.B., Seghier, F.Z.B. and </w:t>
      </w:r>
      <w:proofErr w:type="spellStart"/>
      <w:r w:rsidRPr="00FD5AD5">
        <w:rPr>
          <w:rFonts w:cs="Times New Roman"/>
          <w:color w:val="222222"/>
          <w:szCs w:val="24"/>
          <w:shd w:val="clear" w:color="auto" w:fill="FFFFFF"/>
          <w:lang w:val="en-GB"/>
        </w:rPr>
        <w:t>Elhouda</w:t>
      </w:r>
      <w:proofErr w:type="spellEnd"/>
      <w:r w:rsidRPr="00FD5AD5">
        <w:rPr>
          <w:rFonts w:cs="Times New Roman"/>
          <w:color w:val="222222"/>
          <w:szCs w:val="24"/>
          <w:shd w:val="clear" w:color="auto" w:fill="FFFFFF"/>
          <w:lang w:val="en-GB"/>
        </w:rPr>
        <w:t>, N. (2020) ‘Analysis of the Financial Strategy of SHELL Petroleum Company’, </w:t>
      </w:r>
      <w:r w:rsidRPr="00FD5AD5">
        <w:rPr>
          <w:rFonts w:cs="Times New Roman"/>
          <w:i/>
          <w:iCs/>
          <w:color w:val="222222"/>
          <w:szCs w:val="24"/>
          <w:shd w:val="clear" w:color="auto" w:fill="FFFFFF"/>
          <w:lang w:val="en-GB"/>
        </w:rPr>
        <w:t>Journal of Studies in Economics and Management Volume</w:t>
      </w:r>
      <w:r w:rsidRPr="00FD5AD5">
        <w:rPr>
          <w:rFonts w:cs="Times New Roman"/>
          <w:color w:val="222222"/>
          <w:szCs w:val="24"/>
          <w:shd w:val="clear" w:color="auto" w:fill="FFFFFF"/>
          <w:lang w:val="en-GB"/>
        </w:rPr>
        <w:t>, 3(06), p.278.</w:t>
      </w:r>
    </w:p>
    <w:p w14:paraId="42584856" w14:textId="77777777" w:rsidR="00554A45" w:rsidRPr="00FD5AD5" w:rsidRDefault="00554A45" w:rsidP="00A83855">
      <w:pPr>
        <w:ind w:left="720" w:hanging="720"/>
        <w:rPr>
          <w:rFonts w:cs="Times New Roman"/>
          <w:color w:val="222222"/>
          <w:szCs w:val="24"/>
          <w:shd w:val="clear" w:color="auto" w:fill="FFFFFF"/>
          <w:lang w:val="en-GB"/>
        </w:rPr>
      </w:pPr>
      <w:r w:rsidRPr="00FD5AD5">
        <w:rPr>
          <w:rFonts w:cs="Times New Roman"/>
          <w:color w:val="222222"/>
          <w:szCs w:val="24"/>
          <w:shd w:val="clear" w:color="auto" w:fill="FFFFFF"/>
          <w:lang w:val="en-GB"/>
        </w:rPr>
        <w:lastRenderedPageBreak/>
        <w:t xml:space="preserve">Shell plc Annual Report, (2019) Online Available at </w:t>
      </w:r>
      <w:hyperlink r:id="rId17" w:history="1">
        <w:r w:rsidRPr="00FD5AD5">
          <w:rPr>
            <w:rStyle w:val="Hyperlink"/>
            <w:rFonts w:cs="Times New Roman"/>
            <w:color w:val="0070C0"/>
            <w:szCs w:val="24"/>
            <w:shd w:val="clear" w:color="auto" w:fill="FFFFFF"/>
            <w:lang w:val="en-GB"/>
          </w:rPr>
          <w:t>https://reports.shell.com/annual-report/2019/</w:t>
        </w:r>
      </w:hyperlink>
      <w:r w:rsidRPr="00FD5AD5">
        <w:rPr>
          <w:rFonts w:cs="Times New Roman"/>
          <w:color w:val="222222"/>
          <w:szCs w:val="24"/>
          <w:shd w:val="clear" w:color="auto" w:fill="FFFFFF"/>
          <w:lang w:val="en-GB"/>
        </w:rPr>
        <w:t xml:space="preserve"> [Accessed on 5 March 2024]</w:t>
      </w:r>
    </w:p>
    <w:p w14:paraId="4FDBE17C" w14:textId="77777777" w:rsidR="00554A45" w:rsidRPr="00FD5AD5" w:rsidRDefault="00C12F50" w:rsidP="00A83855">
      <w:pPr>
        <w:ind w:left="720" w:hanging="720"/>
        <w:rPr>
          <w:rFonts w:cs="Times New Roman"/>
          <w:color w:val="222222"/>
          <w:szCs w:val="24"/>
          <w:shd w:val="clear" w:color="auto" w:fill="FFFFFF"/>
          <w:lang w:val="en-GB"/>
        </w:rPr>
      </w:pPr>
      <w:hyperlink r:id="rId18" w:history="1">
        <w:r w:rsidR="00554A45" w:rsidRPr="00FD5AD5">
          <w:rPr>
            <w:rStyle w:val="Hyperlink"/>
            <w:rFonts w:cs="Times New Roman"/>
            <w:color w:val="0070C0"/>
            <w:szCs w:val="24"/>
            <w:shd w:val="clear" w:color="auto" w:fill="FFFFFF"/>
            <w:lang w:val="en-GB"/>
          </w:rPr>
          <w:t>Shell plc Annual Report, (2020) Online Available at https://reports.shell.com/annual-report/2020/</w:t>
        </w:r>
      </w:hyperlink>
      <w:r w:rsidR="00554A45" w:rsidRPr="00FD5AD5">
        <w:rPr>
          <w:rFonts w:cs="Times New Roman"/>
          <w:color w:val="0070C0"/>
          <w:szCs w:val="24"/>
          <w:shd w:val="clear" w:color="auto" w:fill="FFFFFF"/>
          <w:lang w:val="en-GB"/>
        </w:rPr>
        <w:t xml:space="preserve"> </w:t>
      </w:r>
      <w:r w:rsidR="00554A45" w:rsidRPr="00FD5AD5">
        <w:rPr>
          <w:rFonts w:cs="Times New Roman"/>
          <w:color w:val="222222"/>
          <w:szCs w:val="24"/>
          <w:shd w:val="clear" w:color="auto" w:fill="FFFFFF"/>
          <w:lang w:val="en-GB"/>
        </w:rPr>
        <w:t>[Accessed on 5 March 2024]</w:t>
      </w:r>
    </w:p>
    <w:p w14:paraId="41662E82" w14:textId="77777777" w:rsidR="00554A45" w:rsidRPr="00FD5AD5" w:rsidRDefault="00554A45" w:rsidP="00A83855">
      <w:pPr>
        <w:ind w:left="720" w:hanging="720"/>
        <w:rPr>
          <w:rFonts w:cs="Times New Roman"/>
          <w:color w:val="222222"/>
          <w:szCs w:val="24"/>
          <w:shd w:val="clear" w:color="auto" w:fill="FFFFFF"/>
          <w:lang w:val="en-GB"/>
        </w:rPr>
      </w:pPr>
      <w:r w:rsidRPr="00FD5AD5">
        <w:rPr>
          <w:rFonts w:cs="Times New Roman"/>
          <w:color w:val="222222"/>
          <w:szCs w:val="24"/>
          <w:shd w:val="clear" w:color="auto" w:fill="FFFFFF"/>
          <w:lang w:val="en-GB"/>
        </w:rPr>
        <w:t xml:space="preserve">Shell plc Annual Report, (2021) Online Available at </w:t>
      </w:r>
      <w:hyperlink r:id="rId19" w:history="1">
        <w:r w:rsidRPr="00FD5AD5">
          <w:rPr>
            <w:rStyle w:val="Hyperlink"/>
            <w:rFonts w:cs="Times New Roman"/>
            <w:color w:val="0070C0"/>
            <w:szCs w:val="24"/>
            <w:shd w:val="clear" w:color="auto" w:fill="FFFFFF"/>
            <w:lang w:val="en-GB"/>
          </w:rPr>
          <w:t>https://reports.shell.com/annual-report/2021</w:t>
        </w:r>
      </w:hyperlink>
      <w:r w:rsidRPr="00FD5AD5">
        <w:rPr>
          <w:rFonts w:cs="Times New Roman"/>
          <w:color w:val="0070C0"/>
          <w:szCs w:val="24"/>
          <w:shd w:val="clear" w:color="auto" w:fill="FFFFFF"/>
          <w:lang w:val="en-GB"/>
        </w:rPr>
        <w:t xml:space="preserve"> </w:t>
      </w:r>
      <w:r w:rsidRPr="00FD5AD5">
        <w:rPr>
          <w:rFonts w:cs="Times New Roman"/>
          <w:color w:val="222222"/>
          <w:szCs w:val="24"/>
          <w:shd w:val="clear" w:color="auto" w:fill="FFFFFF"/>
          <w:lang w:val="en-GB"/>
        </w:rPr>
        <w:t xml:space="preserve">[Accessed on 5 March 2024] </w:t>
      </w:r>
    </w:p>
    <w:p w14:paraId="0813109D" w14:textId="77777777" w:rsidR="00554A45" w:rsidRPr="00FD5AD5" w:rsidRDefault="00554A45" w:rsidP="00A83855">
      <w:pPr>
        <w:ind w:left="720" w:hanging="720"/>
        <w:rPr>
          <w:rFonts w:cs="Times New Roman"/>
          <w:color w:val="0070C0"/>
          <w:szCs w:val="24"/>
          <w:lang w:val="en-GB"/>
        </w:rPr>
      </w:pPr>
      <w:r w:rsidRPr="00FD5AD5">
        <w:rPr>
          <w:rFonts w:cs="Times New Roman"/>
          <w:color w:val="222222"/>
          <w:szCs w:val="24"/>
          <w:shd w:val="clear" w:color="auto" w:fill="FFFFFF"/>
          <w:lang w:val="en-GB"/>
        </w:rPr>
        <w:t xml:space="preserve">Shell plc Annual Report, (2022) Online Available at </w:t>
      </w:r>
      <w:hyperlink r:id="rId20" w:history="1">
        <w:r w:rsidRPr="00FD5AD5">
          <w:rPr>
            <w:rStyle w:val="Hyperlink"/>
            <w:rFonts w:cs="Times New Roman"/>
            <w:color w:val="0070C0"/>
            <w:szCs w:val="24"/>
            <w:lang w:val="en-GB"/>
          </w:rPr>
          <w:t>https://reports.shell.com/annual-report/2022/strategic-report/our-business-and-strategy/strategy-and-outlook/our-strategy.html</w:t>
        </w:r>
      </w:hyperlink>
    </w:p>
    <w:p w14:paraId="5E711347" w14:textId="77777777" w:rsidR="00554A45" w:rsidRPr="00FD5AD5" w:rsidRDefault="00554A45" w:rsidP="00A83855">
      <w:pPr>
        <w:ind w:left="720" w:hanging="720"/>
        <w:rPr>
          <w:rFonts w:cs="Times New Roman"/>
          <w:color w:val="222222"/>
          <w:szCs w:val="24"/>
          <w:shd w:val="clear" w:color="auto" w:fill="FFFFFF"/>
          <w:lang w:val="en-GB"/>
        </w:rPr>
      </w:pPr>
      <w:r w:rsidRPr="00FD5AD5">
        <w:rPr>
          <w:rFonts w:cs="Times New Roman"/>
          <w:color w:val="222222"/>
          <w:szCs w:val="24"/>
          <w:shd w:val="clear" w:color="auto" w:fill="FFFFFF"/>
          <w:lang w:val="en-GB"/>
        </w:rPr>
        <w:t xml:space="preserve">Shell plc Sustainability Report, (2019) Online Available at </w:t>
      </w:r>
      <w:hyperlink r:id="rId21" w:history="1">
        <w:r w:rsidRPr="00FD5AD5">
          <w:rPr>
            <w:rStyle w:val="Hyperlink"/>
            <w:rFonts w:cs="Times New Roman"/>
            <w:color w:val="0070C0"/>
            <w:szCs w:val="24"/>
            <w:shd w:val="clear" w:color="auto" w:fill="FFFFFF"/>
            <w:lang w:val="en-GB"/>
          </w:rPr>
          <w:t>https://reports.shell.com/sustainability-report/2019/</w:t>
        </w:r>
      </w:hyperlink>
      <w:r w:rsidRPr="00FD5AD5">
        <w:rPr>
          <w:rFonts w:cs="Times New Roman"/>
          <w:color w:val="0070C0"/>
          <w:szCs w:val="24"/>
          <w:shd w:val="clear" w:color="auto" w:fill="FFFFFF"/>
          <w:lang w:val="en-GB"/>
        </w:rPr>
        <w:t xml:space="preserve"> </w:t>
      </w:r>
      <w:r w:rsidRPr="00FD5AD5">
        <w:rPr>
          <w:rFonts w:cs="Times New Roman"/>
          <w:color w:val="222222"/>
          <w:szCs w:val="24"/>
          <w:shd w:val="clear" w:color="auto" w:fill="FFFFFF"/>
          <w:lang w:val="en-GB"/>
        </w:rPr>
        <w:t>[Accessed on 5 March 2024]</w:t>
      </w:r>
    </w:p>
    <w:p w14:paraId="32FD6622" w14:textId="77777777" w:rsidR="00554A45" w:rsidRPr="00FD5AD5" w:rsidRDefault="00554A45" w:rsidP="00A83855">
      <w:pPr>
        <w:ind w:left="720" w:hanging="720"/>
        <w:rPr>
          <w:rFonts w:cs="Times New Roman"/>
          <w:color w:val="222222"/>
          <w:szCs w:val="24"/>
          <w:shd w:val="clear" w:color="auto" w:fill="FFFFFF"/>
          <w:lang w:val="en-GB"/>
        </w:rPr>
      </w:pPr>
      <w:r w:rsidRPr="00FD5AD5">
        <w:rPr>
          <w:rFonts w:cs="Times New Roman"/>
          <w:color w:val="222222"/>
          <w:szCs w:val="24"/>
          <w:shd w:val="clear" w:color="auto" w:fill="FFFFFF"/>
          <w:lang w:val="en-GB"/>
        </w:rPr>
        <w:t xml:space="preserve">Shell plc Sustainability Report, (2021) Online Available at </w:t>
      </w:r>
      <w:hyperlink r:id="rId22" w:history="1">
        <w:r w:rsidRPr="00FD5AD5">
          <w:rPr>
            <w:rStyle w:val="Hyperlink"/>
            <w:rFonts w:cs="Times New Roman"/>
            <w:color w:val="0070C0"/>
            <w:szCs w:val="24"/>
            <w:shd w:val="clear" w:color="auto" w:fill="FFFFFF"/>
            <w:lang w:val="en-GB"/>
          </w:rPr>
          <w:t>https://reports.shell.com/sustainability-report/2021</w:t>
        </w:r>
      </w:hyperlink>
      <w:r w:rsidRPr="00FD5AD5">
        <w:rPr>
          <w:rFonts w:cs="Times New Roman"/>
          <w:color w:val="222222"/>
          <w:szCs w:val="24"/>
          <w:shd w:val="clear" w:color="auto" w:fill="FFFFFF"/>
          <w:lang w:val="en-GB"/>
        </w:rPr>
        <w:t xml:space="preserve"> [Accessed on 5 March 2024]</w:t>
      </w:r>
    </w:p>
    <w:p w14:paraId="3E43E9F0" w14:textId="77777777" w:rsidR="00554A45" w:rsidRPr="00FD5AD5" w:rsidRDefault="00554A45" w:rsidP="00A83855">
      <w:pPr>
        <w:ind w:left="720" w:hanging="720"/>
        <w:rPr>
          <w:rFonts w:cs="Times New Roman"/>
          <w:color w:val="222222"/>
          <w:szCs w:val="24"/>
          <w:shd w:val="clear" w:color="auto" w:fill="FFFFFF"/>
          <w:lang w:val="en-GB"/>
        </w:rPr>
      </w:pPr>
      <w:r w:rsidRPr="00FD5AD5">
        <w:rPr>
          <w:rFonts w:cs="Times New Roman"/>
          <w:color w:val="222222"/>
          <w:szCs w:val="24"/>
          <w:shd w:val="clear" w:color="auto" w:fill="FFFFFF"/>
          <w:lang w:val="en-GB"/>
        </w:rPr>
        <w:t xml:space="preserve">Shell plc Sustainability Report, (2022) Online Available at </w:t>
      </w:r>
      <w:hyperlink r:id="rId23" w:history="1">
        <w:r w:rsidRPr="00FD5AD5">
          <w:rPr>
            <w:rStyle w:val="Hyperlink"/>
            <w:rFonts w:cs="Times New Roman"/>
            <w:color w:val="0070C0"/>
            <w:szCs w:val="24"/>
            <w:shd w:val="clear" w:color="auto" w:fill="FFFFFF"/>
            <w:lang w:val="en-GB"/>
          </w:rPr>
          <w:t>https://reports.shell.com/sustainability-report/2022</w:t>
        </w:r>
      </w:hyperlink>
      <w:r w:rsidRPr="00FD5AD5">
        <w:rPr>
          <w:rFonts w:cs="Times New Roman"/>
          <w:color w:val="0070C0"/>
          <w:szCs w:val="24"/>
          <w:shd w:val="clear" w:color="auto" w:fill="FFFFFF"/>
          <w:lang w:val="en-GB"/>
        </w:rPr>
        <w:t xml:space="preserve"> </w:t>
      </w:r>
      <w:r w:rsidRPr="00FD5AD5">
        <w:rPr>
          <w:rFonts w:cs="Times New Roman"/>
          <w:color w:val="222222"/>
          <w:szCs w:val="24"/>
          <w:shd w:val="clear" w:color="auto" w:fill="FFFFFF"/>
          <w:lang w:val="en-GB"/>
        </w:rPr>
        <w:t>[Accessed on 5 March 2024]</w:t>
      </w:r>
    </w:p>
    <w:p w14:paraId="4E726FE2" w14:textId="77777777" w:rsidR="00554A45" w:rsidRPr="00FD5AD5" w:rsidRDefault="00554A45" w:rsidP="00A83855">
      <w:pPr>
        <w:ind w:left="720" w:hanging="720"/>
        <w:rPr>
          <w:rFonts w:cs="Times New Roman"/>
          <w:color w:val="222222"/>
          <w:szCs w:val="24"/>
          <w:shd w:val="clear" w:color="auto" w:fill="FFFFFF"/>
          <w:lang w:val="en-GB"/>
        </w:rPr>
      </w:pPr>
      <w:r w:rsidRPr="00FD5AD5">
        <w:rPr>
          <w:rFonts w:cs="Times New Roman"/>
          <w:color w:val="222222"/>
          <w:szCs w:val="24"/>
          <w:shd w:val="clear" w:color="auto" w:fill="FFFFFF"/>
          <w:lang w:val="en-GB"/>
        </w:rPr>
        <w:t xml:space="preserve">Shell plc. (2023) Online available at </w:t>
      </w:r>
      <w:hyperlink r:id="rId24" w:history="1">
        <w:r w:rsidRPr="00FD5AD5">
          <w:rPr>
            <w:rStyle w:val="Hyperlink"/>
            <w:rFonts w:cs="Times New Roman"/>
            <w:color w:val="0070C0"/>
            <w:szCs w:val="24"/>
            <w:shd w:val="clear" w:color="auto" w:fill="FFFFFF"/>
            <w:lang w:val="en-GB"/>
          </w:rPr>
          <w:t>https://www.shell.com/what-we-do/digitalisation/collaboration-and-open-innovation/shell-and-microsofts-strategic-alliance</w:t>
        </w:r>
      </w:hyperlink>
      <w:r w:rsidRPr="00FD5AD5">
        <w:rPr>
          <w:rFonts w:cs="Times New Roman"/>
          <w:color w:val="222222"/>
          <w:szCs w:val="24"/>
          <w:shd w:val="clear" w:color="auto" w:fill="FFFFFF"/>
          <w:lang w:val="en-GB"/>
        </w:rPr>
        <w:t xml:space="preserve"> [Accessed on 5 March 2024]</w:t>
      </w:r>
    </w:p>
    <w:p w14:paraId="173B06D3" w14:textId="77777777" w:rsidR="00554A45" w:rsidRPr="00FD5AD5" w:rsidRDefault="00554A45" w:rsidP="00A83855">
      <w:pPr>
        <w:ind w:left="720" w:hanging="720"/>
        <w:rPr>
          <w:rFonts w:cs="Times New Roman"/>
          <w:color w:val="222222"/>
          <w:szCs w:val="24"/>
          <w:shd w:val="clear" w:color="auto" w:fill="FFFFFF"/>
          <w:lang w:val="en-GB"/>
        </w:rPr>
      </w:pPr>
      <w:r w:rsidRPr="00FD5AD5">
        <w:rPr>
          <w:rFonts w:cs="Times New Roman"/>
          <w:color w:val="222222"/>
          <w:szCs w:val="24"/>
          <w:shd w:val="clear" w:color="auto" w:fill="FFFFFF"/>
          <w:lang w:val="en-GB"/>
        </w:rPr>
        <w:t xml:space="preserve">Shell plc. (2023) Online available at </w:t>
      </w:r>
      <w:hyperlink r:id="rId25" w:history="1">
        <w:r w:rsidRPr="00FD5AD5">
          <w:rPr>
            <w:rStyle w:val="Hyperlink"/>
            <w:rFonts w:cs="Times New Roman"/>
            <w:color w:val="0070C0"/>
            <w:szCs w:val="24"/>
            <w:shd w:val="clear" w:color="auto" w:fill="FFFFFF"/>
            <w:lang w:val="en-GB"/>
          </w:rPr>
          <w:t>Shell plc. (2023) Online Available at https://www.shell.com/what-we-do/technology-and-innovation.html</w:t>
        </w:r>
      </w:hyperlink>
      <w:r w:rsidRPr="00FD5AD5">
        <w:rPr>
          <w:rFonts w:cs="Times New Roman"/>
          <w:color w:val="0070C0"/>
          <w:szCs w:val="24"/>
          <w:shd w:val="clear" w:color="auto" w:fill="FFFFFF"/>
          <w:lang w:val="en-GB"/>
        </w:rPr>
        <w:t xml:space="preserve">  </w:t>
      </w:r>
    </w:p>
    <w:p w14:paraId="4E817856" w14:textId="77777777" w:rsidR="00554A45" w:rsidRPr="00FD5AD5" w:rsidRDefault="00554A45" w:rsidP="00A83855">
      <w:pPr>
        <w:ind w:left="720" w:hanging="720"/>
        <w:rPr>
          <w:rFonts w:cs="Times New Roman"/>
          <w:color w:val="222222"/>
          <w:szCs w:val="24"/>
          <w:shd w:val="clear" w:color="auto" w:fill="FFFFFF"/>
          <w:lang w:val="en-GB"/>
        </w:rPr>
      </w:pPr>
      <w:r w:rsidRPr="00FD5AD5">
        <w:rPr>
          <w:rFonts w:cs="Times New Roman"/>
          <w:color w:val="222222"/>
          <w:szCs w:val="24"/>
          <w:shd w:val="clear" w:color="auto" w:fill="FFFFFF"/>
          <w:lang w:val="en-GB"/>
        </w:rPr>
        <w:t xml:space="preserve">Shell Website, (2024) Online Available at </w:t>
      </w:r>
      <w:hyperlink r:id="rId26" w:history="1">
        <w:r w:rsidRPr="00FD5AD5">
          <w:rPr>
            <w:rStyle w:val="Hyperlink"/>
            <w:rFonts w:cs="Times New Roman"/>
            <w:color w:val="0070C0"/>
            <w:szCs w:val="24"/>
            <w:shd w:val="clear" w:color="auto" w:fill="FFFFFF"/>
            <w:lang w:val="en-GB"/>
          </w:rPr>
          <w:t>https://www.shell.com/</w:t>
        </w:r>
      </w:hyperlink>
      <w:r w:rsidRPr="00FD5AD5">
        <w:rPr>
          <w:rFonts w:cs="Times New Roman"/>
          <w:color w:val="0070C0"/>
          <w:szCs w:val="24"/>
          <w:shd w:val="clear" w:color="auto" w:fill="FFFFFF"/>
          <w:lang w:val="en-GB"/>
        </w:rPr>
        <w:t xml:space="preserve"> </w:t>
      </w:r>
      <w:r w:rsidRPr="00FD5AD5">
        <w:rPr>
          <w:rFonts w:cs="Times New Roman"/>
          <w:color w:val="222222"/>
          <w:szCs w:val="24"/>
          <w:shd w:val="clear" w:color="auto" w:fill="FFFFFF"/>
          <w:lang w:val="en-GB"/>
        </w:rPr>
        <w:t>[Accessed on 5 March 2024]</w:t>
      </w:r>
    </w:p>
    <w:p w14:paraId="57F2511C" w14:textId="77777777" w:rsidR="00554A45" w:rsidRPr="00554A45" w:rsidRDefault="00554A45" w:rsidP="00554A45">
      <w:pPr>
        <w:ind w:left="720" w:hanging="720"/>
        <w:rPr>
          <w:rFonts w:cs="Times New Roman"/>
          <w:color w:val="222222"/>
          <w:szCs w:val="24"/>
          <w:shd w:val="clear" w:color="auto" w:fill="FFFFFF"/>
          <w:lang w:val="en-GB"/>
        </w:rPr>
      </w:pPr>
      <w:r w:rsidRPr="00FD5AD5">
        <w:rPr>
          <w:rFonts w:cs="Times New Roman"/>
          <w:color w:val="222222"/>
          <w:szCs w:val="24"/>
          <w:shd w:val="clear" w:color="auto" w:fill="FFFFFF"/>
          <w:lang w:val="en-GB"/>
        </w:rPr>
        <w:t xml:space="preserve">Silva, S. (2021) ‘Corporate contributions to the Sustainable Development Goals: An empirical analysis informed by legitimacy theory’, </w:t>
      </w:r>
      <w:r w:rsidRPr="00FD5AD5">
        <w:rPr>
          <w:rFonts w:cs="Times New Roman"/>
          <w:i/>
          <w:iCs/>
          <w:color w:val="222222"/>
          <w:szCs w:val="24"/>
          <w:shd w:val="clear" w:color="auto" w:fill="FFFFFF"/>
          <w:lang w:val="en-GB"/>
        </w:rPr>
        <w:t>Journal of Cleaner Production</w:t>
      </w:r>
      <w:r w:rsidRPr="00FD5AD5">
        <w:rPr>
          <w:rFonts w:cs="Times New Roman"/>
          <w:color w:val="222222"/>
          <w:szCs w:val="24"/>
          <w:shd w:val="clear" w:color="auto" w:fill="FFFFFF"/>
          <w:lang w:val="en-GB"/>
        </w:rPr>
        <w:t>, 292, p.125962.</w:t>
      </w:r>
    </w:p>
    <w:p w14:paraId="061E7F29" w14:textId="77777777" w:rsidR="00554A45" w:rsidRPr="00554A45" w:rsidRDefault="00554A45" w:rsidP="00554A45">
      <w:pPr>
        <w:ind w:left="720" w:hanging="720"/>
        <w:rPr>
          <w:rFonts w:cs="Times New Roman"/>
          <w:color w:val="222222"/>
          <w:szCs w:val="24"/>
          <w:highlight w:val="yellow"/>
          <w:shd w:val="clear" w:color="auto" w:fill="FFFFFF"/>
        </w:rPr>
      </w:pPr>
      <w:r w:rsidRPr="00554A45">
        <w:rPr>
          <w:rFonts w:cs="Times New Roman"/>
          <w:color w:val="222222"/>
          <w:szCs w:val="24"/>
          <w:highlight w:val="yellow"/>
          <w:shd w:val="clear" w:color="auto" w:fill="FFFFFF"/>
        </w:rPr>
        <w:t xml:space="preserve">Stevenson, M. and Cole, R. (2018) ‘Modern slavery in supply chains: a secondary data analysis of detection, remediation and disclosure’, </w:t>
      </w:r>
      <w:r w:rsidRPr="00554A45">
        <w:rPr>
          <w:rFonts w:cs="Times New Roman"/>
          <w:i/>
          <w:iCs/>
          <w:color w:val="222222"/>
          <w:szCs w:val="24"/>
          <w:highlight w:val="yellow"/>
          <w:shd w:val="clear" w:color="auto" w:fill="FFFFFF"/>
        </w:rPr>
        <w:t>Supply Chain Management: An International Journal</w:t>
      </w:r>
      <w:r w:rsidRPr="00554A45">
        <w:rPr>
          <w:rFonts w:cs="Times New Roman"/>
          <w:color w:val="222222"/>
          <w:szCs w:val="24"/>
          <w:highlight w:val="yellow"/>
          <w:shd w:val="clear" w:color="auto" w:fill="FFFFFF"/>
        </w:rPr>
        <w:t>, 23(2), pp.81-99.</w:t>
      </w:r>
    </w:p>
    <w:p w14:paraId="5B00EF28" w14:textId="77777777" w:rsidR="00554A45" w:rsidRPr="00554A45" w:rsidRDefault="00554A45" w:rsidP="00554A45">
      <w:pPr>
        <w:ind w:left="720" w:hanging="720"/>
        <w:rPr>
          <w:rFonts w:cs="Times New Roman"/>
          <w:color w:val="222222"/>
          <w:szCs w:val="24"/>
          <w:highlight w:val="yellow"/>
          <w:shd w:val="clear" w:color="auto" w:fill="FFFFFF"/>
        </w:rPr>
      </w:pPr>
      <w:r w:rsidRPr="00554A45">
        <w:rPr>
          <w:rFonts w:cs="Times New Roman"/>
          <w:color w:val="222222"/>
          <w:szCs w:val="24"/>
          <w:highlight w:val="yellow"/>
          <w:shd w:val="clear" w:color="auto" w:fill="FFFFFF"/>
        </w:rPr>
        <w:lastRenderedPageBreak/>
        <w:t xml:space="preserve">Subedi, N., </w:t>
      </w:r>
      <w:proofErr w:type="spellStart"/>
      <w:r w:rsidRPr="00554A45">
        <w:rPr>
          <w:rFonts w:cs="Times New Roman"/>
          <w:color w:val="222222"/>
          <w:szCs w:val="24"/>
          <w:highlight w:val="yellow"/>
          <w:shd w:val="clear" w:color="auto" w:fill="FFFFFF"/>
        </w:rPr>
        <w:t>Rawstorn</w:t>
      </w:r>
      <w:proofErr w:type="spellEnd"/>
      <w:r w:rsidRPr="00554A45">
        <w:rPr>
          <w:rFonts w:cs="Times New Roman"/>
          <w:color w:val="222222"/>
          <w:szCs w:val="24"/>
          <w:highlight w:val="yellow"/>
          <w:shd w:val="clear" w:color="auto" w:fill="FFFFFF"/>
        </w:rPr>
        <w:t xml:space="preserve">, J.C., Gao, L., </w:t>
      </w:r>
      <w:proofErr w:type="spellStart"/>
      <w:r w:rsidRPr="00554A45">
        <w:rPr>
          <w:rFonts w:cs="Times New Roman"/>
          <w:color w:val="222222"/>
          <w:szCs w:val="24"/>
          <w:highlight w:val="yellow"/>
          <w:shd w:val="clear" w:color="auto" w:fill="FFFFFF"/>
        </w:rPr>
        <w:t>Koorts</w:t>
      </w:r>
      <w:proofErr w:type="spellEnd"/>
      <w:r w:rsidRPr="00554A45">
        <w:rPr>
          <w:rFonts w:cs="Times New Roman"/>
          <w:color w:val="222222"/>
          <w:szCs w:val="24"/>
          <w:highlight w:val="yellow"/>
          <w:shd w:val="clear" w:color="auto" w:fill="FFFFFF"/>
        </w:rPr>
        <w:t xml:space="preserve">, H. and Maddison, R. (2020) ‘Implementation of telerehabilitation interventions for the self-management of cardiovascular disease: systematic review’, </w:t>
      </w:r>
      <w:r w:rsidRPr="00554A45">
        <w:rPr>
          <w:rFonts w:cs="Times New Roman"/>
          <w:i/>
          <w:iCs/>
          <w:color w:val="222222"/>
          <w:szCs w:val="24"/>
          <w:highlight w:val="yellow"/>
          <w:shd w:val="clear" w:color="auto" w:fill="FFFFFF"/>
        </w:rPr>
        <w:t xml:space="preserve">JMIR </w:t>
      </w:r>
      <w:proofErr w:type="spellStart"/>
      <w:r w:rsidRPr="00554A45">
        <w:rPr>
          <w:rFonts w:cs="Times New Roman"/>
          <w:i/>
          <w:iCs/>
          <w:color w:val="222222"/>
          <w:szCs w:val="24"/>
          <w:highlight w:val="yellow"/>
          <w:shd w:val="clear" w:color="auto" w:fill="FFFFFF"/>
        </w:rPr>
        <w:t>mHealth</w:t>
      </w:r>
      <w:proofErr w:type="spellEnd"/>
      <w:r w:rsidRPr="00554A45">
        <w:rPr>
          <w:rFonts w:cs="Times New Roman"/>
          <w:i/>
          <w:iCs/>
          <w:color w:val="222222"/>
          <w:szCs w:val="24"/>
          <w:highlight w:val="yellow"/>
          <w:shd w:val="clear" w:color="auto" w:fill="FFFFFF"/>
        </w:rPr>
        <w:t xml:space="preserve"> and </w:t>
      </w:r>
      <w:proofErr w:type="spellStart"/>
      <w:r w:rsidRPr="00554A45">
        <w:rPr>
          <w:rFonts w:cs="Times New Roman"/>
          <w:i/>
          <w:iCs/>
          <w:color w:val="222222"/>
          <w:szCs w:val="24"/>
          <w:highlight w:val="yellow"/>
          <w:shd w:val="clear" w:color="auto" w:fill="FFFFFF"/>
        </w:rPr>
        <w:t>uHealth</w:t>
      </w:r>
      <w:proofErr w:type="spellEnd"/>
      <w:r w:rsidRPr="00554A45">
        <w:rPr>
          <w:rFonts w:cs="Times New Roman"/>
          <w:color w:val="222222"/>
          <w:szCs w:val="24"/>
          <w:highlight w:val="yellow"/>
          <w:shd w:val="clear" w:color="auto" w:fill="FFFFFF"/>
        </w:rPr>
        <w:t>, 8(11), p.e17957.</w:t>
      </w:r>
    </w:p>
    <w:p w14:paraId="4DE3B243" w14:textId="77777777" w:rsidR="00554A45" w:rsidRPr="007927AD" w:rsidRDefault="00554A45" w:rsidP="00554A45">
      <w:pPr>
        <w:ind w:left="720" w:hanging="720"/>
        <w:rPr>
          <w:rFonts w:cs="Times New Roman"/>
          <w:color w:val="222222"/>
          <w:szCs w:val="24"/>
          <w:shd w:val="clear" w:color="auto" w:fill="FFFFFF"/>
        </w:rPr>
      </w:pPr>
      <w:r w:rsidRPr="00554A45">
        <w:rPr>
          <w:rFonts w:cs="Times New Roman"/>
          <w:color w:val="222222"/>
          <w:szCs w:val="24"/>
          <w:highlight w:val="yellow"/>
          <w:shd w:val="clear" w:color="auto" w:fill="FFFFFF"/>
        </w:rPr>
        <w:t xml:space="preserve">Tarekegn, K., Asado, A., </w:t>
      </w:r>
      <w:proofErr w:type="spellStart"/>
      <w:r w:rsidRPr="00554A45">
        <w:rPr>
          <w:rFonts w:cs="Times New Roman"/>
          <w:color w:val="222222"/>
          <w:szCs w:val="24"/>
          <w:highlight w:val="yellow"/>
          <w:shd w:val="clear" w:color="auto" w:fill="FFFFFF"/>
        </w:rPr>
        <w:t>Gafaro</w:t>
      </w:r>
      <w:proofErr w:type="spellEnd"/>
      <w:r w:rsidRPr="00554A45">
        <w:rPr>
          <w:rFonts w:cs="Times New Roman"/>
          <w:color w:val="222222"/>
          <w:szCs w:val="24"/>
          <w:highlight w:val="yellow"/>
          <w:shd w:val="clear" w:color="auto" w:fill="FFFFFF"/>
        </w:rPr>
        <w:t xml:space="preserve">, T. and Shitaye, Y. (2020) ‘Value chain analysis of banana in Bench Maji and Sheka Zones of Southern Ethiopia’, </w:t>
      </w:r>
      <w:r w:rsidRPr="00554A45">
        <w:rPr>
          <w:rFonts w:cs="Times New Roman"/>
          <w:i/>
          <w:iCs/>
          <w:color w:val="222222"/>
          <w:szCs w:val="24"/>
          <w:highlight w:val="yellow"/>
          <w:shd w:val="clear" w:color="auto" w:fill="FFFFFF"/>
        </w:rPr>
        <w:t>Cogent Food &amp; Agriculture</w:t>
      </w:r>
      <w:r w:rsidRPr="00554A45">
        <w:rPr>
          <w:rFonts w:cs="Times New Roman"/>
          <w:color w:val="222222"/>
          <w:szCs w:val="24"/>
          <w:highlight w:val="yellow"/>
          <w:shd w:val="clear" w:color="auto" w:fill="FFFFFF"/>
        </w:rPr>
        <w:t>, 6(1), p.1785103.</w:t>
      </w:r>
    </w:p>
    <w:p w14:paraId="5EBA789C" w14:textId="77777777" w:rsidR="00554A45" w:rsidRPr="00554A45" w:rsidRDefault="00554A45" w:rsidP="00A83855">
      <w:pPr>
        <w:ind w:left="720" w:hanging="720"/>
        <w:rPr>
          <w:rFonts w:cs="Times New Roman"/>
          <w:color w:val="222222"/>
          <w:szCs w:val="24"/>
          <w:shd w:val="clear" w:color="auto" w:fill="FFFFFF"/>
        </w:rPr>
      </w:pPr>
    </w:p>
    <w:p w14:paraId="6AAC646B" w14:textId="77777777" w:rsidR="008E1B56" w:rsidRPr="00FD5AD5" w:rsidRDefault="008E1B56" w:rsidP="00647927">
      <w:pPr>
        <w:ind w:firstLine="0"/>
        <w:rPr>
          <w:lang w:val="en-GB"/>
        </w:rPr>
      </w:pPr>
    </w:p>
    <w:p w14:paraId="20BBA445" w14:textId="59999FAA" w:rsidR="00FF31AD" w:rsidRPr="00FD5AD5" w:rsidRDefault="00FF31AD" w:rsidP="00FD5AD5">
      <w:pPr>
        <w:pStyle w:val="Heading1"/>
        <w:ind w:firstLine="0"/>
        <w:rPr>
          <w:rFonts w:ascii="Times New Roman" w:hAnsi="Times New Roman" w:cs="Times New Roman"/>
          <w:color w:val="auto"/>
          <w:lang w:val="en-GB"/>
        </w:rPr>
      </w:pPr>
      <w:bookmarkStart w:id="15" w:name="_Toc160574345"/>
      <w:r w:rsidRPr="00FD5AD5">
        <w:rPr>
          <w:rFonts w:ascii="Times New Roman" w:hAnsi="Times New Roman" w:cs="Times New Roman"/>
          <w:color w:val="auto"/>
          <w:lang w:val="en-GB"/>
        </w:rPr>
        <w:lastRenderedPageBreak/>
        <w:t>Appendices</w:t>
      </w:r>
      <w:bookmarkEnd w:id="15"/>
    </w:p>
    <w:p w14:paraId="5B64BC19" w14:textId="49E9316E" w:rsidR="00EC2E3D" w:rsidRPr="00FD5AD5" w:rsidRDefault="00EC2E3D" w:rsidP="00FB5892">
      <w:pPr>
        <w:pStyle w:val="Heading2"/>
        <w:numPr>
          <w:ilvl w:val="0"/>
          <w:numId w:val="0"/>
        </w:numPr>
        <w:ind w:left="360"/>
      </w:pPr>
      <w:bookmarkStart w:id="16" w:name="_Toc160574346"/>
      <w:r w:rsidRPr="00FD5AD5">
        <w:t xml:space="preserve">Appendix A </w:t>
      </w:r>
      <w:r w:rsidR="008E1B56" w:rsidRPr="00FD5AD5">
        <w:t>SWOT Analysis</w:t>
      </w:r>
      <w:bookmarkEnd w:id="16"/>
    </w:p>
    <w:p w14:paraId="6432E0C2" w14:textId="17B07DF2" w:rsidR="009C6B12" w:rsidRPr="00FD5AD5" w:rsidRDefault="009C6B12" w:rsidP="00F63ADC">
      <w:pPr>
        <w:ind w:firstLine="0"/>
        <w:rPr>
          <w:lang w:val="en-GB"/>
        </w:rPr>
      </w:pPr>
      <w:r w:rsidRPr="00FD5AD5">
        <w:rPr>
          <w:noProof/>
          <w:lang w:val="en-GB" w:eastAsia="en-GB"/>
        </w:rPr>
        <w:drawing>
          <wp:inline distT="0" distB="0" distL="0" distR="0" wp14:anchorId="7F7B7B46" wp14:editId="638BB78E">
            <wp:extent cx="6371590" cy="6964680"/>
            <wp:effectExtent l="0" t="0" r="0" b="0"/>
            <wp:docPr id="260260086"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7" r:lo="rId28" r:qs="rId29" r:cs="rId30"/>
              </a:graphicData>
            </a:graphic>
          </wp:inline>
        </w:drawing>
      </w:r>
    </w:p>
    <w:p w14:paraId="0D761C91" w14:textId="77777777" w:rsidR="00FD5AD5" w:rsidRPr="00FD5AD5" w:rsidRDefault="00FD5AD5">
      <w:pPr>
        <w:rPr>
          <w:rFonts w:eastAsiaTheme="majorEastAsia" w:cstheme="majorBidi"/>
          <w:bCs/>
          <w:sz w:val="28"/>
          <w:szCs w:val="28"/>
          <w:lang w:val="en-GB"/>
        </w:rPr>
      </w:pPr>
      <w:r w:rsidRPr="00FD5AD5">
        <w:rPr>
          <w:lang w:val="en-GB"/>
        </w:rPr>
        <w:br w:type="page"/>
      </w:r>
    </w:p>
    <w:p w14:paraId="76BEC232" w14:textId="37994197" w:rsidR="008E1B56" w:rsidRPr="00FD5AD5" w:rsidRDefault="008E1B56" w:rsidP="00FB5892">
      <w:pPr>
        <w:pStyle w:val="Heading2"/>
        <w:numPr>
          <w:ilvl w:val="0"/>
          <w:numId w:val="0"/>
        </w:numPr>
        <w:ind w:left="360"/>
      </w:pPr>
      <w:bookmarkStart w:id="17" w:name="_Toc160574347"/>
      <w:r w:rsidRPr="00FD5AD5">
        <w:lastRenderedPageBreak/>
        <w:t>Appendix B Porter's Five Forces</w:t>
      </w:r>
      <w:bookmarkEnd w:id="17"/>
    </w:p>
    <w:p w14:paraId="47B3FD6A" w14:textId="2D73F67A" w:rsidR="008E1B56" w:rsidRPr="00FD5AD5" w:rsidRDefault="008E1B56" w:rsidP="00FD5AD5">
      <w:pPr>
        <w:ind w:firstLine="0"/>
        <w:rPr>
          <w:b/>
          <w:lang w:val="en-GB"/>
        </w:rPr>
      </w:pPr>
      <w:r w:rsidRPr="00FD5AD5">
        <w:rPr>
          <w:b/>
          <w:lang w:val="en-GB"/>
        </w:rPr>
        <w:t>The Threat of New Entrants</w:t>
      </w:r>
    </w:p>
    <w:p w14:paraId="2ED14D9E" w14:textId="080D84FC" w:rsidR="008E1B56" w:rsidRPr="00FD5AD5" w:rsidRDefault="008E1B56" w:rsidP="00F63ADC">
      <w:pPr>
        <w:rPr>
          <w:rFonts w:eastAsia="Times New Roman" w:cs="Times New Roman"/>
          <w:szCs w:val="24"/>
          <w:lang w:val="en-GB"/>
        </w:rPr>
      </w:pPr>
      <w:r w:rsidRPr="00FD5AD5">
        <w:rPr>
          <w:lang w:val="en-GB"/>
        </w:rPr>
        <w:t xml:space="preserve">The threat of new entrants is mitigated in Shell PLC due to high barriers to entry, </w:t>
      </w:r>
      <w:r w:rsidR="00811B96" w:rsidRPr="00FD5AD5">
        <w:rPr>
          <w:rFonts w:eastAsia="Times New Roman" w:cs="Times New Roman"/>
          <w:szCs w:val="24"/>
          <w:lang w:val="en-GB"/>
        </w:rPr>
        <w:t>including significant investments in infrastructure and expertise that make it harder for new competitors to join the market</w:t>
      </w:r>
      <w:r w:rsidR="007A4761" w:rsidRPr="00FD5AD5">
        <w:rPr>
          <w:rFonts w:eastAsia="Times New Roman" w:cs="Times New Roman"/>
          <w:szCs w:val="24"/>
          <w:lang w:val="en-GB"/>
        </w:rPr>
        <w:t xml:space="preserve"> (</w:t>
      </w:r>
      <w:r w:rsidR="007A4761" w:rsidRPr="00FD5AD5">
        <w:rPr>
          <w:rFonts w:cs="Times New Roman"/>
          <w:color w:val="222222"/>
          <w:szCs w:val="24"/>
          <w:shd w:val="clear" w:color="auto" w:fill="FFFFFF"/>
          <w:lang w:val="en-GB"/>
        </w:rPr>
        <w:t>Kalam, 2021)</w:t>
      </w:r>
      <w:r w:rsidR="00811B96" w:rsidRPr="00FD5AD5">
        <w:rPr>
          <w:rFonts w:eastAsia="Times New Roman" w:cs="Times New Roman"/>
          <w:szCs w:val="24"/>
          <w:lang w:val="en-GB"/>
        </w:rPr>
        <w:t xml:space="preserve">. These hurdles affect every step of the natural gas value chain, from finding and producing gas to turning it into a liquid, shipping it, and selling it. For new competitors, there are major financial challenges due to the capital-intensive nature of building the necessary infrastructure, such as LNG facilities and distribution networks. Also, getting into the natural gas market is hard because </w:t>
      </w:r>
      <w:r w:rsidR="00FF31AD" w:rsidRPr="00FD5AD5">
        <w:rPr>
          <w:rFonts w:eastAsia="Times New Roman" w:cs="Times New Roman"/>
          <w:szCs w:val="24"/>
          <w:lang w:val="en-GB"/>
        </w:rPr>
        <w:t>Shell needs</w:t>
      </w:r>
      <w:r w:rsidR="00811B96" w:rsidRPr="00FD5AD5">
        <w:rPr>
          <w:rFonts w:eastAsia="Times New Roman" w:cs="Times New Roman"/>
          <w:szCs w:val="24"/>
          <w:lang w:val="en-GB"/>
        </w:rPr>
        <w:t xml:space="preserve"> to know about things like following the rules, managing the supply chain, and putting technology to use. </w:t>
      </w:r>
    </w:p>
    <w:p w14:paraId="5DD477D5" w14:textId="7EDB12FC" w:rsidR="008E1B56" w:rsidRPr="00FD5AD5" w:rsidRDefault="008E1B56" w:rsidP="00FD5AD5">
      <w:pPr>
        <w:ind w:firstLine="0"/>
        <w:rPr>
          <w:b/>
          <w:lang w:val="en-GB"/>
        </w:rPr>
      </w:pPr>
      <w:r w:rsidRPr="00FD5AD5">
        <w:rPr>
          <w:b/>
          <w:lang w:val="en-GB"/>
        </w:rPr>
        <w:t>Bargaining power of Suppliers</w:t>
      </w:r>
    </w:p>
    <w:p w14:paraId="10D80BAA" w14:textId="5B03B2ED" w:rsidR="008E1B56" w:rsidRPr="00FD5AD5" w:rsidRDefault="008E1B56" w:rsidP="00DA5B70">
      <w:pPr>
        <w:rPr>
          <w:rFonts w:eastAsia="Times New Roman" w:cs="Times New Roman"/>
          <w:szCs w:val="24"/>
          <w:lang w:val="en-GB"/>
        </w:rPr>
      </w:pPr>
      <w:r w:rsidRPr="00FD5AD5">
        <w:rPr>
          <w:lang w:val="en-GB"/>
        </w:rPr>
        <w:t xml:space="preserve">Shell PLC </w:t>
      </w:r>
      <w:r w:rsidR="001444E9" w:rsidRPr="00FD5AD5">
        <w:rPr>
          <w:lang w:val="en-GB"/>
        </w:rPr>
        <w:t>has</w:t>
      </w:r>
      <w:r w:rsidRPr="00FD5AD5">
        <w:rPr>
          <w:lang w:val="en-GB"/>
        </w:rPr>
        <w:t xml:space="preserve"> moderate bargaining power of suppliers </w:t>
      </w:r>
      <w:r w:rsidR="00811B96" w:rsidRPr="00FD5AD5">
        <w:rPr>
          <w:rFonts w:eastAsia="Times New Roman" w:cs="Times New Roman"/>
          <w:szCs w:val="24"/>
          <w:lang w:val="en-GB"/>
        </w:rPr>
        <w:t>because it owns many parts of the natural gas value chain,</w:t>
      </w:r>
      <w:r w:rsidR="00DA5B70" w:rsidRPr="00FD5AD5">
        <w:rPr>
          <w:rFonts w:eastAsia="Times New Roman" w:cs="Times New Roman"/>
          <w:szCs w:val="24"/>
          <w:lang w:val="en-GB"/>
        </w:rPr>
        <w:t xml:space="preserve"> from exploration to shipping. This makes it less reliant on sources from outside the company and gives it more power in negotiations. Shell PLC has a </w:t>
      </w:r>
      <w:r w:rsidR="00714C6E" w:rsidRPr="00FD5AD5">
        <w:rPr>
          <w:rFonts w:eastAsia="Times New Roman" w:cs="Times New Roman"/>
          <w:szCs w:val="24"/>
          <w:lang w:val="en-GB"/>
        </w:rPr>
        <w:t>significant advantage</w:t>
      </w:r>
      <w:r w:rsidR="00DA5B70" w:rsidRPr="00FD5AD5">
        <w:rPr>
          <w:rFonts w:eastAsia="Times New Roman" w:cs="Times New Roman"/>
          <w:szCs w:val="24"/>
          <w:lang w:val="en-GB"/>
        </w:rPr>
        <w:t xml:space="preserve"> over its suppliers when it comes to discussing prices because it owns and runs many parts of the natural gas value chain, such as shipping, liquefaction, exploration, and production (Shell plc Annual Report, 2019). </w:t>
      </w:r>
    </w:p>
    <w:p w14:paraId="3F7FC474" w14:textId="77777777" w:rsidR="008E1B56" w:rsidRPr="00FD5AD5" w:rsidRDefault="008E1B56" w:rsidP="00FD5AD5">
      <w:pPr>
        <w:ind w:firstLine="0"/>
        <w:rPr>
          <w:b/>
          <w:lang w:val="en-GB"/>
        </w:rPr>
      </w:pPr>
      <w:r w:rsidRPr="00FD5AD5">
        <w:rPr>
          <w:b/>
          <w:lang w:val="en-GB"/>
        </w:rPr>
        <w:t>Bargaining Power of Buyer</w:t>
      </w:r>
    </w:p>
    <w:p w14:paraId="153BBF1D" w14:textId="48DE165E" w:rsidR="008E1B56" w:rsidRPr="00FD5AD5" w:rsidRDefault="008E1B56" w:rsidP="00F63ADC">
      <w:pPr>
        <w:rPr>
          <w:rFonts w:eastAsia="Times New Roman" w:cs="Times New Roman"/>
          <w:szCs w:val="24"/>
          <w:lang w:val="en-GB"/>
        </w:rPr>
      </w:pPr>
      <w:r w:rsidRPr="00FD5AD5">
        <w:rPr>
          <w:lang w:val="en-GB"/>
        </w:rPr>
        <w:t xml:space="preserve">The bargaining power of buyers in Shell PLC is moderate because of the company's market dominance, </w:t>
      </w:r>
      <w:r w:rsidR="00FF31AD" w:rsidRPr="00FD5AD5">
        <w:rPr>
          <w:rFonts w:eastAsia="Times New Roman" w:cs="Times New Roman"/>
          <w:szCs w:val="24"/>
          <w:lang w:val="en-GB"/>
        </w:rPr>
        <w:t>different kinds of products and the fact that energy demand is not very flexible mean that buyers cannot really change prices or terms. Shell's integrated gas strategy lets the company offer a wide range of goods and services, from LNG to natural gas and solutions linked to both. Because it can meet a wide range of customer wants, this diversification gives Shell more negotiating power with buyers</w:t>
      </w:r>
      <w:r w:rsidR="009E0928" w:rsidRPr="00FD5AD5">
        <w:rPr>
          <w:rFonts w:eastAsia="Times New Roman" w:cs="Times New Roman"/>
          <w:szCs w:val="24"/>
          <w:lang w:val="en-GB"/>
        </w:rPr>
        <w:t xml:space="preserve"> (Shell plc Annual Report, 2020). </w:t>
      </w:r>
      <w:r w:rsidR="00FF31AD" w:rsidRPr="00FD5AD5">
        <w:rPr>
          <w:rFonts w:eastAsia="Times New Roman" w:cs="Times New Roman"/>
          <w:szCs w:val="24"/>
          <w:lang w:val="en-GB"/>
        </w:rPr>
        <w:t xml:space="preserve">Shell can better negotiate its terms when it has a wide range of products and services that it can tailor to different market groups and meet changing needs. </w:t>
      </w:r>
    </w:p>
    <w:p w14:paraId="41C46E52" w14:textId="3181B1E1" w:rsidR="008E1B56" w:rsidRPr="00FD5AD5" w:rsidRDefault="008E1B56" w:rsidP="00FD5AD5">
      <w:pPr>
        <w:ind w:firstLine="0"/>
        <w:rPr>
          <w:b/>
          <w:lang w:val="en-GB"/>
        </w:rPr>
      </w:pPr>
      <w:r w:rsidRPr="00FD5AD5">
        <w:rPr>
          <w:b/>
          <w:lang w:val="en-GB"/>
        </w:rPr>
        <w:t>Threat of Substitutes</w:t>
      </w:r>
    </w:p>
    <w:p w14:paraId="27C91F40" w14:textId="38B945B0" w:rsidR="008E1B56" w:rsidRPr="00FD5AD5" w:rsidRDefault="008E1B56" w:rsidP="00F63ADC">
      <w:pPr>
        <w:rPr>
          <w:rFonts w:eastAsia="Times New Roman" w:cs="Times New Roman"/>
          <w:szCs w:val="24"/>
          <w:lang w:val="en-GB"/>
        </w:rPr>
      </w:pPr>
      <w:r w:rsidRPr="00FD5AD5">
        <w:rPr>
          <w:lang w:val="en-GB"/>
        </w:rPr>
        <w:lastRenderedPageBreak/>
        <w:t xml:space="preserve">The threat of substitutes for natural gas in Shell PLC is generally low. </w:t>
      </w:r>
      <w:r w:rsidR="00FF31AD" w:rsidRPr="00FD5AD5">
        <w:rPr>
          <w:rFonts w:eastAsia="Times New Roman" w:cs="Times New Roman"/>
          <w:szCs w:val="24"/>
          <w:lang w:val="en-GB"/>
        </w:rPr>
        <w:t>As an alternative energy source, natural gas is better than coal or oil because it is more efficient, cheaper, and better for the environment. Also, the integrated gas plan stresses using natural gas for a wide range of purposes, which makes it even harder to find good alternatives</w:t>
      </w:r>
      <w:r w:rsidR="009E0928" w:rsidRPr="00FD5AD5">
        <w:rPr>
          <w:rFonts w:eastAsia="Times New Roman" w:cs="Times New Roman"/>
          <w:szCs w:val="24"/>
          <w:lang w:val="en-GB"/>
        </w:rPr>
        <w:t xml:space="preserve"> (Shell plc Annual Report, 2021)</w:t>
      </w:r>
      <w:r w:rsidR="00FF31AD" w:rsidRPr="00FD5AD5">
        <w:rPr>
          <w:rFonts w:eastAsia="Times New Roman" w:cs="Times New Roman"/>
          <w:szCs w:val="24"/>
          <w:lang w:val="en-GB"/>
        </w:rPr>
        <w:t>. Natural gas is the main target of the integrated gas strategy because it is more efficient, cheaper, and better for the environment than most other energy sources. This makes substitutes less of a threat and strengthens Shell's standing in the market.</w:t>
      </w:r>
    </w:p>
    <w:p w14:paraId="1D658F16" w14:textId="24C70751" w:rsidR="008E1B56" w:rsidRPr="00FD5AD5" w:rsidRDefault="008E1B56" w:rsidP="00FD5AD5">
      <w:pPr>
        <w:ind w:firstLine="0"/>
        <w:rPr>
          <w:b/>
          <w:lang w:val="en-GB"/>
        </w:rPr>
      </w:pPr>
      <w:r w:rsidRPr="00FD5AD5">
        <w:rPr>
          <w:b/>
          <w:lang w:val="en-GB"/>
        </w:rPr>
        <w:t>Competitive Rivalry</w:t>
      </w:r>
    </w:p>
    <w:p w14:paraId="2E53149D" w14:textId="5FF76A9A" w:rsidR="00FF31AD" w:rsidRPr="00FD5AD5" w:rsidRDefault="008E1B56" w:rsidP="00F63ADC">
      <w:pPr>
        <w:rPr>
          <w:rFonts w:eastAsia="Times New Roman" w:cs="Times New Roman"/>
          <w:szCs w:val="24"/>
          <w:lang w:val="en-GB"/>
        </w:rPr>
      </w:pPr>
      <w:r w:rsidRPr="00FD5AD5">
        <w:rPr>
          <w:lang w:val="en-GB"/>
        </w:rPr>
        <w:t xml:space="preserve">The competitive rivalry of Shell PLC is moderate, </w:t>
      </w:r>
      <w:r w:rsidR="00FF31AD" w:rsidRPr="00FD5AD5">
        <w:rPr>
          <w:rFonts w:eastAsia="Times New Roman" w:cs="Times New Roman"/>
          <w:szCs w:val="24"/>
          <w:lang w:val="en-GB"/>
        </w:rPr>
        <w:t xml:space="preserve">although Shell is the market leader due to its integrated gas strategy, alliances, presence around the world, and investments in LNG </w:t>
      </w:r>
      <w:r w:rsidR="00FD5AD5" w:rsidRPr="00FD5AD5">
        <w:rPr>
          <w:rFonts w:eastAsia="Times New Roman" w:cs="Times New Roman"/>
          <w:szCs w:val="24"/>
          <w:lang w:val="en-GB"/>
        </w:rPr>
        <w:t>projects;</w:t>
      </w:r>
      <w:r w:rsidR="00FF31AD" w:rsidRPr="00FD5AD5">
        <w:rPr>
          <w:rFonts w:eastAsia="Times New Roman" w:cs="Times New Roman"/>
          <w:szCs w:val="24"/>
          <w:lang w:val="en-GB"/>
        </w:rPr>
        <w:t xml:space="preserve"> however, the energy business is still very competitive, with many major competitors</w:t>
      </w:r>
      <w:r w:rsidR="009E0928" w:rsidRPr="00FD5AD5">
        <w:rPr>
          <w:rFonts w:eastAsia="Times New Roman" w:cs="Times New Roman"/>
          <w:szCs w:val="24"/>
          <w:lang w:val="en-GB"/>
        </w:rPr>
        <w:t xml:space="preserve"> (Shell plc Annual Report, 2019)</w:t>
      </w:r>
      <w:r w:rsidR="00FF31AD" w:rsidRPr="00FD5AD5">
        <w:rPr>
          <w:rFonts w:eastAsia="Times New Roman" w:cs="Times New Roman"/>
          <w:szCs w:val="24"/>
          <w:lang w:val="en-GB"/>
        </w:rPr>
        <w:t xml:space="preserve">. BP plc and TotalEnergies SE, two other large energy companies with similar resources and skills, could be seen as competitors to stay somewhat competitive. </w:t>
      </w:r>
      <w:r w:rsidR="009E0928" w:rsidRPr="00FD5AD5">
        <w:rPr>
          <w:rFonts w:eastAsia="Times New Roman" w:cs="Times New Roman"/>
          <w:szCs w:val="24"/>
          <w:lang w:val="en-GB"/>
        </w:rPr>
        <w:t>Shell’s</w:t>
      </w:r>
      <w:r w:rsidR="00FF31AD" w:rsidRPr="00FD5AD5">
        <w:rPr>
          <w:rFonts w:eastAsia="Times New Roman" w:cs="Times New Roman"/>
          <w:szCs w:val="24"/>
          <w:lang w:val="en-GB"/>
        </w:rPr>
        <w:t xml:space="preserve"> investments in LNG projects, global presence, and partnerships give it an edge over competitors and help it dominate the market.</w:t>
      </w:r>
    </w:p>
    <w:p w14:paraId="7B2CCD9A" w14:textId="444A8DDF" w:rsidR="008E1B56" w:rsidRPr="00FD5AD5" w:rsidRDefault="008E1B56" w:rsidP="00F63ADC">
      <w:pPr>
        <w:rPr>
          <w:rFonts w:eastAsia="Times New Roman" w:cs="Times New Roman"/>
          <w:szCs w:val="24"/>
          <w:lang w:val="en-GB"/>
        </w:rPr>
      </w:pPr>
    </w:p>
    <w:p w14:paraId="23BF56B4" w14:textId="77777777" w:rsidR="009C6B12" w:rsidRPr="00FD5AD5" w:rsidRDefault="009C6B12" w:rsidP="00F63ADC">
      <w:pPr>
        <w:rPr>
          <w:lang w:val="en-GB"/>
        </w:rPr>
      </w:pPr>
    </w:p>
    <w:p w14:paraId="2BA117F1" w14:textId="77777777" w:rsidR="009C6B12" w:rsidRPr="00FD5AD5" w:rsidRDefault="009C6B12" w:rsidP="00F63ADC">
      <w:pPr>
        <w:rPr>
          <w:lang w:val="en-GB"/>
        </w:rPr>
      </w:pPr>
    </w:p>
    <w:sectPr w:rsidR="009C6B12" w:rsidRPr="00FD5AD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AFC185F"/>
    <w:multiLevelType w:val="hybridMultilevel"/>
    <w:tmpl w:val="5D7AAB5A"/>
    <w:lvl w:ilvl="0" w:tplc="37284C86">
      <w:start w:val="1"/>
      <w:numFmt w:val="bullet"/>
      <w:lvlText w:val="•"/>
      <w:lvlJc w:val="left"/>
      <w:pPr>
        <w:tabs>
          <w:tab w:val="num" w:pos="720"/>
        </w:tabs>
        <w:ind w:left="720" w:hanging="360"/>
      </w:pPr>
      <w:rPr>
        <w:rFonts w:ascii="Times New Roman" w:hAnsi="Times New Roman" w:hint="default"/>
      </w:rPr>
    </w:lvl>
    <w:lvl w:ilvl="1" w:tplc="2236D18A" w:tentative="1">
      <w:start w:val="1"/>
      <w:numFmt w:val="bullet"/>
      <w:lvlText w:val="•"/>
      <w:lvlJc w:val="left"/>
      <w:pPr>
        <w:tabs>
          <w:tab w:val="num" w:pos="1440"/>
        </w:tabs>
        <w:ind w:left="1440" w:hanging="360"/>
      </w:pPr>
      <w:rPr>
        <w:rFonts w:ascii="Times New Roman" w:hAnsi="Times New Roman" w:hint="default"/>
      </w:rPr>
    </w:lvl>
    <w:lvl w:ilvl="2" w:tplc="4FDC41CA" w:tentative="1">
      <w:start w:val="1"/>
      <w:numFmt w:val="bullet"/>
      <w:lvlText w:val="•"/>
      <w:lvlJc w:val="left"/>
      <w:pPr>
        <w:tabs>
          <w:tab w:val="num" w:pos="2160"/>
        </w:tabs>
        <w:ind w:left="2160" w:hanging="360"/>
      </w:pPr>
      <w:rPr>
        <w:rFonts w:ascii="Times New Roman" w:hAnsi="Times New Roman" w:hint="default"/>
      </w:rPr>
    </w:lvl>
    <w:lvl w:ilvl="3" w:tplc="5BEA762C" w:tentative="1">
      <w:start w:val="1"/>
      <w:numFmt w:val="bullet"/>
      <w:lvlText w:val="•"/>
      <w:lvlJc w:val="left"/>
      <w:pPr>
        <w:tabs>
          <w:tab w:val="num" w:pos="2880"/>
        </w:tabs>
        <w:ind w:left="2880" w:hanging="360"/>
      </w:pPr>
      <w:rPr>
        <w:rFonts w:ascii="Times New Roman" w:hAnsi="Times New Roman" w:hint="default"/>
      </w:rPr>
    </w:lvl>
    <w:lvl w:ilvl="4" w:tplc="F508EF42" w:tentative="1">
      <w:start w:val="1"/>
      <w:numFmt w:val="bullet"/>
      <w:lvlText w:val="•"/>
      <w:lvlJc w:val="left"/>
      <w:pPr>
        <w:tabs>
          <w:tab w:val="num" w:pos="3600"/>
        </w:tabs>
        <w:ind w:left="3600" w:hanging="360"/>
      </w:pPr>
      <w:rPr>
        <w:rFonts w:ascii="Times New Roman" w:hAnsi="Times New Roman" w:hint="default"/>
      </w:rPr>
    </w:lvl>
    <w:lvl w:ilvl="5" w:tplc="7CB0DFE6" w:tentative="1">
      <w:start w:val="1"/>
      <w:numFmt w:val="bullet"/>
      <w:lvlText w:val="•"/>
      <w:lvlJc w:val="left"/>
      <w:pPr>
        <w:tabs>
          <w:tab w:val="num" w:pos="4320"/>
        </w:tabs>
        <w:ind w:left="4320" w:hanging="360"/>
      </w:pPr>
      <w:rPr>
        <w:rFonts w:ascii="Times New Roman" w:hAnsi="Times New Roman" w:hint="default"/>
      </w:rPr>
    </w:lvl>
    <w:lvl w:ilvl="6" w:tplc="21DC5BC4" w:tentative="1">
      <w:start w:val="1"/>
      <w:numFmt w:val="bullet"/>
      <w:lvlText w:val="•"/>
      <w:lvlJc w:val="left"/>
      <w:pPr>
        <w:tabs>
          <w:tab w:val="num" w:pos="5040"/>
        </w:tabs>
        <w:ind w:left="5040" w:hanging="360"/>
      </w:pPr>
      <w:rPr>
        <w:rFonts w:ascii="Times New Roman" w:hAnsi="Times New Roman" w:hint="default"/>
      </w:rPr>
    </w:lvl>
    <w:lvl w:ilvl="7" w:tplc="C8584CC6" w:tentative="1">
      <w:start w:val="1"/>
      <w:numFmt w:val="bullet"/>
      <w:lvlText w:val="•"/>
      <w:lvlJc w:val="left"/>
      <w:pPr>
        <w:tabs>
          <w:tab w:val="num" w:pos="5760"/>
        </w:tabs>
        <w:ind w:left="5760" w:hanging="360"/>
      </w:pPr>
      <w:rPr>
        <w:rFonts w:ascii="Times New Roman" w:hAnsi="Times New Roman" w:hint="default"/>
      </w:rPr>
    </w:lvl>
    <w:lvl w:ilvl="8" w:tplc="95E05AA0" w:tentative="1">
      <w:start w:val="1"/>
      <w:numFmt w:val="bullet"/>
      <w:lvlText w:val="•"/>
      <w:lvlJc w:val="left"/>
      <w:pPr>
        <w:tabs>
          <w:tab w:val="num" w:pos="6480"/>
        </w:tabs>
        <w:ind w:left="6480" w:hanging="360"/>
      </w:pPr>
      <w:rPr>
        <w:rFonts w:ascii="Times New Roman" w:hAnsi="Times New Roman" w:hint="default"/>
      </w:rPr>
    </w:lvl>
  </w:abstractNum>
  <w:abstractNum w:abstractNumId="1">
    <w:nsid w:val="0E6C099F"/>
    <w:multiLevelType w:val="multilevel"/>
    <w:tmpl w:val="7E96C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0FEE483B"/>
    <w:multiLevelType w:val="multilevel"/>
    <w:tmpl w:val="A0DCC37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11077DE1"/>
    <w:multiLevelType w:val="multilevel"/>
    <w:tmpl w:val="E2628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16393EB2"/>
    <w:multiLevelType w:val="multilevel"/>
    <w:tmpl w:val="E41A7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18D60D11"/>
    <w:multiLevelType w:val="multilevel"/>
    <w:tmpl w:val="EAD47AF0"/>
    <w:lvl w:ilvl="0">
      <w:start w:val="1"/>
      <w:numFmt w:val="decimal"/>
      <w:pStyle w:val="Heading2"/>
      <w:lvlText w:val="%1."/>
      <w:lvlJc w:val="left"/>
      <w:pPr>
        <w:ind w:left="360" w:hanging="360"/>
      </w:pPr>
      <w:rPr>
        <w:rFonts w:hint="default"/>
      </w:rPr>
    </w:lvl>
    <w:lvl w:ilvl="1">
      <w:start w:val="1"/>
      <w:numFmt w:val="decimal"/>
      <w:isLgl/>
      <w:lvlText w:val="%1.%2"/>
      <w:lvlJc w:val="left"/>
      <w:pPr>
        <w:ind w:left="375" w:hanging="375"/>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3240" w:hanging="144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4320" w:hanging="1800"/>
      </w:pPr>
      <w:rPr>
        <w:rFonts w:hint="default"/>
      </w:rPr>
    </w:lvl>
    <w:lvl w:ilvl="8">
      <w:start w:val="1"/>
      <w:numFmt w:val="decimal"/>
      <w:isLgl/>
      <w:lvlText w:val="%1.%2.%3.%4.%5.%6.%7.%8.%9"/>
      <w:lvlJc w:val="left"/>
      <w:pPr>
        <w:ind w:left="5040" w:hanging="2160"/>
      </w:pPr>
      <w:rPr>
        <w:rFonts w:hint="default"/>
      </w:rPr>
    </w:lvl>
  </w:abstractNum>
  <w:abstractNum w:abstractNumId="6">
    <w:nsid w:val="1B8A3D3B"/>
    <w:multiLevelType w:val="hybridMultilevel"/>
    <w:tmpl w:val="0C0A360E"/>
    <w:lvl w:ilvl="0" w:tplc="6EE003A4">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7">
    <w:nsid w:val="1D8A69D7"/>
    <w:multiLevelType w:val="multilevel"/>
    <w:tmpl w:val="76B0B4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225717A2"/>
    <w:multiLevelType w:val="hybridMultilevel"/>
    <w:tmpl w:val="37A06C1E"/>
    <w:lvl w:ilvl="0" w:tplc="17BCCB26">
      <w:start w:val="1"/>
      <w:numFmt w:val="decimal"/>
      <w:lvlText w:val="%1."/>
      <w:lvlJc w:val="left"/>
      <w:pPr>
        <w:ind w:left="2160" w:hanging="360"/>
      </w:pPr>
    </w:lvl>
    <w:lvl w:ilvl="1" w:tplc="04090019" w:tentative="1">
      <w:start w:val="1"/>
      <w:numFmt w:val="lowerLetter"/>
      <w:lvlText w:val="%2."/>
      <w:lvlJc w:val="left"/>
      <w:pPr>
        <w:ind w:left="2160" w:hanging="360"/>
      </w:pPr>
    </w:lvl>
    <w:lvl w:ilvl="2" w:tplc="282CACBE">
      <w:start w:val="1"/>
      <w:numFmt w:val="lowerRoman"/>
      <w:pStyle w:val="Heading3"/>
      <w:lvlText w:val="%3."/>
      <w:lvlJc w:val="right"/>
      <w:pPr>
        <w:ind w:left="1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9">
    <w:nsid w:val="22FA0468"/>
    <w:multiLevelType w:val="multilevel"/>
    <w:tmpl w:val="8BB8B3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23E24873"/>
    <w:multiLevelType w:val="hybridMultilevel"/>
    <w:tmpl w:val="40B25F48"/>
    <w:lvl w:ilvl="0" w:tplc="CEDEC212">
      <w:start w:val="1"/>
      <w:numFmt w:val="bullet"/>
      <w:lvlText w:val="•"/>
      <w:lvlJc w:val="left"/>
      <w:pPr>
        <w:tabs>
          <w:tab w:val="num" w:pos="720"/>
        </w:tabs>
        <w:ind w:left="720" w:hanging="360"/>
      </w:pPr>
      <w:rPr>
        <w:rFonts w:ascii="Times New Roman" w:hAnsi="Times New Roman" w:hint="default"/>
      </w:rPr>
    </w:lvl>
    <w:lvl w:ilvl="1" w:tplc="B966FEE0" w:tentative="1">
      <w:start w:val="1"/>
      <w:numFmt w:val="bullet"/>
      <w:lvlText w:val="•"/>
      <w:lvlJc w:val="left"/>
      <w:pPr>
        <w:tabs>
          <w:tab w:val="num" w:pos="1440"/>
        </w:tabs>
        <w:ind w:left="1440" w:hanging="360"/>
      </w:pPr>
      <w:rPr>
        <w:rFonts w:ascii="Times New Roman" w:hAnsi="Times New Roman" w:hint="default"/>
      </w:rPr>
    </w:lvl>
    <w:lvl w:ilvl="2" w:tplc="940869BE" w:tentative="1">
      <w:start w:val="1"/>
      <w:numFmt w:val="bullet"/>
      <w:lvlText w:val="•"/>
      <w:lvlJc w:val="left"/>
      <w:pPr>
        <w:tabs>
          <w:tab w:val="num" w:pos="2160"/>
        </w:tabs>
        <w:ind w:left="2160" w:hanging="360"/>
      </w:pPr>
      <w:rPr>
        <w:rFonts w:ascii="Times New Roman" w:hAnsi="Times New Roman" w:hint="default"/>
      </w:rPr>
    </w:lvl>
    <w:lvl w:ilvl="3" w:tplc="2E9C94DC" w:tentative="1">
      <w:start w:val="1"/>
      <w:numFmt w:val="bullet"/>
      <w:lvlText w:val="•"/>
      <w:lvlJc w:val="left"/>
      <w:pPr>
        <w:tabs>
          <w:tab w:val="num" w:pos="2880"/>
        </w:tabs>
        <w:ind w:left="2880" w:hanging="360"/>
      </w:pPr>
      <w:rPr>
        <w:rFonts w:ascii="Times New Roman" w:hAnsi="Times New Roman" w:hint="default"/>
      </w:rPr>
    </w:lvl>
    <w:lvl w:ilvl="4" w:tplc="5C8A735C" w:tentative="1">
      <w:start w:val="1"/>
      <w:numFmt w:val="bullet"/>
      <w:lvlText w:val="•"/>
      <w:lvlJc w:val="left"/>
      <w:pPr>
        <w:tabs>
          <w:tab w:val="num" w:pos="3600"/>
        </w:tabs>
        <w:ind w:left="3600" w:hanging="360"/>
      </w:pPr>
      <w:rPr>
        <w:rFonts w:ascii="Times New Roman" w:hAnsi="Times New Roman" w:hint="default"/>
      </w:rPr>
    </w:lvl>
    <w:lvl w:ilvl="5" w:tplc="24B203C4" w:tentative="1">
      <w:start w:val="1"/>
      <w:numFmt w:val="bullet"/>
      <w:lvlText w:val="•"/>
      <w:lvlJc w:val="left"/>
      <w:pPr>
        <w:tabs>
          <w:tab w:val="num" w:pos="4320"/>
        </w:tabs>
        <w:ind w:left="4320" w:hanging="360"/>
      </w:pPr>
      <w:rPr>
        <w:rFonts w:ascii="Times New Roman" w:hAnsi="Times New Roman" w:hint="default"/>
      </w:rPr>
    </w:lvl>
    <w:lvl w:ilvl="6" w:tplc="D654DFDC" w:tentative="1">
      <w:start w:val="1"/>
      <w:numFmt w:val="bullet"/>
      <w:lvlText w:val="•"/>
      <w:lvlJc w:val="left"/>
      <w:pPr>
        <w:tabs>
          <w:tab w:val="num" w:pos="5040"/>
        </w:tabs>
        <w:ind w:left="5040" w:hanging="360"/>
      </w:pPr>
      <w:rPr>
        <w:rFonts w:ascii="Times New Roman" w:hAnsi="Times New Roman" w:hint="default"/>
      </w:rPr>
    </w:lvl>
    <w:lvl w:ilvl="7" w:tplc="B2C80E5E" w:tentative="1">
      <w:start w:val="1"/>
      <w:numFmt w:val="bullet"/>
      <w:lvlText w:val="•"/>
      <w:lvlJc w:val="left"/>
      <w:pPr>
        <w:tabs>
          <w:tab w:val="num" w:pos="5760"/>
        </w:tabs>
        <w:ind w:left="5760" w:hanging="360"/>
      </w:pPr>
      <w:rPr>
        <w:rFonts w:ascii="Times New Roman" w:hAnsi="Times New Roman" w:hint="default"/>
      </w:rPr>
    </w:lvl>
    <w:lvl w:ilvl="8" w:tplc="A386EA76" w:tentative="1">
      <w:start w:val="1"/>
      <w:numFmt w:val="bullet"/>
      <w:lvlText w:val="•"/>
      <w:lvlJc w:val="left"/>
      <w:pPr>
        <w:tabs>
          <w:tab w:val="num" w:pos="6480"/>
        </w:tabs>
        <w:ind w:left="6480" w:hanging="360"/>
      </w:pPr>
      <w:rPr>
        <w:rFonts w:ascii="Times New Roman" w:hAnsi="Times New Roman" w:hint="default"/>
      </w:rPr>
    </w:lvl>
  </w:abstractNum>
  <w:abstractNum w:abstractNumId="11">
    <w:nsid w:val="2DFC6BA0"/>
    <w:multiLevelType w:val="hybridMultilevel"/>
    <w:tmpl w:val="29109420"/>
    <w:lvl w:ilvl="0" w:tplc="39B2E6E6">
      <w:start w:val="1"/>
      <w:numFmt w:val="bullet"/>
      <w:lvlText w:val="•"/>
      <w:lvlJc w:val="left"/>
      <w:pPr>
        <w:tabs>
          <w:tab w:val="num" w:pos="720"/>
        </w:tabs>
        <w:ind w:left="720" w:hanging="360"/>
      </w:pPr>
      <w:rPr>
        <w:rFonts w:ascii="Times New Roman" w:hAnsi="Times New Roman" w:hint="default"/>
      </w:rPr>
    </w:lvl>
    <w:lvl w:ilvl="1" w:tplc="8AEAC6F4" w:tentative="1">
      <w:start w:val="1"/>
      <w:numFmt w:val="bullet"/>
      <w:lvlText w:val="•"/>
      <w:lvlJc w:val="left"/>
      <w:pPr>
        <w:tabs>
          <w:tab w:val="num" w:pos="1440"/>
        </w:tabs>
        <w:ind w:left="1440" w:hanging="360"/>
      </w:pPr>
      <w:rPr>
        <w:rFonts w:ascii="Times New Roman" w:hAnsi="Times New Roman" w:hint="default"/>
      </w:rPr>
    </w:lvl>
    <w:lvl w:ilvl="2" w:tplc="FA264B56" w:tentative="1">
      <w:start w:val="1"/>
      <w:numFmt w:val="bullet"/>
      <w:lvlText w:val="•"/>
      <w:lvlJc w:val="left"/>
      <w:pPr>
        <w:tabs>
          <w:tab w:val="num" w:pos="2160"/>
        </w:tabs>
        <w:ind w:left="2160" w:hanging="360"/>
      </w:pPr>
      <w:rPr>
        <w:rFonts w:ascii="Times New Roman" w:hAnsi="Times New Roman" w:hint="default"/>
      </w:rPr>
    </w:lvl>
    <w:lvl w:ilvl="3" w:tplc="8FE01762" w:tentative="1">
      <w:start w:val="1"/>
      <w:numFmt w:val="bullet"/>
      <w:lvlText w:val="•"/>
      <w:lvlJc w:val="left"/>
      <w:pPr>
        <w:tabs>
          <w:tab w:val="num" w:pos="2880"/>
        </w:tabs>
        <w:ind w:left="2880" w:hanging="360"/>
      </w:pPr>
      <w:rPr>
        <w:rFonts w:ascii="Times New Roman" w:hAnsi="Times New Roman" w:hint="default"/>
      </w:rPr>
    </w:lvl>
    <w:lvl w:ilvl="4" w:tplc="859AE036" w:tentative="1">
      <w:start w:val="1"/>
      <w:numFmt w:val="bullet"/>
      <w:lvlText w:val="•"/>
      <w:lvlJc w:val="left"/>
      <w:pPr>
        <w:tabs>
          <w:tab w:val="num" w:pos="3600"/>
        </w:tabs>
        <w:ind w:left="3600" w:hanging="360"/>
      </w:pPr>
      <w:rPr>
        <w:rFonts w:ascii="Times New Roman" w:hAnsi="Times New Roman" w:hint="default"/>
      </w:rPr>
    </w:lvl>
    <w:lvl w:ilvl="5" w:tplc="FAC05584" w:tentative="1">
      <w:start w:val="1"/>
      <w:numFmt w:val="bullet"/>
      <w:lvlText w:val="•"/>
      <w:lvlJc w:val="left"/>
      <w:pPr>
        <w:tabs>
          <w:tab w:val="num" w:pos="4320"/>
        </w:tabs>
        <w:ind w:left="4320" w:hanging="360"/>
      </w:pPr>
      <w:rPr>
        <w:rFonts w:ascii="Times New Roman" w:hAnsi="Times New Roman" w:hint="default"/>
      </w:rPr>
    </w:lvl>
    <w:lvl w:ilvl="6" w:tplc="05389928" w:tentative="1">
      <w:start w:val="1"/>
      <w:numFmt w:val="bullet"/>
      <w:lvlText w:val="•"/>
      <w:lvlJc w:val="left"/>
      <w:pPr>
        <w:tabs>
          <w:tab w:val="num" w:pos="5040"/>
        </w:tabs>
        <w:ind w:left="5040" w:hanging="360"/>
      </w:pPr>
      <w:rPr>
        <w:rFonts w:ascii="Times New Roman" w:hAnsi="Times New Roman" w:hint="default"/>
      </w:rPr>
    </w:lvl>
    <w:lvl w:ilvl="7" w:tplc="31001F06" w:tentative="1">
      <w:start w:val="1"/>
      <w:numFmt w:val="bullet"/>
      <w:lvlText w:val="•"/>
      <w:lvlJc w:val="left"/>
      <w:pPr>
        <w:tabs>
          <w:tab w:val="num" w:pos="5760"/>
        </w:tabs>
        <w:ind w:left="5760" w:hanging="360"/>
      </w:pPr>
      <w:rPr>
        <w:rFonts w:ascii="Times New Roman" w:hAnsi="Times New Roman" w:hint="default"/>
      </w:rPr>
    </w:lvl>
    <w:lvl w:ilvl="8" w:tplc="804ED2CE" w:tentative="1">
      <w:start w:val="1"/>
      <w:numFmt w:val="bullet"/>
      <w:lvlText w:val="•"/>
      <w:lvlJc w:val="left"/>
      <w:pPr>
        <w:tabs>
          <w:tab w:val="num" w:pos="6480"/>
        </w:tabs>
        <w:ind w:left="6480" w:hanging="360"/>
      </w:pPr>
      <w:rPr>
        <w:rFonts w:ascii="Times New Roman" w:hAnsi="Times New Roman" w:hint="default"/>
      </w:rPr>
    </w:lvl>
  </w:abstractNum>
  <w:abstractNum w:abstractNumId="12">
    <w:nsid w:val="2F934AB7"/>
    <w:multiLevelType w:val="hybridMultilevel"/>
    <w:tmpl w:val="206074E6"/>
    <w:lvl w:ilvl="0" w:tplc="19C88572">
      <w:start w:val="1"/>
      <w:numFmt w:val="bullet"/>
      <w:lvlText w:val="•"/>
      <w:lvlJc w:val="left"/>
      <w:pPr>
        <w:tabs>
          <w:tab w:val="num" w:pos="720"/>
        </w:tabs>
        <w:ind w:left="720" w:hanging="360"/>
      </w:pPr>
      <w:rPr>
        <w:rFonts w:ascii="Times New Roman" w:hAnsi="Times New Roman" w:hint="default"/>
      </w:rPr>
    </w:lvl>
    <w:lvl w:ilvl="1" w:tplc="CC2EA00E" w:tentative="1">
      <w:start w:val="1"/>
      <w:numFmt w:val="bullet"/>
      <w:lvlText w:val="•"/>
      <w:lvlJc w:val="left"/>
      <w:pPr>
        <w:tabs>
          <w:tab w:val="num" w:pos="1440"/>
        </w:tabs>
        <w:ind w:left="1440" w:hanging="360"/>
      </w:pPr>
      <w:rPr>
        <w:rFonts w:ascii="Times New Roman" w:hAnsi="Times New Roman" w:hint="default"/>
      </w:rPr>
    </w:lvl>
    <w:lvl w:ilvl="2" w:tplc="E7D80706" w:tentative="1">
      <w:start w:val="1"/>
      <w:numFmt w:val="bullet"/>
      <w:lvlText w:val="•"/>
      <w:lvlJc w:val="left"/>
      <w:pPr>
        <w:tabs>
          <w:tab w:val="num" w:pos="2160"/>
        </w:tabs>
        <w:ind w:left="2160" w:hanging="360"/>
      </w:pPr>
      <w:rPr>
        <w:rFonts w:ascii="Times New Roman" w:hAnsi="Times New Roman" w:hint="default"/>
      </w:rPr>
    </w:lvl>
    <w:lvl w:ilvl="3" w:tplc="DA9AFAC2" w:tentative="1">
      <w:start w:val="1"/>
      <w:numFmt w:val="bullet"/>
      <w:lvlText w:val="•"/>
      <w:lvlJc w:val="left"/>
      <w:pPr>
        <w:tabs>
          <w:tab w:val="num" w:pos="2880"/>
        </w:tabs>
        <w:ind w:left="2880" w:hanging="360"/>
      </w:pPr>
      <w:rPr>
        <w:rFonts w:ascii="Times New Roman" w:hAnsi="Times New Roman" w:hint="default"/>
      </w:rPr>
    </w:lvl>
    <w:lvl w:ilvl="4" w:tplc="9CECAA54" w:tentative="1">
      <w:start w:val="1"/>
      <w:numFmt w:val="bullet"/>
      <w:lvlText w:val="•"/>
      <w:lvlJc w:val="left"/>
      <w:pPr>
        <w:tabs>
          <w:tab w:val="num" w:pos="3600"/>
        </w:tabs>
        <w:ind w:left="3600" w:hanging="360"/>
      </w:pPr>
      <w:rPr>
        <w:rFonts w:ascii="Times New Roman" w:hAnsi="Times New Roman" w:hint="default"/>
      </w:rPr>
    </w:lvl>
    <w:lvl w:ilvl="5" w:tplc="EB909AEE" w:tentative="1">
      <w:start w:val="1"/>
      <w:numFmt w:val="bullet"/>
      <w:lvlText w:val="•"/>
      <w:lvlJc w:val="left"/>
      <w:pPr>
        <w:tabs>
          <w:tab w:val="num" w:pos="4320"/>
        </w:tabs>
        <w:ind w:left="4320" w:hanging="360"/>
      </w:pPr>
      <w:rPr>
        <w:rFonts w:ascii="Times New Roman" w:hAnsi="Times New Roman" w:hint="default"/>
      </w:rPr>
    </w:lvl>
    <w:lvl w:ilvl="6" w:tplc="47029CF8" w:tentative="1">
      <w:start w:val="1"/>
      <w:numFmt w:val="bullet"/>
      <w:lvlText w:val="•"/>
      <w:lvlJc w:val="left"/>
      <w:pPr>
        <w:tabs>
          <w:tab w:val="num" w:pos="5040"/>
        </w:tabs>
        <w:ind w:left="5040" w:hanging="360"/>
      </w:pPr>
      <w:rPr>
        <w:rFonts w:ascii="Times New Roman" w:hAnsi="Times New Roman" w:hint="default"/>
      </w:rPr>
    </w:lvl>
    <w:lvl w:ilvl="7" w:tplc="624A4476" w:tentative="1">
      <w:start w:val="1"/>
      <w:numFmt w:val="bullet"/>
      <w:lvlText w:val="•"/>
      <w:lvlJc w:val="left"/>
      <w:pPr>
        <w:tabs>
          <w:tab w:val="num" w:pos="5760"/>
        </w:tabs>
        <w:ind w:left="5760" w:hanging="360"/>
      </w:pPr>
      <w:rPr>
        <w:rFonts w:ascii="Times New Roman" w:hAnsi="Times New Roman" w:hint="default"/>
      </w:rPr>
    </w:lvl>
    <w:lvl w:ilvl="8" w:tplc="E8DE5500" w:tentative="1">
      <w:start w:val="1"/>
      <w:numFmt w:val="bullet"/>
      <w:lvlText w:val="•"/>
      <w:lvlJc w:val="left"/>
      <w:pPr>
        <w:tabs>
          <w:tab w:val="num" w:pos="6480"/>
        </w:tabs>
        <w:ind w:left="6480" w:hanging="360"/>
      </w:pPr>
      <w:rPr>
        <w:rFonts w:ascii="Times New Roman" w:hAnsi="Times New Roman" w:hint="default"/>
      </w:rPr>
    </w:lvl>
  </w:abstractNum>
  <w:abstractNum w:abstractNumId="13">
    <w:nsid w:val="30CB1930"/>
    <w:multiLevelType w:val="multilevel"/>
    <w:tmpl w:val="D410F1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325B7F6E"/>
    <w:multiLevelType w:val="multilevel"/>
    <w:tmpl w:val="E83AB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nsid w:val="36E36E4C"/>
    <w:multiLevelType w:val="multilevel"/>
    <w:tmpl w:val="62B421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nsid w:val="37AB675A"/>
    <w:multiLevelType w:val="multilevel"/>
    <w:tmpl w:val="769CA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nsid w:val="394C586F"/>
    <w:multiLevelType w:val="hybridMultilevel"/>
    <w:tmpl w:val="E5383BAC"/>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8">
    <w:nsid w:val="3A591730"/>
    <w:multiLevelType w:val="multilevel"/>
    <w:tmpl w:val="74D472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nsid w:val="42E63F58"/>
    <w:multiLevelType w:val="hybridMultilevel"/>
    <w:tmpl w:val="0030A1E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45546BEE"/>
    <w:multiLevelType w:val="hybridMultilevel"/>
    <w:tmpl w:val="1B0CDF1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1">
    <w:nsid w:val="5A4B365C"/>
    <w:multiLevelType w:val="multilevel"/>
    <w:tmpl w:val="66EA8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nsid w:val="68F843F5"/>
    <w:multiLevelType w:val="multilevel"/>
    <w:tmpl w:val="C5525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nsid w:val="6B29512A"/>
    <w:multiLevelType w:val="multilevel"/>
    <w:tmpl w:val="0F80063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nsid w:val="6D9D71D4"/>
    <w:multiLevelType w:val="hybridMultilevel"/>
    <w:tmpl w:val="DB5CECC4"/>
    <w:lvl w:ilvl="0" w:tplc="FFFFFFFF">
      <w:start w:val="1"/>
      <w:numFmt w:val="decimal"/>
      <w:lvlText w:val="%1."/>
      <w:lvlJc w:val="left"/>
      <w:pPr>
        <w:ind w:left="2160" w:hanging="360"/>
      </w:pPr>
    </w:lvl>
    <w:lvl w:ilvl="1" w:tplc="FFFFFFFF" w:tentative="1">
      <w:start w:val="1"/>
      <w:numFmt w:val="lowerLetter"/>
      <w:lvlText w:val="%2."/>
      <w:lvlJc w:val="left"/>
      <w:pPr>
        <w:ind w:left="2160" w:hanging="360"/>
      </w:pPr>
    </w:lvl>
    <w:lvl w:ilvl="2" w:tplc="0409000F">
      <w:start w:val="1"/>
      <w:numFmt w:val="decimal"/>
      <w:lvlText w:val="%3."/>
      <w:lvlJc w:val="left"/>
      <w:pPr>
        <w:ind w:left="3060" w:hanging="36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25">
    <w:nsid w:val="728938B6"/>
    <w:multiLevelType w:val="multilevel"/>
    <w:tmpl w:val="D7906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nsid w:val="778624D5"/>
    <w:multiLevelType w:val="multilevel"/>
    <w:tmpl w:val="922AC97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nsid w:val="79185F10"/>
    <w:multiLevelType w:val="hybridMultilevel"/>
    <w:tmpl w:val="38D83030"/>
    <w:lvl w:ilvl="0" w:tplc="17BCCB26">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abstractNumId w:val="14"/>
  </w:num>
  <w:num w:numId="2">
    <w:abstractNumId w:val="25"/>
  </w:num>
  <w:num w:numId="3">
    <w:abstractNumId w:val="1"/>
  </w:num>
  <w:num w:numId="4">
    <w:abstractNumId w:val="3"/>
  </w:num>
  <w:num w:numId="5">
    <w:abstractNumId w:val="22"/>
  </w:num>
  <w:num w:numId="6">
    <w:abstractNumId w:val="4"/>
  </w:num>
  <w:num w:numId="7">
    <w:abstractNumId w:val="16"/>
  </w:num>
  <w:num w:numId="8">
    <w:abstractNumId w:val="20"/>
  </w:num>
  <w:num w:numId="9">
    <w:abstractNumId w:val="6"/>
  </w:num>
  <w:num w:numId="10">
    <w:abstractNumId w:val="7"/>
  </w:num>
  <w:num w:numId="11">
    <w:abstractNumId w:val="18"/>
  </w:num>
  <w:num w:numId="12">
    <w:abstractNumId w:val="9"/>
  </w:num>
  <w:num w:numId="13">
    <w:abstractNumId w:val="13"/>
  </w:num>
  <w:num w:numId="14">
    <w:abstractNumId w:val="23"/>
  </w:num>
  <w:num w:numId="15">
    <w:abstractNumId w:val="5"/>
  </w:num>
  <w:num w:numId="16">
    <w:abstractNumId w:val="20"/>
  </w:num>
  <w:num w:numId="17">
    <w:abstractNumId w:val="10"/>
  </w:num>
  <w:num w:numId="18">
    <w:abstractNumId w:val="11"/>
  </w:num>
  <w:num w:numId="19">
    <w:abstractNumId w:val="0"/>
  </w:num>
  <w:num w:numId="20">
    <w:abstractNumId w:val="12"/>
  </w:num>
  <w:num w:numId="21">
    <w:abstractNumId w:val="15"/>
  </w:num>
  <w:num w:numId="22">
    <w:abstractNumId w:val="2"/>
  </w:num>
  <w:num w:numId="23">
    <w:abstractNumId w:val="21"/>
  </w:num>
  <w:num w:numId="24">
    <w:abstractNumId w:val="26"/>
  </w:num>
  <w:num w:numId="25">
    <w:abstractNumId w:val="19"/>
  </w:num>
  <w:num w:numId="26">
    <w:abstractNumId w:val="17"/>
  </w:num>
  <w:num w:numId="27">
    <w:abstractNumId w:val="5"/>
    <w:lvlOverride w:ilvl="0">
      <w:startOverride w:val="3"/>
    </w:lvlOverride>
    <w:lvlOverride w:ilvl="1">
      <w:startOverride w:val="1"/>
    </w:lvlOverride>
    <w:lvlOverride w:ilvl="2">
      <w:startOverride w:val="3"/>
    </w:lvlOverride>
  </w:num>
  <w:num w:numId="28">
    <w:abstractNumId w:val="27"/>
  </w:num>
  <w:num w:numId="29">
    <w:abstractNumId w:val="8"/>
  </w:num>
  <w:num w:numId="30">
    <w:abstractNumId w:val="5"/>
  </w:num>
  <w:num w:numId="31">
    <w:abstractNumId w:val="5"/>
    <w:lvlOverride w:ilvl="0">
      <w:startOverride w:val="7"/>
    </w:lvlOverride>
    <w:lvlOverride w:ilvl="1">
      <w:startOverride w:val="1"/>
    </w:lvlOverride>
  </w:num>
  <w:num w:numId="32">
    <w:abstractNumId w:val="5"/>
    <w:lvlOverride w:ilvl="0">
      <w:startOverride w:val="10"/>
    </w:lvlOverride>
    <w:lvlOverride w:ilvl="1">
      <w:startOverride w:val="1"/>
    </w:lvlOverride>
  </w:num>
  <w:num w:numId="33">
    <w:abstractNumId w:val="24"/>
  </w:num>
  <w:num w:numId="34">
    <w:abstractNumId w:val="5"/>
    <w:lvlOverride w:ilvl="0">
      <w:startOverride w:val="8"/>
    </w:lvlOverride>
    <w:lvlOverride w:ilvl="1">
      <w:startOverride w:val="1"/>
    </w:lvlOverride>
  </w:num>
  <w:num w:numId="35">
    <w:abstractNumId w:val="5"/>
  </w:num>
  <w:num w:numId="3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hideSpellingErrors/>
  <w:hideGrammaticalErrors/>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stylePaneSortMethod w:val="0003"/>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TGwNDG3tDQ2NLA0NDJQ0lEKTi0uzszPAykwrgUAh50j6CwAAAA="/>
  </w:docVars>
  <w:rsids>
    <w:rsidRoot w:val="00C1051F"/>
    <w:rsid w:val="00015DFA"/>
    <w:rsid w:val="00023B17"/>
    <w:rsid w:val="00030355"/>
    <w:rsid w:val="0007149E"/>
    <w:rsid w:val="000C0AB6"/>
    <w:rsid w:val="000C27F5"/>
    <w:rsid w:val="00135E2F"/>
    <w:rsid w:val="001444E9"/>
    <w:rsid w:val="00157D8E"/>
    <w:rsid w:val="001A59EF"/>
    <w:rsid w:val="0023196E"/>
    <w:rsid w:val="00264E3E"/>
    <w:rsid w:val="00264F04"/>
    <w:rsid w:val="002725F3"/>
    <w:rsid w:val="00276EE6"/>
    <w:rsid w:val="00291AAB"/>
    <w:rsid w:val="002B37D8"/>
    <w:rsid w:val="002D3113"/>
    <w:rsid w:val="00314D5F"/>
    <w:rsid w:val="00374A83"/>
    <w:rsid w:val="003807B0"/>
    <w:rsid w:val="00383390"/>
    <w:rsid w:val="003C5EB5"/>
    <w:rsid w:val="003E3348"/>
    <w:rsid w:val="003E76CD"/>
    <w:rsid w:val="00401214"/>
    <w:rsid w:val="0040603E"/>
    <w:rsid w:val="00410BB4"/>
    <w:rsid w:val="00441F3D"/>
    <w:rsid w:val="004660D3"/>
    <w:rsid w:val="0047288E"/>
    <w:rsid w:val="004932B8"/>
    <w:rsid w:val="004C2BF1"/>
    <w:rsid w:val="004C3681"/>
    <w:rsid w:val="00512640"/>
    <w:rsid w:val="00540ED6"/>
    <w:rsid w:val="00554A45"/>
    <w:rsid w:val="005825A7"/>
    <w:rsid w:val="005B4E4D"/>
    <w:rsid w:val="0060004A"/>
    <w:rsid w:val="00613DB9"/>
    <w:rsid w:val="00647927"/>
    <w:rsid w:val="006A2CAC"/>
    <w:rsid w:val="006A7172"/>
    <w:rsid w:val="006B4436"/>
    <w:rsid w:val="006D375E"/>
    <w:rsid w:val="00700381"/>
    <w:rsid w:val="0071240D"/>
    <w:rsid w:val="00714C6E"/>
    <w:rsid w:val="00783464"/>
    <w:rsid w:val="007A4761"/>
    <w:rsid w:val="007D6B8E"/>
    <w:rsid w:val="008000CB"/>
    <w:rsid w:val="00811B96"/>
    <w:rsid w:val="00840BE5"/>
    <w:rsid w:val="00884F3C"/>
    <w:rsid w:val="00885B8D"/>
    <w:rsid w:val="0089554C"/>
    <w:rsid w:val="008C2B08"/>
    <w:rsid w:val="008D0341"/>
    <w:rsid w:val="008E1B56"/>
    <w:rsid w:val="00957D69"/>
    <w:rsid w:val="00974612"/>
    <w:rsid w:val="0098553B"/>
    <w:rsid w:val="009946C0"/>
    <w:rsid w:val="009A2DAF"/>
    <w:rsid w:val="009C6B12"/>
    <w:rsid w:val="009E0928"/>
    <w:rsid w:val="009E4533"/>
    <w:rsid w:val="009F3693"/>
    <w:rsid w:val="00A67B29"/>
    <w:rsid w:val="00A748A1"/>
    <w:rsid w:val="00A83855"/>
    <w:rsid w:val="00AA3373"/>
    <w:rsid w:val="00AD4530"/>
    <w:rsid w:val="00AD4BCC"/>
    <w:rsid w:val="00B34615"/>
    <w:rsid w:val="00BC2B59"/>
    <w:rsid w:val="00BE4CC9"/>
    <w:rsid w:val="00BF15DB"/>
    <w:rsid w:val="00BF4BA7"/>
    <w:rsid w:val="00C1051F"/>
    <w:rsid w:val="00C12F50"/>
    <w:rsid w:val="00C1336A"/>
    <w:rsid w:val="00C40D2B"/>
    <w:rsid w:val="00C53308"/>
    <w:rsid w:val="00C65BD5"/>
    <w:rsid w:val="00C808BE"/>
    <w:rsid w:val="00CB25E6"/>
    <w:rsid w:val="00CB3D49"/>
    <w:rsid w:val="00D0222A"/>
    <w:rsid w:val="00D05B0D"/>
    <w:rsid w:val="00D15BAA"/>
    <w:rsid w:val="00D50FE0"/>
    <w:rsid w:val="00D84CD4"/>
    <w:rsid w:val="00D9472B"/>
    <w:rsid w:val="00D962F6"/>
    <w:rsid w:val="00DA5B70"/>
    <w:rsid w:val="00DD7D77"/>
    <w:rsid w:val="00DF7716"/>
    <w:rsid w:val="00E0052D"/>
    <w:rsid w:val="00E06B2B"/>
    <w:rsid w:val="00E12EFA"/>
    <w:rsid w:val="00EB1304"/>
    <w:rsid w:val="00EC2E3D"/>
    <w:rsid w:val="00EC3EF4"/>
    <w:rsid w:val="00EF0B59"/>
    <w:rsid w:val="00F07DB7"/>
    <w:rsid w:val="00F11537"/>
    <w:rsid w:val="00F63ADC"/>
    <w:rsid w:val="00F70986"/>
    <w:rsid w:val="00F905A2"/>
    <w:rsid w:val="00FB5892"/>
    <w:rsid w:val="00FD5AD5"/>
    <w:rsid w:val="00FE0A09"/>
    <w:rsid w:val="00FF31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063D1C"/>
  <w15:chartTrackingRefBased/>
  <w15:docId w15:val="{2405931F-7374-4504-A01B-E5FD01DF26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360" w:lineRule="auto"/>
        <w:ind w:firstLine="720"/>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12640"/>
    <w:rPr>
      <w:rFonts w:ascii="Times New Roman" w:hAnsi="Times New Roman"/>
      <w:sz w:val="24"/>
    </w:rPr>
  </w:style>
  <w:style w:type="paragraph" w:styleId="Heading1">
    <w:name w:val="heading 1"/>
    <w:basedOn w:val="Normal"/>
    <w:next w:val="Normal"/>
    <w:link w:val="Heading1Char"/>
    <w:uiPriority w:val="9"/>
    <w:qFormat/>
    <w:rsid w:val="00EB1304"/>
    <w:pPr>
      <w:keepNext/>
      <w:keepLines/>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autoRedefine/>
    <w:uiPriority w:val="9"/>
    <w:unhideWhenUsed/>
    <w:qFormat/>
    <w:rsid w:val="00FB5892"/>
    <w:pPr>
      <w:keepNext/>
      <w:keepLines/>
      <w:numPr>
        <w:numId w:val="35"/>
      </w:numPr>
      <w:spacing w:before="40"/>
      <w:outlineLvl w:val="1"/>
    </w:pPr>
    <w:rPr>
      <w:rFonts w:eastAsiaTheme="majorEastAsia" w:cstheme="majorBidi"/>
      <w:bCs/>
      <w:sz w:val="28"/>
      <w:szCs w:val="28"/>
      <w:lang w:val="en-GB"/>
    </w:rPr>
  </w:style>
  <w:style w:type="paragraph" w:styleId="Heading3">
    <w:name w:val="heading 3"/>
    <w:basedOn w:val="Normal"/>
    <w:next w:val="Normal"/>
    <w:link w:val="Heading3Char"/>
    <w:autoRedefine/>
    <w:uiPriority w:val="9"/>
    <w:unhideWhenUsed/>
    <w:qFormat/>
    <w:rsid w:val="00AD4BCC"/>
    <w:pPr>
      <w:keepNext/>
      <w:keepLines/>
      <w:numPr>
        <w:ilvl w:val="2"/>
        <w:numId w:val="29"/>
      </w:numPr>
      <w:spacing w:before="40"/>
      <w:ind w:left="181" w:hanging="181"/>
      <w:outlineLvl w:val="2"/>
    </w:pPr>
    <w:rPr>
      <w:rFonts w:eastAsiaTheme="majorEastAsia" w:cstheme="majorBidi"/>
      <w:b/>
      <w:i/>
      <w:szCs w:val="24"/>
      <w:lang w:val="en-GB"/>
    </w:rPr>
  </w:style>
  <w:style w:type="paragraph" w:styleId="Heading4">
    <w:name w:val="heading 4"/>
    <w:basedOn w:val="Normal"/>
    <w:next w:val="Normal"/>
    <w:link w:val="Heading4Char"/>
    <w:uiPriority w:val="9"/>
    <w:unhideWhenUsed/>
    <w:qFormat/>
    <w:rsid w:val="00C1051F"/>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C1051F"/>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C1051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1051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1051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1051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B5892"/>
    <w:rPr>
      <w:rFonts w:ascii="Times New Roman" w:eastAsiaTheme="majorEastAsia" w:hAnsi="Times New Roman" w:cstheme="majorBidi"/>
      <w:bCs/>
      <w:sz w:val="28"/>
      <w:szCs w:val="28"/>
      <w:lang w:val="en-GB"/>
    </w:rPr>
  </w:style>
  <w:style w:type="paragraph" w:styleId="Title">
    <w:name w:val="Title"/>
    <w:basedOn w:val="Normal"/>
    <w:next w:val="Normal"/>
    <w:link w:val="TitleChar"/>
    <w:autoRedefine/>
    <w:uiPriority w:val="10"/>
    <w:qFormat/>
    <w:rsid w:val="00C808BE"/>
    <w:pPr>
      <w:contextualSpacing/>
    </w:pPr>
    <w:rPr>
      <w:rFonts w:eastAsiaTheme="majorEastAsia" w:cstheme="majorBidi"/>
      <w:spacing w:val="-10"/>
      <w:kern w:val="28"/>
      <w:szCs w:val="56"/>
    </w:rPr>
  </w:style>
  <w:style w:type="character" w:customStyle="1" w:styleId="TitleChar">
    <w:name w:val="Title Char"/>
    <w:basedOn w:val="DefaultParagraphFont"/>
    <w:link w:val="Title"/>
    <w:uiPriority w:val="10"/>
    <w:rsid w:val="00C808BE"/>
    <w:rPr>
      <w:rFonts w:ascii="Times New Roman" w:eastAsiaTheme="majorEastAsia" w:hAnsi="Times New Roman" w:cstheme="majorBidi"/>
      <w:spacing w:val="-10"/>
      <w:kern w:val="28"/>
      <w:sz w:val="24"/>
      <w:szCs w:val="56"/>
    </w:rPr>
  </w:style>
  <w:style w:type="paragraph" w:customStyle="1" w:styleId="StyleHeading1TimesNewRoman">
    <w:name w:val="Style Heading 1 + Times New Roman"/>
    <w:basedOn w:val="Heading1"/>
    <w:autoRedefine/>
    <w:rsid w:val="00EB1304"/>
    <w:rPr>
      <w:rFonts w:ascii="Times New Roman" w:hAnsi="Times New Roman"/>
    </w:rPr>
  </w:style>
  <w:style w:type="character" w:customStyle="1" w:styleId="Heading1Char">
    <w:name w:val="Heading 1 Char"/>
    <w:basedOn w:val="DefaultParagraphFont"/>
    <w:link w:val="Heading1"/>
    <w:uiPriority w:val="9"/>
    <w:rsid w:val="00EB1304"/>
    <w:rPr>
      <w:rFonts w:asciiTheme="majorHAnsi" w:eastAsiaTheme="majorEastAsia" w:hAnsiTheme="majorHAnsi" w:cstheme="majorBidi"/>
      <w:color w:val="0F4761" w:themeColor="accent1" w:themeShade="BF"/>
      <w:sz w:val="32"/>
      <w:szCs w:val="32"/>
    </w:rPr>
  </w:style>
  <w:style w:type="paragraph" w:customStyle="1" w:styleId="Style1">
    <w:name w:val="Style1"/>
    <w:basedOn w:val="Heading2"/>
    <w:autoRedefine/>
    <w:qFormat/>
    <w:rsid w:val="00EB1304"/>
    <w:rPr>
      <w:b/>
      <w:i/>
    </w:rPr>
  </w:style>
  <w:style w:type="paragraph" w:customStyle="1" w:styleId="StyleHeading3TimesNewRomanItalic">
    <w:name w:val="Style Heading 3 + Times New Roman Italic"/>
    <w:basedOn w:val="Heading3"/>
    <w:autoRedefine/>
    <w:rsid w:val="008C2B08"/>
    <w:pPr>
      <w:keepNext w:val="0"/>
      <w:keepLines w:val="0"/>
      <w:spacing w:before="0"/>
      <w:ind w:left="120"/>
    </w:pPr>
    <w:rPr>
      <w:rFonts w:eastAsia="Calibri" w:cs="Calibri"/>
      <w:b w:val="0"/>
      <w:bCs/>
      <w:i w:val="0"/>
      <w:iCs/>
    </w:rPr>
  </w:style>
  <w:style w:type="character" w:customStyle="1" w:styleId="Heading3Char">
    <w:name w:val="Heading 3 Char"/>
    <w:basedOn w:val="DefaultParagraphFont"/>
    <w:link w:val="Heading3"/>
    <w:uiPriority w:val="9"/>
    <w:rsid w:val="00AD4BCC"/>
    <w:rPr>
      <w:rFonts w:ascii="Times New Roman" w:eastAsiaTheme="majorEastAsia" w:hAnsi="Times New Roman" w:cstheme="majorBidi"/>
      <w:b/>
      <w:i/>
      <w:sz w:val="24"/>
      <w:szCs w:val="24"/>
      <w:lang w:val="en-GB"/>
    </w:rPr>
  </w:style>
  <w:style w:type="character" w:customStyle="1" w:styleId="Heading4Char">
    <w:name w:val="Heading 4 Char"/>
    <w:basedOn w:val="DefaultParagraphFont"/>
    <w:link w:val="Heading4"/>
    <w:uiPriority w:val="9"/>
    <w:rsid w:val="00C1051F"/>
    <w:rPr>
      <w:rFonts w:eastAsiaTheme="majorEastAsia" w:cstheme="majorBidi"/>
      <w:i/>
      <w:iCs/>
      <w:color w:val="0F4761" w:themeColor="accent1" w:themeShade="BF"/>
      <w:sz w:val="24"/>
    </w:rPr>
  </w:style>
  <w:style w:type="character" w:customStyle="1" w:styleId="Heading5Char">
    <w:name w:val="Heading 5 Char"/>
    <w:basedOn w:val="DefaultParagraphFont"/>
    <w:link w:val="Heading5"/>
    <w:uiPriority w:val="9"/>
    <w:semiHidden/>
    <w:rsid w:val="00C1051F"/>
    <w:rPr>
      <w:rFonts w:eastAsiaTheme="majorEastAsia" w:cstheme="majorBidi"/>
      <w:color w:val="0F4761" w:themeColor="accent1" w:themeShade="BF"/>
      <w:sz w:val="24"/>
    </w:rPr>
  </w:style>
  <w:style w:type="character" w:customStyle="1" w:styleId="Heading6Char">
    <w:name w:val="Heading 6 Char"/>
    <w:basedOn w:val="DefaultParagraphFont"/>
    <w:link w:val="Heading6"/>
    <w:uiPriority w:val="9"/>
    <w:semiHidden/>
    <w:rsid w:val="00C1051F"/>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C1051F"/>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C1051F"/>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C1051F"/>
    <w:rPr>
      <w:rFonts w:eastAsiaTheme="majorEastAsia" w:cstheme="majorBidi"/>
      <w:color w:val="272727" w:themeColor="text1" w:themeTint="D8"/>
      <w:sz w:val="24"/>
    </w:rPr>
  </w:style>
  <w:style w:type="paragraph" w:styleId="Subtitle">
    <w:name w:val="Subtitle"/>
    <w:basedOn w:val="Normal"/>
    <w:next w:val="Normal"/>
    <w:link w:val="SubtitleChar"/>
    <w:uiPriority w:val="11"/>
    <w:qFormat/>
    <w:rsid w:val="00C1051F"/>
    <w:pPr>
      <w:numPr>
        <w:ilvl w:val="1"/>
      </w:numPr>
      <w:ind w:firstLine="72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05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051F"/>
    <w:pPr>
      <w:spacing w:before="160"/>
      <w:jc w:val="center"/>
    </w:pPr>
    <w:rPr>
      <w:i/>
      <w:iCs/>
      <w:color w:val="404040" w:themeColor="text1" w:themeTint="BF"/>
    </w:rPr>
  </w:style>
  <w:style w:type="character" w:customStyle="1" w:styleId="QuoteChar">
    <w:name w:val="Quote Char"/>
    <w:basedOn w:val="DefaultParagraphFont"/>
    <w:link w:val="Quote"/>
    <w:uiPriority w:val="29"/>
    <w:rsid w:val="00C1051F"/>
    <w:rPr>
      <w:rFonts w:ascii="Times New Roman" w:hAnsi="Times New Roman"/>
      <w:i/>
      <w:iCs/>
      <w:color w:val="404040" w:themeColor="text1" w:themeTint="BF"/>
      <w:sz w:val="24"/>
    </w:rPr>
  </w:style>
  <w:style w:type="paragraph" w:styleId="ListParagraph">
    <w:name w:val="List Paragraph"/>
    <w:basedOn w:val="Normal"/>
    <w:uiPriority w:val="34"/>
    <w:qFormat/>
    <w:rsid w:val="00C1051F"/>
    <w:pPr>
      <w:ind w:left="720"/>
      <w:contextualSpacing/>
    </w:pPr>
  </w:style>
  <w:style w:type="character" w:styleId="IntenseEmphasis">
    <w:name w:val="Intense Emphasis"/>
    <w:basedOn w:val="DefaultParagraphFont"/>
    <w:uiPriority w:val="21"/>
    <w:qFormat/>
    <w:rsid w:val="00C1051F"/>
    <w:rPr>
      <w:i/>
      <w:iCs/>
      <w:color w:val="0F4761" w:themeColor="accent1" w:themeShade="BF"/>
    </w:rPr>
  </w:style>
  <w:style w:type="paragraph" w:styleId="IntenseQuote">
    <w:name w:val="Intense Quote"/>
    <w:basedOn w:val="Normal"/>
    <w:next w:val="Normal"/>
    <w:link w:val="IntenseQuoteChar"/>
    <w:uiPriority w:val="30"/>
    <w:qFormat/>
    <w:rsid w:val="00C105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051F"/>
    <w:rPr>
      <w:rFonts w:ascii="Times New Roman" w:hAnsi="Times New Roman"/>
      <w:i/>
      <w:iCs/>
      <w:color w:val="0F4761" w:themeColor="accent1" w:themeShade="BF"/>
      <w:sz w:val="24"/>
    </w:rPr>
  </w:style>
  <w:style w:type="character" w:styleId="IntenseReference">
    <w:name w:val="Intense Reference"/>
    <w:basedOn w:val="DefaultParagraphFont"/>
    <w:uiPriority w:val="32"/>
    <w:qFormat/>
    <w:rsid w:val="00C1051F"/>
    <w:rPr>
      <w:b/>
      <w:bCs/>
      <w:smallCaps/>
      <w:color w:val="0F4761" w:themeColor="accent1" w:themeShade="BF"/>
      <w:spacing w:val="5"/>
    </w:rPr>
  </w:style>
  <w:style w:type="paragraph" w:styleId="NormalWeb">
    <w:name w:val="Normal (Web)"/>
    <w:basedOn w:val="Normal"/>
    <w:uiPriority w:val="99"/>
    <w:unhideWhenUsed/>
    <w:rsid w:val="00C1051F"/>
    <w:pPr>
      <w:spacing w:before="100" w:beforeAutospacing="1" w:after="100" w:afterAutospacing="1" w:line="240" w:lineRule="auto"/>
      <w:ind w:firstLine="0"/>
      <w:jc w:val="left"/>
    </w:pPr>
    <w:rPr>
      <w:rFonts w:eastAsia="Times New Roman" w:cs="Times New Roman"/>
      <w:szCs w:val="24"/>
    </w:rPr>
  </w:style>
  <w:style w:type="character" w:styleId="Strong">
    <w:name w:val="Strong"/>
    <w:basedOn w:val="DefaultParagraphFont"/>
    <w:uiPriority w:val="22"/>
    <w:qFormat/>
    <w:rsid w:val="00C1051F"/>
    <w:rPr>
      <w:b/>
      <w:bCs/>
    </w:rPr>
  </w:style>
  <w:style w:type="paragraph" w:styleId="z-TopofForm">
    <w:name w:val="HTML Top of Form"/>
    <w:basedOn w:val="Normal"/>
    <w:next w:val="Normal"/>
    <w:link w:val="z-TopofFormChar"/>
    <w:hidden/>
    <w:uiPriority w:val="99"/>
    <w:semiHidden/>
    <w:unhideWhenUsed/>
    <w:rsid w:val="00264F04"/>
    <w:pPr>
      <w:pBdr>
        <w:bottom w:val="single" w:sz="6" w:space="1" w:color="auto"/>
      </w:pBdr>
      <w:spacing w:after="0" w:line="240" w:lineRule="auto"/>
      <w:ind w:firstLine="0"/>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264F04"/>
    <w:rPr>
      <w:rFonts w:ascii="Arial" w:eastAsia="Times New Roman" w:hAnsi="Arial" w:cs="Arial"/>
      <w:vanish/>
      <w:sz w:val="16"/>
      <w:szCs w:val="16"/>
    </w:rPr>
  </w:style>
  <w:style w:type="character" w:styleId="Hyperlink">
    <w:name w:val="Hyperlink"/>
    <w:basedOn w:val="DefaultParagraphFont"/>
    <w:uiPriority w:val="99"/>
    <w:unhideWhenUsed/>
    <w:rsid w:val="009C6B12"/>
    <w:rPr>
      <w:color w:val="467886" w:themeColor="hyperlink"/>
      <w:u w:val="single"/>
    </w:rPr>
  </w:style>
  <w:style w:type="character" w:customStyle="1" w:styleId="MeniuneNerezolvat1">
    <w:name w:val="Mențiune Nerezolvat1"/>
    <w:basedOn w:val="DefaultParagraphFont"/>
    <w:uiPriority w:val="99"/>
    <w:semiHidden/>
    <w:unhideWhenUsed/>
    <w:rsid w:val="009C6B12"/>
    <w:rPr>
      <w:color w:val="605E5C"/>
      <w:shd w:val="clear" w:color="auto" w:fill="E1DFDD"/>
    </w:rPr>
  </w:style>
  <w:style w:type="paragraph" w:styleId="TOCHeading">
    <w:name w:val="TOC Heading"/>
    <w:basedOn w:val="Heading1"/>
    <w:next w:val="Normal"/>
    <w:uiPriority w:val="39"/>
    <w:unhideWhenUsed/>
    <w:qFormat/>
    <w:rsid w:val="009E0928"/>
    <w:pPr>
      <w:spacing w:before="240" w:after="0" w:line="259" w:lineRule="auto"/>
      <w:ind w:firstLine="0"/>
      <w:jc w:val="left"/>
      <w:outlineLvl w:val="9"/>
    </w:pPr>
  </w:style>
  <w:style w:type="paragraph" w:styleId="TOC1">
    <w:name w:val="toc 1"/>
    <w:basedOn w:val="Normal"/>
    <w:next w:val="Normal"/>
    <w:autoRedefine/>
    <w:uiPriority w:val="39"/>
    <w:unhideWhenUsed/>
    <w:rsid w:val="009E0928"/>
    <w:pPr>
      <w:spacing w:after="100"/>
    </w:pPr>
  </w:style>
  <w:style w:type="paragraph" w:styleId="TOC2">
    <w:name w:val="toc 2"/>
    <w:basedOn w:val="Normal"/>
    <w:next w:val="Normal"/>
    <w:autoRedefine/>
    <w:uiPriority w:val="39"/>
    <w:unhideWhenUsed/>
    <w:rsid w:val="009E0928"/>
    <w:pPr>
      <w:spacing w:after="100"/>
      <w:ind w:left="240"/>
    </w:pPr>
  </w:style>
  <w:style w:type="paragraph" w:styleId="TOC3">
    <w:name w:val="toc 3"/>
    <w:basedOn w:val="Normal"/>
    <w:next w:val="Normal"/>
    <w:autoRedefine/>
    <w:uiPriority w:val="39"/>
    <w:unhideWhenUsed/>
    <w:rsid w:val="009E0928"/>
    <w:pPr>
      <w:spacing w:after="100"/>
      <w:ind w:left="480"/>
    </w:pPr>
  </w:style>
  <w:style w:type="character" w:styleId="Emphasis">
    <w:name w:val="Emphasis"/>
    <w:basedOn w:val="DefaultParagraphFont"/>
    <w:uiPriority w:val="20"/>
    <w:qFormat/>
    <w:rsid w:val="0098553B"/>
    <w:rPr>
      <w:i/>
      <w:iCs/>
    </w:rPr>
  </w:style>
  <w:style w:type="character" w:customStyle="1" w:styleId="nowrap">
    <w:name w:val="nowrap"/>
    <w:basedOn w:val="DefaultParagraphFont"/>
    <w:rsid w:val="00015DFA"/>
  </w:style>
  <w:style w:type="paragraph" w:styleId="Caption">
    <w:name w:val="caption"/>
    <w:basedOn w:val="Normal"/>
    <w:next w:val="Normal"/>
    <w:uiPriority w:val="35"/>
    <w:unhideWhenUsed/>
    <w:qFormat/>
    <w:rsid w:val="00AD4BCC"/>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49870">
      <w:bodyDiv w:val="1"/>
      <w:marLeft w:val="0"/>
      <w:marRight w:val="0"/>
      <w:marTop w:val="0"/>
      <w:marBottom w:val="0"/>
      <w:divBdr>
        <w:top w:val="none" w:sz="0" w:space="0" w:color="auto"/>
        <w:left w:val="none" w:sz="0" w:space="0" w:color="auto"/>
        <w:bottom w:val="none" w:sz="0" w:space="0" w:color="auto"/>
        <w:right w:val="none" w:sz="0" w:space="0" w:color="auto"/>
      </w:divBdr>
    </w:div>
    <w:div w:id="8797861">
      <w:bodyDiv w:val="1"/>
      <w:marLeft w:val="0"/>
      <w:marRight w:val="0"/>
      <w:marTop w:val="0"/>
      <w:marBottom w:val="0"/>
      <w:divBdr>
        <w:top w:val="none" w:sz="0" w:space="0" w:color="auto"/>
        <w:left w:val="none" w:sz="0" w:space="0" w:color="auto"/>
        <w:bottom w:val="none" w:sz="0" w:space="0" w:color="auto"/>
        <w:right w:val="none" w:sz="0" w:space="0" w:color="auto"/>
      </w:divBdr>
    </w:div>
    <w:div w:id="20254715">
      <w:bodyDiv w:val="1"/>
      <w:marLeft w:val="0"/>
      <w:marRight w:val="0"/>
      <w:marTop w:val="0"/>
      <w:marBottom w:val="0"/>
      <w:divBdr>
        <w:top w:val="none" w:sz="0" w:space="0" w:color="auto"/>
        <w:left w:val="none" w:sz="0" w:space="0" w:color="auto"/>
        <w:bottom w:val="none" w:sz="0" w:space="0" w:color="auto"/>
        <w:right w:val="none" w:sz="0" w:space="0" w:color="auto"/>
      </w:divBdr>
    </w:div>
    <w:div w:id="128254464">
      <w:bodyDiv w:val="1"/>
      <w:marLeft w:val="0"/>
      <w:marRight w:val="0"/>
      <w:marTop w:val="0"/>
      <w:marBottom w:val="0"/>
      <w:divBdr>
        <w:top w:val="none" w:sz="0" w:space="0" w:color="auto"/>
        <w:left w:val="none" w:sz="0" w:space="0" w:color="auto"/>
        <w:bottom w:val="none" w:sz="0" w:space="0" w:color="auto"/>
        <w:right w:val="none" w:sz="0" w:space="0" w:color="auto"/>
      </w:divBdr>
    </w:div>
    <w:div w:id="131754235">
      <w:bodyDiv w:val="1"/>
      <w:marLeft w:val="0"/>
      <w:marRight w:val="0"/>
      <w:marTop w:val="0"/>
      <w:marBottom w:val="0"/>
      <w:divBdr>
        <w:top w:val="none" w:sz="0" w:space="0" w:color="auto"/>
        <w:left w:val="none" w:sz="0" w:space="0" w:color="auto"/>
        <w:bottom w:val="none" w:sz="0" w:space="0" w:color="auto"/>
        <w:right w:val="none" w:sz="0" w:space="0" w:color="auto"/>
      </w:divBdr>
      <w:divsChild>
        <w:div w:id="1668094000">
          <w:marLeft w:val="547"/>
          <w:marRight w:val="0"/>
          <w:marTop w:val="0"/>
          <w:marBottom w:val="0"/>
          <w:divBdr>
            <w:top w:val="none" w:sz="0" w:space="0" w:color="auto"/>
            <w:left w:val="none" w:sz="0" w:space="0" w:color="auto"/>
            <w:bottom w:val="none" w:sz="0" w:space="0" w:color="auto"/>
            <w:right w:val="none" w:sz="0" w:space="0" w:color="auto"/>
          </w:divBdr>
        </w:div>
      </w:divsChild>
    </w:div>
    <w:div w:id="157422673">
      <w:bodyDiv w:val="1"/>
      <w:marLeft w:val="0"/>
      <w:marRight w:val="0"/>
      <w:marTop w:val="0"/>
      <w:marBottom w:val="0"/>
      <w:divBdr>
        <w:top w:val="none" w:sz="0" w:space="0" w:color="auto"/>
        <w:left w:val="none" w:sz="0" w:space="0" w:color="auto"/>
        <w:bottom w:val="none" w:sz="0" w:space="0" w:color="auto"/>
        <w:right w:val="none" w:sz="0" w:space="0" w:color="auto"/>
      </w:divBdr>
    </w:div>
    <w:div w:id="162279974">
      <w:bodyDiv w:val="1"/>
      <w:marLeft w:val="0"/>
      <w:marRight w:val="0"/>
      <w:marTop w:val="0"/>
      <w:marBottom w:val="0"/>
      <w:divBdr>
        <w:top w:val="none" w:sz="0" w:space="0" w:color="auto"/>
        <w:left w:val="none" w:sz="0" w:space="0" w:color="auto"/>
        <w:bottom w:val="none" w:sz="0" w:space="0" w:color="auto"/>
        <w:right w:val="none" w:sz="0" w:space="0" w:color="auto"/>
      </w:divBdr>
      <w:divsChild>
        <w:div w:id="1350109622">
          <w:marLeft w:val="547"/>
          <w:marRight w:val="0"/>
          <w:marTop w:val="0"/>
          <w:marBottom w:val="0"/>
          <w:divBdr>
            <w:top w:val="none" w:sz="0" w:space="0" w:color="auto"/>
            <w:left w:val="none" w:sz="0" w:space="0" w:color="auto"/>
            <w:bottom w:val="none" w:sz="0" w:space="0" w:color="auto"/>
            <w:right w:val="none" w:sz="0" w:space="0" w:color="auto"/>
          </w:divBdr>
        </w:div>
      </w:divsChild>
    </w:div>
    <w:div w:id="176697407">
      <w:bodyDiv w:val="1"/>
      <w:marLeft w:val="0"/>
      <w:marRight w:val="0"/>
      <w:marTop w:val="0"/>
      <w:marBottom w:val="0"/>
      <w:divBdr>
        <w:top w:val="none" w:sz="0" w:space="0" w:color="auto"/>
        <w:left w:val="none" w:sz="0" w:space="0" w:color="auto"/>
        <w:bottom w:val="none" w:sz="0" w:space="0" w:color="auto"/>
        <w:right w:val="none" w:sz="0" w:space="0" w:color="auto"/>
      </w:divBdr>
    </w:div>
    <w:div w:id="182594378">
      <w:bodyDiv w:val="1"/>
      <w:marLeft w:val="0"/>
      <w:marRight w:val="0"/>
      <w:marTop w:val="0"/>
      <w:marBottom w:val="0"/>
      <w:divBdr>
        <w:top w:val="none" w:sz="0" w:space="0" w:color="auto"/>
        <w:left w:val="none" w:sz="0" w:space="0" w:color="auto"/>
        <w:bottom w:val="none" w:sz="0" w:space="0" w:color="auto"/>
        <w:right w:val="none" w:sz="0" w:space="0" w:color="auto"/>
      </w:divBdr>
    </w:div>
    <w:div w:id="249582539">
      <w:bodyDiv w:val="1"/>
      <w:marLeft w:val="0"/>
      <w:marRight w:val="0"/>
      <w:marTop w:val="0"/>
      <w:marBottom w:val="0"/>
      <w:divBdr>
        <w:top w:val="none" w:sz="0" w:space="0" w:color="auto"/>
        <w:left w:val="none" w:sz="0" w:space="0" w:color="auto"/>
        <w:bottom w:val="none" w:sz="0" w:space="0" w:color="auto"/>
        <w:right w:val="none" w:sz="0" w:space="0" w:color="auto"/>
      </w:divBdr>
    </w:div>
    <w:div w:id="307829684">
      <w:bodyDiv w:val="1"/>
      <w:marLeft w:val="0"/>
      <w:marRight w:val="0"/>
      <w:marTop w:val="0"/>
      <w:marBottom w:val="0"/>
      <w:divBdr>
        <w:top w:val="none" w:sz="0" w:space="0" w:color="auto"/>
        <w:left w:val="none" w:sz="0" w:space="0" w:color="auto"/>
        <w:bottom w:val="none" w:sz="0" w:space="0" w:color="auto"/>
        <w:right w:val="none" w:sz="0" w:space="0" w:color="auto"/>
      </w:divBdr>
    </w:div>
    <w:div w:id="316495241">
      <w:bodyDiv w:val="1"/>
      <w:marLeft w:val="0"/>
      <w:marRight w:val="0"/>
      <w:marTop w:val="0"/>
      <w:marBottom w:val="0"/>
      <w:divBdr>
        <w:top w:val="none" w:sz="0" w:space="0" w:color="auto"/>
        <w:left w:val="none" w:sz="0" w:space="0" w:color="auto"/>
        <w:bottom w:val="none" w:sz="0" w:space="0" w:color="auto"/>
        <w:right w:val="none" w:sz="0" w:space="0" w:color="auto"/>
      </w:divBdr>
    </w:div>
    <w:div w:id="328797157">
      <w:bodyDiv w:val="1"/>
      <w:marLeft w:val="0"/>
      <w:marRight w:val="0"/>
      <w:marTop w:val="0"/>
      <w:marBottom w:val="0"/>
      <w:divBdr>
        <w:top w:val="none" w:sz="0" w:space="0" w:color="auto"/>
        <w:left w:val="none" w:sz="0" w:space="0" w:color="auto"/>
        <w:bottom w:val="none" w:sz="0" w:space="0" w:color="auto"/>
        <w:right w:val="none" w:sz="0" w:space="0" w:color="auto"/>
      </w:divBdr>
    </w:div>
    <w:div w:id="329793618">
      <w:bodyDiv w:val="1"/>
      <w:marLeft w:val="0"/>
      <w:marRight w:val="0"/>
      <w:marTop w:val="0"/>
      <w:marBottom w:val="0"/>
      <w:divBdr>
        <w:top w:val="none" w:sz="0" w:space="0" w:color="auto"/>
        <w:left w:val="none" w:sz="0" w:space="0" w:color="auto"/>
        <w:bottom w:val="none" w:sz="0" w:space="0" w:color="auto"/>
        <w:right w:val="none" w:sz="0" w:space="0" w:color="auto"/>
      </w:divBdr>
    </w:div>
    <w:div w:id="335812802">
      <w:bodyDiv w:val="1"/>
      <w:marLeft w:val="0"/>
      <w:marRight w:val="0"/>
      <w:marTop w:val="0"/>
      <w:marBottom w:val="0"/>
      <w:divBdr>
        <w:top w:val="none" w:sz="0" w:space="0" w:color="auto"/>
        <w:left w:val="none" w:sz="0" w:space="0" w:color="auto"/>
        <w:bottom w:val="none" w:sz="0" w:space="0" w:color="auto"/>
        <w:right w:val="none" w:sz="0" w:space="0" w:color="auto"/>
      </w:divBdr>
    </w:div>
    <w:div w:id="483740535">
      <w:bodyDiv w:val="1"/>
      <w:marLeft w:val="0"/>
      <w:marRight w:val="0"/>
      <w:marTop w:val="0"/>
      <w:marBottom w:val="0"/>
      <w:divBdr>
        <w:top w:val="none" w:sz="0" w:space="0" w:color="auto"/>
        <w:left w:val="none" w:sz="0" w:space="0" w:color="auto"/>
        <w:bottom w:val="none" w:sz="0" w:space="0" w:color="auto"/>
        <w:right w:val="none" w:sz="0" w:space="0" w:color="auto"/>
      </w:divBdr>
    </w:div>
    <w:div w:id="534583946">
      <w:bodyDiv w:val="1"/>
      <w:marLeft w:val="0"/>
      <w:marRight w:val="0"/>
      <w:marTop w:val="0"/>
      <w:marBottom w:val="0"/>
      <w:divBdr>
        <w:top w:val="none" w:sz="0" w:space="0" w:color="auto"/>
        <w:left w:val="none" w:sz="0" w:space="0" w:color="auto"/>
        <w:bottom w:val="none" w:sz="0" w:space="0" w:color="auto"/>
        <w:right w:val="none" w:sz="0" w:space="0" w:color="auto"/>
      </w:divBdr>
      <w:divsChild>
        <w:div w:id="1128282127">
          <w:marLeft w:val="547"/>
          <w:marRight w:val="0"/>
          <w:marTop w:val="0"/>
          <w:marBottom w:val="0"/>
          <w:divBdr>
            <w:top w:val="none" w:sz="0" w:space="0" w:color="auto"/>
            <w:left w:val="none" w:sz="0" w:space="0" w:color="auto"/>
            <w:bottom w:val="none" w:sz="0" w:space="0" w:color="auto"/>
            <w:right w:val="none" w:sz="0" w:space="0" w:color="auto"/>
          </w:divBdr>
        </w:div>
      </w:divsChild>
    </w:div>
    <w:div w:id="543716327">
      <w:bodyDiv w:val="1"/>
      <w:marLeft w:val="0"/>
      <w:marRight w:val="0"/>
      <w:marTop w:val="0"/>
      <w:marBottom w:val="0"/>
      <w:divBdr>
        <w:top w:val="none" w:sz="0" w:space="0" w:color="auto"/>
        <w:left w:val="none" w:sz="0" w:space="0" w:color="auto"/>
        <w:bottom w:val="none" w:sz="0" w:space="0" w:color="auto"/>
        <w:right w:val="none" w:sz="0" w:space="0" w:color="auto"/>
      </w:divBdr>
    </w:div>
    <w:div w:id="637997652">
      <w:bodyDiv w:val="1"/>
      <w:marLeft w:val="0"/>
      <w:marRight w:val="0"/>
      <w:marTop w:val="0"/>
      <w:marBottom w:val="0"/>
      <w:divBdr>
        <w:top w:val="none" w:sz="0" w:space="0" w:color="auto"/>
        <w:left w:val="none" w:sz="0" w:space="0" w:color="auto"/>
        <w:bottom w:val="none" w:sz="0" w:space="0" w:color="auto"/>
        <w:right w:val="none" w:sz="0" w:space="0" w:color="auto"/>
      </w:divBdr>
    </w:div>
    <w:div w:id="705065685">
      <w:bodyDiv w:val="1"/>
      <w:marLeft w:val="0"/>
      <w:marRight w:val="0"/>
      <w:marTop w:val="0"/>
      <w:marBottom w:val="0"/>
      <w:divBdr>
        <w:top w:val="none" w:sz="0" w:space="0" w:color="auto"/>
        <w:left w:val="none" w:sz="0" w:space="0" w:color="auto"/>
        <w:bottom w:val="none" w:sz="0" w:space="0" w:color="auto"/>
        <w:right w:val="none" w:sz="0" w:space="0" w:color="auto"/>
      </w:divBdr>
    </w:div>
    <w:div w:id="705103546">
      <w:bodyDiv w:val="1"/>
      <w:marLeft w:val="0"/>
      <w:marRight w:val="0"/>
      <w:marTop w:val="0"/>
      <w:marBottom w:val="0"/>
      <w:divBdr>
        <w:top w:val="none" w:sz="0" w:space="0" w:color="auto"/>
        <w:left w:val="none" w:sz="0" w:space="0" w:color="auto"/>
        <w:bottom w:val="none" w:sz="0" w:space="0" w:color="auto"/>
        <w:right w:val="none" w:sz="0" w:space="0" w:color="auto"/>
      </w:divBdr>
    </w:div>
    <w:div w:id="730925051">
      <w:bodyDiv w:val="1"/>
      <w:marLeft w:val="0"/>
      <w:marRight w:val="0"/>
      <w:marTop w:val="0"/>
      <w:marBottom w:val="0"/>
      <w:divBdr>
        <w:top w:val="none" w:sz="0" w:space="0" w:color="auto"/>
        <w:left w:val="none" w:sz="0" w:space="0" w:color="auto"/>
        <w:bottom w:val="none" w:sz="0" w:space="0" w:color="auto"/>
        <w:right w:val="none" w:sz="0" w:space="0" w:color="auto"/>
      </w:divBdr>
    </w:div>
    <w:div w:id="746073517">
      <w:bodyDiv w:val="1"/>
      <w:marLeft w:val="0"/>
      <w:marRight w:val="0"/>
      <w:marTop w:val="0"/>
      <w:marBottom w:val="0"/>
      <w:divBdr>
        <w:top w:val="none" w:sz="0" w:space="0" w:color="auto"/>
        <w:left w:val="none" w:sz="0" w:space="0" w:color="auto"/>
        <w:bottom w:val="none" w:sz="0" w:space="0" w:color="auto"/>
        <w:right w:val="none" w:sz="0" w:space="0" w:color="auto"/>
      </w:divBdr>
      <w:divsChild>
        <w:div w:id="1380666556">
          <w:marLeft w:val="547"/>
          <w:marRight w:val="0"/>
          <w:marTop w:val="0"/>
          <w:marBottom w:val="0"/>
          <w:divBdr>
            <w:top w:val="none" w:sz="0" w:space="0" w:color="auto"/>
            <w:left w:val="none" w:sz="0" w:space="0" w:color="auto"/>
            <w:bottom w:val="none" w:sz="0" w:space="0" w:color="auto"/>
            <w:right w:val="none" w:sz="0" w:space="0" w:color="auto"/>
          </w:divBdr>
        </w:div>
        <w:div w:id="20474874">
          <w:marLeft w:val="547"/>
          <w:marRight w:val="0"/>
          <w:marTop w:val="0"/>
          <w:marBottom w:val="0"/>
          <w:divBdr>
            <w:top w:val="none" w:sz="0" w:space="0" w:color="auto"/>
            <w:left w:val="none" w:sz="0" w:space="0" w:color="auto"/>
            <w:bottom w:val="none" w:sz="0" w:space="0" w:color="auto"/>
            <w:right w:val="none" w:sz="0" w:space="0" w:color="auto"/>
          </w:divBdr>
        </w:div>
        <w:div w:id="1232234309">
          <w:marLeft w:val="547"/>
          <w:marRight w:val="0"/>
          <w:marTop w:val="0"/>
          <w:marBottom w:val="0"/>
          <w:divBdr>
            <w:top w:val="none" w:sz="0" w:space="0" w:color="auto"/>
            <w:left w:val="none" w:sz="0" w:space="0" w:color="auto"/>
            <w:bottom w:val="none" w:sz="0" w:space="0" w:color="auto"/>
            <w:right w:val="none" w:sz="0" w:space="0" w:color="auto"/>
          </w:divBdr>
        </w:div>
        <w:div w:id="881750711">
          <w:marLeft w:val="547"/>
          <w:marRight w:val="0"/>
          <w:marTop w:val="0"/>
          <w:marBottom w:val="0"/>
          <w:divBdr>
            <w:top w:val="none" w:sz="0" w:space="0" w:color="auto"/>
            <w:left w:val="none" w:sz="0" w:space="0" w:color="auto"/>
            <w:bottom w:val="none" w:sz="0" w:space="0" w:color="auto"/>
            <w:right w:val="none" w:sz="0" w:space="0" w:color="auto"/>
          </w:divBdr>
        </w:div>
        <w:div w:id="595793426">
          <w:marLeft w:val="547"/>
          <w:marRight w:val="0"/>
          <w:marTop w:val="0"/>
          <w:marBottom w:val="0"/>
          <w:divBdr>
            <w:top w:val="none" w:sz="0" w:space="0" w:color="auto"/>
            <w:left w:val="none" w:sz="0" w:space="0" w:color="auto"/>
            <w:bottom w:val="none" w:sz="0" w:space="0" w:color="auto"/>
            <w:right w:val="none" w:sz="0" w:space="0" w:color="auto"/>
          </w:divBdr>
        </w:div>
        <w:div w:id="698169405">
          <w:marLeft w:val="547"/>
          <w:marRight w:val="0"/>
          <w:marTop w:val="0"/>
          <w:marBottom w:val="0"/>
          <w:divBdr>
            <w:top w:val="none" w:sz="0" w:space="0" w:color="auto"/>
            <w:left w:val="none" w:sz="0" w:space="0" w:color="auto"/>
            <w:bottom w:val="none" w:sz="0" w:space="0" w:color="auto"/>
            <w:right w:val="none" w:sz="0" w:space="0" w:color="auto"/>
          </w:divBdr>
        </w:div>
        <w:div w:id="1971936849">
          <w:marLeft w:val="547"/>
          <w:marRight w:val="0"/>
          <w:marTop w:val="0"/>
          <w:marBottom w:val="0"/>
          <w:divBdr>
            <w:top w:val="none" w:sz="0" w:space="0" w:color="auto"/>
            <w:left w:val="none" w:sz="0" w:space="0" w:color="auto"/>
            <w:bottom w:val="none" w:sz="0" w:space="0" w:color="auto"/>
            <w:right w:val="none" w:sz="0" w:space="0" w:color="auto"/>
          </w:divBdr>
        </w:div>
        <w:div w:id="1012143734">
          <w:marLeft w:val="547"/>
          <w:marRight w:val="0"/>
          <w:marTop w:val="0"/>
          <w:marBottom w:val="0"/>
          <w:divBdr>
            <w:top w:val="none" w:sz="0" w:space="0" w:color="auto"/>
            <w:left w:val="none" w:sz="0" w:space="0" w:color="auto"/>
            <w:bottom w:val="none" w:sz="0" w:space="0" w:color="auto"/>
            <w:right w:val="none" w:sz="0" w:space="0" w:color="auto"/>
          </w:divBdr>
        </w:div>
      </w:divsChild>
    </w:div>
    <w:div w:id="767120059">
      <w:bodyDiv w:val="1"/>
      <w:marLeft w:val="0"/>
      <w:marRight w:val="0"/>
      <w:marTop w:val="0"/>
      <w:marBottom w:val="0"/>
      <w:divBdr>
        <w:top w:val="none" w:sz="0" w:space="0" w:color="auto"/>
        <w:left w:val="none" w:sz="0" w:space="0" w:color="auto"/>
        <w:bottom w:val="none" w:sz="0" w:space="0" w:color="auto"/>
        <w:right w:val="none" w:sz="0" w:space="0" w:color="auto"/>
      </w:divBdr>
    </w:div>
    <w:div w:id="767891341">
      <w:bodyDiv w:val="1"/>
      <w:marLeft w:val="0"/>
      <w:marRight w:val="0"/>
      <w:marTop w:val="0"/>
      <w:marBottom w:val="0"/>
      <w:divBdr>
        <w:top w:val="none" w:sz="0" w:space="0" w:color="auto"/>
        <w:left w:val="none" w:sz="0" w:space="0" w:color="auto"/>
        <w:bottom w:val="none" w:sz="0" w:space="0" w:color="auto"/>
        <w:right w:val="none" w:sz="0" w:space="0" w:color="auto"/>
      </w:divBdr>
    </w:div>
    <w:div w:id="811168217">
      <w:bodyDiv w:val="1"/>
      <w:marLeft w:val="0"/>
      <w:marRight w:val="0"/>
      <w:marTop w:val="0"/>
      <w:marBottom w:val="0"/>
      <w:divBdr>
        <w:top w:val="none" w:sz="0" w:space="0" w:color="auto"/>
        <w:left w:val="none" w:sz="0" w:space="0" w:color="auto"/>
        <w:bottom w:val="none" w:sz="0" w:space="0" w:color="auto"/>
        <w:right w:val="none" w:sz="0" w:space="0" w:color="auto"/>
      </w:divBdr>
    </w:div>
    <w:div w:id="814956361">
      <w:bodyDiv w:val="1"/>
      <w:marLeft w:val="0"/>
      <w:marRight w:val="0"/>
      <w:marTop w:val="0"/>
      <w:marBottom w:val="0"/>
      <w:divBdr>
        <w:top w:val="none" w:sz="0" w:space="0" w:color="auto"/>
        <w:left w:val="none" w:sz="0" w:space="0" w:color="auto"/>
        <w:bottom w:val="none" w:sz="0" w:space="0" w:color="auto"/>
        <w:right w:val="none" w:sz="0" w:space="0" w:color="auto"/>
      </w:divBdr>
    </w:div>
    <w:div w:id="816142686">
      <w:bodyDiv w:val="1"/>
      <w:marLeft w:val="0"/>
      <w:marRight w:val="0"/>
      <w:marTop w:val="0"/>
      <w:marBottom w:val="0"/>
      <w:divBdr>
        <w:top w:val="none" w:sz="0" w:space="0" w:color="auto"/>
        <w:left w:val="none" w:sz="0" w:space="0" w:color="auto"/>
        <w:bottom w:val="none" w:sz="0" w:space="0" w:color="auto"/>
        <w:right w:val="none" w:sz="0" w:space="0" w:color="auto"/>
      </w:divBdr>
    </w:div>
    <w:div w:id="835150552">
      <w:bodyDiv w:val="1"/>
      <w:marLeft w:val="0"/>
      <w:marRight w:val="0"/>
      <w:marTop w:val="0"/>
      <w:marBottom w:val="0"/>
      <w:divBdr>
        <w:top w:val="none" w:sz="0" w:space="0" w:color="auto"/>
        <w:left w:val="none" w:sz="0" w:space="0" w:color="auto"/>
        <w:bottom w:val="none" w:sz="0" w:space="0" w:color="auto"/>
        <w:right w:val="none" w:sz="0" w:space="0" w:color="auto"/>
      </w:divBdr>
    </w:div>
    <w:div w:id="874662976">
      <w:bodyDiv w:val="1"/>
      <w:marLeft w:val="0"/>
      <w:marRight w:val="0"/>
      <w:marTop w:val="0"/>
      <w:marBottom w:val="0"/>
      <w:divBdr>
        <w:top w:val="none" w:sz="0" w:space="0" w:color="auto"/>
        <w:left w:val="none" w:sz="0" w:space="0" w:color="auto"/>
        <w:bottom w:val="none" w:sz="0" w:space="0" w:color="auto"/>
        <w:right w:val="none" w:sz="0" w:space="0" w:color="auto"/>
      </w:divBdr>
    </w:div>
    <w:div w:id="877551194">
      <w:bodyDiv w:val="1"/>
      <w:marLeft w:val="0"/>
      <w:marRight w:val="0"/>
      <w:marTop w:val="0"/>
      <w:marBottom w:val="0"/>
      <w:divBdr>
        <w:top w:val="none" w:sz="0" w:space="0" w:color="auto"/>
        <w:left w:val="none" w:sz="0" w:space="0" w:color="auto"/>
        <w:bottom w:val="none" w:sz="0" w:space="0" w:color="auto"/>
        <w:right w:val="none" w:sz="0" w:space="0" w:color="auto"/>
      </w:divBdr>
      <w:divsChild>
        <w:div w:id="1705983508">
          <w:marLeft w:val="0"/>
          <w:marRight w:val="0"/>
          <w:marTop w:val="0"/>
          <w:marBottom w:val="0"/>
          <w:divBdr>
            <w:top w:val="single" w:sz="2" w:space="0" w:color="E3E3E3"/>
            <w:left w:val="single" w:sz="2" w:space="0" w:color="E3E3E3"/>
            <w:bottom w:val="single" w:sz="2" w:space="0" w:color="E3E3E3"/>
            <w:right w:val="single" w:sz="2" w:space="0" w:color="E3E3E3"/>
          </w:divBdr>
          <w:divsChild>
            <w:div w:id="1819569799">
              <w:marLeft w:val="0"/>
              <w:marRight w:val="0"/>
              <w:marTop w:val="0"/>
              <w:marBottom w:val="0"/>
              <w:divBdr>
                <w:top w:val="single" w:sz="2" w:space="0" w:color="E3E3E3"/>
                <w:left w:val="single" w:sz="2" w:space="0" w:color="E3E3E3"/>
                <w:bottom w:val="single" w:sz="2" w:space="0" w:color="E3E3E3"/>
                <w:right w:val="single" w:sz="2" w:space="0" w:color="E3E3E3"/>
              </w:divBdr>
              <w:divsChild>
                <w:div w:id="1552157236">
                  <w:marLeft w:val="0"/>
                  <w:marRight w:val="0"/>
                  <w:marTop w:val="0"/>
                  <w:marBottom w:val="0"/>
                  <w:divBdr>
                    <w:top w:val="single" w:sz="2" w:space="0" w:color="E3E3E3"/>
                    <w:left w:val="single" w:sz="2" w:space="0" w:color="E3E3E3"/>
                    <w:bottom w:val="single" w:sz="2" w:space="0" w:color="E3E3E3"/>
                    <w:right w:val="single" w:sz="2" w:space="0" w:color="E3E3E3"/>
                  </w:divBdr>
                  <w:divsChild>
                    <w:div w:id="601644698">
                      <w:marLeft w:val="0"/>
                      <w:marRight w:val="0"/>
                      <w:marTop w:val="0"/>
                      <w:marBottom w:val="0"/>
                      <w:divBdr>
                        <w:top w:val="single" w:sz="2" w:space="0" w:color="E3E3E3"/>
                        <w:left w:val="single" w:sz="2" w:space="0" w:color="E3E3E3"/>
                        <w:bottom w:val="single" w:sz="2" w:space="0" w:color="E3E3E3"/>
                        <w:right w:val="single" w:sz="2" w:space="0" w:color="E3E3E3"/>
                      </w:divBdr>
                      <w:divsChild>
                        <w:div w:id="842431160">
                          <w:marLeft w:val="0"/>
                          <w:marRight w:val="0"/>
                          <w:marTop w:val="0"/>
                          <w:marBottom w:val="0"/>
                          <w:divBdr>
                            <w:top w:val="single" w:sz="2" w:space="0" w:color="E3E3E3"/>
                            <w:left w:val="single" w:sz="2" w:space="0" w:color="E3E3E3"/>
                            <w:bottom w:val="single" w:sz="2" w:space="0" w:color="E3E3E3"/>
                            <w:right w:val="single" w:sz="2" w:space="0" w:color="E3E3E3"/>
                          </w:divBdr>
                          <w:divsChild>
                            <w:div w:id="1604991048">
                              <w:marLeft w:val="0"/>
                              <w:marRight w:val="0"/>
                              <w:marTop w:val="100"/>
                              <w:marBottom w:val="100"/>
                              <w:divBdr>
                                <w:top w:val="single" w:sz="2" w:space="0" w:color="E3E3E3"/>
                                <w:left w:val="single" w:sz="2" w:space="0" w:color="E3E3E3"/>
                                <w:bottom w:val="single" w:sz="2" w:space="0" w:color="E3E3E3"/>
                                <w:right w:val="single" w:sz="2" w:space="0" w:color="E3E3E3"/>
                              </w:divBdr>
                              <w:divsChild>
                                <w:div w:id="215699057">
                                  <w:marLeft w:val="0"/>
                                  <w:marRight w:val="0"/>
                                  <w:marTop w:val="0"/>
                                  <w:marBottom w:val="0"/>
                                  <w:divBdr>
                                    <w:top w:val="single" w:sz="2" w:space="0" w:color="E3E3E3"/>
                                    <w:left w:val="single" w:sz="2" w:space="0" w:color="E3E3E3"/>
                                    <w:bottom w:val="single" w:sz="2" w:space="0" w:color="E3E3E3"/>
                                    <w:right w:val="single" w:sz="2" w:space="0" w:color="E3E3E3"/>
                                  </w:divBdr>
                                  <w:divsChild>
                                    <w:div w:id="296617161">
                                      <w:marLeft w:val="0"/>
                                      <w:marRight w:val="0"/>
                                      <w:marTop w:val="0"/>
                                      <w:marBottom w:val="0"/>
                                      <w:divBdr>
                                        <w:top w:val="single" w:sz="2" w:space="0" w:color="E3E3E3"/>
                                        <w:left w:val="single" w:sz="2" w:space="0" w:color="E3E3E3"/>
                                        <w:bottom w:val="single" w:sz="2" w:space="0" w:color="E3E3E3"/>
                                        <w:right w:val="single" w:sz="2" w:space="0" w:color="E3E3E3"/>
                                      </w:divBdr>
                                      <w:divsChild>
                                        <w:div w:id="906497542">
                                          <w:marLeft w:val="0"/>
                                          <w:marRight w:val="0"/>
                                          <w:marTop w:val="0"/>
                                          <w:marBottom w:val="0"/>
                                          <w:divBdr>
                                            <w:top w:val="single" w:sz="2" w:space="0" w:color="E3E3E3"/>
                                            <w:left w:val="single" w:sz="2" w:space="0" w:color="E3E3E3"/>
                                            <w:bottom w:val="single" w:sz="2" w:space="0" w:color="E3E3E3"/>
                                            <w:right w:val="single" w:sz="2" w:space="0" w:color="E3E3E3"/>
                                          </w:divBdr>
                                          <w:divsChild>
                                            <w:div w:id="944968727">
                                              <w:marLeft w:val="0"/>
                                              <w:marRight w:val="0"/>
                                              <w:marTop w:val="0"/>
                                              <w:marBottom w:val="0"/>
                                              <w:divBdr>
                                                <w:top w:val="single" w:sz="2" w:space="0" w:color="E3E3E3"/>
                                                <w:left w:val="single" w:sz="2" w:space="0" w:color="E3E3E3"/>
                                                <w:bottom w:val="single" w:sz="2" w:space="0" w:color="E3E3E3"/>
                                                <w:right w:val="single" w:sz="2" w:space="0" w:color="E3E3E3"/>
                                              </w:divBdr>
                                              <w:divsChild>
                                                <w:div w:id="595865071">
                                                  <w:marLeft w:val="0"/>
                                                  <w:marRight w:val="0"/>
                                                  <w:marTop w:val="0"/>
                                                  <w:marBottom w:val="0"/>
                                                  <w:divBdr>
                                                    <w:top w:val="single" w:sz="2" w:space="0" w:color="E3E3E3"/>
                                                    <w:left w:val="single" w:sz="2" w:space="0" w:color="E3E3E3"/>
                                                    <w:bottom w:val="single" w:sz="2" w:space="0" w:color="E3E3E3"/>
                                                    <w:right w:val="single" w:sz="2" w:space="0" w:color="E3E3E3"/>
                                                  </w:divBdr>
                                                  <w:divsChild>
                                                    <w:div w:id="16042630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575358019">
          <w:marLeft w:val="0"/>
          <w:marRight w:val="0"/>
          <w:marTop w:val="0"/>
          <w:marBottom w:val="0"/>
          <w:divBdr>
            <w:top w:val="none" w:sz="0" w:space="0" w:color="auto"/>
            <w:left w:val="none" w:sz="0" w:space="0" w:color="auto"/>
            <w:bottom w:val="none" w:sz="0" w:space="0" w:color="auto"/>
            <w:right w:val="none" w:sz="0" w:space="0" w:color="auto"/>
          </w:divBdr>
        </w:div>
      </w:divsChild>
    </w:div>
    <w:div w:id="881209863">
      <w:bodyDiv w:val="1"/>
      <w:marLeft w:val="0"/>
      <w:marRight w:val="0"/>
      <w:marTop w:val="0"/>
      <w:marBottom w:val="0"/>
      <w:divBdr>
        <w:top w:val="none" w:sz="0" w:space="0" w:color="auto"/>
        <w:left w:val="none" w:sz="0" w:space="0" w:color="auto"/>
        <w:bottom w:val="none" w:sz="0" w:space="0" w:color="auto"/>
        <w:right w:val="none" w:sz="0" w:space="0" w:color="auto"/>
      </w:divBdr>
    </w:div>
    <w:div w:id="1033773318">
      <w:bodyDiv w:val="1"/>
      <w:marLeft w:val="0"/>
      <w:marRight w:val="0"/>
      <w:marTop w:val="0"/>
      <w:marBottom w:val="0"/>
      <w:divBdr>
        <w:top w:val="none" w:sz="0" w:space="0" w:color="auto"/>
        <w:left w:val="none" w:sz="0" w:space="0" w:color="auto"/>
        <w:bottom w:val="none" w:sz="0" w:space="0" w:color="auto"/>
        <w:right w:val="none" w:sz="0" w:space="0" w:color="auto"/>
      </w:divBdr>
    </w:div>
    <w:div w:id="1052382160">
      <w:bodyDiv w:val="1"/>
      <w:marLeft w:val="0"/>
      <w:marRight w:val="0"/>
      <w:marTop w:val="0"/>
      <w:marBottom w:val="0"/>
      <w:divBdr>
        <w:top w:val="none" w:sz="0" w:space="0" w:color="auto"/>
        <w:left w:val="none" w:sz="0" w:space="0" w:color="auto"/>
        <w:bottom w:val="none" w:sz="0" w:space="0" w:color="auto"/>
        <w:right w:val="none" w:sz="0" w:space="0" w:color="auto"/>
      </w:divBdr>
    </w:div>
    <w:div w:id="1065643933">
      <w:bodyDiv w:val="1"/>
      <w:marLeft w:val="0"/>
      <w:marRight w:val="0"/>
      <w:marTop w:val="0"/>
      <w:marBottom w:val="0"/>
      <w:divBdr>
        <w:top w:val="none" w:sz="0" w:space="0" w:color="auto"/>
        <w:left w:val="none" w:sz="0" w:space="0" w:color="auto"/>
        <w:bottom w:val="none" w:sz="0" w:space="0" w:color="auto"/>
        <w:right w:val="none" w:sz="0" w:space="0" w:color="auto"/>
      </w:divBdr>
    </w:div>
    <w:div w:id="1070421734">
      <w:bodyDiv w:val="1"/>
      <w:marLeft w:val="0"/>
      <w:marRight w:val="0"/>
      <w:marTop w:val="0"/>
      <w:marBottom w:val="0"/>
      <w:divBdr>
        <w:top w:val="none" w:sz="0" w:space="0" w:color="auto"/>
        <w:left w:val="none" w:sz="0" w:space="0" w:color="auto"/>
        <w:bottom w:val="none" w:sz="0" w:space="0" w:color="auto"/>
        <w:right w:val="none" w:sz="0" w:space="0" w:color="auto"/>
      </w:divBdr>
    </w:div>
    <w:div w:id="1071074942">
      <w:bodyDiv w:val="1"/>
      <w:marLeft w:val="0"/>
      <w:marRight w:val="0"/>
      <w:marTop w:val="0"/>
      <w:marBottom w:val="0"/>
      <w:divBdr>
        <w:top w:val="none" w:sz="0" w:space="0" w:color="auto"/>
        <w:left w:val="none" w:sz="0" w:space="0" w:color="auto"/>
        <w:bottom w:val="none" w:sz="0" w:space="0" w:color="auto"/>
        <w:right w:val="none" w:sz="0" w:space="0" w:color="auto"/>
      </w:divBdr>
    </w:div>
    <w:div w:id="1083144629">
      <w:bodyDiv w:val="1"/>
      <w:marLeft w:val="0"/>
      <w:marRight w:val="0"/>
      <w:marTop w:val="0"/>
      <w:marBottom w:val="0"/>
      <w:divBdr>
        <w:top w:val="none" w:sz="0" w:space="0" w:color="auto"/>
        <w:left w:val="none" w:sz="0" w:space="0" w:color="auto"/>
        <w:bottom w:val="none" w:sz="0" w:space="0" w:color="auto"/>
        <w:right w:val="none" w:sz="0" w:space="0" w:color="auto"/>
      </w:divBdr>
    </w:div>
    <w:div w:id="1134907926">
      <w:bodyDiv w:val="1"/>
      <w:marLeft w:val="0"/>
      <w:marRight w:val="0"/>
      <w:marTop w:val="0"/>
      <w:marBottom w:val="0"/>
      <w:divBdr>
        <w:top w:val="none" w:sz="0" w:space="0" w:color="auto"/>
        <w:left w:val="none" w:sz="0" w:space="0" w:color="auto"/>
        <w:bottom w:val="none" w:sz="0" w:space="0" w:color="auto"/>
        <w:right w:val="none" w:sz="0" w:space="0" w:color="auto"/>
      </w:divBdr>
    </w:div>
    <w:div w:id="1156144313">
      <w:bodyDiv w:val="1"/>
      <w:marLeft w:val="0"/>
      <w:marRight w:val="0"/>
      <w:marTop w:val="0"/>
      <w:marBottom w:val="0"/>
      <w:divBdr>
        <w:top w:val="none" w:sz="0" w:space="0" w:color="auto"/>
        <w:left w:val="none" w:sz="0" w:space="0" w:color="auto"/>
        <w:bottom w:val="none" w:sz="0" w:space="0" w:color="auto"/>
        <w:right w:val="none" w:sz="0" w:space="0" w:color="auto"/>
      </w:divBdr>
    </w:div>
    <w:div w:id="1177305584">
      <w:bodyDiv w:val="1"/>
      <w:marLeft w:val="0"/>
      <w:marRight w:val="0"/>
      <w:marTop w:val="0"/>
      <w:marBottom w:val="0"/>
      <w:divBdr>
        <w:top w:val="none" w:sz="0" w:space="0" w:color="auto"/>
        <w:left w:val="none" w:sz="0" w:space="0" w:color="auto"/>
        <w:bottom w:val="none" w:sz="0" w:space="0" w:color="auto"/>
        <w:right w:val="none" w:sz="0" w:space="0" w:color="auto"/>
      </w:divBdr>
    </w:div>
    <w:div w:id="1194922930">
      <w:bodyDiv w:val="1"/>
      <w:marLeft w:val="0"/>
      <w:marRight w:val="0"/>
      <w:marTop w:val="0"/>
      <w:marBottom w:val="0"/>
      <w:divBdr>
        <w:top w:val="none" w:sz="0" w:space="0" w:color="auto"/>
        <w:left w:val="none" w:sz="0" w:space="0" w:color="auto"/>
        <w:bottom w:val="none" w:sz="0" w:space="0" w:color="auto"/>
        <w:right w:val="none" w:sz="0" w:space="0" w:color="auto"/>
      </w:divBdr>
    </w:div>
    <w:div w:id="1229000927">
      <w:bodyDiv w:val="1"/>
      <w:marLeft w:val="0"/>
      <w:marRight w:val="0"/>
      <w:marTop w:val="0"/>
      <w:marBottom w:val="0"/>
      <w:divBdr>
        <w:top w:val="none" w:sz="0" w:space="0" w:color="auto"/>
        <w:left w:val="none" w:sz="0" w:space="0" w:color="auto"/>
        <w:bottom w:val="none" w:sz="0" w:space="0" w:color="auto"/>
        <w:right w:val="none" w:sz="0" w:space="0" w:color="auto"/>
      </w:divBdr>
      <w:divsChild>
        <w:div w:id="83847421">
          <w:marLeft w:val="547"/>
          <w:marRight w:val="0"/>
          <w:marTop w:val="0"/>
          <w:marBottom w:val="0"/>
          <w:divBdr>
            <w:top w:val="none" w:sz="0" w:space="0" w:color="auto"/>
            <w:left w:val="none" w:sz="0" w:space="0" w:color="auto"/>
            <w:bottom w:val="none" w:sz="0" w:space="0" w:color="auto"/>
            <w:right w:val="none" w:sz="0" w:space="0" w:color="auto"/>
          </w:divBdr>
        </w:div>
      </w:divsChild>
    </w:div>
    <w:div w:id="1341853173">
      <w:bodyDiv w:val="1"/>
      <w:marLeft w:val="0"/>
      <w:marRight w:val="0"/>
      <w:marTop w:val="0"/>
      <w:marBottom w:val="0"/>
      <w:divBdr>
        <w:top w:val="none" w:sz="0" w:space="0" w:color="auto"/>
        <w:left w:val="none" w:sz="0" w:space="0" w:color="auto"/>
        <w:bottom w:val="none" w:sz="0" w:space="0" w:color="auto"/>
        <w:right w:val="none" w:sz="0" w:space="0" w:color="auto"/>
      </w:divBdr>
    </w:div>
    <w:div w:id="1365709264">
      <w:bodyDiv w:val="1"/>
      <w:marLeft w:val="0"/>
      <w:marRight w:val="0"/>
      <w:marTop w:val="0"/>
      <w:marBottom w:val="0"/>
      <w:divBdr>
        <w:top w:val="none" w:sz="0" w:space="0" w:color="auto"/>
        <w:left w:val="none" w:sz="0" w:space="0" w:color="auto"/>
        <w:bottom w:val="none" w:sz="0" w:space="0" w:color="auto"/>
        <w:right w:val="none" w:sz="0" w:space="0" w:color="auto"/>
      </w:divBdr>
    </w:div>
    <w:div w:id="1396276454">
      <w:bodyDiv w:val="1"/>
      <w:marLeft w:val="0"/>
      <w:marRight w:val="0"/>
      <w:marTop w:val="0"/>
      <w:marBottom w:val="0"/>
      <w:divBdr>
        <w:top w:val="none" w:sz="0" w:space="0" w:color="auto"/>
        <w:left w:val="none" w:sz="0" w:space="0" w:color="auto"/>
        <w:bottom w:val="none" w:sz="0" w:space="0" w:color="auto"/>
        <w:right w:val="none" w:sz="0" w:space="0" w:color="auto"/>
      </w:divBdr>
    </w:div>
    <w:div w:id="1403329039">
      <w:bodyDiv w:val="1"/>
      <w:marLeft w:val="0"/>
      <w:marRight w:val="0"/>
      <w:marTop w:val="0"/>
      <w:marBottom w:val="0"/>
      <w:divBdr>
        <w:top w:val="none" w:sz="0" w:space="0" w:color="auto"/>
        <w:left w:val="none" w:sz="0" w:space="0" w:color="auto"/>
        <w:bottom w:val="none" w:sz="0" w:space="0" w:color="auto"/>
        <w:right w:val="none" w:sz="0" w:space="0" w:color="auto"/>
      </w:divBdr>
      <w:divsChild>
        <w:div w:id="657467665">
          <w:marLeft w:val="0"/>
          <w:marRight w:val="0"/>
          <w:marTop w:val="0"/>
          <w:marBottom w:val="0"/>
          <w:divBdr>
            <w:top w:val="single" w:sz="2" w:space="0" w:color="E3E3E3"/>
            <w:left w:val="single" w:sz="2" w:space="0" w:color="E3E3E3"/>
            <w:bottom w:val="single" w:sz="2" w:space="0" w:color="E3E3E3"/>
            <w:right w:val="single" w:sz="2" w:space="0" w:color="E3E3E3"/>
          </w:divBdr>
          <w:divsChild>
            <w:div w:id="862280298">
              <w:marLeft w:val="0"/>
              <w:marRight w:val="0"/>
              <w:marTop w:val="0"/>
              <w:marBottom w:val="0"/>
              <w:divBdr>
                <w:top w:val="single" w:sz="2" w:space="0" w:color="E3E3E3"/>
                <w:left w:val="single" w:sz="2" w:space="0" w:color="E3E3E3"/>
                <w:bottom w:val="single" w:sz="2" w:space="0" w:color="E3E3E3"/>
                <w:right w:val="single" w:sz="2" w:space="0" w:color="E3E3E3"/>
              </w:divBdr>
              <w:divsChild>
                <w:div w:id="442919301">
                  <w:marLeft w:val="0"/>
                  <w:marRight w:val="0"/>
                  <w:marTop w:val="0"/>
                  <w:marBottom w:val="0"/>
                  <w:divBdr>
                    <w:top w:val="single" w:sz="2" w:space="0" w:color="E3E3E3"/>
                    <w:left w:val="single" w:sz="2" w:space="0" w:color="E3E3E3"/>
                    <w:bottom w:val="single" w:sz="2" w:space="0" w:color="E3E3E3"/>
                    <w:right w:val="single" w:sz="2" w:space="0" w:color="E3E3E3"/>
                  </w:divBdr>
                  <w:divsChild>
                    <w:div w:id="81881119">
                      <w:marLeft w:val="0"/>
                      <w:marRight w:val="0"/>
                      <w:marTop w:val="0"/>
                      <w:marBottom w:val="0"/>
                      <w:divBdr>
                        <w:top w:val="single" w:sz="2" w:space="0" w:color="E3E3E3"/>
                        <w:left w:val="single" w:sz="2" w:space="0" w:color="E3E3E3"/>
                        <w:bottom w:val="single" w:sz="2" w:space="0" w:color="E3E3E3"/>
                        <w:right w:val="single" w:sz="2" w:space="0" w:color="E3E3E3"/>
                      </w:divBdr>
                      <w:divsChild>
                        <w:div w:id="2098863746">
                          <w:marLeft w:val="0"/>
                          <w:marRight w:val="0"/>
                          <w:marTop w:val="0"/>
                          <w:marBottom w:val="0"/>
                          <w:divBdr>
                            <w:top w:val="single" w:sz="2" w:space="0" w:color="E3E3E3"/>
                            <w:left w:val="single" w:sz="2" w:space="0" w:color="E3E3E3"/>
                            <w:bottom w:val="single" w:sz="2" w:space="0" w:color="E3E3E3"/>
                            <w:right w:val="single" w:sz="2" w:space="0" w:color="E3E3E3"/>
                          </w:divBdr>
                          <w:divsChild>
                            <w:div w:id="1771047646">
                              <w:marLeft w:val="0"/>
                              <w:marRight w:val="0"/>
                              <w:marTop w:val="100"/>
                              <w:marBottom w:val="100"/>
                              <w:divBdr>
                                <w:top w:val="single" w:sz="2" w:space="0" w:color="E3E3E3"/>
                                <w:left w:val="single" w:sz="2" w:space="0" w:color="E3E3E3"/>
                                <w:bottom w:val="single" w:sz="2" w:space="0" w:color="E3E3E3"/>
                                <w:right w:val="single" w:sz="2" w:space="0" w:color="E3E3E3"/>
                              </w:divBdr>
                              <w:divsChild>
                                <w:div w:id="1827622897">
                                  <w:marLeft w:val="0"/>
                                  <w:marRight w:val="0"/>
                                  <w:marTop w:val="0"/>
                                  <w:marBottom w:val="0"/>
                                  <w:divBdr>
                                    <w:top w:val="single" w:sz="2" w:space="0" w:color="E3E3E3"/>
                                    <w:left w:val="single" w:sz="2" w:space="0" w:color="E3E3E3"/>
                                    <w:bottom w:val="single" w:sz="2" w:space="0" w:color="E3E3E3"/>
                                    <w:right w:val="single" w:sz="2" w:space="0" w:color="E3E3E3"/>
                                  </w:divBdr>
                                  <w:divsChild>
                                    <w:div w:id="2046981137">
                                      <w:marLeft w:val="0"/>
                                      <w:marRight w:val="0"/>
                                      <w:marTop w:val="0"/>
                                      <w:marBottom w:val="0"/>
                                      <w:divBdr>
                                        <w:top w:val="single" w:sz="2" w:space="0" w:color="E3E3E3"/>
                                        <w:left w:val="single" w:sz="2" w:space="0" w:color="E3E3E3"/>
                                        <w:bottom w:val="single" w:sz="2" w:space="0" w:color="E3E3E3"/>
                                        <w:right w:val="single" w:sz="2" w:space="0" w:color="E3E3E3"/>
                                      </w:divBdr>
                                      <w:divsChild>
                                        <w:div w:id="916747268">
                                          <w:marLeft w:val="0"/>
                                          <w:marRight w:val="0"/>
                                          <w:marTop w:val="0"/>
                                          <w:marBottom w:val="0"/>
                                          <w:divBdr>
                                            <w:top w:val="single" w:sz="2" w:space="0" w:color="E3E3E3"/>
                                            <w:left w:val="single" w:sz="2" w:space="0" w:color="E3E3E3"/>
                                            <w:bottom w:val="single" w:sz="2" w:space="0" w:color="E3E3E3"/>
                                            <w:right w:val="single" w:sz="2" w:space="0" w:color="E3E3E3"/>
                                          </w:divBdr>
                                          <w:divsChild>
                                            <w:div w:id="537396089">
                                              <w:marLeft w:val="0"/>
                                              <w:marRight w:val="0"/>
                                              <w:marTop w:val="0"/>
                                              <w:marBottom w:val="0"/>
                                              <w:divBdr>
                                                <w:top w:val="single" w:sz="2" w:space="0" w:color="E3E3E3"/>
                                                <w:left w:val="single" w:sz="2" w:space="0" w:color="E3E3E3"/>
                                                <w:bottom w:val="single" w:sz="2" w:space="0" w:color="E3E3E3"/>
                                                <w:right w:val="single" w:sz="2" w:space="0" w:color="E3E3E3"/>
                                              </w:divBdr>
                                              <w:divsChild>
                                                <w:div w:id="917978657">
                                                  <w:marLeft w:val="0"/>
                                                  <w:marRight w:val="0"/>
                                                  <w:marTop w:val="0"/>
                                                  <w:marBottom w:val="0"/>
                                                  <w:divBdr>
                                                    <w:top w:val="single" w:sz="2" w:space="0" w:color="E3E3E3"/>
                                                    <w:left w:val="single" w:sz="2" w:space="0" w:color="E3E3E3"/>
                                                    <w:bottom w:val="single" w:sz="2" w:space="0" w:color="E3E3E3"/>
                                                    <w:right w:val="single" w:sz="2" w:space="0" w:color="E3E3E3"/>
                                                  </w:divBdr>
                                                  <w:divsChild>
                                                    <w:div w:id="9059219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053308180">
          <w:marLeft w:val="0"/>
          <w:marRight w:val="0"/>
          <w:marTop w:val="0"/>
          <w:marBottom w:val="0"/>
          <w:divBdr>
            <w:top w:val="none" w:sz="0" w:space="0" w:color="auto"/>
            <w:left w:val="none" w:sz="0" w:space="0" w:color="auto"/>
            <w:bottom w:val="none" w:sz="0" w:space="0" w:color="auto"/>
            <w:right w:val="none" w:sz="0" w:space="0" w:color="auto"/>
          </w:divBdr>
        </w:div>
      </w:divsChild>
    </w:div>
    <w:div w:id="1418088609">
      <w:bodyDiv w:val="1"/>
      <w:marLeft w:val="0"/>
      <w:marRight w:val="0"/>
      <w:marTop w:val="0"/>
      <w:marBottom w:val="0"/>
      <w:divBdr>
        <w:top w:val="none" w:sz="0" w:space="0" w:color="auto"/>
        <w:left w:val="none" w:sz="0" w:space="0" w:color="auto"/>
        <w:bottom w:val="none" w:sz="0" w:space="0" w:color="auto"/>
        <w:right w:val="none" w:sz="0" w:space="0" w:color="auto"/>
      </w:divBdr>
    </w:div>
    <w:div w:id="1418286015">
      <w:bodyDiv w:val="1"/>
      <w:marLeft w:val="0"/>
      <w:marRight w:val="0"/>
      <w:marTop w:val="0"/>
      <w:marBottom w:val="0"/>
      <w:divBdr>
        <w:top w:val="none" w:sz="0" w:space="0" w:color="auto"/>
        <w:left w:val="none" w:sz="0" w:space="0" w:color="auto"/>
        <w:bottom w:val="none" w:sz="0" w:space="0" w:color="auto"/>
        <w:right w:val="none" w:sz="0" w:space="0" w:color="auto"/>
      </w:divBdr>
    </w:div>
    <w:div w:id="1503087974">
      <w:bodyDiv w:val="1"/>
      <w:marLeft w:val="0"/>
      <w:marRight w:val="0"/>
      <w:marTop w:val="0"/>
      <w:marBottom w:val="0"/>
      <w:divBdr>
        <w:top w:val="none" w:sz="0" w:space="0" w:color="auto"/>
        <w:left w:val="none" w:sz="0" w:space="0" w:color="auto"/>
        <w:bottom w:val="none" w:sz="0" w:space="0" w:color="auto"/>
        <w:right w:val="none" w:sz="0" w:space="0" w:color="auto"/>
      </w:divBdr>
    </w:div>
    <w:div w:id="1509639310">
      <w:bodyDiv w:val="1"/>
      <w:marLeft w:val="0"/>
      <w:marRight w:val="0"/>
      <w:marTop w:val="0"/>
      <w:marBottom w:val="0"/>
      <w:divBdr>
        <w:top w:val="none" w:sz="0" w:space="0" w:color="auto"/>
        <w:left w:val="none" w:sz="0" w:space="0" w:color="auto"/>
        <w:bottom w:val="none" w:sz="0" w:space="0" w:color="auto"/>
        <w:right w:val="none" w:sz="0" w:space="0" w:color="auto"/>
      </w:divBdr>
    </w:div>
    <w:div w:id="1586763328">
      <w:bodyDiv w:val="1"/>
      <w:marLeft w:val="0"/>
      <w:marRight w:val="0"/>
      <w:marTop w:val="0"/>
      <w:marBottom w:val="0"/>
      <w:divBdr>
        <w:top w:val="none" w:sz="0" w:space="0" w:color="auto"/>
        <w:left w:val="none" w:sz="0" w:space="0" w:color="auto"/>
        <w:bottom w:val="none" w:sz="0" w:space="0" w:color="auto"/>
        <w:right w:val="none" w:sz="0" w:space="0" w:color="auto"/>
      </w:divBdr>
    </w:div>
    <w:div w:id="1653750869">
      <w:bodyDiv w:val="1"/>
      <w:marLeft w:val="0"/>
      <w:marRight w:val="0"/>
      <w:marTop w:val="0"/>
      <w:marBottom w:val="0"/>
      <w:divBdr>
        <w:top w:val="none" w:sz="0" w:space="0" w:color="auto"/>
        <w:left w:val="none" w:sz="0" w:space="0" w:color="auto"/>
        <w:bottom w:val="none" w:sz="0" w:space="0" w:color="auto"/>
        <w:right w:val="none" w:sz="0" w:space="0" w:color="auto"/>
      </w:divBdr>
    </w:div>
    <w:div w:id="1738547243">
      <w:bodyDiv w:val="1"/>
      <w:marLeft w:val="0"/>
      <w:marRight w:val="0"/>
      <w:marTop w:val="0"/>
      <w:marBottom w:val="0"/>
      <w:divBdr>
        <w:top w:val="none" w:sz="0" w:space="0" w:color="auto"/>
        <w:left w:val="none" w:sz="0" w:space="0" w:color="auto"/>
        <w:bottom w:val="none" w:sz="0" w:space="0" w:color="auto"/>
        <w:right w:val="none" w:sz="0" w:space="0" w:color="auto"/>
      </w:divBdr>
    </w:div>
    <w:div w:id="1750300682">
      <w:bodyDiv w:val="1"/>
      <w:marLeft w:val="0"/>
      <w:marRight w:val="0"/>
      <w:marTop w:val="0"/>
      <w:marBottom w:val="0"/>
      <w:divBdr>
        <w:top w:val="none" w:sz="0" w:space="0" w:color="auto"/>
        <w:left w:val="none" w:sz="0" w:space="0" w:color="auto"/>
        <w:bottom w:val="none" w:sz="0" w:space="0" w:color="auto"/>
        <w:right w:val="none" w:sz="0" w:space="0" w:color="auto"/>
      </w:divBdr>
    </w:div>
    <w:div w:id="1796831677">
      <w:bodyDiv w:val="1"/>
      <w:marLeft w:val="0"/>
      <w:marRight w:val="0"/>
      <w:marTop w:val="0"/>
      <w:marBottom w:val="0"/>
      <w:divBdr>
        <w:top w:val="none" w:sz="0" w:space="0" w:color="auto"/>
        <w:left w:val="none" w:sz="0" w:space="0" w:color="auto"/>
        <w:bottom w:val="none" w:sz="0" w:space="0" w:color="auto"/>
        <w:right w:val="none" w:sz="0" w:space="0" w:color="auto"/>
      </w:divBdr>
    </w:div>
    <w:div w:id="1810779188">
      <w:bodyDiv w:val="1"/>
      <w:marLeft w:val="0"/>
      <w:marRight w:val="0"/>
      <w:marTop w:val="0"/>
      <w:marBottom w:val="0"/>
      <w:divBdr>
        <w:top w:val="none" w:sz="0" w:space="0" w:color="auto"/>
        <w:left w:val="none" w:sz="0" w:space="0" w:color="auto"/>
        <w:bottom w:val="none" w:sz="0" w:space="0" w:color="auto"/>
        <w:right w:val="none" w:sz="0" w:space="0" w:color="auto"/>
      </w:divBdr>
    </w:div>
    <w:div w:id="1855146376">
      <w:bodyDiv w:val="1"/>
      <w:marLeft w:val="0"/>
      <w:marRight w:val="0"/>
      <w:marTop w:val="0"/>
      <w:marBottom w:val="0"/>
      <w:divBdr>
        <w:top w:val="none" w:sz="0" w:space="0" w:color="auto"/>
        <w:left w:val="none" w:sz="0" w:space="0" w:color="auto"/>
        <w:bottom w:val="none" w:sz="0" w:space="0" w:color="auto"/>
        <w:right w:val="none" w:sz="0" w:space="0" w:color="auto"/>
      </w:divBdr>
    </w:div>
    <w:div w:id="1956598716">
      <w:bodyDiv w:val="1"/>
      <w:marLeft w:val="0"/>
      <w:marRight w:val="0"/>
      <w:marTop w:val="0"/>
      <w:marBottom w:val="0"/>
      <w:divBdr>
        <w:top w:val="none" w:sz="0" w:space="0" w:color="auto"/>
        <w:left w:val="none" w:sz="0" w:space="0" w:color="auto"/>
        <w:bottom w:val="none" w:sz="0" w:space="0" w:color="auto"/>
        <w:right w:val="none" w:sz="0" w:space="0" w:color="auto"/>
      </w:divBdr>
    </w:div>
    <w:div w:id="2034920885">
      <w:bodyDiv w:val="1"/>
      <w:marLeft w:val="0"/>
      <w:marRight w:val="0"/>
      <w:marTop w:val="0"/>
      <w:marBottom w:val="0"/>
      <w:divBdr>
        <w:top w:val="none" w:sz="0" w:space="0" w:color="auto"/>
        <w:left w:val="none" w:sz="0" w:space="0" w:color="auto"/>
        <w:bottom w:val="none" w:sz="0" w:space="0" w:color="auto"/>
        <w:right w:val="none" w:sz="0" w:space="0" w:color="auto"/>
      </w:divBdr>
    </w:div>
    <w:div w:id="2062514301">
      <w:bodyDiv w:val="1"/>
      <w:marLeft w:val="0"/>
      <w:marRight w:val="0"/>
      <w:marTop w:val="0"/>
      <w:marBottom w:val="0"/>
      <w:divBdr>
        <w:top w:val="none" w:sz="0" w:space="0" w:color="auto"/>
        <w:left w:val="none" w:sz="0" w:space="0" w:color="auto"/>
        <w:bottom w:val="none" w:sz="0" w:space="0" w:color="auto"/>
        <w:right w:val="none" w:sz="0" w:space="0" w:color="auto"/>
      </w:divBdr>
    </w:div>
    <w:div w:id="2066024294">
      <w:bodyDiv w:val="1"/>
      <w:marLeft w:val="0"/>
      <w:marRight w:val="0"/>
      <w:marTop w:val="0"/>
      <w:marBottom w:val="0"/>
      <w:divBdr>
        <w:top w:val="none" w:sz="0" w:space="0" w:color="auto"/>
        <w:left w:val="none" w:sz="0" w:space="0" w:color="auto"/>
        <w:bottom w:val="none" w:sz="0" w:space="0" w:color="auto"/>
        <w:right w:val="none" w:sz="0" w:space="0" w:color="auto"/>
      </w:divBdr>
    </w:div>
    <w:div w:id="2071996362">
      <w:bodyDiv w:val="1"/>
      <w:marLeft w:val="0"/>
      <w:marRight w:val="0"/>
      <w:marTop w:val="0"/>
      <w:marBottom w:val="0"/>
      <w:divBdr>
        <w:top w:val="none" w:sz="0" w:space="0" w:color="auto"/>
        <w:left w:val="none" w:sz="0" w:space="0" w:color="auto"/>
        <w:bottom w:val="none" w:sz="0" w:space="0" w:color="auto"/>
        <w:right w:val="none" w:sz="0" w:space="0" w:color="auto"/>
      </w:divBdr>
    </w:div>
    <w:div w:id="2076929679">
      <w:bodyDiv w:val="1"/>
      <w:marLeft w:val="0"/>
      <w:marRight w:val="0"/>
      <w:marTop w:val="0"/>
      <w:marBottom w:val="0"/>
      <w:divBdr>
        <w:top w:val="none" w:sz="0" w:space="0" w:color="auto"/>
        <w:left w:val="none" w:sz="0" w:space="0" w:color="auto"/>
        <w:bottom w:val="none" w:sz="0" w:space="0" w:color="auto"/>
        <w:right w:val="none" w:sz="0" w:space="0" w:color="auto"/>
      </w:divBdr>
    </w:div>
    <w:div w:id="2079013348">
      <w:bodyDiv w:val="1"/>
      <w:marLeft w:val="0"/>
      <w:marRight w:val="0"/>
      <w:marTop w:val="0"/>
      <w:marBottom w:val="0"/>
      <w:divBdr>
        <w:top w:val="none" w:sz="0" w:space="0" w:color="auto"/>
        <w:left w:val="none" w:sz="0" w:space="0" w:color="auto"/>
        <w:bottom w:val="none" w:sz="0" w:space="0" w:color="auto"/>
        <w:right w:val="none" w:sz="0" w:space="0" w:color="auto"/>
      </w:divBdr>
    </w:div>
    <w:div w:id="21121616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diagramQuickStyle" Target="diagrams/quickStyle2.xml"/><Relationship Id="rId18" Type="http://schemas.openxmlformats.org/officeDocument/2006/relationships/hyperlink" Target="Shell%20plc%20Annual%20Report,%20(2020)%20Online%20Available%20at%20https://reports.shell.com/annual-report/2020/" TargetMode="External"/><Relationship Id="rId26" Type="http://schemas.openxmlformats.org/officeDocument/2006/relationships/hyperlink" Target="https://www.shell.com/" TargetMode="External"/><Relationship Id="rId3" Type="http://schemas.openxmlformats.org/officeDocument/2006/relationships/styles" Target="styles.xml"/><Relationship Id="rId21" Type="http://schemas.openxmlformats.org/officeDocument/2006/relationships/hyperlink" Target="https://reports.shell.com/sustainability-report/2019/" TargetMode="External"/><Relationship Id="rId7" Type="http://schemas.openxmlformats.org/officeDocument/2006/relationships/diagramLayout" Target="diagrams/layout1.xml"/><Relationship Id="rId12" Type="http://schemas.openxmlformats.org/officeDocument/2006/relationships/diagramLayout" Target="diagrams/layout2.xml"/><Relationship Id="rId17" Type="http://schemas.openxmlformats.org/officeDocument/2006/relationships/hyperlink" Target="https://reports.shell.com/annual-report/2019/" TargetMode="External"/><Relationship Id="rId25" Type="http://schemas.openxmlformats.org/officeDocument/2006/relationships/hyperlink" Target="Shell%20plc.%20(2023)%20Online%20Available%20at%20https://www.shell.com/what-we-do/technology-and-innovation.html"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samples.freshessays.com/corporate-strategy-positioning-and-scope-strategic-planning-at-royal-dutch-shell.html" TargetMode="External"/><Relationship Id="rId20" Type="http://schemas.openxmlformats.org/officeDocument/2006/relationships/hyperlink" Target="https://reports.shell.com/annual-report/2022/strategic-report/our-business-and-strategy/strategy-and-outlook/our-strategy.html" TargetMode="External"/><Relationship Id="rId29" Type="http://schemas.openxmlformats.org/officeDocument/2006/relationships/diagramQuickStyle" Target="diagrams/quickStyle3.xm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diagramData" Target="diagrams/data2.xml"/><Relationship Id="rId24" Type="http://schemas.openxmlformats.org/officeDocument/2006/relationships/hyperlink" Target="https://www.shell.com/what-we-do/digitalisation/collaboration-and-open-innovation/shell-and-microsofts-strategic-alliance"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microsoft.com/office/2007/relationships/diagramDrawing" Target="diagrams/drawing2.xml"/><Relationship Id="rId23" Type="http://schemas.openxmlformats.org/officeDocument/2006/relationships/hyperlink" Target="https://reports.shell.com/sustainability-report/2022" TargetMode="External"/><Relationship Id="rId28" Type="http://schemas.openxmlformats.org/officeDocument/2006/relationships/diagramLayout" Target="diagrams/layout3.xml"/><Relationship Id="rId10" Type="http://schemas.microsoft.com/office/2007/relationships/diagramDrawing" Target="diagrams/drawing1.xml"/><Relationship Id="rId19" Type="http://schemas.openxmlformats.org/officeDocument/2006/relationships/hyperlink" Target="https://reports.shell.com/annual-report/2021" TargetMode="External"/><Relationship Id="rId31" Type="http://schemas.microsoft.com/office/2007/relationships/diagramDrawing" Target="diagrams/drawing3.xml"/><Relationship Id="rId4" Type="http://schemas.openxmlformats.org/officeDocument/2006/relationships/settings" Target="settings.xml"/><Relationship Id="rId9" Type="http://schemas.openxmlformats.org/officeDocument/2006/relationships/diagramColors" Target="diagrams/colors1.xml"/><Relationship Id="rId14" Type="http://schemas.openxmlformats.org/officeDocument/2006/relationships/diagramColors" Target="diagrams/colors2.xml"/><Relationship Id="rId22" Type="http://schemas.openxmlformats.org/officeDocument/2006/relationships/hyperlink" Target="https://reports.shell.com/sustainability-report/2021" TargetMode="External"/><Relationship Id="rId27" Type="http://schemas.openxmlformats.org/officeDocument/2006/relationships/diagramData" Target="diagrams/data3.xml"/><Relationship Id="rId30" Type="http://schemas.openxmlformats.org/officeDocument/2006/relationships/diagramColors" Target="diagrams/colors3.xml"/></Relationships>
</file>

<file path=word/diagrams/colors1.xml><?xml version="1.0" encoding="utf-8"?>
<dgm:colorsDef xmlns:dgm="http://schemas.openxmlformats.org/drawingml/2006/diagram" xmlns:a="http://schemas.openxmlformats.org/drawingml/2006/main" uniqueId="urn:microsoft.com/office/officeart/2005/8/colors/accent4_1">
  <dgm:title val=""/>
  <dgm:desc val=""/>
  <dgm:catLst>
    <dgm:cat type="accent4" pri="11100"/>
  </dgm:catLst>
  <dgm:styleLbl name="node0">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4">
        <a:shade val="80000"/>
      </a:schemeClr>
    </dgm:linClrLst>
    <dgm:effectClrLst/>
    <dgm:txLinClrLst/>
    <dgm:txFillClrLst/>
    <dgm:txEffectClrLst/>
  </dgm:styleLbl>
  <dgm:styleLbl name="node2">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fgImgPlace1">
    <dgm:fillClrLst meth="repeat">
      <a:schemeClr val="accent4">
        <a:tint val="40000"/>
      </a:schemeClr>
    </dgm:fillClrLst>
    <dgm:linClrLst meth="repeat">
      <a:schemeClr val="accent4">
        <a:shade val="80000"/>
      </a:schemeClr>
    </dgm:linClrLst>
    <dgm:effectClrLst/>
    <dgm:txLinClrLst/>
    <dgm:txFillClrLst meth="repeat">
      <a:schemeClr val="lt1"/>
    </dgm:txFillClrLst>
    <dgm:txEffectClrLst/>
  </dgm:styleLbl>
  <dgm:styleLbl name="alignImgPlace1">
    <dgm:fillClrLst meth="repeat">
      <a:schemeClr val="accent4">
        <a:tint val="40000"/>
      </a:schemeClr>
    </dgm:fillClrLst>
    <dgm:linClrLst meth="repeat">
      <a:schemeClr val="accent4">
        <a:shade val="80000"/>
      </a:schemeClr>
    </dgm:linClrLst>
    <dgm:effectClrLst/>
    <dgm:txLinClrLst/>
    <dgm:txFillClrLst meth="repeat">
      <a:schemeClr val="lt1"/>
    </dgm:txFillClrLst>
    <dgm:txEffectClrLst/>
  </dgm:styleLbl>
  <dgm:styleLbl name="bgImgPlace1">
    <dgm:fillClrLst meth="repeat">
      <a:schemeClr val="accent4">
        <a:tint val="40000"/>
      </a:schemeClr>
    </dgm:fillClrLst>
    <dgm:linClrLst meth="repeat">
      <a:schemeClr val="accent4">
        <a:shade val="80000"/>
      </a:schemeClr>
    </dgm:linClrLst>
    <dgm:effectClrLst/>
    <dgm:txLinClrLst/>
    <dgm:txFillClrLst meth="repeat">
      <a:schemeClr val="lt1"/>
    </dgm:txFillClrLst>
    <dgm:txEffectClrLst/>
  </dgm:styleLbl>
  <dgm:styleLbl name="sibTrans2D1">
    <dgm:fillClrLst meth="repeat">
      <a:schemeClr val="accent4">
        <a:tint val="60000"/>
      </a:schemeClr>
    </dgm:fillClrLst>
    <dgm:linClrLst meth="repeat">
      <a:schemeClr val="accent4">
        <a:tint val="60000"/>
      </a:schemeClr>
    </dgm:linClrLst>
    <dgm:effectClrLst/>
    <dgm:txLinClrLst/>
    <dgm:txFillClrLst meth="repeat">
      <a:schemeClr val="dk1"/>
    </dgm:txFillClrLst>
    <dgm:txEffectClrLst/>
  </dgm:styleLbl>
  <dgm:styleLbl name="fgSibTrans2D1">
    <dgm:fillClrLst meth="repeat">
      <a:schemeClr val="accent4">
        <a:tint val="60000"/>
      </a:schemeClr>
    </dgm:fillClrLst>
    <dgm:linClrLst meth="repeat">
      <a:schemeClr val="accent4">
        <a:tint val="60000"/>
      </a:schemeClr>
    </dgm:linClrLst>
    <dgm:effectClrLst/>
    <dgm:txLinClrLst/>
    <dgm:txFillClrLst meth="repeat">
      <a:schemeClr val="dk1"/>
    </dgm:txFillClrLst>
    <dgm:txEffectClrLst/>
  </dgm:styleLbl>
  <dgm:styleLbl name="bgSibTrans2D1">
    <dgm:fillClrLst meth="repeat">
      <a:schemeClr val="accent4">
        <a:tint val="60000"/>
      </a:schemeClr>
    </dgm:fillClrLst>
    <dgm:linClrLst meth="repeat">
      <a:schemeClr val="accent4">
        <a:tint val="60000"/>
      </a:schemeClr>
    </dgm:linClrLst>
    <dgm:effectClrLst/>
    <dgm:txLinClrLst/>
    <dgm:txFillClrLst meth="repeat">
      <a:schemeClr val="dk1"/>
    </dgm:txFillClrLst>
    <dgm:txEffectClrLst/>
  </dgm:styleLbl>
  <dgm:styleLbl name="sibTrans1D1">
    <dgm:fillClrLst meth="repeat">
      <a:schemeClr val="accent4"/>
    </dgm:fillClrLst>
    <dgm:linClrLst meth="repeat">
      <a:schemeClr val="accent4"/>
    </dgm:linClrLst>
    <dgm:effectClrLst/>
    <dgm:txLinClrLst/>
    <dgm:txFillClrLst meth="repeat">
      <a:schemeClr val="tx1"/>
    </dgm:txFillClrLst>
    <dgm:txEffectClrLst/>
  </dgm:styleLbl>
  <dgm:styleLbl name="callout">
    <dgm:fillClrLst meth="repeat">
      <a:schemeClr val="accent4"/>
    </dgm:fillClrLst>
    <dgm:linClrLst meth="repeat">
      <a:schemeClr val="accent4"/>
    </dgm:linClrLst>
    <dgm:effectClrLst/>
    <dgm:txLinClrLst/>
    <dgm:txFillClrLst meth="repeat">
      <a:schemeClr val="tx1"/>
    </dgm:txFillClrLst>
    <dgm:txEffectClrLst/>
  </dgm:styleLbl>
  <dgm:styleLbl name="asst0">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4">
        <a:shade val="80000"/>
      </a:schemeClr>
    </dgm:linClrLst>
    <dgm:effectClrLst/>
    <dgm:txLinClrLst/>
    <dgm:txFillClrLst meth="repeat">
      <a:schemeClr val="dk1"/>
    </dgm:txFillClrLst>
    <dgm:txEffectClrLst/>
  </dgm:styleLbl>
  <dgm:styleLbl name="parChTrans2D1">
    <dgm:fillClrLst meth="repeat">
      <a:schemeClr val="accent4">
        <a:tint val="60000"/>
      </a:schemeClr>
    </dgm:fillClrLst>
    <dgm:linClrLst meth="repeat">
      <a:schemeClr val="accent4">
        <a:tint val="60000"/>
      </a:schemeClr>
    </dgm:linClrLst>
    <dgm:effectClrLst/>
    <dgm:txLinClrLst/>
    <dgm:txFillClrLst/>
    <dgm:txEffectClrLst/>
  </dgm:styleLbl>
  <dgm:styleLbl name="parChTrans2D2">
    <dgm:fillClrLst meth="repeat">
      <a:schemeClr val="accent4"/>
    </dgm:fillClrLst>
    <dgm:linClrLst meth="repeat">
      <a:schemeClr val="accent4"/>
    </dgm:linClrLst>
    <dgm:effectClrLst/>
    <dgm:txLinClrLst/>
    <dgm:txFillClrLst/>
    <dgm:txEffectClrLst/>
  </dgm:styleLbl>
  <dgm:styleLbl name="parChTrans2D3">
    <dgm:fillClrLst meth="repeat">
      <a:schemeClr val="accent4"/>
    </dgm:fillClrLst>
    <dgm:linClrLst meth="repeat">
      <a:schemeClr val="accent4"/>
    </dgm:linClrLst>
    <dgm:effectClrLst/>
    <dgm:txLinClrLst/>
    <dgm:txFillClrLst/>
    <dgm:txEffectClrLst/>
  </dgm:styleLbl>
  <dgm:styleLbl name="parChTrans2D4">
    <dgm:fillClrLst meth="repeat">
      <a:schemeClr val="accent4"/>
    </dgm:fillClrLst>
    <dgm:linClrLst meth="repeat">
      <a:schemeClr val="accent4"/>
    </dgm:linClrLst>
    <dgm:effectClrLst/>
    <dgm:txLinClrLst/>
    <dgm:txFillClrLst meth="repeat">
      <a:schemeClr val="lt1"/>
    </dgm:txFillClrLst>
    <dgm:txEffectClrLst/>
  </dgm:styleLbl>
  <dgm:styleLbl name="parChTrans1D1">
    <dgm:fillClrLst meth="repeat">
      <a:schemeClr val="accent4"/>
    </dgm:fillClrLst>
    <dgm:linClrLst meth="repeat">
      <a:schemeClr val="accent4">
        <a:shade val="60000"/>
      </a:schemeClr>
    </dgm:linClrLst>
    <dgm:effectClrLst/>
    <dgm:txLinClrLst/>
    <dgm:txFillClrLst meth="repeat">
      <a:schemeClr val="tx1"/>
    </dgm:txFillClrLst>
    <dgm:txEffectClrLst/>
  </dgm:styleLbl>
  <dgm:styleLbl name="parChTrans1D2">
    <dgm:fillClrLst meth="repeat">
      <a:schemeClr val="accent4"/>
    </dgm:fillClrLst>
    <dgm:linClrLst meth="repeat">
      <a:schemeClr val="accent4">
        <a:shade val="60000"/>
      </a:schemeClr>
    </dgm:linClrLst>
    <dgm:effectClrLst/>
    <dgm:txLinClrLst/>
    <dgm:txFillClrLst meth="repeat">
      <a:schemeClr val="tx1"/>
    </dgm:txFillClrLst>
    <dgm:txEffectClrLst/>
  </dgm:styleLbl>
  <dgm:styleLbl name="parChTrans1D3">
    <dgm:fillClrLst meth="repeat">
      <a:schemeClr val="accent4"/>
    </dgm:fillClrLst>
    <dgm:linClrLst meth="repeat">
      <a:schemeClr val="accent4">
        <a:shade val="80000"/>
      </a:schemeClr>
    </dgm:linClrLst>
    <dgm:effectClrLst/>
    <dgm:txLinClrLst/>
    <dgm:txFillClrLst meth="repeat">
      <a:schemeClr val="tx1"/>
    </dgm:txFillClrLst>
    <dgm:txEffectClrLst/>
  </dgm:styleLbl>
  <dgm:styleLbl name="parChTrans1D4">
    <dgm:fillClrLst meth="repeat">
      <a:schemeClr val="accent4"/>
    </dgm:fillClrLst>
    <dgm:linClrLst meth="repeat">
      <a:schemeClr val="accent4">
        <a:shade val="80000"/>
      </a:schemeClr>
    </dgm:linClrLst>
    <dgm:effectClrLst/>
    <dgm:txLinClrLst/>
    <dgm:txFillClrLst meth="repeat">
      <a:schemeClr val="tx1"/>
    </dgm:txFillClrLst>
    <dgm:txEffectClrLst/>
  </dgm:styleLbl>
  <dgm:styleLbl name="fgAcc1">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conFgAcc1">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alignAcc1">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trAlignAcc1">
    <dgm:fillClrLst meth="repeat">
      <a:schemeClr val="accent4">
        <a:alpha val="40000"/>
        <a:tint val="40000"/>
      </a:schemeClr>
    </dgm:fillClrLst>
    <dgm:linClrLst meth="repeat">
      <a:schemeClr val="accent4"/>
    </dgm:linClrLst>
    <dgm:effectClrLst/>
    <dgm:txLinClrLst/>
    <dgm:txFillClrLst meth="repeat">
      <a:schemeClr val="dk1"/>
    </dgm:txFillClrLst>
    <dgm:txEffectClrLst/>
  </dgm:styleLbl>
  <dgm:styleLbl name="bgAcc1">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solidFgAcc1">
    <dgm:fillClrLst meth="repeat">
      <a:schemeClr val="lt1"/>
    </dgm:fillClrLst>
    <dgm:linClrLst meth="repeat">
      <a:schemeClr val="accent4"/>
    </dgm:linClrLst>
    <dgm:effectClrLst/>
    <dgm:txLinClrLst/>
    <dgm:txFillClrLst meth="repeat">
      <a:schemeClr val="dk1"/>
    </dgm:txFillClrLst>
    <dgm:txEffectClrLst/>
  </dgm:styleLbl>
  <dgm:styleLbl name="solidAlignAcc1">
    <dgm:fillClrLst meth="repeat">
      <a:schemeClr val="lt1"/>
    </dgm:fillClrLst>
    <dgm:linClrLst meth="repeat">
      <a:schemeClr val="accent4"/>
    </dgm:linClrLst>
    <dgm:effectClrLst/>
    <dgm:txLinClrLst/>
    <dgm:txFillClrLst meth="repeat">
      <a:schemeClr val="dk1"/>
    </dgm:txFillClrLst>
    <dgm:txEffectClrLst/>
  </dgm:styleLbl>
  <dgm:styleLbl name="solidBgAcc1">
    <dgm:fillClrLst meth="repeat">
      <a:schemeClr val="lt1"/>
    </dgm:fillClrLst>
    <dgm:linClrLst meth="repeat">
      <a:schemeClr val="accent4"/>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4">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4">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4">
        <a:alpha val="90000"/>
      </a:schemeClr>
    </dgm:linClrLst>
    <dgm:effectClrLst/>
    <dgm:txLinClrLst/>
    <dgm:txFillClrLst meth="repeat">
      <a:schemeClr val="dk1"/>
    </dgm:txFillClrLst>
    <dgm:txEffectClrLst/>
  </dgm:styleLbl>
  <dgm:styleLbl name="fgAcc0">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fgAcc2">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fgAcc3">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fgAcc4">
    <dgm:fillClrLst meth="repeat">
      <a:schemeClr val="accent4">
        <a:alpha val="90000"/>
        <a:tint val="40000"/>
      </a:schemeClr>
    </dgm:fillClrLst>
    <dgm:linClrLst meth="repeat">
      <a:schemeClr val="accent4"/>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accent4"/>
    </dgm:linClrLst>
    <dgm:effectClrLst/>
    <dgm:txLinClrLst/>
    <dgm:txFillClrLst meth="repeat">
      <a:schemeClr val="dk1"/>
    </dgm:txFillClrLst>
    <dgm:txEffectClrLst/>
  </dgm:styleLbl>
  <dgm:styleLbl name="dkBgShp">
    <dgm:fillClrLst meth="repeat">
      <a:schemeClr val="accent4">
        <a:shade val="80000"/>
      </a:schemeClr>
    </dgm:fillClrLst>
    <dgm:linClrLst meth="repeat">
      <a:schemeClr val="accent4"/>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004B902-CD7E-461A-9B37-854DF9B858A7}" type="doc">
      <dgm:prSet loTypeId="urn:microsoft.com/office/officeart/2005/8/layout/matrix2" loCatId="matrix" qsTypeId="urn:microsoft.com/office/officeart/2005/8/quickstyle/simple1" qsCatId="simple" csTypeId="urn:microsoft.com/office/officeart/2005/8/colors/accent4_1" csCatId="accent4" phldr="1"/>
      <dgm:spPr/>
      <dgm:t>
        <a:bodyPr/>
        <a:lstStyle/>
        <a:p>
          <a:endParaRPr lang="en-US"/>
        </a:p>
      </dgm:t>
    </dgm:pt>
    <dgm:pt modelId="{7093459B-1D9C-464D-A1E9-81488C2BBF32}">
      <dgm:prSet phldrT="[Text]" custT="1"/>
      <dgm:spPr/>
      <dgm:t>
        <a:bodyPr/>
        <a:lstStyle/>
        <a:p>
          <a:pPr algn="ctr">
            <a:buFont typeface="+mj-lt"/>
            <a:buNone/>
          </a:pPr>
          <a:r>
            <a:rPr lang="en-US" sz="1200" b="1" i="0">
              <a:latin typeface="Times New Roman" panose="02020603050405020304" pitchFamily="18" charset="0"/>
              <a:cs typeface="Times New Roman" panose="02020603050405020304" pitchFamily="18" charset="0"/>
            </a:rPr>
            <a:t>Market Penetration: </a:t>
          </a:r>
          <a:r>
            <a:rPr lang="en-US" sz="1200" b="0" i="0">
              <a:latin typeface="Times New Roman" panose="02020603050405020304" pitchFamily="18" charset="0"/>
              <a:cs typeface="Times New Roman" panose="02020603050405020304" pitchFamily="18" charset="0"/>
            </a:rPr>
            <a:t>Shell can focus on increasing its market share in existing markets by intensifying its marketing efforts, enhancing customer loyalty programmes, and optimising distribution channels. For example, Shell could offer promotional discounts to attract more customers to its retail service stations.</a:t>
          </a:r>
          <a:endParaRPr lang="en-US" sz="1200">
            <a:latin typeface="Times New Roman" panose="02020603050405020304" pitchFamily="18" charset="0"/>
            <a:cs typeface="Times New Roman" panose="02020603050405020304" pitchFamily="18" charset="0"/>
          </a:endParaRPr>
        </a:p>
      </dgm:t>
    </dgm:pt>
    <dgm:pt modelId="{04674F14-67E3-4F1D-AE9C-ACFA75E63042}" type="parTrans" cxnId="{88482F16-E959-4CB2-A8D1-0875043077E0}">
      <dgm:prSet/>
      <dgm:spPr/>
      <dgm:t>
        <a:bodyPr/>
        <a:lstStyle/>
        <a:p>
          <a:pPr algn="ctr"/>
          <a:endParaRPr lang="en-US"/>
        </a:p>
      </dgm:t>
    </dgm:pt>
    <dgm:pt modelId="{C3DC5EDA-DD37-4D33-ACBF-D40EA2B04A76}" type="sibTrans" cxnId="{88482F16-E959-4CB2-A8D1-0875043077E0}">
      <dgm:prSet/>
      <dgm:spPr/>
      <dgm:t>
        <a:bodyPr/>
        <a:lstStyle/>
        <a:p>
          <a:pPr algn="ctr"/>
          <a:endParaRPr lang="en-US"/>
        </a:p>
      </dgm:t>
    </dgm:pt>
    <dgm:pt modelId="{821185A4-0F1B-43F0-86CD-2D1CF6AE2F89}">
      <dgm:prSet phldrT="[Text]" custT="1"/>
      <dgm:spPr/>
      <dgm:t>
        <a:bodyPr/>
        <a:lstStyle/>
        <a:p>
          <a:pPr algn="ctr">
            <a:buFont typeface="+mj-lt"/>
            <a:buNone/>
          </a:pPr>
          <a:r>
            <a:rPr lang="en-US" sz="1200" b="1" i="0">
              <a:latin typeface="Times New Roman" panose="02020603050405020304" pitchFamily="18" charset="0"/>
              <a:cs typeface="Times New Roman" panose="02020603050405020304" pitchFamily="18" charset="0"/>
            </a:rPr>
            <a:t>Market Development: </a:t>
          </a:r>
          <a:r>
            <a:rPr lang="en-US" sz="1200" b="0" i="0">
              <a:latin typeface="Times New Roman" panose="02020603050405020304" pitchFamily="18" charset="0"/>
              <a:cs typeface="Times New Roman" panose="02020603050405020304" pitchFamily="18" charset="0"/>
            </a:rPr>
            <a:t>Shell explore new geographic markets where there is growing demand for energy products. This could involve expanding into emerging economies or regions with underdeveloped energy infrastructure. </a:t>
          </a:r>
          <a:endParaRPr lang="en-US" sz="1200">
            <a:latin typeface="Times New Roman" panose="02020603050405020304" pitchFamily="18" charset="0"/>
            <a:cs typeface="Times New Roman" panose="02020603050405020304" pitchFamily="18" charset="0"/>
          </a:endParaRPr>
        </a:p>
      </dgm:t>
    </dgm:pt>
    <dgm:pt modelId="{272E49ED-FAED-4772-99EE-9F0859E231ED}" type="parTrans" cxnId="{44B6E898-56B9-4D5F-937A-49D94DB93705}">
      <dgm:prSet/>
      <dgm:spPr/>
      <dgm:t>
        <a:bodyPr/>
        <a:lstStyle/>
        <a:p>
          <a:pPr algn="ctr"/>
          <a:endParaRPr lang="en-US"/>
        </a:p>
      </dgm:t>
    </dgm:pt>
    <dgm:pt modelId="{AC669422-6555-461B-A4CA-A401FDA738D5}" type="sibTrans" cxnId="{44B6E898-56B9-4D5F-937A-49D94DB93705}">
      <dgm:prSet/>
      <dgm:spPr/>
      <dgm:t>
        <a:bodyPr/>
        <a:lstStyle/>
        <a:p>
          <a:pPr algn="ctr"/>
          <a:endParaRPr lang="en-US"/>
        </a:p>
      </dgm:t>
    </dgm:pt>
    <dgm:pt modelId="{622980E6-E390-4C96-B49F-3186BDD422F7}">
      <dgm:prSet phldrT="[Text]" custT="1"/>
      <dgm:spPr/>
      <dgm:t>
        <a:bodyPr/>
        <a:lstStyle/>
        <a:p>
          <a:pPr algn="ctr">
            <a:buFont typeface="+mj-lt"/>
            <a:buNone/>
          </a:pPr>
          <a:r>
            <a:rPr lang="en-US" sz="1200" b="1" i="0">
              <a:latin typeface="Times New Roman" panose="02020603050405020304" pitchFamily="18" charset="0"/>
              <a:cs typeface="Times New Roman" panose="02020603050405020304" pitchFamily="18" charset="0"/>
            </a:rPr>
            <a:t>Product Development: </a:t>
          </a:r>
          <a:r>
            <a:rPr lang="en-US" sz="1200" b="0" i="0">
              <a:latin typeface="Times New Roman" panose="02020603050405020304" pitchFamily="18" charset="0"/>
              <a:cs typeface="Times New Roman" panose="02020603050405020304" pitchFamily="18" charset="0"/>
            </a:rPr>
            <a:t>Shell invest in developing new energy products or services to meet evolving consumer preferences and regulatory requirements. This may include expanding its portfolio to include more renewable energy solutions, such as biofuels, wind power, or solar energy. </a:t>
          </a:r>
          <a:endParaRPr lang="en-US" sz="1200">
            <a:latin typeface="Times New Roman" panose="02020603050405020304" pitchFamily="18" charset="0"/>
            <a:cs typeface="Times New Roman" panose="02020603050405020304" pitchFamily="18" charset="0"/>
          </a:endParaRPr>
        </a:p>
      </dgm:t>
    </dgm:pt>
    <dgm:pt modelId="{8353B4E7-B834-4D33-8E43-53BA2722F2D7}" type="parTrans" cxnId="{CAC43472-DCCB-4E69-A7E0-4E69ECD12B4A}">
      <dgm:prSet/>
      <dgm:spPr/>
      <dgm:t>
        <a:bodyPr/>
        <a:lstStyle/>
        <a:p>
          <a:pPr algn="ctr"/>
          <a:endParaRPr lang="en-US"/>
        </a:p>
      </dgm:t>
    </dgm:pt>
    <dgm:pt modelId="{F27DE206-83F0-4632-86CC-1D7F36B29382}" type="sibTrans" cxnId="{CAC43472-DCCB-4E69-A7E0-4E69ECD12B4A}">
      <dgm:prSet/>
      <dgm:spPr/>
      <dgm:t>
        <a:bodyPr/>
        <a:lstStyle/>
        <a:p>
          <a:pPr algn="ctr"/>
          <a:endParaRPr lang="en-US"/>
        </a:p>
      </dgm:t>
    </dgm:pt>
    <dgm:pt modelId="{8A5A200F-3FDF-4145-9AB3-BACCB81A526A}">
      <dgm:prSet phldrT="[Text]" custT="1"/>
      <dgm:spPr/>
      <dgm:t>
        <a:bodyPr/>
        <a:lstStyle/>
        <a:p>
          <a:pPr algn="ctr">
            <a:buFont typeface="+mj-lt"/>
            <a:buNone/>
          </a:pPr>
          <a:r>
            <a:rPr lang="en-US" sz="1200" b="1" i="0">
              <a:latin typeface="Times New Roman" panose="02020603050405020304" pitchFamily="18" charset="0"/>
              <a:cs typeface="Times New Roman" panose="02020603050405020304" pitchFamily="18" charset="0"/>
            </a:rPr>
            <a:t>Diversification: </a:t>
          </a:r>
          <a:r>
            <a:rPr lang="en-US" sz="1200" b="0" i="0">
              <a:latin typeface="Times New Roman" panose="02020603050405020304" pitchFamily="18" charset="0"/>
              <a:cs typeface="Times New Roman" panose="02020603050405020304" pitchFamily="18" charset="0"/>
            </a:rPr>
            <a:t>Shell consider diversifying its business beyond traditional oil and gas operations into adjacent industries or emerging technologies. For example, Shell could explore opportunities in the electric vehicle market by investing in battery technology or electric vehicle charging networks. </a:t>
          </a:r>
          <a:endParaRPr lang="en-US" sz="1200">
            <a:latin typeface="Times New Roman" panose="02020603050405020304" pitchFamily="18" charset="0"/>
            <a:cs typeface="Times New Roman" panose="02020603050405020304" pitchFamily="18" charset="0"/>
          </a:endParaRPr>
        </a:p>
      </dgm:t>
    </dgm:pt>
    <dgm:pt modelId="{E6CA2380-2B25-4FEF-903F-37AF24204D15}" type="parTrans" cxnId="{B65E17D0-54F3-4046-A7A5-C7D92A1B0ABA}">
      <dgm:prSet/>
      <dgm:spPr/>
      <dgm:t>
        <a:bodyPr/>
        <a:lstStyle/>
        <a:p>
          <a:pPr algn="ctr"/>
          <a:endParaRPr lang="en-US"/>
        </a:p>
      </dgm:t>
    </dgm:pt>
    <dgm:pt modelId="{086DFE1C-FD00-4366-996E-F78E78B046E6}" type="sibTrans" cxnId="{B65E17D0-54F3-4046-A7A5-C7D92A1B0ABA}">
      <dgm:prSet/>
      <dgm:spPr/>
      <dgm:t>
        <a:bodyPr/>
        <a:lstStyle/>
        <a:p>
          <a:pPr algn="ctr"/>
          <a:endParaRPr lang="en-US"/>
        </a:p>
      </dgm:t>
    </dgm:pt>
    <dgm:pt modelId="{F4848C12-8D9C-486A-AA80-5A76013C211A}" type="pres">
      <dgm:prSet presAssocID="{7004B902-CD7E-461A-9B37-854DF9B858A7}" presName="matrix" presStyleCnt="0">
        <dgm:presLayoutVars>
          <dgm:chMax val="1"/>
          <dgm:dir/>
          <dgm:resizeHandles val="exact"/>
        </dgm:presLayoutVars>
      </dgm:prSet>
      <dgm:spPr/>
      <dgm:t>
        <a:bodyPr/>
        <a:lstStyle/>
        <a:p>
          <a:endParaRPr lang="en-GB"/>
        </a:p>
      </dgm:t>
    </dgm:pt>
    <dgm:pt modelId="{64A48B7D-27E4-489C-B707-30163D5B6BD6}" type="pres">
      <dgm:prSet presAssocID="{7004B902-CD7E-461A-9B37-854DF9B858A7}" presName="axisShape" presStyleLbl="bgShp" presStyleIdx="0" presStyleCnt="1"/>
      <dgm:spPr/>
    </dgm:pt>
    <dgm:pt modelId="{B35AF5D2-FC42-4E20-AEE7-6DAB450B4F4A}" type="pres">
      <dgm:prSet presAssocID="{7004B902-CD7E-461A-9B37-854DF9B858A7}" presName="rect1" presStyleLbl="node1" presStyleIdx="0" presStyleCnt="4" custScaleY="106499">
        <dgm:presLayoutVars>
          <dgm:chMax val="0"/>
          <dgm:chPref val="0"/>
          <dgm:bulletEnabled val="1"/>
        </dgm:presLayoutVars>
      </dgm:prSet>
      <dgm:spPr/>
      <dgm:t>
        <a:bodyPr/>
        <a:lstStyle/>
        <a:p>
          <a:endParaRPr lang="en-GB"/>
        </a:p>
      </dgm:t>
    </dgm:pt>
    <dgm:pt modelId="{6AAAE193-9CF5-4C67-ADA0-7B8404ED870D}" type="pres">
      <dgm:prSet presAssocID="{7004B902-CD7E-461A-9B37-854DF9B858A7}" presName="rect2" presStyleLbl="node1" presStyleIdx="1" presStyleCnt="4" custScaleY="108794">
        <dgm:presLayoutVars>
          <dgm:chMax val="0"/>
          <dgm:chPref val="0"/>
          <dgm:bulletEnabled val="1"/>
        </dgm:presLayoutVars>
      </dgm:prSet>
      <dgm:spPr/>
      <dgm:t>
        <a:bodyPr/>
        <a:lstStyle/>
        <a:p>
          <a:endParaRPr lang="en-GB"/>
        </a:p>
      </dgm:t>
    </dgm:pt>
    <dgm:pt modelId="{384F1085-4AFE-4FEF-B368-BCBE47AC8C86}" type="pres">
      <dgm:prSet presAssocID="{7004B902-CD7E-461A-9B37-854DF9B858A7}" presName="rect3" presStyleLbl="node1" presStyleIdx="2" presStyleCnt="4">
        <dgm:presLayoutVars>
          <dgm:chMax val="0"/>
          <dgm:chPref val="0"/>
          <dgm:bulletEnabled val="1"/>
        </dgm:presLayoutVars>
      </dgm:prSet>
      <dgm:spPr/>
      <dgm:t>
        <a:bodyPr/>
        <a:lstStyle/>
        <a:p>
          <a:endParaRPr lang="en-GB"/>
        </a:p>
      </dgm:t>
    </dgm:pt>
    <dgm:pt modelId="{41E6D2B9-1033-4B69-8AF0-8A562943D03C}" type="pres">
      <dgm:prSet presAssocID="{7004B902-CD7E-461A-9B37-854DF9B858A7}" presName="rect4" presStyleLbl="node1" presStyleIdx="3" presStyleCnt="4">
        <dgm:presLayoutVars>
          <dgm:chMax val="0"/>
          <dgm:chPref val="0"/>
          <dgm:bulletEnabled val="1"/>
        </dgm:presLayoutVars>
      </dgm:prSet>
      <dgm:spPr/>
      <dgm:t>
        <a:bodyPr/>
        <a:lstStyle/>
        <a:p>
          <a:endParaRPr lang="en-GB"/>
        </a:p>
      </dgm:t>
    </dgm:pt>
  </dgm:ptLst>
  <dgm:cxnLst>
    <dgm:cxn modelId="{44B6E898-56B9-4D5F-937A-49D94DB93705}" srcId="{7004B902-CD7E-461A-9B37-854DF9B858A7}" destId="{821185A4-0F1B-43F0-86CD-2D1CF6AE2F89}" srcOrd="1" destOrd="0" parTransId="{272E49ED-FAED-4772-99EE-9F0859E231ED}" sibTransId="{AC669422-6555-461B-A4CA-A401FDA738D5}"/>
    <dgm:cxn modelId="{B5F41426-456B-4E65-A64B-5298EC87D4C3}" type="presOf" srcId="{622980E6-E390-4C96-B49F-3186BDD422F7}" destId="{384F1085-4AFE-4FEF-B368-BCBE47AC8C86}" srcOrd="0" destOrd="0" presId="urn:microsoft.com/office/officeart/2005/8/layout/matrix2"/>
    <dgm:cxn modelId="{FCDBBF9F-45DC-40C4-98B5-1678E98049BC}" type="presOf" srcId="{821185A4-0F1B-43F0-86CD-2D1CF6AE2F89}" destId="{6AAAE193-9CF5-4C67-ADA0-7B8404ED870D}" srcOrd="0" destOrd="0" presId="urn:microsoft.com/office/officeart/2005/8/layout/matrix2"/>
    <dgm:cxn modelId="{7DAB78B6-0713-40CB-829A-CFFF98C4D85F}" type="presOf" srcId="{7004B902-CD7E-461A-9B37-854DF9B858A7}" destId="{F4848C12-8D9C-486A-AA80-5A76013C211A}" srcOrd="0" destOrd="0" presId="urn:microsoft.com/office/officeart/2005/8/layout/matrix2"/>
    <dgm:cxn modelId="{CAC43472-DCCB-4E69-A7E0-4E69ECD12B4A}" srcId="{7004B902-CD7E-461A-9B37-854DF9B858A7}" destId="{622980E6-E390-4C96-B49F-3186BDD422F7}" srcOrd="2" destOrd="0" parTransId="{8353B4E7-B834-4D33-8E43-53BA2722F2D7}" sibTransId="{F27DE206-83F0-4632-86CC-1D7F36B29382}"/>
    <dgm:cxn modelId="{F883C62D-7D60-45AD-B512-008BAEE323AC}" type="presOf" srcId="{8A5A200F-3FDF-4145-9AB3-BACCB81A526A}" destId="{41E6D2B9-1033-4B69-8AF0-8A562943D03C}" srcOrd="0" destOrd="0" presId="urn:microsoft.com/office/officeart/2005/8/layout/matrix2"/>
    <dgm:cxn modelId="{88482F16-E959-4CB2-A8D1-0875043077E0}" srcId="{7004B902-CD7E-461A-9B37-854DF9B858A7}" destId="{7093459B-1D9C-464D-A1E9-81488C2BBF32}" srcOrd="0" destOrd="0" parTransId="{04674F14-67E3-4F1D-AE9C-ACFA75E63042}" sibTransId="{C3DC5EDA-DD37-4D33-ACBF-D40EA2B04A76}"/>
    <dgm:cxn modelId="{6BB09AA2-6F2C-4E25-89CC-9ADCBB3BA7E0}" type="presOf" srcId="{7093459B-1D9C-464D-A1E9-81488C2BBF32}" destId="{B35AF5D2-FC42-4E20-AEE7-6DAB450B4F4A}" srcOrd="0" destOrd="0" presId="urn:microsoft.com/office/officeart/2005/8/layout/matrix2"/>
    <dgm:cxn modelId="{B65E17D0-54F3-4046-A7A5-C7D92A1B0ABA}" srcId="{7004B902-CD7E-461A-9B37-854DF9B858A7}" destId="{8A5A200F-3FDF-4145-9AB3-BACCB81A526A}" srcOrd="3" destOrd="0" parTransId="{E6CA2380-2B25-4FEF-903F-37AF24204D15}" sibTransId="{086DFE1C-FD00-4366-996E-F78E78B046E6}"/>
    <dgm:cxn modelId="{14DB5CB2-2170-4264-8783-48193527B69D}" type="presParOf" srcId="{F4848C12-8D9C-486A-AA80-5A76013C211A}" destId="{64A48B7D-27E4-489C-B707-30163D5B6BD6}" srcOrd="0" destOrd="0" presId="urn:microsoft.com/office/officeart/2005/8/layout/matrix2"/>
    <dgm:cxn modelId="{1177DC8E-B00B-4945-A1C5-B95EE9445C7B}" type="presParOf" srcId="{F4848C12-8D9C-486A-AA80-5A76013C211A}" destId="{B35AF5D2-FC42-4E20-AEE7-6DAB450B4F4A}" srcOrd="1" destOrd="0" presId="urn:microsoft.com/office/officeart/2005/8/layout/matrix2"/>
    <dgm:cxn modelId="{95AECDF4-0A7C-41DD-8A50-530F3869015E}" type="presParOf" srcId="{F4848C12-8D9C-486A-AA80-5A76013C211A}" destId="{6AAAE193-9CF5-4C67-ADA0-7B8404ED870D}" srcOrd="2" destOrd="0" presId="urn:microsoft.com/office/officeart/2005/8/layout/matrix2"/>
    <dgm:cxn modelId="{194288FC-A4C1-482C-B90F-A5B82F5716D4}" type="presParOf" srcId="{F4848C12-8D9C-486A-AA80-5A76013C211A}" destId="{384F1085-4AFE-4FEF-B368-BCBE47AC8C86}" srcOrd="3" destOrd="0" presId="urn:microsoft.com/office/officeart/2005/8/layout/matrix2"/>
    <dgm:cxn modelId="{970EB229-3BDE-4A64-9813-D451BCF5CBAA}" type="presParOf" srcId="{F4848C12-8D9C-486A-AA80-5A76013C211A}" destId="{41E6D2B9-1033-4B69-8AF0-8A562943D03C}" srcOrd="4" destOrd="0" presId="urn:microsoft.com/office/officeart/2005/8/layout/matrix2"/>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F1F2DCF-3C61-42D5-97DB-831EE3695D61}" type="doc">
      <dgm:prSet loTypeId="urn:microsoft.com/office/officeart/2005/8/layout/vList6" loCatId="list" qsTypeId="urn:microsoft.com/office/officeart/2005/8/quickstyle/simple1" qsCatId="simple" csTypeId="urn:microsoft.com/office/officeart/2005/8/colors/accent1_1" csCatId="accent1" phldr="1"/>
      <dgm:spPr/>
      <dgm:t>
        <a:bodyPr/>
        <a:lstStyle/>
        <a:p>
          <a:endParaRPr lang="en-US"/>
        </a:p>
      </dgm:t>
    </dgm:pt>
    <dgm:pt modelId="{299BB39D-279B-42FB-B540-414B8B476F06}">
      <dgm:prSet phldrT="[Text]" custT="1"/>
      <dgm:spPr/>
      <dgm:t>
        <a:bodyPr/>
        <a:lstStyle/>
        <a:p>
          <a:r>
            <a:rPr lang="en-GB" sz="1600" b="0" i="0">
              <a:latin typeface="Times New Roman" panose="02020603050405020304" pitchFamily="18" charset="0"/>
              <a:cs typeface="Times New Roman" panose="02020603050405020304" pitchFamily="18" charset="0"/>
            </a:rPr>
            <a:t>Primary Activities</a:t>
          </a:r>
          <a:endParaRPr lang="en-US" sz="1600" b="0" i="0">
            <a:latin typeface="Times New Roman" panose="02020603050405020304" pitchFamily="18" charset="0"/>
            <a:cs typeface="Times New Roman" panose="02020603050405020304" pitchFamily="18" charset="0"/>
          </a:endParaRPr>
        </a:p>
      </dgm:t>
    </dgm:pt>
    <dgm:pt modelId="{E6A407F8-B417-4EC6-AF3C-16CF59163BD5}" type="parTrans" cxnId="{6BD65F71-6CDD-4A28-AC79-62F8B52919D0}">
      <dgm:prSet/>
      <dgm:spPr/>
      <dgm:t>
        <a:bodyPr/>
        <a:lstStyle/>
        <a:p>
          <a:endParaRPr lang="en-US"/>
        </a:p>
      </dgm:t>
    </dgm:pt>
    <dgm:pt modelId="{D6C23F3B-8A01-4BBA-A967-516431F0A70E}" type="sibTrans" cxnId="{6BD65F71-6CDD-4A28-AC79-62F8B52919D0}">
      <dgm:prSet/>
      <dgm:spPr/>
      <dgm:t>
        <a:bodyPr/>
        <a:lstStyle/>
        <a:p>
          <a:endParaRPr lang="en-US"/>
        </a:p>
      </dgm:t>
    </dgm:pt>
    <dgm:pt modelId="{510D98BD-EC3D-4900-ACD2-3F3711848A79}">
      <dgm:prSet phldrT="[Text]" custT="1"/>
      <dgm:spPr/>
      <dgm:t>
        <a:bodyPr/>
        <a:lstStyle/>
        <a:p>
          <a:r>
            <a:rPr lang="en-GB" sz="1200">
              <a:latin typeface="Times New Roman" panose="02020603050405020304" pitchFamily="18" charset="0"/>
              <a:cs typeface="Times New Roman" panose="02020603050405020304" pitchFamily="18" charset="0"/>
            </a:rPr>
            <a:t>Operations</a:t>
          </a:r>
          <a:endParaRPr lang="en-US" sz="1200">
            <a:latin typeface="Times New Roman" panose="02020603050405020304" pitchFamily="18" charset="0"/>
            <a:cs typeface="Times New Roman" panose="02020603050405020304" pitchFamily="18" charset="0"/>
          </a:endParaRPr>
        </a:p>
      </dgm:t>
    </dgm:pt>
    <dgm:pt modelId="{AD9A6A7A-FDFC-408F-B54E-025B1F2FEAED}" type="parTrans" cxnId="{9FA6A271-C551-4EB3-8CA6-18803E0F1DBB}">
      <dgm:prSet/>
      <dgm:spPr/>
      <dgm:t>
        <a:bodyPr/>
        <a:lstStyle/>
        <a:p>
          <a:endParaRPr lang="en-US"/>
        </a:p>
      </dgm:t>
    </dgm:pt>
    <dgm:pt modelId="{C08E1D0A-5632-454B-84BB-C74A26807DFF}" type="sibTrans" cxnId="{9FA6A271-C551-4EB3-8CA6-18803E0F1DBB}">
      <dgm:prSet/>
      <dgm:spPr/>
      <dgm:t>
        <a:bodyPr/>
        <a:lstStyle/>
        <a:p>
          <a:endParaRPr lang="en-US"/>
        </a:p>
      </dgm:t>
    </dgm:pt>
    <dgm:pt modelId="{2D578901-E77D-49CE-864B-31B0A788CB9E}">
      <dgm:prSet phldrT="[Text]" custT="1"/>
      <dgm:spPr/>
      <dgm:t>
        <a:bodyPr/>
        <a:lstStyle/>
        <a:p>
          <a:r>
            <a:rPr lang="en-GB" sz="1600" b="0" i="0">
              <a:latin typeface="Times New Roman" panose="02020603050405020304" pitchFamily="18" charset="0"/>
              <a:cs typeface="Times New Roman" panose="02020603050405020304" pitchFamily="18" charset="0"/>
            </a:rPr>
            <a:t>Secondary Activities</a:t>
          </a:r>
          <a:endParaRPr lang="en-US" sz="1600" b="0" i="0">
            <a:latin typeface="Times New Roman" panose="02020603050405020304" pitchFamily="18" charset="0"/>
            <a:cs typeface="Times New Roman" panose="02020603050405020304" pitchFamily="18" charset="0"/>
          </a:endParaRPr>
        </a:p>
      </dgm:t>
    </dgm:pt>
    <dgm:pt modelId="{BFE539E2-AD2A-42BC-A579-ECB528DBAE04}" type="parTrans" cxnId="{8E0F55E1-898A-4327-96A7-5BA5172A820C}">
      <dgm:prSet/>
      <dgm:spPr/>
      <dgm:t>
        <a:bodyPr/>
        <a:lstStyle/>
        <a:p>
          <a:endParaRPr lang="en-US"/>
        </a:p>
      </dgm:t>
    </dgm:pt>
    <dgm:pt modelId="{F1A33525-849B-4E7E-8160-1B7E4F46074D}" type="sibTrans" cxnId="{8E0F55E1-898A-4327-96A7-5BA5172A820C}">
      <dgm:prSet/>
      <dgm:spPr/>
      <dgm:t>
        <a:bodyPr/>
        <a:lstStyle/>
        <a:p>
          <a:endParaRPr lang="en-US"/>
        </a:p>
      </dgm:t>
    </dgm:pt>
    <dgm:pt modelId="{F957B56D-E974-4252-88A5-CEC09E1931CD}">
      <dgm:prSet phldrT="[Text]" custT="1"/>
      <dgm:spPr/>
      <dgm:t>
        <a:bodyPr/>
        <a:lstStyle/>
        <a:p>
          <a:r>
            <a:rPr lang="en-GB" sz="1200">
              <a:latin typeface="Times New Roman" panose="02020603050405020304" pitchFamily="18" charset="0"/>
              <a:cs typeface="Times New Roman" panose="02020603050405020304" pitchFamily="18" charset="0"/>
            </a:rPr>
            <a:t>Procurement </a:t>
          </a:r>
          <a:endParaRPr lang="en-US" sz="1200">
            <a:latin typeface="Times New Roman" panose="02020603050405020304" pitchFamily="18" charset="0"/>
            <a:cs typeface="Times New Roman" panose="02020603050405020304" pitchFamily="18" charset="0"/>
          </a:endParaRPr>
        </a:p>
      </dgm:t>
    </dgm:pt>
    <dgm:pt modelId="{45FEEE12-9CC2-441C-8C16-5979720E40E8}" type="parTrans" cxnId="{254DFDC1-2174-47DA-A312-F89A1EA3292D}">
      <dgm:prSet/>
      <dgm:spPr/>
      <dgm:t>
        <a:bodyPr/>
        <a:lstStyle/>
        <a:p>
          <a:endParaRPr lang="en-US"/>
        </a:p>
      </dgm:t>
    </dgm:pt>
    <dgm:pt modelId="{81DA83A1-5F57-454B-B875-A24E3D59BAEB}" type="sibTrans" cxnId="{254DFDC1-2174-47DA-A312-F89A1EA3292D}">
      <dgm:prSet/>
      <dgm:spPr/>
      <dgm:t>
        <a:bodyPr/>
        <a:lstStyle/>
        <a:p>
          <a:endParaRPr lang="en-US"/>
        </a:p>
      </dgm:t>
    </dgm:pt>
    <dgm:pt modelId="{26093A3C-01B5-4497-9F74-9039424BFC0C}">
      <dgm:prSet phldrT="[Text]" custT="1"/>
      <dgm:spPr/>
      <dgm:t>
        <a:bodyPr/>
        <a:lstStyle/>
        <a:p>
          <a:r>
            <a:rPr lang="en-GB" sz="1200">
              <a:latin typeface="Times New Roman" panose="02020603050405020304" pitchFamily="18" charset="0"/>
              <a:cs typeface="Times New Roman" panose="02020603050405020304" pitchFamily="18" charset="0"/>
            </a:rPr>
            <a:t>Outbound Logistics</a:t>
          </a:r>
          <a:endParaRPr lang="en-US" sz="1200">
            <a:latin typeface="Times New Roman" panose="02020603050405020304" pitchFamily="18" charset="0"/>
            <a:cs typeface="Times New Roman" panose="02020603050405020304" pitchFamily="18" charset="0"/>
          </a:endParaRPr>
        </a:p>
      </dgm:t>
    </dgm:pt>
    <dgm:pt modelId="{EB23D606-9A6D-4A4E-9AE9-45702BFC9FCD}" type="parTrans" cxnId="{76B3D6A9-7F00-400C-9ED7-18851C0EFF4B}">
      <dgm:prSet/>
      <dgm:spPr/>
      <dgm:t>
        <a:bodyPr/>
        <a:lstStyle/>
        <a:p>
          <a:endParaRPr lang="en-US"/>
        </a:p>
      </dgm:t>
    </dgm:pt>
    <dgm:pt modelId="{CF9F6B07-C0DA-4C21-B644-7C30F57806E4}" type="sibTrans" cxnId="{76B3D6A9-7F00-400C-9ED7-18851C0EFF4B}">
      <dgm:prSet/>
      <dgm:spPr/>
      <dgm:t>
        <a:bodyPr/>
        <a:lstStyle/>
        <a:p>
          <a:endParaRPr lang="en-US"/>
        </a:p>
      </dgm:t>
    </dgm:pt>
    <dgm:pt modelId="{C7CA4C7D-BE71-4A49-8FE2-A2FAFFCA11D8}">
      <dgm:prSet phldrT="[Text]" custT="1"/>
      <dgm:spPr/>
      <dgm:t>
        <a:bodyPr/>
        <a:lstStyle/>
        <a:p>
          <a:r>
            <a:rPr lang="en-GB" sz="1200">
              <a:latin typeface="Times New Roman" panose="02020603050405020304" pitchFamily="18" charset="0"/>
              <a:cs typeface="Times New Roman" panose="02020603050405020304" pitchFamily="18" charset="0"/>
            </a:rPr>
            <a:t>Marketing and Sales</a:t>
          </a:r>
          <a:endParaRPr lang="en-US" sz="1200">
            <a:latin typeface="Times New Roman" panose="02020603050405020304" pitchFamily="18" charset="0"/>
            <a:cs typeface="Times New Roman" panose="02020603050405020304" pitchFamily="18" charset="0"/>
          </a:endParaRPr>
        </a:p>
      </dgm:t>
    </dgm:pt>
    <dgm:pt modelId="{B09D291F-2A74-44B5-AB25-53DFB2182D1B}" type="parTrans" cxnId="{1C74A2E7-CC09-4A71-8333-65A642E4F12F}">
      <dgm:prSet/>
      <dgm:spPr/>
      <dgm:t>
        <a:bodyPr/>
        <a:lstStyle/>
        <a:p>
          <a:endParaRPr lang="en-US"/>
        </a:p>
      </dgm:t>
    </dgm:pt>
    <dgm:pt modelId="{B16C40E0-865B-4E2A-A1DE-C43763130BFE}" type="sibTrans" cxnId="{1C74A2E7-CC09-4A71-8333-65A642E4F12F}">
      <dgm:prSet/>
      <dgm:spPr/>
      <dgm:t>
        <a:bodyPr/>
        <a:lstStyle/>
        <a:p>
          <a:endParaRPr lang="en-US"/>
        </a:p>
      </dgm:t>
    </dgm:pt>
    <dgm:pt modelId="{16262BB9-FE87-40E5-9393-AC285531AB3B}">
      <dgm:prSet phldrT="[Text]" custT="1"/>
      <dgm:spPr/>
      <dgm:t>
        <a:bodyPr/>
        <a:lstStyle/>
        <a:p>
          <a:r>
            <a:rPr lang="en-US" sz="1200">
              <a:latin typeface="Times New Roman" panose="02020603050405020304" pitchFamily="18" charset="0"/>
              <a:cs typeface="Times New Roman" panose="02020603050405020304" pitchFamily="18" charset="0"/>
            </a:rPr>
            <a:t>Technology Development</a:t>
          </a:r>
        </a:p>
      </dgm:t>
    </dgm:pt>
    <dgm:pt modelId="{B6588C22-FA5D-4BFF-9E3C-A7943002C665}" type="parTrans" cxnId="{B33ABB97-2CAF-4CDB-AE4C-0E7B2EA7068F}">
      <dgm:prSet/>
      <dgm:spPr/>
      <dgm:t>
        <a:bodyPr/>
        <a:lstStyle/>
        <a:p>
          <a:endParaRPr lang="en-US"/>
        </a:p>
      </dgm:t>
    </dgm:pt>
    <dgm:pt modelId="{B0053104-5021-47AA-8007-FE179986DDF3}" type="sibTrans" cxnId="{B33ABB97-2CAF-4CDB-AE4C-0E7B2EA7068F}">
      <dgm:prSet/>
      <dgm:spPr/>
      <dgm:t>
        <a:bodyPr/>
        <a:lstStyle/>
        <a:p>
          <a:endParaRPr lang="en-US"/>
        </a:p>
      </dgm:t>
    </dgm:pt>
    <dgm:pt modelId="{5D747479-7A0D-4C01-8053-0F782CBC5857}">
      <dgm:prSet phldrT="[Text]" custT="1"/>
      <dgm:spPr/>
      <dgm:t>
        <a:bodyPr/>
        <a:lstStyle/>
        <a:p>
          <a:r>
            <a:rPr lang="en-GB" sz="1200">
              <a:latin typeface="Times New Roman" panose="02020603050405020304" pitchFamily="18" charset="0"/>
              <a:cs typeface="Times New Roman" panose="02020603050405020304" pitchFamily="18" charset="0"/>
            </a:rPr>
            <a:t>Human Resource Management</a:t>
          </a:r>
          <a:endParaRPr lang="en-US" sz="1200">
            <a:latin typeface="Times New Roman" panose="02020603050405020304" pitchFamily="18" charset="0"/>
            <a:cs typeface="Times New Roman" panose="02020603050405020304" pitchFamily="18" charset="0"/>
          </a:endParaRPr>
        </a:p>
      </dgm:t>
    </dgm:pt>
    <dgm:pt modelId="{CF17EC69-2B63-41D4-8ABB-20CCCAC1055A}" type="parTrans" cxnId="{EDFB1523-094C-446F-84C9-D2038BCAE4A0}">
      <dgm:prSet/>
      <dgm:spPr/>
      <dgm:t>
        <a:bodyPr/>
        <a:lstStyle/>
        <a:p>
          <a:endParaRPr lang="en-US"/>
        </a:p>
      </dgm:t>
    </dgm:pt>
    <dgm:pt modelId="{7BB47836-740C-4044-8FB2-90ED3A68B3EC}" type="sibTrans" cxnId="{EDFB1523-094C-446F-84C9-D2038BCAE4A0}">
      <dgm:prSet/>
      <dgm:spPr/>
      <dgm:t>
        <a:bodyPr/>
        <a:lstStyle/>
        <a:p>
          <a:endParaRPr lang="en-US"/>
        </a:p>
      </dgm:t>
    </dgm:pt>
    <dgm:pt modelId="{3A1E99FF-5960-4209-95AC-1C6D04D30A6C}">
      <dgm:prSet phldrT="[Text]" custT="1"/>
      <dgm:spPr/>
      <dgm:t>
        <a:bodyPr/>
        <a:lstStyle/>
        <a:p>
          <a:r>
            <a:rPr lang="en-GB" sz="1200">
              <a:latin typeface="Times New Roman" panose="02020603050405020304" pitchFamily="18" charset="0"/>
              <a:cs typeface="Times New Roman" panose="02020603050405020304" pitchFamily="18" charset="0"/>
            </a:rPr>
            <a:t>Inbound Logistics</a:t>
          </a:r>
          <a:endParaRPr lang="en-US" sz="1200">
            <a:latin typeface="Times New Roman" panose="02020603050405020304" pitchFamily="18" charset="0"/>
            <a:cs typeface="Times New Roman" panose="02020603050405020304" pitchFamily="18" charset="0"/>
          </a:endParaRPr>
        </a:p>
      </dgm:t>
    </dgm:pt>
    <dgm:pt modelId="{340A40A6-6B39-41A7-9938-CE8C2DD191A6}" type="parTrans" cxnId="{C2083BA2-D1D7-4394-A0C3-0FDC0ACFDA55}">
      <dgm:prSet/>
      <dgm:spPr/>
      <dgm:t>
        <a:bodyPr/>
        <a:lstStyle/>
        <a:p>
          <a:endParaRPr lang="en-US"/>
        </a:p>
      </dgm:t>
    </dgm:pt>
    <dgm:pt modelId="{21E28169-1548-4646-B451-30DC53897F50}" type="sibTrans" cxnId="{C2083BA2-D1D7-4394-A0C3-0FDC0ACFDA55}">
      <dgm:prSet/>
      <dgm:spPr/>
      <dgm:t>
        <a:bodyPr/>
        <a:lstStyle/>
        <a:p>
          <a:endParaRPr lang="en-US"/>
        </a:p>
      </dgm:t>
    </dgm:pt>
    <dgm:pt modelId="{AE4151AA-0145-48B1-9D7E-365F526245AC}">
      <dgm:prSet phldrT="[Text]" custT="1"/>
      <dgm:spPr/>
      <dgm:t>
        <a:bodyPr/>
        <a:lstStyle/>
        <a:p>
          <a:endParaRPr lang="en-US" sz="1200">
            <a:latin typeface="Times New Roman" panose="02020603050405020304" pitchFamily="18" charset="0"/>
            <a:cs typeface="Times New Roman" panose="02020603050405020304" pitchFamily="18" charset="0"/>
          </a:endParaRPr>
        </a:p>
      </dgm:t>
    </dgm:pt>
    <dgm:pt modelId="{74C851EB-5EE4-47DB-A13E-20BFC918DD48}" type="parTrans" cxnId="{F6FB5CED-494D-422F-9C61-7BCF84BE159D}">
      <dgm:prSet/>
      <dgm:spPr/>
      <dgm:t>
        <a:bodyPr/>
        <a:lstStyle/>
        <a:p>
          <a:endParaRPr lang="en-US"/>
        </a:p>
      </dgm:t>
    </dgm:pt>
    <dgm:pt modelId="{21D5D044-7A7D-49CE-884A-8EF0ADE044AF}" type="sibTrans" cxnId="{F6FB5CED-494D-422F-9C61-7BCF84BE159D}">
      <dgm:prSet/>
      <dgm:spPr/>
      <dgm:t>
        <a:bodyPr/>
        <a:lstStyle/>
        <a:p>
          <a:endParaRPr lang="en-US"/>
        </a:p>
      </dgm:t>
    </dgm:pt>
    <dgm:pt modelId="{ED7805E6-1204-47DE-9979-E2423CF741F7}">
      <dgm:prSet phldrT="[Text]" custT="1"/>
      <dgm:spPr/>
      <dgm:t>
        <a:bodyPr/>
        <a:lstStyle/>
        <a:p>
          <a:endParaRPr lang="en-US" sz="1200">
            <a:latin typeface="Times New Roman" panose="02020603050405020304" pitchFamily="18" charset="0"/>
            <a:cs typeface="Times New Roman" panose="02020603050405020304" pitchFamily="18" charset="0"/>
          </a:endParaRPr>
        </a:p>
      </dgm:t>
    </dgm:pt>
    <dgm:pt modelId="{DB56FFCC-22FA-4346-9734-AEBCF3D09134}" type="parTrans" cxnId="{5B925806-C789-4B6B-AC36-296F96A5FE0D}">
      <dgm:prSet/>
      <dgm:spPr/>
      <dgm:t>
        <a:bodyPr/>
        <a:lstStyle/>
        <a:p>
          <a:endParaRPr lang="en-US"/>
        </a:p>
      </dgm:t>
    </dgm:pt>
    <dgm:pt modelId="{6F5D1514-B297-4982-B44C-885178E1E4BE}" type="sibTrans" cxnId="{5B925806-C789-4B6B-AC36-296F96A5FE0D}">
      <dgm:prSet/>
      <dgm:spPr/>
      <dgm:t>
        <a:bodyPr/>
        <a:lstStyle/>
        <a:p>
          <a:endParaRPr lang="en-US"/>
        </a:p>
      </dgm:t>
    </dgm:pt>
    <dgm:pt modelId="{50884649-2FEF-4985-9337-DF969F866801}" type="pres">
      <dgm:prSet presAssocID="{1F1F2DCF-3C61-42D5-97DB-831EE3695D61}" presName="Name0" presStyleCnt="0">
        <dgm:presLayoutVars>
          <dgm:dir/>
          <dgm:animLvl val="lvl"/>
          <dgm:resizeHandles/>
        </dgm:presLayoutVars>
      </dgm:prSet>
      <dgm:spPr/>
      <dgm:t>
        <a:bodyPr/>
        <a:lstStyle/>
        <a:p>
          <a:endParaRPr lang="en-GB"/>
        </a:p>
      </dgm:t>
    </dgm:pt>
    <dgm:pt modelId="{9BBE9C3E-C472-49FC-BD65-F00CA6F1FCD0}" type="pres">
      <dgm:prSet presAssocID="{299BB39D-279B-42FB-B540-414B8B476F06}" presName="linNode" presStyleCnt="0"/>
      <dgm:spPr/>
    </dgm:pt>
    <dgm:pt modelId="{9D2ED8C6-B305-419C-987E-921566A0C7AA}" type="pres">
      <dgm:prSet presAssocID="{299BB39D-279B-42FB-B540-414B8B476F06}" presName="parentShp" presStyleLbl="node1" presStyleIdx="0" presStyleCnt="2" custLinFactNeighborX="-3012" custLinFactNeighborY="-14461">
        <dgm:presLayoutVars>
          <dgm:bulletEnabled val="1"/>
        </dgm:presLayoutVars>
      </dgm:prSet>
      <dgm:spPr/>
      <dgm:t>
        <a:bodyPr/>
        <a:lstStyle/>
        <a:p>
          <a:endParaRPr lang="en-GB"/>
        </a:p>
      </dgm:t>
    </dgm:pt>
    <dgm:pt modelId="{040C0C6C-857B-40AF-87A2-F8755FBF7C42}" type="pres">
      <dgm:prSet presAssocID="{299BB39D-279B-42FB-B540-414B8B476F06}" presName="childShp" presStyleLbl="bgAccFollowNode1" presStyleIdx="0" presStyleCnt="2">
        <dgm:presLayoutVars>
          <dgm:bulletEnabled val="1"/>
        </dgm:presLayoutVars>
      </dgm:prSet>
      <dgm:spPr/>
      <dgm:t>
        <a:bodyPr/>
        <a:lstStyle/>
        <a:p>
          <a:endParaRPr lang="en-GB"/>
        </a:p>
      </dgm:t>
    </dgm:pt>
    <dgm:pt modelId="{56FB27EC-174C-40C9-B810-8A1EAB7A670A}" type="pres">
      <dgm:prSet presAssocID="{D6C23F3B-8A01-4BBA-A967-516431F0A70E}" presName="spacing" presStyleCnt="0"/>
      <dgm:spPr/>
    </dgm:pt>
    <dgm:pt modelId="{08F4DE41-A797-4827-BCD4-03FD09784FCE}" type="pres">
      <dgm:prSet presAssocID="{2D578901-E77D-49CE-864B-31B0A788CB9E}" presName="linNode" presStyleCnt="0"/>
      <dgm:spPr/>
    </dgm:pt>
    <dgm:pt modelId="{EB3B2C79-0B24-4F92-81B0-6C91AE7E7EBE}" type="pres">
      <dgm:prSet presAssocID="{2D578901-E77D-49CE-864B-31B0A788CB9E}" presName="parentShp" presStyleLbl="node1" presStyleIdx="1" presStyleCnt="2">
        <dgm:presLayoutVars>
          <dgm:bulletEnabled val="1"/>
        </dgm:presLayoutVars>
      </dgm:prSet>
      <dgm:spPr/>
      <dgm:t>
        <a:bodyPr/>
        <a:lstStyle/>
        <a:p>
          <a:endParaRPr lang="en-GB"/>
        </a:p>
      </dgm:t>
    </dgm:pt>
    <dgm:pt modelId="{D1F1D8F7-CAA1-46C0-BA93-6D6A36CC5F2B}" type="pres">
      <dgm:prSet presAssocID="{2D578901-E77D-49CE-864B-31B0A788CB9E}" presName="childShp" presStyleLbl="bgAccFollowNode1" presStyleIdx="1" presStyleCnt="2">
        <dgm:presLayoutVars>
          <dgm:bulletEnabled val="1"/>
        </dgm:presLayoutVars>
      </dgm:prSet>
      <dgm:spPr/>
      <dgm:t>
        <a:bodyPr/>
        <a:lstStyle/>
        <a:p>
          <a:endParaRPr lang="en-GB"/>
        </a:p>
      </dgm:t>
    </dgm:pt>
  </dgm:ptLst>
  <dgm:cxnLst>
    <dgm:cxn modelId="{254DFDC1-2174-47DA-A312-F89A1EA3292D}" srcId="{2D578901-E77D-49CE-864B-31B0A788CB9E}" destId="{F957B56D-E974-4252-88A5-CEC09E1931CD}" srcOrd="1" destOrd="0" parTransId="{45FEEE12-9CC2-441C-8C16-5979720E40E8}" sibTransId="{81DA83A1-5F57-454B-B875-A24E3D59BAEB}"/>
    <dgm:cxn modelId="{EDFB1523-094C-446F-84C9-D2038BCAE4A0}" srcId="{2D578901-E77D-49CE-864B-31B0A788CB9E}" destId="{5D747479-7A0D-4C01-8053-0F782CBC5857}" srcOrd="3" destOrd="0" parTransId="{CF17EC69-2B63-41D4-8ABB-20CCCAC1055A}" sibTransId="{7BB47836-740C-4044-8FB2-90ED3A68B3EC}"/>
    <dgm:cxn modelId="{740CCD31-CAA6-4F67-BD8E-CE7C54477694}" type="presOf" srcId="{299BB39D-279B-42FB-B540-414B8B476F06}" destId="{9D2ED8C6-B305-419C-987E-921566A0C7AA}" srcOrd="0" destOrd="0" presId="urn:microsoft.com/office/officeart/2005/8/layout/vList6"/>
    <dgm:cxn modelId="{C1FA3CC5-CD5A-4BCB-8C44-34F3827A5ACA}" type="presOf" srcId="{1F1F2DCF-3C61-42D5-97DB-831EE3695D61}" destId="{50884649-2FEF-4985-9337-DF969F866801}" srcOrd="0" destOrd="0" presId="urn:microsoft.com/office/officeart/2005/8/layout/vList6"/>
    <dgm:cxn modelId="{C2581583-BBE0-4A57-92A4-AC72E09FAC05}" type="presOf" srcId="{C7CA4C7D-BE71-4A49-8FE2-A2FAFFCA11D8}" destId="{040C0C6C-857B-40AF-87A2-F8755FBF7C42}" srcOrd="0" destOrd="4" presId="urn:microsoft.com/office/officeart/2005/8/layout/vList6"/>
    <dgm:cxn modelId="{6BD65F71-6CDD-4A28-AC79-62F8B52919D0}" srcId="{1F1F2DCF-3C61-42D5-97DB-831EE3695D61}" destId="{299BB39D-279B-42FB-B540-414B8B476F06}" srcOrd="0" destOrd="0" parTransId="{E6A407F8-B417-4EC6-AF3C-16CF59163BD5}" sibTransId="{D6C23F3B-8A01-4BBA-A967-516431F0A70E}"/>
    <dgm:cxn modelId="{CD876139-CBD8-43FA-8035-F88EFA9B9B4E}" type="presOf" srcId="{26093A3C-01B5-4497-9F74-9039424BFC0C}" destId="{040C0C6C-857B-40AF-87A2-F8755FBF7C42}" srcOrd="0" destOrd="3" presId="urn:microsoft.com/office/officeart/2005/8/layout/vList6"/>
    <dgm:cxn modelId="{8E0F55E1-898A-4327-96A7-5BA5172A820C}" srcId="{1F1F2DCF-3C61-42D5-97DB-831EE3695D61}" destId="{2D578901-E77D-49CE-864B-31B0A788CB9E}" srcOrd="1" destOrd="0" parTransId="{BFE539E2-AD2A-42BC-A579-ECB528DBAE04}" sibTransId="{F1A33525-849B-4E7E-8160-1B7E4F46074D}"/>
    <dgm:cxn modelId="{95325186-4E16-483E-8634-4E4629BA4ED1}" type="presOf" srcId="{ED7805E6-1204-47DE-9979-E2423CF741F7}" destId="{D1F1D8F7-CAA1-46C0-BA93-6D6A36CC5F2B}" srcOrd="0" destOrd="0" presId="urn:microsoft.com/office/officeart/2005/8/layout/vList6"/>
    <dgm:cxn modelId="{AAEB3647-1459-43BC-B8FB-6B5EAFDB824B}" type="presOf" srcId="{510D98BD-EC3D-4900-ACD2-3F3711848A79}" destId="{040C0C6C-857B-40AF-87A2-F8755FBF7C42}" srcOrd="0" destOrd="2" presId="urn:microsoft.com/office/officeart/2005/8/layout/vList6"/>
    <dgm:cxn modelId="{1C74A2E7-CC09-4A71-8333-65A642E4F12F}" srcId="{299BB39D-279B-42FB-B540-414B8B476F06}" destId="{C7CA4C7D-BE71-4A49-8FE2-A2FAFFCA11D8}" srcOrd="4" destOrd="0" parTransId="{B09D291F-2A74-44B5-AB25-53DFB2182D1B}" sibTransId="{B16C40E0-865B-4E2A-A1DE-C43763130BFE}"/>
    <dgm:cxn modelId="{C346E11D-22F6-40C2-BBAB-3ED5DE46E27C}" type="presOf" srcId="{3A1E99FF-5960-4209-95AC-1C6D04D30A6C}" destId="{040C0C6C-857B-40AF-87A2-F8755FBF7C42}" srcOrd="0" destOrd="1" presId="urn:microsoft.com/office/officeart/2005/8/layout/vList6"/>
    <dgm:cxn modelId="{479C6BB7-885D-4AFF-AA8B-EAA4526C6FD1}" type="presOf" srcId="{16262BB9-FE87-40E5-9393-AC285531AB3B}" destId="{D1F1D8F7-CAA1-46C0-BA93-6D6A36CC5F2B}" srcOrd="0" destOrd="2" presId="urn:microsoft.com/office/officeart/2005/8/layout/vList6"/>
    <dgm:cxn modelId="{C2083BA2-D1D7-4394-A0C3-0FDC0ACFDA55}" srcId="{299BB39D-279B-42FB-B540-414B8B476F06}" destId="{3A1E99FF-5960-4209-95AC-1C6D04D30A6C}" srcOrd="1" destOrd="0" parTransId="{340A40A6-6B39-41A7-9938-CE8C2DD191A6}" sibTransId="{21E28169-1548-4646-B451-30DC53897F50}"/>
    <dgm:cxn modelId="{76B3D6A9-7F00-400C-9ED7-18851C0EFF4B}" srcId="{299BB39D-279B-42FB-B540-414B8B476F06}" destId="{26093A3C-01B5-4497-9F74-9039424BFC0C}" srcOrd="3" destOrd="0" parTransId="{EB23D606-9A6D-4A4E-9AE9-45702BFC9FCD}" sibTransId="{CF9F6B07-C0DA-4C21-B644-7C30F57806E4}"/>
    <dgm:cxn modelId="{5B925806-C789-4B6B-AC36-296F96A5FE0D}" srcId="{2D578901-E77D-49CE-864B-31B0A788CB9E}" destId="{ED7805E6-1204-47DE-9979-E2423CF741F7}" srcOrd="0" destOrd="0" parTransId="{DB56FFCC-22FA-4346-9734-AEBCF3D09134}" sibTransId="{6F5D1514-B297-4982-B44C-885178E1E4BE}"/>
    <dgm:cxn modelId="{3A3C1780-D4F7-4876-A6F5-C6CB4626AD5D}" type="presOf" srcId="{2D578901-E77D-49CE-864B-31B0A788CB9E}" destId="{EB3B2C79-0B24-4F92-81B0-6C91AE7E7EBE}" srcOrd="0" destOrd="0" presId="urn:microsoft.com/office/officeart/2005/8/layout/vList6"/>
    <dgm:cxn modelId="{F6FB5CED-494D-422F-9C61-7BCF84BE159D}" srcId="{299BB39D-279B-42FB-B540-414B8B476F06}" destId="{AE4151AA-0145-48B1-9D7E-365F526245AC}" srcOrd="0" destOrd="0" parTransId="{74C851EB-5EE4-47DB-A13E-20BFC918DD48}" sibTransId="{21D5D044-7A7D-49CE-884A-8EF0ADE044AF}"/>
    <dgm:cxn modelId="{C30B9A0B-7FD2-4563-952F-FDBB061CF839}" type="presOf" srcId="{5D747479-7A0D-4C01-8053-0F782CBC5857}" destId="{D1F1D8F7-CAA1-46C0-BA93-6D6A36CC5F2B}" srcOrd="0" destOrd="3" presId="urn:microsoft.com/office/officeart/2005/8/layout/vList6"/>
    <dgm:cxn modelId="{B33ABB97-2CAF-4CDB-AE4C-0E7B2EA7068F}" srcId="{2D578901-E77D-49CE-864B-31B0A788CB9E}" destId="{16262BB9-FE87-40E5-9393-AC285531AB3B}" srcOrd="2" destOrd="0" parTransId="{B6588C22-FA5D-4BFF-9E3C-A7943002C665}" sibTransId="{B0053104-5021-47AA-8007-FE179986DDF3}"/>
    <dgm:cxn modelId="{E76301F6-CAD9-400A-8027-A11D0CBC5EAA}" type="presOf" srcId="{F957B56D-E974-4252-88A5-CEC09E1931CD}" destId="{D1F1D8F7-CAA1-46C0-BA93-6D6A36CC5F2B}" srcOrd="0" destOrd="1" presId="urn:microsoft.com/office/officeart/2005/8/layout/vList6"/>
    <dgm:cxn modelId="{9FA6A271-C551-4EB3-8CA6-18803E0F1DBB}" srcId="{299BB39D-279B-42FB-B540-414B8B476F06}" destId="{510D98BD-EC3D-4900-ACD2-3F3711848A79}" srcOrd="2" destOrd="0" parTransId="{AD9A6A7A-FDFC-408F-B54E-025B1F2FEAED}" sibTransId="{C08E1D0A-5632-454B-84BB-C74A26807DFF}"/>
    <dgm:cxn modelId="{564206DC-A7BA-4516-8C8A-7772E9A48549}" type="presOf" srcId="{AE4151AA-0145-48B1-9D7E-365F526245AC}" destId="{040C0C6C-857B-40AF-87A2-F8755FBF7C42}" srcOrd="0" destOrd="0" presId="urn:microsoft.com/office/officeart/2005/8/layout/vList6"/>
    <dgm:cxn modelId="{84C3BBAB-2AB7-4226-A11D-9E3D59049D46}" type="presParOf" srcId="{50884649-2FEF-4985-9337-DF969F866801}" destId="{9BBE9C3E-C472-49FC-BD65-F00CA6F1FCD0}" srcOrd="0" destOrd="0" presId="urn:microsoft.com/office/officeart/2005/8/layout/vList6"/>
    <dgm:cxn modelId="{16782555-E368-4A5E-8DF2-78D31AFB3232}" type="presParOf" srcId="{9BBE9C3E-C472-49FC-BD65-F00CA6F1FCD0}" destId="{9D2ED8C6-B305-419C-987E-921566A0C7AA}" srcOrd="0" destOrd="0" presId="urn:microsoft.com/office/officeart/2005/8/layout/vList6"/>
    <dgm:cxn modelId="{D6432924-F8DA-437F-A63A-6950E5C5CF0C}" type="presParOf" srcId="{9BBE9C3E-C472-49FC-BD65-F00CA6F1FCD0}" destId="{040C0C6C-857B-40AF-87A2-F8755FBF7C42}" srcOrd="1" destOrd="0" presId="urn:microsoft.com/office/officeart/2005/8/layout/vList6"/>
    <dgm:cxn modelId="{546C4948-FB82-4A17-8B0E-3632FE35E0E9}" type="presParOf" srcId="{50884649-2FEF-4985-9337-DF969F866801}" destId="{56FB27EC-174C-40C9-B810-8A1EAB7A670A}" srcOrd="1" destOrd="0" presId="urn:microsoft.com/office/officeart/2005/8/layout/vList6"/>
    <dgm:cxn modelId="{89A633A5-B68F-4817-BB33-E590575A5282}" type="presParOf" srcId="{50884649-2FEF-4985-9337-DF969F866801}" destId="{08F4DE41-A797-4827-BCD4-03FD09784FCE}" srcOrd="2" destOrd="0" presId="urn:microsoft.com/office/officeart/2005/8/layout/vList6"/>
    <dgm:cxn modelId="{E02A9441-E303-4C73-9B08-2E880F221992}" type="presParOf" srcId="{08F4DE41-A797-4827-BCD4-03FD09784FCE}" destId="{EB3B2C79-0B24-4F92-81B0-6C91AE7E7EBE}" srcOrd="0" destOrd="0" presId="urn:microsoft.com/office/officeart/2005/8/layout/vList6"/>
    <dgm:cxn modelId="{B1C6D54C-AA59-466C-9AA9-AF6D32D86FB6}" type="presParOf" srcId="{08F4DE41-A797-4827-BCD4-03FD09784FCE}" destId="{D1F1D8F7-CAA1-46C0-BA93-6D6A36CC5F2B}" srcOrd="1" destOrd="0" presId="urn:microsoft.com/office/officeart/2005/8/layout/vList6"/>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DEBECAFA-E5B6-42F0-85DD-6494C7889B52}" type="doc">
      <dgm:prSet loTypeId="urn:microsoft.com/office/officeart/2008/layout/VerticalCurvedList" loCatId="list" qsTypeId="urn:microsoft.com/office/officeart/2005/8/quickstyle/simple1" qsCatId="simple" csTypeId="urn:microsoft.com/office/officeart/2005/8/colors/accent1_1" csCatId="accent1" phldr="1"/>
      <dgm:spPr/>
      <dgm:t>
        <a:bodyPr/>
        <a:lstStyle/>
        <a:p>
          <a:endParaRPr lang="en-US"/>
        </a:p>
      </dgm:t>
    </dgm:pt>
    <dgm:pt modelId="{62858E14-9CD2-49E9-9E73-4EEA130A2421}">
      <dgm:prSet phldrT="[Text]" custT="1"/>
      <dgm:spPr/>
      <dgm:t>
        <a:bodyPr/>
        <a:lstStyle/>
        <a:p>
          <a:pPr algn="just"/>
          <a:r>
            <a:rPr lang="en-US" sz="1100" b="1">
              <a:latin typeface="Times New Roman" panose="02020603050405020304" pitchFamily="18" charset="0"/>
              <a:cs typeface="Times New Roman" panose="02020603050405020304" pitchFamily="18" charset="0"/>
            </a:rPr>
            <a:t>Strengths: </a:t>
          </a:r>
          <a:r>
            <a:rPr lang="en-US" sz="1100">
              <a:latin typeface="Times New Roman" panose="02020603050405020304" pitchFamily="18" charset="0"/>
              <a:cs typeface="Times New Roman" panose="02020603050405020304" pitchFamily="18" charset="0"/>
            </a:rPr>
            <a:t>Shell's strategy places customers at the center, aiming to provide them with solutions to decarbonize effectively. This focus enhances customer loyalty and strengthens relationships, driving long-term value. Shell's integrated assets and supply chains enable the delivery of comprehensive energy solutions, enhancing operational efficiency and reducing costs. This integrated approach supports the company's goal of becoming a net-zero emissions business by 2050 (Shell plc Annual Report, 2022). </a:t>
          </a:r>
        </a:p>
      </dgm:t>
    </dgm:pt>
    <dgm:pt modelId="{3CEB1E46-A8DF-4532-A6D3-E7529F3637CF}" type="parTrans" cxnId="{C737B9ED-BB59-43BA-9635-010015254C10}">
      <dgm:prSet/>
      <dgm:spPr/>
      <dgm:t>
        <a:bodyPr/>
        <a:lstStyle/>
        <a:p>
          <a:endParaRPr lang="en-US"/>
        </a:p>
      </dgm:t>
    </dgm:pt>
    <dgm:pt modelId="{DB3A232F-1B3E-4CE3-8445-9E64F8B34A82}" type="sibTrans" cxnId="{C737B9ED-BB59-43BA-9635-010015254C10}">
      <dgm:prSet/>
      <dgm:spPr/>
      <dgm:t>
        <a:bodyPr/>
        <a:lstStyle/>
        <a:p>
          <a:endParaRPr lang="en-US"/>
        </a:p>
      </dgm:t>
    </dgm:pt>
    <dgm:pt modelId="{1AE07486-81D7-4FE4-B159-E7E864243E67}">
      <dgm:prSet phldrT="[Text]" custT="1"/>
      <dgm:spPr/>
      <dgm:t>
        <a:bodyPr/>
        <a:lstStyle/>
        <a:p>
          <a:pPr algn="just"/>
          <a:r>
            <a:rPr lang="en-US" sz="1100" b="1">
              <a:latin typeface="Times New Roman" panose="02020603050405020304" pitchFamily="18" charset="0"/>
              <a:cs typeface="Times New Roman" panose="02020603050405020304" pitchFamily="18" charset="0"/>
            </a:rPr>
            <a:t>Weakness: </a:t>
          </a:r>
          <a:r>
            <a:rPr lang="en-US" sz="1100">
              <a:latin typeface="Times New Roman" panose="02020603050405020304" pitchFamily="18" charset="0"/>
              <a:cs typeface="Times New Roman" panose="02020603050405020304" pitchFamily="18" charset="0"/>
            </a:rPr>
            <a:t>Shell's historical reliance on fossil fuels poses challenges in transitioning to a net-zero emissions business. Dependency on traditional energy sources stop the company's ability to adapt quickly to changing market dynamics and regulatory requirements. The energy transition presents complex challenges, including technological barriers, regulatory uncertainties, and geopolitical risks. Shell's transition to a low-carbon business model requires navigating these complexities effectively, which strain resources and expertise (Shell plc Annual Report, 2022) .</a:t>
          </a:r>
        </a:p>
      </dgm:t>
    </dgm:pt>
    <dgm:pt modelId="{F56E4703-A1D5-4A7E-9E4E-05801E99A8CD}" type="parTrans" cxnId="{E2E7894F-57E2-4546-80AC-543E3F3BF81A}">
      <dgm:prSet/>
      <dgm:spPr/>
      <dgm:t>
        <a:bodyPr/>
        <a:lstStyle/>
        <a:p>
          <a:endParaRPr lang="en-US"/>
        </a:p>
      </dgm:t>
    </dgm:pt>
    <dgm:pt modelId="{5FAF23B3-8A03-4EE2-9D78-04E7E9B3229E}" type="sibTrans" cxnId="{E2E7894F-57E2-4546-80AC-543E3F3BF81A}">
      <dgm:prSet/>
      <dgm:spPr/>
      <dgm:t>
        <a:bodyPr/>
        <a:lstStyle/>
        <a:p>
          <a:endParaRPr lang="en-US"/>
        </a:p>
      </dgm:t>
    </dgm:pt>
    <dgm:pt modelId="{2588AE98-4670-42E9-A3B5-8CE352B56CF9}">
      <dgm:prSet phldrT="[Text]" custT="1"/>
      <dgm:spPr/>
      <dgm:t>
        <a:bodyPr/>
        <a:lstStyle/>
        <a:p>
          <a:pPr algn="just"/>
          <a:r>
            <a:rPr lang="en-US" sz="1100" b="1">
              <a:latin typeface="Times New Roman" panose="02020603050405020304" pitchFamily="18" charset="0"/>
              <a:cs typeface="Times New Roman" panose="02020603050405020304" pitchFamily="18" charset="0"/>
            </a:rPr>
            <a:t>Opportunities: </a:t>
          </a:r>
          <a:r>
            <a:rPr lang="en-US" sz="1100">
              <a:latin typeface="Times New Roman" panose="02020603050405020304" pitchFamily="18" charset="0"/>
              <a:cs typeface="Times New Roman" panose="02020603050405020304" pitchFamily="18" charset="0"/>
            </a:rPr>
            <a:t>Increasing global awareness of climate change and the need for decarbonisation creates opportunities for Shell to capitalise on growing demand for sustainable energy solutions. The company's focus on renewable energy and biofuels positions it well to capture market opportunities in this evolving landscape. Collaborating with customers, sectors, and stakeholders to develop low-carbon energy solutions presents significant growth opportunities for Shell. Strategic partnerships, such as those in the aviation sector, enable the company to leverage its expertise and experience to drive innovation and support the transition to net-zero emissions (Shell plc Annual Report, 2022).</a:t>
          </a:r>
        </a:p>
      </dgm:t>
    </dgm:pt>
    <dgm:pt modelId="{8795F5D6-31BB-4247-A75A-05FD20988E13}" type="parTrans" cxnId="{3A909C56-99E4-4CBD-B7A2-56E91E428C90}">
      <dgm:prSet/>
      <dgm:spPr/>
      <dgm:t>
        <a:bodyPr/>
        <a:lstStyle/>
        <a:p>
          <a:endParaRPr lang="en-US"/>
        </a:p>
      </dgm:t>
    </dgm:pt>
    <dgm:pt modelId="{4950400B-73B0-4BF3-ACAD-E28E18CDF9F7}" type="sibTrans" cxnId="{3A909C56-99E4-4CBD-B7A2-56E91E428C90}">
      <dgm:prSet/>
      <dgm:spPr/>
      <dgm:t>
        <a:bodyPr/>
        <a:lstStyle/>
        <a:p>
          <a:endParaRPr lang="en-US"/>
        </a:p>
      </dgm:t>
    </dgm:pt>
    <dgm:pt modelId="{AF525AEF-6794-4843-82CF-E8489A0BAFCE}">
      <dgm:prSet phldrT="[Text]" custT="1"/>
      <dgm:spPr/>
      <dgm:t>
        <a:bodyPr/>
        <a:lstStyle/>
        <a:p>
          <a:pPr algn="just"/>
          <a:r>
            <a:rPr lang="en-US" sz="1100" b="1">
              <a:latin typeface="Times New Roman" panose="02020603050405020304" pitchFamily="18" charset="0"/>
              <a:cs typeface="Times New Roman" panose="02020603050405020304" pitchFamily="18" charset="0"/>
            </a:rPr>
            <a:t>Threats: </a:t>
          </a:r>
          <a:r>
            <a:rPr lang="en-US" sz="1100">
              <a:latin typeface="Times New Roman" panose="02020603050405020304" pitchFamily="18" charset="0"/>
              <a:cs typeface="Times New Roman" panose="02020603050405020304" pitchFamily="18" charset="0"/>
            </a:rPr>
            <a:t>High competition from renewable energy companies and disruptive technologies poses a threat to Shell's market share and profitability. Rapid advancements in renewable energy technologies challenge Shell's traditional business model and require strategic adaptation to remain competitive. Evolving regulatory frameworks and policies aimed at addressing climate change and reducing emissions introduce uncertainties and compliance challenges for Shell. Adapting to regulatory changes while maintaining profitability and operational efficiency is essential to mitigating regulatory risks (Shell plc Annual Report, 2022). .</a:t>
          </a:r>
        </a:p>
      </dgm:t>
    </dgm:pt>
    <dgm:pt modelId="{0F259926-5AD5-4CFE-92BB-E41E2424CADF}" type="parTrans" cxnId="{33047917-4F46-4473-8D0E-B8B7B727B193}">
      <dgm:prSet/>
      <dgm:spPr/>
      <dgm:t>
        <a:bodyPr/>
        <a:lstStyle/>
        <a:p>
          <a:endParaRPr lang="en-US"/>
        </a:p>
      </dgm:t>
    </dgm:pt>
    <dgm:pt modelId="{FD0BD79F-5097-411B-B4E5-425DFFC893C1}" type="sibTrans" cxnId="{33047917-4F46-4473-8D0E-B8B7B727B193}">
      <dgm:prSet/>
      <dgm:spPr/>
      <dgm:t>
        <a:bodyPr/>
        <a:lstStyle/>
        <a:p>
          <a:endParaRPr lang="en-US"/>
        </a:p>
      </dgm:t>
    </dgm:pt>
    <dgm:pt modelId="{8A7801F6-8C5F-4355-A7B2-FFAD673ACBDD}" type="pres">
      <dgm:prSet presAssocID="{DEBECAFA-E5B6-42F0-85DD-6494C7889B52}" presName="Name0" presStyleCnt="0">
        <dgm:presLayoutVars>
          <dgm:chMax val="7"/>
          <dgm:chPref val="7"/>
          <dgm:dir/>
        </dgm:presLayoutVars>
      </dgm:prSet>
      <dgm:spPr/>
      <dgm:t>
        <a:bodyPr/>
        <a:lstStyle/>
        <a:p>
          <a:endParaRPr lang="en-GB"/>
        </a:p>
      </dgm:t>
    </dgm:pt>
    <dgm:pt modelId="{82875EA0-633B-4BFA-BF2F-5342A44C9555}" type="pres">
      <dgm:prSet presAssocID="{DEBECAFA-E5B6-42F0-85DD-6494C7889B52}" presName="Name1" presStyleCnt="0"/>
      <dgm:spPr/>
    </dgm:pt>
    <dgm:pt modelId="{EF02E522-055E-4C38-82B8-5312D8797943}" type="pres">
      <dgm:prSet presAssocID="{DEBECAFA-E5B6-42F0-85DD-6494C7889B52}" presName="cycle" presStyleCnt="0"/>
      <dgm:spPr/>
    </dgm:pt>
    <dgm:pt modelId="{893D8892-C3A9-4C6E-9ADB-0334581D5BDB}" type="pres">
      <dgm:prSet presAssocID="{DEBECAFA-E5B6-42F0-85DD-6494C7889B52}" presName="srcNode" presStyleLbl="node1" presStyleIdx="0" presStyleCnt="4"/>
      <dgm:spPr/>
    </dgm:pt>
    <dgm:pt modelId="{F3826AAE-4E00-4D53-AE3B-B21C26AFDE0D}" type="pres">
      <dgm:prSet presAssocID="{DEBECAFA-E5B6-42F0-85DD-6494C7889B52}" presName="conn" presStyleLbl="parChTrans1D2" presStyleIdx="0" presStyleCnt="1"/>
      <dgm:spPr/>
      <dgm:t>
        <a:bodyPr/>
        <a:lstStyle/>
        <a:p>
          <a:endParaRPr lang="en-GB"/>
        </a:p>
      </dgm:t>
    </dgm:pt>
    <dgm:pt modelId="{596EB546-AB2E-4D1D-83C6-4F652F2CE150}" type="pres">
      <dgm:prSet presAssocID="{DEBECAFA-E5B6-42F0-85DD-6494C7889B52}" presName="extraNode" presStyleLbl="node1" presStyleIdx="0" presStyleCnt="4"/>
      <dgm:spPr/>
    </dgm:pt>
    <dgm:pt modelId="{B44A9847-083E-4349-9767-968531AE2F31}" type="pres">
      <dgm:prSet presAssocID="{DEBECAFA-E5B6-42F0-85DD-6494C7889B52}" presName="dstNode" presStyleLbl="node1" presStyleIdx="0" presStyleCnt="4"/>
      <dgm:spPr/>
    </dgm:pt>
    <dgm:pt modelId="{8C0FFCEC-2B3E-44ED-9697-5DD6EFBC426C}" type="pres">
      <dgm:prSet presAssocID="{62858E14-9CD2-49E9-9E73-4EEA130A2421}" presName="text_1" presStyleLbl="node1" presStyleIdx="0" presStyleCnt="4" custScaleY="158927">
        <dgm:presLayoutVars>
          <dgm:bulletEnabled val="1"/>
        </dgm:presLayoutVars>
      </dgm:prSet>
      <dgm:spPr/>
      <dgm:t>
        <a:bodyPr/>
        <a:lstStyle/>
        <a:p>
          <a:endParaRPr lang="en-GB"/>
        </a:p>
      </dgm:t>
    </dgm:pt>
    <dgm:pt modelId="{80DA09E1-2D20-44D6-A56C-7D2C8DD6C110}" type="pres">
      <dgm:prSet presAssocID="{62858E14-9CD2-49E9-9E73-4EEA130A2421}" presName="accent_1" presStyleCnt="0"/>
      <dgm:spPr/>
    </dgm:pt>
    <dgm:pt modelId="{7207B561-25B6-42B0-B326-781D2375F849}" type="pres">
      <dgm:prSet presAssocID="{62858E14-9CD2-49E9-9E73-4EEA130A2421}" presName="accentRepeatNode" presStyleLbl="solidFgAcc1" presStyleIdx="0" presStyleCnt="4"/>
      <dgm:spPr/>
    </dgm:pt>
    <dgm:pt modelId="{1E3C08EF-DD81-470A-B119-549E9DAA4E2C}" type="pres">
      <dgm:prSet presAssocID="{1AE07486-81D7-4FE4-B159-E7E864243E67}" presName="text_2" presStyleLbl="node1" presStyleIdx="1" presStyleCnt="4" custScaleY="124499">
        <dgm:presLayoutVars>
          <dgm:bulletEnabled val="1"/>
        </dgm:presLayoutVars>
      </dgm:prSet>
      <dgm:spPr/>
      <dgm:t>
        <a:bodyPr/>
        <a:lstStyle/>
        <a:p>
          <a:endParaRPr lang="en-GB"/>
        </a:p>
      </dgm:t>
    </dgm:pt>
    <dgm:pt modelId="{226B1AB6-165F-425D-882C-75DBEE21742F}" type="pres">
      <dgm:prSet presAssocID="{1AE07486-81D7-4FE4-B159-E7E864243E67}" presName="accent_2" presStyleCnt="0"/>
      <dgm:spPr/>
    </dgm:pt>
    <dgm:pt modelId="{E396D592-4CB4-4455-9070-9A9C3255704A}" type="pres">
      <dgm:prSet presAssocID="{1AE07486-81D7-4FE4-B159-E7E864243E67}" presName="accentRepeatNode" presStyleLbl="solidFgAcc1" presStyleIdx="1" presStyleCnt="4"/>
      <dgm:spPr/>
    </dgm:pt>
    <dgm:pt modelId="{D8268986-0F82-4B73-817A-2EFBEAA0268F}" type="pres">
      <dgm:prSet presAssocID="{2588AE98-4670-42E9-A3B5-8CE352B56CF9}" presName="text_3" presStyleLbl="node1" presStyleIdx="2" presStyleCnt="4" custScaleY="143715">
        <dgm:presLayoutVars>
          <dgm:bulletEnabled val="1"/>
        </dgm:presLayoutVars>
      </dgm:prSet>
      <dgm:spPr/>
      <dgm:t>
        <a:bodyPr/>
        <a:lstStyle/>
        <a:p>
          <a:endParaRPr lang="en-GB"/>
        </a:p>
      </dgm:t>
    </dgm:pt>
    <dgm:pt modelId="{A5383D45-83B5-49BE-8ACD-4DC250B75809}" type="pres">
      <dgm:prSet presAssocID="{2588AE98-4670-42E9-A3B5-8CE352B56CF9}" presName="accent_3" presStyleCnt="0"/>
      <dgm:spPr/>
    </dgm:pt>
    <dgm:pt modelId="{D3A15564-B07B-4C22-83F5-8ED87B34281F}" type="pres">
      <dgm:prSet presAssocID="{2588AE98-4670-42E9-A3B5-8CE352B56CF9}" presName="accentRepeatNode" presStyleLbl="solidFgAcc1" presStyleIdx="2" presStyleCnt="4"/>
      <dgm:spPr/>
    </dgm:pt>
    <dgm:pt modelId="{71695A7F-E492-4D7B-AA5E-00225DF79298}" type="pres">
      <dgm:prSet presAssocID="{AF525AEF-6794-4843-82CF-E8489A0BAFCE}" presName="text_4" presStyleLbl="node1" presStyleIdx="3" presStyleCnt="4" custScaleY="149461">
        <dgm:presLayoutVars>
          <dgm:bulletEnabled val="1"/>
        </dgm:presLayoutVars>
      </dgm:prSet>
      <dgm:spPr/>
      <dgm:t>
        <a:bodyPr/>
        <a:lstStyle/>
        <a:p>
          <a:endParaRPr lang="en-GB"/>
        </a:p>
      </dgm:t>
    </dgm:pt>
    <dgm:pt modelId="{042D094A-C71C-45E1-A81A-75C171FFB79A}" type="pres">
      <dgm:prSet presAssocID="{AF525AEF-6794-4843-82CF-E8489A0BAFCE}" presName="accent_4" presStyleCnt="0"/>
      <dgm:spPr/>
    </dgm:pt>
    <dgm:pt modelId="{A8594C98-4712-486D-8041-E1215786E07B}" type="pres">
      <dgm:prSet presAssocID="{AF525AEF-6794-4843-82CF-E8489A0BAFCE}" presName="accentRepeatNode" presStyleLbl="solidFgAcc1" presStyleIdx="3" presStyleCnt="4"/>
      <dgm:spPr/>
    </dgm:pt>
  </dgm:ptLst>
  <dgm:cxnLst>
    <dgm:cxn modelId="{C737B9ED-BB59-43BA-9635-010015254C10}" srcId="{DEBECAFA-E5B6-42F0-85DD-6494C7889B52}" destId="{62858E14-9CD2-49E9-9E73-4EEA130A2421}" srcOrd="0" destOrd="0" parTransId="{3CEB1E46-A8DF-4532-A6D3-E7529F3637CF}" sibTransId="{DB3A232F-1B3E-4CE3-8445-9E64F8B34A82}"/>
    <dgm:cxn modelId="{A8DB67FA-88FA-4263-90CD-5C69177865CD}" type="presOf" srcId="{2588AE98-4670-42E9-A3B5-8CE352B56CF9}" destId="{D8268986-0F82-4B73-817A-2EFBEAA0268F}" srcOrd="0" destOrd="0" presId="urn:microsoft.com/office/officeart/2008/layout/VerticalCurvedList"/>
    <dgm:cxn modelId="{3A909C56-99E4-4CBD-B7A2-56E91E428C90}" srcId="{DEBECAFA-E5B6-42F0-85DD-6494C7889B52}" destId="{2588AE98-4670-42E9-A3B5-8CE352B56CF9}" srcOrd="2" destOrd="0" parTransId="{8795F5D6-31BB-4247-A75A-05FD20988E13}" sibTransId="{4950400B-73B0-4BF3-ACAD-E28E18CDF9F7}"/>
    <dgm:cxn modelId="{CFA772F5-9A07-4BCD-9B71-70E37BF079A6}" type="presOf" srcId="{62858E14-9CD2-49E9-9E73-4EEA130A2421}" destId="{8C0FFCEC-2B3E-44ED-9697-5DD6EFBC426C}" srcOrd="0" destOrd="0" presId="urn:microsoft.com/office/officeart/2008/layout/VerticalCurvedList"/>
    <dgm:cxn modelId="{736D2946-4846-4A6F-9E62-1756605E6E3A}" type="presOf" srcId="{DEBECAFA-E5B6-42F0-85DD-6494C7889B52}" destId="{8A7801F6-8C5F-4355-A7B2-FFAD673ACBDD}" srcOrd="0" destOrd="0" presId="urn:microsoft.com/office/officeart/2008/layout/VerticalCurvedList"/>
    <dgm:cxn modelId="{16562EF6-A864-4649-9EA9-1B5AF3FE22F3}" type="presOf" srcId="{DB3A232F-1B3E-4CE3-8445-9E64F8B34A82}" destId="{F3826AAE-4E00-4D53-AE3B-B21C26AFDE0D}" srcOrd="0" destOrd="0" presId="urn:microsoft.com/office/officeart/2008/layout/VerticalCurvedList"/>
    <dgm:cxn modelId="{9A581259-1CBB-493B-A3A1-E6570FE20722}" type="presOf" srcId="{1AE07486-81D7-4FE4-B159-E7E864243E67}" destId="{1E3C08EF-DD81-470A-B119-549E9DAA4E2C}" srcOrd="0" destOrd="0" presId="urn:microsoft.com/office/officeart/2008/layout/VerticalCurvedList"/>
    <dgm:cxn modelId="{33047917-4F46-4473-8D0E-B8B7B727B193}" srcId="{DEBECAFA-E5B6-42F0-85DD-6494C7889B52}" destId="{AF525AEF-6794-4843-82CF-E8489A0BAFCE}" srcOrd="3" destOrd="0" parTransId="{0F259926-5AD5-4CFE-92BB-E41E2424CADF}" sibTransId="{FD0BD79F-5097-411B-B4E5-425DFFC893C1}"/>
    <dgm:cxn modelId="{E2E7894F-57E2-4546-80AC-543E3F3BF81A}" srcId="{DEBECAFA-E5B6-42F0-85DD-6494C7889B52}" destId="{1AE07486-81D7-4FE4-B159-E7E864243E67}" srcOrd="1" destOrd="0" parTransId="{F56E4703-A1D5-4A7E-9E4E-05801E99A8CD}" sibTransId="{5FAF23B3-8A03-4EE2-9D78-04E7E9B3229E}"/>
    <dgm:cxn modelId="{44167529-8A2D-4A94-B169-3C4B5B0BED65}" type="presOf" srcId="{AF525AEF-6794-4843-82CF-E8489A0BAFCE}" destId="{71695A7F-E492-4D7B-AA5E-00225DF79298}" srcOrd="0" destOrd="0" presId="urn:microsoft.com/office/officeart/2008/layout/VerticalCurvedList"/>
    <dgm:cxn modelId="{ACF046E6-3D2A-45A1-9AF9-C789236CAE3B}" type="presParOf" srcId="{8A7801F6-8C5F-4355-A7B2-FFAD673ACBDD}" destId="{82875EA0-633B-4BFA-BF2F-5342A44C9555}" srcOrd="0" destOrd="0" presId="urn:microsoft.com/office/officeart/2008/layout/VerticalCurvedList"/>
    <dgm:cxn modelId="{AFB1E163-191D-40C8-9471-D799E9863AF1}" type="presParOf" srcId="{82875EA0-633B-4BFA-BF2F-5342A44C9555}" destId="{EF02E522-055E-4C38-82B8-5312D8797943}" srcOrd="0" destOrd="0" presId="urn:microsoft.com/office/officeart/2008/layout/VerticalCurvedList"/>
    <dgm:cxn modelId="{BE2F0FE8-3C45-4C89-B052-553E6F857FEC}" type="presParOf" srcId="{EF02E522-055E-4C38-82B8-5312D8797943}" destId="{893D8892-C3A9-4C6E-9ADB-0334581D5BDB}" srcOrd="0" destOrd="0" presId="urn:microsoft.com/office/officeart/2008/layout/VerticalCurvedList"/>
    <dgm:cxn modelId="{077ACC44-BC08-45BD-8CA6-0F7BF7374329}" type="presParOf" srcId="{EF02E522-055E-4C38-82B8-5312D8797943}" destId="{F3826AAE-4E00-4D53-AE3B-B21C26AFDE0D}" srcOrd="1" destOrd="0" presId="urn:microsoft.com/office/officeart/2008/layout/VerticalCurvedList"/>
    <dgm:cxn modelId="{9A9B4053-3058-4C01-8486-36D806A9B812}" type="presParOf" srcId="{EF02E522-055E-4C38-82B8-5312D8797943}" destId="{596EB546-AB2E-4D1D-83C6-4F652F2CE150}" srcOrd="2" destOrd="0" presId="urn:microsoft.com/office/officeart/2008/layout/VerticalCurvedList"/>
    <dgm:cxn modelId="{AF042FCC-286C-4412-863D-960B35BCA5BB}" type="presParOf" srcId="{EF02E522-055E-4C38-82B8-5312D8797943}" destId="{B44A9847-083E-4349-9767-968531AE2F31}" srcOrd="3" destOrd="0" presId="urn:microsoft.com/office/officeart/2008/layout/VerticalCurvedList"/>
    <dgm:cxn modelId="{EC8DE4C3-7045-4353-9DA3-DCEB7F2A7230}" type="presParOf" srcId="{82875EA0-633B-4BFA-BF2F-5342A44C9555}" destId="{8C0FFCEC-2B3E-44ED-9697-5DD6EFBC426C}" srcOrd="1" destOrd="0" presId="urn:microsoft.com/office/officeart/2008/layout/VerticalCurvedList"/>
    <dgm:cxn modelId="{97919199-071D-4AA9-B21F-9606D26793D7}" type="presParOf" srcId="{82875EA0-633B-4BFA-BF2F-5342A44C9555}" destId="{80DA09E1-2D20-44D6-A56C-7D2C8DD6C110}" srcOrd="2" destOrd="0" presId="urn:microsoft.com/office/officeart/2008/layout/VerticalCurvedList"/>
    <dgm:cxn modelId="{CF71240B-6C33-485C-B92B-3569EC5CEF5C}" type="presParOf" srcId="{80DA09E1-2D20-44D6-A56C-7D2C8DD6C110}" destId="{7207B561-25B6-42B0-B326-781D2375F849}" srcOrd="0" destOrd="0" presId="urn:microsoft.com/office/officeart/2008/layout/VerticalCurvedList"/>
    <dgm:cxn modelId="{42F15733-CB16-4AC5-8F66-A588FDF233C7}" type="presParOf" srcId="{82875EA0-633B-4BFA-BF2F-5342A44C9555}" destId="{1E3C08EF-DD81-470A-B119-549E9DAA4E2C}" srcOrd="3" destOrd="0" presId="urn:microsoft.com/office/officeart/2008/layout/VerticalCurvedList"/>
    <dgm:cxn modelId="{EFD34927-2EF6-4086-9525-57497ED2C2B6}" type="presParOf" srcId="{82875EA0-633B-4BFA-BF2F-5342A44C9555}" destId="{226B1AB6-165F-425D-882C-75DBEE21742F}" srcOrd="4" destOrd="0" presId="urn:microsoft.com/office/officeart/2008/layout/VerticalCurvedList"/>
    <dgm:cxn modelId="{6A908F68-EF3D-45D9-9683-C368F7AB41D9}" type="presParOf" srcId="{226B1AB6-165F-425D-882C-75DBEE21742F}" destId="{E396D592-4CB4-4455-9070-9A9C3255704A}" srcOrd="0" destOrd="0" presId="urn:microsoft.com/office/officeart/2008/layout/VerticalCurvedList"/>
    <dgm:cxn modelId="{C13550BB-EBEB-4F00-B521-F15226C0599D}" type="presParOf" srcId="{82875EA0-633B-4BFA-BF2F-5342A44C9555}" destId="{D8268986-0F82-4B73-817A-2EFBEAA0268F}" srcOrd="5" destOrd="0" presId="urn:microsoft.com/office/officeart/2008/layout/VerticalCurvedList"/>
    <dgm:cxn modelId="{4881F224-2515-4488-A54C-15D15794A078}" type="presParOf" srcId="{82875EA0-633B-4BFA-BF2F-5342A44C9555}" destId="{A5383D45-83B5-49BE-8ACD-4DC250B75809}" srcOrd="6" destOrd="0" presId="urn:microsoft.com/office/officeart/2008/layout/VerticalCurvedList"/>
    <dgm:cxn modelId="{BE80ADD4-9852-44E1-8087-6B0FBAA3ECE0}" type="presParOf" srcId="{A5383D45-83B5-49BE-8ACD-4DC250B75809}" destId="{D3A15564-B07B-4C22-83F5-8ED87B34281F}" srcOrd="0" destOrd="0" presId="urn:microsoft.com/office/officeart/2008/layout/VerticalCurvedList"/>
    <dgm:cxn modelId="{9EB5A203-CD8C-4A56-83AE-F50C9FC2AA86}" type="presParOf" srcId="{82875EA0-633B-4BFA-BF2F-5342A44C9555}" destId="{71695A7F-E492-4D7B-AA5E-00225DF79298}" srcOrd="7" destOrd="0" presId="urn:microsoft.com/office/officeart/2008/layout/VerticalCurvedList"/>
    <dgm:cxn modelId="{065056D3-EB55-4D59-AE90-2ED94A1A8F0D}" type="presParOf" srcId="{82875EA0-633B-4BFA-BF2F-5342A44C9555}" destId="{042D094A-C71C-45E1-A81A-75C171FFB79A}" srcOrd="8" destOrd="0" presId="urn:microsoft.com/office/officeart/2008/layout/VerticalCurvedList"/>
    <dgm:cxn modelId="{416383D4-9E1F-46AB-9FBB-0050E2ED3416}" type="presParOf" srcId="{042D094A-C71C-45E1-A81A-75C171FFB79A}" destId="{A8594C98-4712-486D-8041-E1215786E07B}" srcOrd="0" destOrd="0" presId="urn:microsoft.com/office/officeart/2008/layout/VerticalCurvedList"/>
  </dgm:cxnLst>
  <dgm:bg/>
  <dgm:whole/>
  <dgm:extLst>
    <a:ext uri="http://schemas.microsoft.com/office/drawing/2008/diagram">
      <dsp:dataModelExt xmlns:dsp="http://schemas.microsoft.com/office/drawing/2008/diagram" relId="rId3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4A48B7D-27E4-489C-B707-30163D5B6BD6}">
      <dsp:nvSpPr>
        <dsp:cNvPr id="0" name=""/>
        <dsp:cNvSpPr/>
      </dsp:nvSpPr>
      <dsp:spPr>
        <a:xfrm>
          <a:off x="88582" y="0"/>
          <a:ext cx="5539740" cy="5539740"/>
        </a:xfrm>
        <a:prstGeom prst="quadArrow">
          <a:avLst>
            <a:gd name="adj1" fmla="val 2000"/>
            <a:gd name="adj2" fmla="val 4000"/>
            <a:gd name="adj3" fmla="val 5000"/>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35AF5D2-FC42-4E20-AEE7-6DAB450B4F4A}">
      <dsp:nvSpPr>
        <dsp:cNvPr id="0" name=""/>
        <dsp:cNvSpPr/>
      </dsp:nvSpPr>
      <dsp:spPr>
        <a:xfrm>
          <a:off x="448665" y="288077"/>
          <a:ext cx="2215896" cy="2359907"/>
        </a:xfrm>
        <a:prstGeom prst="roundRect">
          <a:avLst/>
        </a:prstGeom>
        <a:solidFill>
          <a:schemeClr val="lt1">
            <a:hueOff val="0"/>
            <a:satOff val="0"/>
            <a:lumOff val="0"/>
            <a:alphaOff val="0"/>
          </a:schemeClr>
        </a:solidFill>
        <a:ln w="12700" cap="flat" cmpd="sng" algn="ctr">
          <a:solidFill>
            <a:schemeClr val="accent4">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buFont typeface="+mj-lt"/>
            <a:buNone/>
          </a:pPr>
          <a:r>
            <a:rPr lang="en-US" sz="1200" b="1" i="0" kern="1200">
              <a:latin typeface="Times New Roman" panose="02020603050405020304" pitchFamily="18" charset="0"/>
              <a:cs typeface="Times New Roman" panose="02020603050405020304" pitchFamily="18" charset="0"/>
            </a:rPr>
            <a:t>Market Penetration: </a:t>
          </a:r>
          <a:r>
            <a:rPr lang="en-US" sz="1200" b="0" i="0" kern="1200">
              <a:latin typeface="Times New Roman" panose="02020603050405020304" pitchFamily="18" charset="0"/>
              <a:cs typeface="Times New Roman" panose="02020603050405020304" pitchFamily="18" charset="0"/>
            </a:rPr>
            <a:t>Shell can focus on increasing its market share in existing markets by intensifying its marketing efforts, enhancing customer loyalty programmes, and optimising distribution channels. For example, Shell could offer promotional discounts to attract more customers to its retail service stations.</a:t>
          </a:r>
          <a:endParaRPr lang="en-US" sz="1200" kern="1200">
            <a:latin typeface="Times New Roman" panose="02020603050405020304" pitchFamily="18" charset="0"/>
            <a:cs typeface="Times New Roman" panose="02020603050405020304" pitchFamily="18" charset="0"/>
          </a:endParaRPr>
        </a:p>
      </dsp:txBody>
      <dsp:txXfrm>
        <a:off x="556836" y="396248"/>
        <a:ext cx="1999554" cy="2143565"/>
      </dsp:txXfrm>
    </dsp:sp>
    <dsp:sp modelId="{6AAAE193-9CF5-4C67-ADA0-7B8404ED870D}">
      <dsp:nvSpPr>
        <dsp:cNvPr id="0" name=""/>
        <dsp:cNvSpPr/>
      </dsp:nvSpPr>
      <dsp:spPr>
        <a:xfrm>
          <a:off x="3052343" y="262650"/>
          <a:ext cx="2215896" cy="2410761"/>
        </a:xfrm>
        <a:prstGeom prst="roundRect">
          <a:avLst/>
        </a:prstGeom>
        <a:solidFill>
          <a:schemeClr val="lt1">
            <a:hueOff val="0"/>
            <a:satOff val="0"/>
            <a:lumOff val="0"/>
            <a:alphaOff val="0"/>
          </a:schemeClr>
        </a:solidFill>
        <a:ln w="12700" cap="flat" cmpd="sng" algn="ctr">
          <a:solidFill>
            <a:schemeClr val="accent4">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buFont typeface="+mj-lt"/>
            <a:buNone/>
          </a:pPr>
          <a:r>
            <a:rPr lang="en-US" sz="1200" b="1" i="0" kern="1200">
              <a:latin typeface="Times New Roman" panose="02020603050405020304" pitchFamily="18" charset="0"/>
              <a:cs typeface="Times New Roman" panose="02020603050405020304" pitchFamily="18" charset="0"/>
            </a:rPr>
            <a:t>Market Development: </a:t>
          </a:r>
          <a:r>
            <a:rPr lang="en-US" sz="1200" b="0" i="0" kern="1200">
              <a:latin typeface="Times New Roman" panose="02020603050405020304" pitchFamily="18" charset="0"/>
              <a:cs typeface="Times New Roman" panose="02020603050405020304" pitchFamily="18" charset="0"/>
            </a:rPr>
            <a:t>Shell explore new geographic markets where there is growing demand for energy products. This could involve expanding into emerging economies or regions with underdeveloped energy infrastructure. </a:t>
          </a:r>
          <a:endParaRPr lang="en-US" sz="1200" kern="1200">
            <a:latin typeface="Times New Roman" panose="02020603050405020304" pitchFamily="18" charset="0"/>
            <a:cs typeface="Times New Roman" panose="02020603050405020304" pitchFamily="18" charset="0"/>
          </a:endParaRPr>
        </a:p>
      </dsp:txBody>
      <dsp:txXfrm>
        <a:off x="3160514" y="370821"/>
        <a:ext cx="1999554" cy="2194419"/>
      </dsp:txXfrm>
    </dsp:sp>
    <dsp:sp modelId="{384F1085-4AFE-4FEF-B368-BCBE47AC8C86}">
      <dsp:nvSpPr>
        <dsp:cNvPr id="0" name=""/>
        <dsp:cNvSpPr/>
      </dsp:nvSpPr>
      <dsp:spPr>
        <a:xfrm>
          <a:off x="448665" y="2963760"/>
          <a:ext cx="2215896" cy="2215896"/>
        </a:xfrm>
        <a:prstGeom prst="roundRect">
          <a:avLst/>
        </a:prstGeom>
        <a:solidFill>
          <a:schemeClr val="lt1">
            <a:hueOff val="0"/>
            <a:satOff val="0"/>
            <a:lumOff val="0"/>
            <a:alphaOff val="0"/>
          </a:schemeClr>
        </a:solidFill>
        <a:ln w="12700" cap="flat" cmpd="sng" algn="ctr">
          <a:solidFill>
            <a:schemeClr val="accent4">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buFont typeface="+mj-lt"/>
            <a:buNone/>
          </a:pPr>
          <a:r>
            <a:rPr lang="en-US" sz="1200" b="1" i="0" kern="1200">
              <a:latin typeface="Times New Roman" panose="02020603050405020304" pitchFamily="18" charset="0"/>
              <a:cs typeface="Times New Roman" panose="02020603050405020304" pitchFamily="18" charset="0"/>
            </a:rPr>
            <a:t>Product Development: </a:t>
          </a:r>
          <a:r>
            <a:rPr lang="en-US" sz="1200" b="0" i="0" kern="1200">
              <a:latin typeface="Times New Roman" panose="02020603050405020304" pitchFamily="18" charset="0"/>
              <a:cs typeface="Times New Roman" panose="02020603050405020304" pitchFamily="18" charset="0"/>
            </a:rPr>
            <a:t>Shell invest in developing new energy products or services to meet evolving consumer preferences and regulatory requirements. This may include expanding its portfolio to include more renewable energy solutions, such as biofuels, wind power, or solar energy. </a:t>
          </a:r>
          <a:endParaRPr lang="en-US" sz="1200" kern="1200">
            <a:latin typeface="Times New Roman" panose="02020603050405020304" pitchFamily="18" charset="0"/>
            <a:cs typeface="Times New Roman" panose="02020603050405020304" pitchFamily="18" charset="0"/>
          </a:endParaRPr>
        </a:p>
      </dsp:txBody>
      <dsp:txXfrm>
        <a:off x="556836" y="3071931"/>
        <a:ext cx="1999554" cy="1999554"/>
      </dsp:txXfrm>
    </dsp:sp>
    <dsp:sp modelId="{41E6D2B9-1033-4B69-8AF0-8A562943D03C}">
      <dsp:nvSpPr>
        <dsp:cNvPr id="0" name=""/>
        <dsp:cNvSpPr/>
      </dsp:nvSpPr>
      <dsp:spPr>
        <a:xfrm>
          <a:off x="3052343" y="2963760"/>
          <a:ext cx="2215896" cy="2215896"/>
        </a:xfrm>
        <a:prstGeom prst="roundRect">
          <a:avLst/>
        </a:prstGeom>
        <a:solidFill>
          <a:schemeClr val="lt1">
            <a:hueOff val="0"/>
            <a:satOff val="0"/>
            <a:lumOff val="0"/>
            <a:alphaOff val="0"/>
          </a:schemeClr>
        </a:solidFill>
        <a:ln w="12700" cap="flat" cmpd="sng" algn="ctr">
          <a:solidFill>
            <a:schemeClr val="accent4">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buFont typeface="+mj-lt"/>
            <a:buNone/>
          </a:pPr>
          <a:r>
            <a:rPr lang="en-US" sz="1200" b="1" i="0" kern="1200">
              <a:latin typeface="Times New Roman" panose="02020603050405020304" pitchFamily="18" charset="0"/>
              <a:cs typeface="Times New Roman" panose="02020603050405020304" pitchFamily="18" charset="0"/>
            </a:rPr>
            <a:t>Diversification: </a:t>
          </a:r>
          <a:r>
            <a:rPr lang="en-US" sz="1200" b="0" i="0" kern="1200">
              <a:latin typeface="Times New Roman" panose="02020603050405020304" pitchFamily="18" charset="0"/>
              <a:cs typeface="Times New Roman" panose="02020603050405020304" pitchFamily="18" charset="0"/>
            </a:rPr>
            <a:t>Shell consider diversifying its business beyond traditional oil and gas operations into adjacent industries or emerging technologies. For example, Shell could explore opportunities in the electric vehicle market by investing in battery technology or electric vehicle charging networks. </a:t>
          </a:r>
          <a:endParaRPr lang="en-US" sz="1200" kern="1200">
            <a:latin typeface="Times New Roman" panose="02020603050405020304" pitchFamily="18" charset="0"/>
            <a:cs typeface="Times New Roman" panose="02020603050405020304" pitchFamily="18" charset="0"/>
          </a:endParaRPr>
        </a:p>
      </dsp:txBody>
      <dsp:txXfrm>
        <a:off x="3160514" y="3071931"/>
        <a:ext cx="1999554" cy="199955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40C0C6C-857B-40AF-87A2-F8755FBF7C42}">
      <dsp:nvSpPr>
        <dsp:cNvPr id="0" name=""/>
        <dsp:cNvSpPr/>
      </dsp:nvSpPr>
      <dsp:spPr>
        <a:xfrm>
          <a:off x="2194559" y="390"/>
          <a:ext cx="3291840" cy="1523627"/>
        </a:xfrm>
        <a:prstGeom prst="rightArrow">
          <a:avLst>
            <a:gd name="adj1" fmla="val 75000"/>
            <a:gd name="adj2" fmla="val 50000"/>
          </a:avLst>
        </a:prstGeom>
        <a:solidFill>
          <a:schemeClr val="lt1">
            <a:alpha val="90000"/>
            <a:tint val="40000"/>
            <a:hueOff val="0"/>
            <a:satOff val="0"/>
            <a:lumOff val="0"/>
            <a:alphaOff val="0"/>
          </a:schemeClr>
        </a:solidFill>
        <a:ln w="12700" cap="flat" cmpd="sng" algn="ctr">
          <a:solidFill>
            <a:schemeClr val="accent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620" tIns="7620" rIns="7620" bIns="7620" numCol="1" spcCol="1270" anchor="t" anchorCtr="0">
          <a:noAutofit/>
        </a:bodyPr>
        <a:lstStyle/>
        <a:p>
          <a:pPr marL="114300" lvl="1" indent="-114300" algn="l" defTabSz="533400">
            <a:lnSpc>
              <a:spcPct val="90000"/>
            </a:lnSpc>
            <a:spcBef>
              <a:spcPct val="0"/>
            </a:spcBef>
            <a:spcAft>
              <a:spcPct val="15000"/>
            </a:spcAft>
            <a:buChar char="••"/>
          </a:pPr>
          <a:endParaRPr lang="en-US" sz="120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Inbound Logistics</a:t>
          </a:r>
          <a:endParaRPr lang="en-US" sz="120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Operations</a:t>
          </a:r>
          <a:endParaRPr lang="en-US" sz="120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Outbound Logistics</a:t>
          </a:r>
          <a:endParaRPr lang="en-US" sz="120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Marketing and Sales</a:t>
          </a:r>
          <a:endParaRPr lang="en-US" sz="1200" kern="1200">
            <a:latin typeface="Times New Roman" panose="02020603050405020304" pitchFamily="18" charset="0"/>
            <a:cs typeface="Times New Roman" panose="02020603050405020304" pitchFamily="18" charset="0"/>
          </a:endParaRPr>
        </a:p>
      </dsp:txBody>
      <dsp:txXfrm>
        <a:off x="2194559" y="190843"/>
        <a:ext cx="2720480" cy="1142721"/>
      </dsp:txXfrm>
    </dsp:sp>
    <dsp:sp modelId="{9D2ED8C6-B305-419C-987E-921566A0C7AA}">
      <dsp:nvSpPr>
        <dsp:cNvPr id="0" name=""/>
        <dsp:cNvSpPr/>
      </dsp:nvSpPr>
      <dsp:spPr>
        <a:xfrm>
          <a:off x="0" y="0"/>
          <a:ext cx="2194560" cy="1523627"/>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30480" rIns="60960" bIns="30480" numCol="1" spcCol="1270" anchor="ctr" anchorCtr="0">
          <a:noAutofit/>
        </a:bodyPr>
        <a:lstStyle/>
        <a:p>
          <a:pPr lvl="0" algn="ctr" defTabSz="711200">
            <a:lnSpc>
              <a:spcPct val="90000"/>
            </a:lnSpc>
            <a:spcBef>
              <a:spcPct val="0"/>
            </a:spcBef>
            <a:spcAft>
              <a:spcPct val="35000"/>
            </a:spcAft>
          </a:pPr>
          <a:r>
            <a:rPr lang="en-GB" sz="1600" b="0" i="0" kern="1200">
              <a:latin typeface="Times New Roman" panose="02020603050405020304" pitchFamily="18" charset="0"/>
              <a:cs typeface="Times New Roman" panose="02020603050405020304" pitchFamily="18" charset="0"/>
            </a:rPr>
            <a:t>Primary Activities</a:t>
          </a:r>
          <a:endParaRPr lang="en-US" sz="1600" b="0" i="0" kern="1200">
            <a:latin typeface="Times New Roman" panose="02020603050405020304" pitchFamily="18" charset="0"/>
            <a:cs typeface="Times New Roman" panose="02020603050405020304" pitchFamily="18" charset="0"/>
          </a:endParaRPr>
        </a:p>
      </dsp:txBody>
      <dsp:txXfrm>
        <a:off x="74377" y="74377"/>
        <a:ext cx="2045806" cy="1374873"/>
      </dsp:txXfrm>
    </dsp:sp>
    <dsp:sp modelId="{D1F1D8F7-CAA1-46C0-BA93-6D6A36CC5F2B}">
      <dsp:nvSpPr>
        <dsp:cNvPr id="0" name=""/>
        <dsp:cNvSpPr/>
      </dsp:nvSpPr>
      <dsp:spPr>
        <a:xfrm>
          <a:off x="2194559" y="1676381"/>
          <a:ext cx="3291840" cy="1523627"/>
        </a:xfrm>
        <a:prstGeom prst="rightArrow">
          <a:avLst>
            <a:gd name="adj1" fmla="val 75000"/>
            <a:gd name="adj2" fmla="val 50000"/>
          </a:avLst>
        </a:prstGeom>
        <a:solidFill>
          <a:schemeClr val="lt1">
            <a:alpha val="90000"/>
            <a:tint val="40000"/>
            <a:hueOff val="0"/>
            <a:satOff val="0"/>
            <a:lumOff val="0"/>
            <a:alphaOff val="0"/>
          </a:schemeClr>
        </a:solidFill>
        <a:ln w="12700" cap="flat" cmpd="sng" algn="ctr">
          <a:solidFill>
            <a:schemeClr val="accent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620" tIns="7620" rIns="7620" bIns="7620" numCol="1" spcCol="1270" anchor="t" anchorCtr="0">
          <a:noAutofit/>
        </a:bodyPr>
        <a:lstStyle/>
        <a:p>
          <a:pPr marL="114300" lvl="1" indent="-114300" algn="l" defTabSz="533400">
            <a:lnSpc>
              <a:spcPct val="90000"/>
            </a:lnSpc>
            <a:spcBef>
              <a:spcPct val="0"/>
            </a:spcBef>
            <a:spcAft>
              <a:spcPct val="15000"/>
            </a:spcAft>
            <a:buChar char="••"/>
          </a:pPr>
          <a:endParaRPr lang="en-US" sz="120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Procurement </a:t>
          </a:r>
          <a:endParaRPr lang="en-US" sz="120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15000"/>
            </a:spcAft>
            <a:buChar char="••"/>
          </a:pPr>
          <a:r>
            <a:rPr lang="en-US" sz="1200" kern="1200">
              <a:latin typeface="Times New Roman" panose="02020603050405020304" pitchFamily="18" charset="0"/>
              <a:cs typeface="Times New Roman" panose="02020603050405020304" pitchFamily="18" charset="0"/>
            </a:rPr>
            <a:t>Technology Development</a:t>
          </a:r>
        </a:p>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Human Resource Management</a:t>
          </a:r>
          <a:endParaRPr lang="en-US" sz="1200" kern="1200">
            <a:latin typeface="Times New Roman" panose="02020603050405020304" pitchFamily="18" charset="0"/>
            <a:cs typeface="Times New Roman" panose="02020603050405020304" pitchFamily="18" charset="0"/>
          </a:endParaRPr>
        </a:p>
      </dsp:txBody>
      <dsp:txXfrm>
        <a:off x="2194559" y="1866834"/>
        <a:ext cx="2720480" cy="1142721"/>
      </dsp:txXfrm>
    </dsp:sp>
    <dsp:sp modelId="{EB3B2C79-0B24-4F92-81B0-6C91AE7E7EBE}">
      <dsp:nvSpPr>
        <dsp:cNvPr id="0" name=""/>
        <dsp:cNvSpPr/>
      </dsp:nvSpPr>
      <dsp:spPr>
        <a:xfrm>
          <a:off x="0" y="1676381"/>
          <a:ext cx="2194560" cy="1523627"/>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30480" rIns="60960" bIns="30480" numCol="1" spcCol="1270" anchor="ctr" anchorCtr="0">
          <a:noAutofit/>
        </a:bodyPr>
        <a:lstStyle/>
        <a:p>
          <a:pPr lvl="0" algn="ctr" defTabSz="711200">
            <a:lnSpc>
              <a:spcPct val="90000"/>
            </a:lnSpc>
            <a:spcBef>
              <a:spcPct val="0"/>
            </a:spcBef>
            <a:spcAft>
              <a:spcPct val="35000"/>
            </a:spcAft>
          </a:pPr>
          <a:r>
            <a:rPr lang="en-GB" sz="1600" b="0" i="0" kern="1200">
              <a:latin typeface="Times New Roman" panose="02020603050405020304" pitchFamily="18" charset="0"/>
              <a:cs typeface="Times New Roman" panose="02020603050405020304" pitchFamily="18" charset="0"/>
            </a:rPr>
            <a:t>Secondary Activities</a:t>
          </a:r>
          <a:endParaRPr lang="en-US" sz="1600" b="0" i="0" kern="1200">
            <a:latin typeface="Times New Roman" panose="02020603050405020304" pitchFamily="18" charset="0"/>
            <a:cs typeface="Times New Roman" panose="02020603050405020304" pitchFamily="18" charset="0"/>
          </a:endParaRPr>
        </a:p>
      </dsp:txBody>
      <dsp:txXfrm>
        <a:off x="74377" y="1750758"/>
        <a:ext cx="2045806" cy="1374873"/>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3826AAE-4E00-4D53-AE3B-B21C26AFDE0D}">
      <dsp:nvSpPr>
        <dsp:cNvPr id="0" name=""/>
        <dsp:cNvSpPr/>
      </dsp:nvSpPr>
      <dsp:spPr>
        <a:xfrm>
          <a:off x="-7876112" y="-1203324"/>
          <a:ext cx="9371329" cy="9371329"/>
        </a:xfrm>
        <a:prstGeom prst="blockArc">
          <a:avLst>
            <a:gd name="adj1" fmla="val 18900000"/>
            <a:gd name="adj2" fmla="val 2700000"/>
            <a:gd name="adj3" fmla="val 23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C0FFCEC-2B3E-44ED-9697-5DD6EFBC426C}">
      <dsp:nvSpPr>
        <dsp:cNvPr id="0" name=""/>
        <dsp:cNvSpPr/>
      </dsp:nvSpPr>
      <dsp:spPr>
        <a:xfrm>
          <a:off x="782121" y="219758"/>
          <a:ext cx="5488468" cy="1702817"/>
        </a:xfrm>
        <a:prstGeom prst="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0461" tIns="27940" rIns="27940" bIns="27940" numCol="1" spcCol="1270" anchor="ctr" anchorCtr="0">
          <a:noAutofit/>
        </a:bodyPr>
        <a:lstStyle/>
        <a:p>
          <a:pPr lvl="0" algn="just" defTabSz="488950">
            <a:lnSpc>
              <a:spcPct val="90000"/>
            </a:lnSpc>
            <a:spcBef>
              <a:spcPct val="0"/>
            </a:spcBef>
            <a:spcAft>
              <a:spcPct val="35000"/>
            </a:spcAft>
          </a:pPr>
          <a:r>
            <a:rPr lang="en-US" sz="1100" b="1" kern="1200">
              <a:latin typeface="Times New Roman" panose="02020603050405020304" pitchFamily="18" charset="0"/>
              <a:cs typeface="Times New Roman" panose="02020603050405020304" pitchFamily="18" charset="0"/>
            </a:rPr>
            <a:t>Strengths: </a:t>
          </a:r>
          <a:r>
            <a:rPr lang="en-US" sz="1100" kern="1200">
              <a:latin typeface="Times New Roman" panose="02020603050405020304" pitchFamily="18" charset="0"/>
              <a:cs typeface="Times New Roman" panose="02020603050405020304" pitchFamily="18" charset="0"/>
            </a:rPr>
            <a:t>Shell's strategy places customers at the center, aiming to provide them with solutions to decarbonize effectively. This focus enhances customer loyalty and strengthens relationships, driving long-term value. Shell's integrated assets and supply chains enable the delivery of comprehensive energy solutions, enhancing operational efficiency and reducing costs. This integrated approach supports the company's goal of becoming a net-zero emissions business by 2050 (Shell plc Annual Report, 2022). </a:t>
          </a:r>
        </a:p>
      </dsp:txBody>
      <dsp:txXfrm>
        <a:off x="782121" y="219758"/>
        <a:ext cx="5488468" cy="1702817"/>
      </dsp:txXfrm>
    </dsp:sp>
    <dsp:sp modelId="{7207B561-25B6-42B0-B326-781D2375F849}">
      <dsp:nvSpPr>
        <dsp:cNvPr id="0" name=""/>
        <dsp:cNvSpPr/>
      </dsp:nvSpPr>
      <dsp:spPr>
        <a:xfrm>
          <a:off x="112467" y="401513"/>
          <a:ext cx="1339307" cy="1339307"/>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E3C08EF-DD81-470A-B119-549E9DAA4E2C}">
      <dsp:nvSpPr>
        <dsp:cNvPr id="0" name=""/>
        <dsp:cNvSpPr/>
      </dsp:nvSpPr>
      <dsp:spPr>
        <a:xfrm>
          <a:off x="1396406" y="2011645"/>
          <a:ext cx="4874183" cy="1333940"/>
        </a:xfrm>
        <a:prstGeom prst="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0461" tIns="27940" rIns="27940" bIns="27940" numCol="1" spcCol="1270" anchor="ctr" anchorCtr="0">
          <a:noAutofit/>
        </a:bodyPr>
        <a:lstStyle/>
        <a:p>
          <a:pPr lvl="0" algn="just" defTabSz="488950">
            <a:lnSpc>
              <a:spcPct val="90000"/>
            </a:lnSpc>
            <a:spcBef>
              <a:spcPct val="0"/>
            </a:spcBef>
            <a:spcAft>
              <a:spcPct val="35000"/>
            </a:spcAft>
          </a:pPr>
          <a:r>
            <a:rPr lang="en-US" sz="1100" b="1" kern="1200">
              <a:latin typeface="Times New Roman" panose="02020603050405020304" pitchFamily="18" charset="0"/>
              <a:cs typeface="Times New Roman" panose="02020603050405020304" pitchFamily="18" charset="0"/>
            </a:rPr>
            <a:t>Weakness: </a:t>
          </a:r>
          <a:r>
            <a:rPr lang="en-US" sz="1100" kern="1200">
              <a:latin typeface="Times New Roman" panose="02020603050405020304" pitchFamily="18" charset="0"/>
              <a:cs typeface="Times New Roman" panose="02020603050405020304" pitchFamily="18" charset="0"/>
            </a:rPr>
            <a:t>Shell's historical reliance on fossil fuels poses challenges in transitioning to a net-zero emissions business. Dependency on traditional energy sources stop the company's ability to adapt quickly to changing market dynamics and regulatory requirements. The energy transition presents complex challenges, including technological barriers, regulatory uncertainties, and geopolitical risks. Shell's transition to a low-carbon business model requires navigating these complexities effectively, which strain resources and expertise (Shell plc Annual Report, 2022) .</a:t>
          </a:r>
        </a:p>
      </dsp:txBody>
      <dsp:txXfrm>
        <a:off x="1396406" y="2011645"/>
        <a:ext cx="4874183" cy="1333940"/>
      </dsp:txXfrm>
    </dsp:sp>
    <dsp:sp modelId="{E396D592-4CB4-4455-9070-9A9C3255704A}">
      <dsp:nvSpPr>
        <dsp:cNvPr id="0" name=""/>
        <dsp:cNvSpPr/>
      </dsp:nvSpPr>
      <dsp:spPr>
        <a:xfrm>
          <a:off x="726752" y="2008961"/>
          <a:ext cx="1339307" cy="1339307"/>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8268986-0F82-4B73-817A-2EFBEAA0268F}">
      <dsp:nvSpPr>
        <dsp:cNvPr id="0" name=""/>
        <dsp:cNvSpPr/>
      </dsp:nvSpPr>
      <dsp:spPr>
        <a:xfrm>
          <a:off x="1396406" y="3516149"/>
          <a:ext cx="4874183" cy="1539829"/>
        </a:xfrm>
        <a:prstGeom prst="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0461" tIns="27940" rIns="27940" bIns="27940" numCol="1" spcCol="1270" anchor="ctr" anchorCtr="0">
          <a:noAutofit/>
        </a:bodyPr>
        <a:lstStyle/>
        <a:p>
          <a:pPr lvl="0" algn="just" defTabSz="488950">
            <a:lnSpc>
              <a:spcPct val="90000"/>
            </a:lnSpc>
            <a:spcBef>
              <a:spcPct val="0"/>
            </a:spcBef>
            <a:spcAft>
              <a:spcPct val="35000"/>
            </a:spcAft>
          </a:pPr>
          <a:r>
            <a:rPr lang="en-US" sz="1100" b="1" kern="1200">
              <a:latin typeface="Times New Roman" panose="02020603050405020304" pitchFamily="18" charset="0"/>
              <a:cs typeface="Times New Roman" panose="02020603050405020304" pitchFamily="18" charset="0"/>
            </a:rPr>
            <a:t>Opportunities: </a:t>
          </a:r>
          <a:r>
            <a:rPr lang="en-US" sz="1100" kern="1200">
              <a:latin typeface="Times New Roman" panose="02020603050405020304" pitchFamily="18" charset="0"/>
              <a:cs typeface="Times New Roman" panose="02020603050405020304" pitchFamily="18" charset="0"/>
            </a:rPr>
            <a:t>Increasing global awareness of climate change and the need for decarbonisation creates opportunities for Shell to capitalise on growing demand for sustainable energy solutions. The company's focus on renewable energy and biofuels positions it well to capture market opportunities in this evolving landscape. Collaborating with customers, sectors, and stakeholders to develop low-carbon energy solutions presents significant growth opportunities for Shell. Strategic partnerships, such as those in the aviation sector, enable the company to leverage its expertise and experience to drive innovation and support the transition to net-zero emissions (Shell plc Annual Report, 2022).</a:t>
          </a:r>
        </a:p>
      </dsp:txBody>
      <dsp:txXfrm>
        <a:off x="1396406" y="3516149"/>
        <a:ext cx="4874183" cy="1539829"/>
      </dsp:txXfrm>
    </dsp:sp>
    <dsp:sp modelId="{D3A15564-B07B-4C22-83F5-8ED87B34281F}">
      <dsp:nvSpPr>
        <dsp:cNvPr id="0" name=""/>
        <dsp:cNvSpPr/>
      </dsp:nvSpPr>
      <dsp:spPr>
        <a:xfrm>
          <a:off x="726752" y="3616410"/>
          <a:ext cx="1339307" cy="1339307"/>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71695A7F-E492-4D7B-AA5E-00225DF79298}">
      <dsp:nvSpPr>
        <dsp:cNvPr id="0" name=""/>
        <dsp:cNvSpPr/>
      </dsp:nvSpPr>
      <dsp:spPr>
        <a:xfrm>
          <a:off x="782121" y="5092814"/>
          <a:ext cx="5488468" cy="1601394"/>
        </a:xfrm>
        <a:prstGeom prst="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0461" tIns="27940" rIns="27940" bIns="27940" numCol="1" spcCol="1270" anchor="ctr" anchorCtr="0">
          <a:noAutofit/>
        </a:bodyPr>
        <a:lstStyle/>
        <a:p>
          <a:pPr lvl="0" algn="just" defTabSz="488950">
            <a:lnSpc>
              <a:spcPct val="90000"/>
            </a:lnSpc>
            <a:spcBef>
              <a:spcPct val="0"/>
            </a:spcBef>
            <a:spcAft>
              <a:spcPct val="35000"/>
            </a:spcAft>
          </a:pPr>
          <a:r>
            <a:rPr lang="en-US" sz="1100" b="1" kern="1200">
              <a:latin typeface="Times New Roman" panose="02020603050405020304" pitchFamily="18" charset="0"/>
              <a:cs typeface="Times New Roman" panose="02020603050405020304" pitchFamily="18" charset="0"/>
            </a:rPr>
            <a:t>Threats: </a:t>
          </a:r>
          <a:r>
            <a:rPr lang="en-US" sz="1100" kern="1200">
              <a:latin typeface="Times New Roman" panose="02020603050405020304" pitchFamily="18" charset="0"/>
              <a:cs typeface="Times New Roman" panose="02020603050405020304" pitchFamily="18" charset="0"/>
            </a:rPr>
            <a:t>High competition from renewable energy companies and disruptive technologies poses a threat to Shell's market share and profitability. Rapid advancements in renewable energy technologies challenge Shell's traditional business model and require strategic adaptation to remain competitive. Evolving regulatory frameworks and policies aimed at addressing climate change and reducing emissions introduce uncertainties and compliance challenges for Shell. Adapting to regulatory changes while maintaining profitability and operational efficiency is essential to mitigating regulatory risks (Shell plc Annual Report, 2022). .</a:t>
          </a:r>
        </a:p>
      </dsp:txBody>
      <dsp:txXfrm>
        <a:off x="782121" y="5092814"/>
        <a:ext cx="5488468" cy="1601394"/>
      </dsp:txXfrm>
    </dsp:sp>
    <dsp:sp modelId="{A8594C98-4712-486D-8041-E1215786E07B}">
      <dsp:nvSpPr>
        <dsp:cNvPr id="0" name=""/>
        <dsp:cNvSpPr/>
      </dsp:nvSpPr>
      <dsp:spPr>
        <a:xfrm>
          <a:off x="112467" y="5223858"/>
          <a:ext cx="1339307" cy="1339307"/>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2.xml><?xml version="1.0" encoding="utf-8"?>
<dgm:layoutDef xmlns:dgm="http://schemas.openxmlformats.org/drawingml/2006/diagram" xmlns:a="http://schemas.openxmlformats.org/drawingml/2006/main" uniqueId="urn:microsoft.com/office/officeart/2005/8/layout/vList6">
  <dgm:title val=""/>
  <dgm:desc val=""/>
  <dgm:catLst>
    <dgm:cat type="process" pri="22000"/>
    <dgm:cat type="list" pri="1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dgm:varLst>
    <dgm:alg type="lin">
      <dgm:param type="linDir" val="fromT"/>
    </dgm:alg>
    <dgm:shape xmlns:r="http://schemas.openxmlformats.org/officeDocument/2006/relationships" r:blip="">
      <dgm:adjLst/>
    </dgm:shape>
    <dgm:presOf/>
    <dgm:constrLst>
      <dgm:constr type="w" for="ch" forName="linNode" refType="w"/>
      <dgm:constr type="h" for="ch" forName="linNode" refType="h"/>
      <dgm:constr type="h" for="ch" forName="spacing" refType="h" refFor="ch" refForName="linNode" fact="0.1"/>
      <dgm:constr type="primFontSz" for="des" forName="parentShp" op="equ" val="65"/>
      <dgm:constr type="primFontSz" for="des" forName="childShp" op="equ" val="65"/>
    </dgm:constrLst>
    <dgm:ruleLst/>
    <dgm:forEach name="Name1" axis="ch" ptType="node">
      <dgm:layoutNode name="linNode">
        <dgm:choose name="Name2">
          <dgm:if name="Name3" func="var" arg="dir" op="equ" val="norm">
            <dgm:alg type="lin">
              <dgm:param type="linDir" val="fromL"/>
            </dgm:alg>
          </dgm:if>
          <dgm:else name="Name4">
            <dgm:alg type="lin">
              <dgm:param type="linDir" val="fromR"/>
            </dgm:alg>
          </dgm:else>
        </dgm:choose>
        <dgm:shape xmlns:r="http://schemas.openxmlformats.org/officeDocument/2006/relationships" r:blip="">
          <dgm:adjLst/>
        </dgm:shape>
        <dgm:presOf/>
        <dgm:choose name="Name5">
          <dgm:if name="Name6" func="var" arg="dir" op="equ" val="norm">
            <dgm:constrLst>
              <dgm:constr type="w" for="ch" forName="parentShp" refType="w" fact="0.4"/>
              <dgm:constr type="h" for="ch" forName="parentShp" refType="h"/>
              <dgm:constr type="w" for="ch" forName="childShp" refType="w" fact="0.6"/>
              <dgm:constr type="h" for="ch" forName="childShp" refType="h" refFor="ch" refForName="parentShp"/>
            </dgm:constrLst>
          </dgm:if>
          <dgm:else name="Name7">
            <dgm:constrLst>
              <dgm:constr type="w" for="ch" forName="parentShp" refType="w" fact="0.4"/>
              <dgm:constr type="h" for="ch" forName="parentShp" refType="h"/>
              <dgm:constr type="w" for="ch" forName="childShp" refType="w" fact="0.6"/>
              <dgm:constr type="h" for="ch" forName="childShp" refType="h" refFor="ch" refForName="parentShp"/>
            </dgm:constrLst>
          </dgm:else>
        </dgm:choose>
        <dgm:ruleLst/>
        <dgm:layoutNode name="parentShp" styleLbl="node1">
          <dgm:varLst>
            <dgm:bulletEnabled val="1"/>
          </dgm:varLst>
          <dgm:alg type="tx"/>
          <dgm:shape xmlns:r="http://schemas.openxmlformats.org/officeDocument/2006/relationships" type="roundRect" r:blip="">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layoutNode name="childShp" styleLbl="bgAccFollowNode1">
          <dgm:varLst>
            <dgm:bulletEnabled val="1"/>
          </dgm:varLst>
          <dgm:alg type="tx">
            <dgm:param type="stBulletLvl" val="1"/>
          </dgm:alg>
          <dgm:choose name="Name8">
            <dgm:if name="Name9" func="var" arg="dir" op="equ" val="norm">
              <dgm:shape xmlns:r="http://schemas.openxmlformats.org/officeDocument/2006/relationships" type="rightArrow" r:blip="" zOrderOff="-2">
                <dgm:adjLst>
                  <dgm:adj idx="1" val="0.75"/>
                </dgm:adjLst>
              </dgm:shape>
            </dgm:if>
            <dgm:else name="Name10">
              <dgm:shape xmlns:r="http://schemas.openxmlformats.org/officeDocument/2006/relationships" rot="180" type="rightArrow" r:blip="" zOrderOff="-2">
                <dgm:adjLst>
                  <dgm:adj idx="1" val="0.75"/>
                </dgm:adjLst>
              </dgm:shape>
            </dgm:else>
          </dgm:choose>
          <dgm:presOf axis="des" ptType="node"/>
          <dgm:constrLst>
            <dgm:constr type="secFontSz" refType="primFontSz"/>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dgm:forEach name="Name11" axis="followSib" ptType="sibTrans" cnt="1">
        <dgm:layoutNode name="spacing">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196E81-8F4D-4335-BD43-174D46C7F5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219</TotalTime>
  <Pages>21</Pages>
  <Words>5915</Words>
  <Characters>33721</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39557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 user</dc:creator>
  <cp:keywords/>
  <dc:description/>
  <cp:lastModifiedBy>Windows User</cp:lastModifiedBy>
  <cp:revision>27</cp:revision>
  <dcterms:created xsi:type="dcterms:W3CDTF">2024-04-20T14:01:00Z</dcterms:created>
  <dcterms:modified xsi:type="dcterms:W3CDTF">2024-04-23T12:39:00Z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2024-03-05T08:12:28Z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629715c6-6241-4ba4-b951-0441bcb95606</vt:lpwstr>
  </property>
  <property fmtid="{D5CDD505-2E9C-101B-9397-08002B2CF9AE}" pid="7" name="MSIP_Label_defa4170-0d19-0005-0004-bc88714345d2_ActionId">
    <vt:lpwstr>732fa58f-0d90-41d6-9e33-bdcb151060e3</vt:lpwstr>
  </property>
  <property fmtid="{D5CDD505-2E9C-101B-9397-08002B2CF9AE}" pid="8" name="MSIP_Label_defa4170-0d19-0005-0004-bc88714345d2_ContentBits">
    <vt:lpwstr>0</vt:lpwstr>
  </property>
</Properties>
</file>