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Keep Disney strong</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1Executive summary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Disney's two businesses: theme park business and streaming media business are both affected by the epidemic and competitors, and the overall profit level is low. However, with the relaxation of epidemic prevention policies around the world and China's epidemic prevention policies from the "national 20" to the "national 10", gradually liberalized the protection against the epidemic, no longer check nucleic acid negative, health code, trip code, and no longer pull away positive patients for centralized isolation treatment, but more choose to take home treatment, catering, retail, tourism and other industries are gradually repairing, and related stocks are also rising rapidly. Disney can improve its profitability by complying with market demand, balancing park business and streaming media business, cross-border cooperation and increasing the stickiness of old customers in the wind of world economic growth.</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2Introduction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With the development of economy, consumers have more and more budgets for tourism, and they are more and more willing to spend time to purify their mind and body. People's travel has also evolved from a simple visit to the classics to a sentimental cultural tourism vacation mode. The global tourism market is weak under the impact of the epidemic. As the largest tourism consumer in the world, China's tourism economy has been impacted greatly. However, with the liberalization of China's epidemic policy, consumers' willingness to travel has been fully released, and consumers' pent up impulse to travel has begun to erupt.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At present, the most popular travel choice is the theme park with complete facilities, which has both advanced planning and a full range of regional resources matching capabilities. In international shopping malls, the park economy is also developing rapidly. According to the 2021 Global Park Market Report released by The Business Research Company in July 2021, the global park market is expected to grow from 51.67 billion dollars in 2020 to 63.89 billion dollars in 2021, and it is expected that the market will reach 89.17 billion dollars by 2025.</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role of park economy in China should not be underestimated. According to the report released by Southern Newspaper Group in May 2021, "From supporting the city to driving the industry, from integrating resources to radiating around, the butterfly effect of" paradise economy "plays a significant role in driving the urban economy. Its strong attraction will divert people to the location, integrate the economic pattern, drive economic development and enhance the competitiveness of the city." Paradise economy still plays a very high role in China's tourism market, and consumers are more inclined to visit theme parks such as Disney.</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3Disney's past and present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Disneyland has a great influence on the local area. From its past development track, we can see that the largest Disneyland, Walt Disney World, drives the local economic development, promotes Orlando's business from barren to prosperous, and helps the local income center change from citrus planting to high-value industry driven by tourism economy.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park economy also plays a strong role in promoting the local market in China, such as Guangzhou Chimelong. It attracts 20 million tourists every year, brings hundreds of millions of yuan of tax revenue to Guangzhou, affects the scale of the crony economy of more than 50 billion yuan, provides more than 20000 jobs in general, and drives more than 100000 industrial jobs. (Data source: Ai Media Report | 2019-2022 Global and China Theme Park Operation Big Data and Industry Upgrading Trend Report)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average annual income of Disney in Shanghai is about 19.5 billion yuan, accounting for about 6.5% of the overall tourism income in Shanghai, which is a huge figure. According to the economic benefits and social values generated by the park, the park can not only continuously attract visitors, but also help a large number of industrial people live and work in peace and contentment around the park.</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However, with the change of the world economic situation and the global epidemic policy (especially in China), the world has ushered in the opening of the tourism economy. Disney's adherence to the previous route is no different from being complacent. It should further expand the scale of the tourism economy by combining Disney's own strong IP advantages.</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3.1 Initial centering</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According to the statistics: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Since 2021, with the change of epidemic prevention and control policies in various countries, especially in China in 2022, the global tourism industry has begun to recover, and the economic scale of the theme park has increased accordingly. According to the 2021 Global Theme Parks and Museums Report jointly released by AECOM and TEA, the number of visitors to the top 25 theme parks in the world will exceed 140 million in 2021, an increase of 70% compared with the data in 2020, and 56% compared with the tourism market in 2019.</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Among the 25 theme parks listed in the world in 2021, the number of theme parks in the United States is the largest, with a total of 9. There are 6 in China and 4 in Japan. Among the top 25 theme parks in the world in 2021, there are 6 theme parks in China, of which Shanghai Disneyland and Hengqin Chimelong Ocean Kingdom are the largest, ranking among the top ten. In 2021, the number of tourists will be 8.48 million and 7.45 million respectively.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There are 25 theme parks, but the number of Disney companies is 11, accounting for 44%. Universal Studios has 4 theme parks on the list, and Chimelong has 2 theme parks on the list.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largest of the three companies is Disney Company, whose overall revenue shows a dynamic trend in the fiscal year 2019-2022. After the sharp decline of financial year fluctuations in 2020, Disney's revenue continued to reach two years. In fiscal year 2022, the company's total revenue reached $82.722.1 billion, an increase of 23% over fiscal year 2021.</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 sum up, in 2021, the total number of tourists from the top 25 theme parks in the world will exceed 140 million, with a year-on-year growth of 70%. Disney ranks first in the number of tourists and dominates the world.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 has five corporate values: 1. Innovation Disney has always adhered to the tradition of innovation. 2. Quality - Disney constantly strives to achieve high quality standards to achieve excellence. In all products of Disney brand, high quality must be guaranteed. 3. Sharing - Disney has always created a positive and inclusive attitude towards families. The entertainment created by Disney can be shared by all generations. 4. Stories - Storytelling Every Disney product will tell a story. The eternal story always brings joy and inspiration to people. Optimism - Optimism Disney entertainment experience always promotes hope, desire and optimistic determination to people. 5. Respect Disney respects everyone. Disney's fun is based on its own experience and does not make fun of others.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process of deconstruction and reconstruction of heroes by using artistic forms such as animation performance essentially caters to the trend that religious worship from primitive society gradually evolves into collective unconsciousness in modern society. By adopting diversified narrative means, Disney Animation makes the animated films show the characteristics of popularity and entertainment while dispelling the special significance of heroes, so that the audience can release themselves by the power of images in the imaginative plot construction.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 Animation attaches great importance to the creation of visual pleasure, making use of diversified audio-visual experience and routinized narrative structure to make up for the lack of story content, so that the audience is used to being attracted by the tortuous adventures of heroes in the movie watching process, and is deeply fascinated by this. This feeling is like magic hypnosis, which makes people focus on the stories on the screen and intentionally ignore all other troubles.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Secularization affirms people's natural desire, affirms the fun of secular life, liberates people from the shackles of modern superstition and dogmatism, and sublates false emptiness and false loftiness, which is undoubtedly a great progress. Under the banner of secularization, Disney Company is committed to integrating its products into popular culture, and its animation works do their best to meet the needs of the consumer era.</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 Animation is deeply influenced by American popular culture. In addition to promoting and disseminating American popular culture and its derivatives, its ultimate purpose is to meet the audience's expectations of watching movies and at the same time promote consumerism culture and universal values to the world.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for the deep meaning of Disney animated films, we can regard it as an encounter between animated films and history, popular culture, animation aesthetics and film industry. After the rise of consumer culture, as a special consumer product, the makers of animated film products no longer have the modern 'enlightenment' anxiety of the creators. Cultural consumer products are just to meet the audience's audio-visual satisfaction and pleasure, and the viewers complete the fantasy travel again and again in the experience similar to drug abuse.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 is known as the dream factory of modern society. The reason why the audience is intoxicated with the hero myth depicted by Disney animation is that the film creates a fantasy about heroes. Under the heavy pressure brought by the busy life, people have chosen to go into the cinema to relax. In the "daydream" created by the film, the audience can temporarily put aside the heaviness and unhappiness of their hearts and seek temporary sensory satisfaction and release of pressure.</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3.2 Present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According to the report of the Wall Street Journal on November 21, 2022, Disney has entered a complex period of industrial transformation, and former CEO Igor can lead the company through this critical period. The British Daily Mail said that this decision was made against the background of a sharp decline in Disney's performance. As of November 18, Disney's share price has fallen by about 41% in 2022.</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 will have a series of adjustments next, including requiring guests to book for theme parks, and moving about 2000 employees from California to Florida. The major reform of Disney lies in the change of profit focus. Disney must focus on the profitability of streaming media business, rather than just increasing subscribers. Affected by the overall operation in 2022, Disney's share price is low throughout the year. According to the fourth fiscal quarter results of fiscal year 2022 announced by Disney in November, Disney's sales and profit margin are lower than Wall Street's expectations under the dual impact of advertising revenue and streaming media business losses.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time Disney changed back to Robert Eger as the CEO of Disney. He worked for Disney for more than 47 years and served as CEO from 2005 to 2020. During his tenure as CEO, Disney completed a series of acquisition projects including the acquisition of Pixar Animation, Lucas Film, Marvel Entertainment and 21st Century Fox. Another great achievement of Igor during his tenure was to expand the Chinese market for Disney, especially the promotion and implementation of Shanghai Disneyland project. So this time he returned to Disney, and his attention to the Chinese market will not be reduced.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Judging from Disney's overall performance and the feedback from the capital market, this will be excusable. In the fourth fiscal quarter financial report of Disney in early November, the revenue of Disney's popular streaming media business increased by 8% year on year, and the profit and loss of this business expanded to $1.474 billion. The total number of users of the Disney+project will reach 164 million in October 2022, and the number of users of the entire platform will exceed the 223 million of Netflix and reach 236 million. However, the expansion of the user scale has doubled the loss of the business. The huge loss of streaming media has directly damaged Disney's strong performance in the theme park and consumer goods business. Influenced by the epidemic, the stock prices of international media giants in the capital market all performed poorly. Netflix fell by 50% this year, more than 40% of Disney</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3.3 Take precautions and worry about the contents of Disney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 has a lot of advantages in park management. However, with the continuous expansion of the Internet economy, Disney needs to make great efforts to explore film content and streaming media, and actively adjust its current business strategy to solve the current situation of huge losses.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direction of Internet layout, Disney is faced with new film projects that are not warm and hot, and lacks market shock freshness and dominance for the audience.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Since 2020, Disney has produced animation works such as Half of the Magic, Spiritual Strange Journey, Dragon Hunting Legend, Sunny Summer Friends, Full House of Magic, Metamorphosis of Youth, and True Story of Light Year. Among the numerous works, the feedback of "Strange Journey of the Mind" in the market is good, and "The House of Magic" won the 94th Academy Award. However, it has failed to create a new IP to enhance Disney's commercial competitiveness.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Light Year Story was originally a film Disney had high hopes for, but it is estimated that the production budget will exceed 200 million dollars. The comprehensive evaluation of the box office will reach 600 million dollars before the cost can be recovered, but this is not a distant figure. In the end, its box office only accumulated to 226 million dollars, the market feedback was not successful, and the word of mouth also collapsed, bringing some pressure to Disney's operation.</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3.4 Content and streaming media, the focus of Eger's work during his two-year term</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 started from the core layer of creative content in 1923, formed a brand and gradually expanded to the industrial base. In the way of modern industrial assembly line production, animation was produced in large quantities and sold all over the world. In 1929, brand licensing began. During the period from 1923 to the eve of World War I, Disney's brand positioning gradually became clear. It successfully established a business model that linked animation image with brand product sales, and gradually became the world's largest brand consumer product licensor.</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When Robert Eger bought Pixar from Steve Jobs to Disney, he once described the situation as follows: Eger recalled the opening ceremony of Disney in Hong Kong, where floats drove by one after another, including the characters in Snow White, Cinderella, Lion King and Aladdin... But "almost none of the characters Disney created in the past ten years have appeared". At that time, Pixar was at the peak of the frontier of creativity and technology - Toy Story, Worm Crisis, Monster Power Company, Finding Nemo, Superman Story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Of course, it is a well-known story that Disney has successively realized the mergers and acquisitions of Pixar, Marvel and Lucas Film, and has become a giant in the IP entertainment industry. However, after nearly a decade of brilliance, Disney is facing a bottleneck in content output. Disney, as a company profiting from IP, can better survive in the market only by creating high-quality animation characters and animation world. At present, Disney has not launched movies with satisfactory market effect in recent years.This is terrible for Disney,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Therefore, Disney's next important task is to establish whether there are problems with the current content output model and how to adjust it to achieve the goal of continuous output value. Film and television content creation is a particularly complex industry. The output of content is more dependent on the director artists, while the platform seems to have a weak voice. Large companies cannot always play an all-round role, which can be seen from the failure of the DC film industry next door and the confrontation between directors and executives. Therefore, the reason why Iger took over at this important moment is that his ability to handle interpersonal relationships may also be an important factor considered by the Board of Directors.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process of acquiring Pixar, Marvel, and Lucas Pictures, Igor's emphasis on personal relations played a huge role - for example, Apple's Steve Jobs was an influential figure on Disney's board of directors at that time, but Jobs himself was dismissive of comics, but he continued to help Igor promote the acquisition of Marvel IP, which shows that Igor's unique personal charm helped Disney.</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3.5 How to position the future strategy of Disney+, which is in the limelight, while sorting out the content control products?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most direct reason why Disney+can rise rapidly is that Disney has strong IP reserves and spare no effort to invest. Disney+has been able to quickly establish content reserves, but at the same time, it has also led to huge losses and the aforementioned new IP works are mixed. At the same time, with the rise of Disney+as a signal, the international streaming media market has also entered a new stage where Netflix is no longer dominant. Netflix has gradually focused on increasing revenue and profits. On the contrary, Hollywood giants are still competing to bring in new media at any loss -- Disney and Warner are the same.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is very similar to the Chinese video platform market three or four years ago. In order to rapidly improve its scale, the video platform at that time spent a huge amount of content costs year after year, which to some extent also contributed to the cost increase and the decline of the average level of works in the upstream of the content industry chain. Until "cost reduction and efficiency increase" became the mainstream in the past two years, the profit gradually came near, and the top products in the market increased rather than decreased.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Netflix has never tried to participate in the worldwide competition of streaming media by reducing prices and expanding content regardless of cost. Instead, it has been increasing prices and advertising packages when faced with growth bottlenecks. This is obviously a way to support long-term investment. Warner Pictures will make a huge loss in the year of streaming media premiere in 2021. The loss strategy of more than 8 billion yuan on Disney's streaming media competition strategy has achieved rapid results, but it is bound to be unsustainable.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We can't predict the competition result of international streaming media, but Disney has unique advantages in competition. Disney has a better business layout, which only needs to be adjusted and repositioned. According to media reports, Walt Disney Company has launched an advertising version of the Disney+new subscription program, and plans to promote it internationally in 2023, which will bring new revenue to its streaming media services.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It is reported that Disney will charge $7.99 per month for the advertising version of Disney+. The advertising free version of Disney+will now charge $10.99 a month, up from $7.99. Disney said that more than 100 advertisers have participated in the new program, bringing more than 10 different advertising categories, including retail, clothing, automotive, financial services, catering, technology, telecommunications, consumer goods and tourism.</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 said that most of the advertisements would appear before and during the broadcast, and promised that they would not be broadcast for more than four minutes per hour, nor would they include alcohol or political campaign advertisements. In addition, content for preschool children or children under the age of 7 will not be included, and users under the age of 17 will not become targeted advertising targets. Disney believes that this measure is the "cornerstone" of the company's goal of reaching 230 million to 260 million long-term users by 2024.</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Disney's streaming services, including Disney+, had a revenue of 21.5 billion US dollars (about HK $167.7 billion) in the latest quarter, accounting for 23% of the group's internal revenue. Rebecca Campbell, Disney's global head of content and operations, pointed out that the key to Disney+'s ability to seize market share in a short time is strategic localization and content localization. In response to the market situation in different regions, Disney's sales channel deployment will also be adjusted according to local conditions, not uniformly based on the Disney+brand.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company is under pressure to make its streaming media business profitable, with Disney+losing nearly $1.5 billion in the latest quarter. Investors were dissatisfied with the deepening losses, which led to the decline of Disney's share price. Investors and media executives are also increasingly aware that it will be more difficult to increase users as streaming media becomes more competitive. It is reported that a survey of 11435 streaming media users in the United States also found that one quarter of Disney+users would like to watch the new version of ads in exchange for lower prices. Disney's other streaming media services, Hulu and ESPN+, have successfully distributed commercial advertisements. Perhaps out of self-defense, Netflix also launched a cheap subscription version with commercial advertisements.</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 xml:space="preserve">4Conclusions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With the support of the streaming media market strategy, Disney needs to find the psychological commonalities between contemporary adults and children, and change the way of being close to children's audience from "subtraction" to the way of using the creation mode and essence of fairy tales to explore the solution of the confusion of contemporary children's unconscious mind, thus achieving the ideal psychological state of children entering the image world.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Disney+has only been launched for 3 years, but it has surpassed the achievements of Netflix's hard work for 15 years, which is a miracle. At the same time, in the third quarter of Disney's revenue, the revenue from streaming services accounted for 23%, which shows that this business has played a decisive role in the group.</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terms of content localization, Disney will also produce corresponding local content for the four major regional markets. It is estimated that 210 local works will be launched by the end of 2022. Because the company knows that even if Disney+has Disney, Marvel, Star Wars, Pixar and other pillar content, after stepping out of the United States, the global audience may not have profound resonance with these content.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From the perspective of Disney's internal operation, it has fallen into a situation of unbalanced business expenditure. The content of competitors is not bad. For example, in the latest financial report, Netflix let the market see again that good content can reverse the decline. However, the turnaround will turn around. At least, the company's operating expenses should not give up the profit side in order to pursue quality. Such losses will only become bigger and bigger.</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 is trying a new member program, a new member program, to provide consumers with discounts, exclusive services, etc. For example, food discounts, free delivery, and monthly and annual fees for streaming media services encourage users to spend more on streaming media, theme parks, resorts and commodities. This strategy is really what Disney should think about. It has so many users, but with more users, its profitability is even worse. How to do well in the content, we also need to find a suitable balance point to stop the hole of increasing losses.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Disney's comprehensive business environment is highly competitive, so it is very important to return to the right track through strategic adjustment in the fierce market competition. Disney needs to find the right way to gain greater market share and improve profit margins.</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5Recommendations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Streaming media is an area that Disney needs to lay out, but the operation of theme parks cannot be lost. The "main battlefield" of the future world theme park must be in China. As the world's most promising market for theme parks, China has attracted many international theme parks to settle in recent years. In addition to Disney Paradise and Universal Studios, the accelerated layout of Lego Paradise in the Chinese market can also be described as "aggressive". According to relevant research data, at least five parks will be located in China in the future. In addition to the innovative development of local characteristic parks, such as Happy Valley and Fangte theme parks, the market competition of theme parks will become more intense in the future.</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5</w:t>
      </w:r>
      <w:r>
        <w:rPr>
          <w:rFonts w:hint="eastAsia" w:ascii="Times New Roman Regular" w:hAnsi="Times New Roman Regular" w:cs="Times New Roman Regular"/>
          <w:sz w:val="28"/>
          <w:szCs w:val="28"/>
          <w:lang w:val="en-US" w:eastAsia="zh-Hans"/>
        </w:rPr>
        <w:t>.</w:t>
      </w:r>
      <w:r>
        <w:rPr>
          <w:rFonts w:hint="default" w:ascii="Times New Roman Regular" w:hAnsi="Times New Roman Regular" w:cs="Times New Roman Regular"/>
          <w:sz w:val="28"/>
          <w:szCs w:val="28"/>
        </w:rPr>
        <w:t>1 Conform to the market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market is the orientation of the industry development, and the market demand determines the final development direction of the industry. With the high development of economy, highly commercial popular cultural products will inevitably expand in the world with the economic globalization. Therefore, in the current historical development period, the animation market is a market oriented historical development stage. At present, animation films in China still focus on artistry and skills, ignoring commercial laws. We must clearly recognize that animated films are special commodities, and only when they take root in the market can they radiate vitality. To develop animation industry, industrialization is the way out. At present, China's animation industry chain is broken and has not formed a complete industry chain. Although many companies are trying, they have not formed an industry chain with Chinese characteristics. Building China's animation industry cluster and integrating advantageous resources is also an indispensable step to make China's animation industry bigger and stronger.</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5</w:t>
      </w:r>
      <w:r>
        <w:rPr>
          <w:rFonts w:hint="eastAsia" w:ascii="Times New Roman Regular" w:hAnsi="Times New Roman Regular" w:cs="Times New Roman Regular"/>
          <w:sz w:val="28"/>
          <w:szCs w:val="28"/>
          <w:lang w:val="en-US" w:eastAsia="zh-Hans"/>
        </w:rPr>
        <w:t>.</w:t>
      </w:r>
      <w:r>
        <w:rPr>
          <w:rFonts w:hint="default" w:ascii="Times New Roman Regular" w:hAnsi="Times New Roman Regular" w:cs="Times New Roman Regular"/>
          <w:sz w:val="28"/>
          <w:szCs w:val="28"/>
        </w:rPr>
        <w:t>2 Balance between streaming media and high-quality content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Netflix Co CEO Salados has repeatedly said that as competitors stop investing and focus on profitability, the streaming media industry will undergo significant transformation. "It is difficult to build a large-scale and profitable streaming media business. We expect that all other competitors will lose money in the streaming media business. This year, the operating loss of the entire streaming media industry will exceed $10 billion, while Netflix can achieve an operating profit of $5 billion to $6 billion."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So next, we should regain the dominance of Disney movies and animation, and at the same time, quickly change Disney+from "barbaric investment" to "balance of payments" mode.</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5</w:t>
      </w:r>
      <w:r>
        <w:rPr>
          <w:rFonts w:hint="eastAsia" w:ascii="Times New Roman Regular" w:hAnsi="Times New Roman Regular" w:cs="Times New Roman Regular"/>
          <w:sz w:val="28"/>
          <w:szCs w:val="28"/>
          <w:lang w:val="en-US" w:eastAsia="zh-Hans"/>
        </w:rPr>
        <w:t>.</w:t>
      </w:r>
      <w:r>
        <w:rPr>
          <w:rFonts w:hint="default" w:ascii="Times New Roman Regular" w:hAnsi="Times New Roman Regular" w:cs="Times New Roman Regular"/>
          <w:sz w:val="28"/>
          <w:szCs w:val="28"/>
        </w:rPr>
        <w:t>3 Cross border cooperation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No matter how Disney's strategy is adjusted, getting new customers at a lower price is always the king's way. In the era of fragmented information, users' attention is too distracted, and all major brands are making every effort to advertise themselves and try to break out of layers of encirclement. However, the brand alone has always had limited influence, even staying in the bottleneck period. If you can understand cross-border marketing and get warm with other brands, you may be able to maximize the value of both brands.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 the cooperation between brands, the purpose of cooperation is clear, precise and complementary. It is necessary to consider the consistency of target consumer groups, and hope that the other party's brand characteristics, including tonality, crowd and other related things can be connected to their own brands to associate with their own brands. Complementarity is not functional complementarity, but user experience complementarity.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Find the target customers of Disney and map the brands used by customers in a day. Disney's target customers and other brands may be potential partners. Brand cooperation that is similar to or the same as the target users is to exchange resources and attract users from different fields and ages to break through barriers.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Some brand cooperation seems to be quite different and not closely related, but in fact, the two give full play to their respective advantages and perfectly complement each other's cooperation mode. Through circle fermentation, they accurately reach the majority of users, producing a brand superposition resonance effect.</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5</w:t>
      </w:r>
      <w:r>
        <w:rPr>
          <w:rFonts w:hint="eastAsia" w:ascii="Times New Roman Regular" w:hAnsi="Times New Roman Regular" w:cs="Times New Roman Regular"/>
          <w:sz w:val="28"/>
          <w:szCs w:val="28"/>
          <w:lang w:val="en-US" w:eastAsia="zh-Hans"/>
        </w:rPr>
        <w:t>.</w:t>
      </w:r>
      <w:r>
        <w:rPr>
          <w:rFonts w:hint="default" w:ascii="Times New Roman Regular" w:hAnsi="Times New Roman Regular" w:cs="Times New Roman Regular"/>
          <w:sz w:val="28"/>
          <w:szCs w:val="28"/>
        </w:rPr>
        <w:t>4 Retain old customers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 retain old customers, we need to improve customer stickiness. Meet customer needs and expectations, effectively eliminate and prevent customer complaints and complaints, constantly improve customer satisfaction, promote customer loyalty, strengthen demand and trust, and establish a "value chain" and "ecological chain" of mutual trust, interdependence, long-term cooperation and permanent cooperation between Disney and customers.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Successful customer relationshipIn modern marketing activities, the marketing concept is the basis for the formation of Disney strategy. The theory of customer loyalty marketing advocates taking customers as the center. Disney's marketing activities must focus on this center, pay attention to customers' evaluation of Disney, and pursue high customer satisfaction and loyalty. This is the improvement and development of the marketing concept.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theory of customer loyalty marketing requires Disney to regard customers as an important resource of the enterprise, systematically manage Disney's customers, obtain customer related information with the help of the application of customer relationship management software, and take it as the basis for enterprise strategic decisions. Practice has proved that the core competitiveness formed by advocating customer loyalty will be reflected in the business activities of enterprises.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Good stickiness means stable customer sources. We know that the development of private houses mainly depends on online promotion and referral, so if you master the traffic password, you will have customers, and it is particularly important to retain these customers for future development. So how to increase customer stickiness and let customers form certain consumption habits, you need to do the following four things: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① Customer:</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Treat customers sincerely, warmly and patiently. Remember the needs and preferences of different customers. People are emotional. You can properly do some small things to make customers moved. Finally, you should interact more. But you should understand that customers' temperament and personality interact, such as chatting occasionally, comments and likes from friends. If you turn strangers into new customers and you can introduce friends for you, then the customer will be very successful.</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② Product: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Quality and taste are the basis. If you want to stand out, you should consider the cost performance ratio. People like to spend the least money to buy the most things, and you should find ways to make customers feel that they are worth it; People are visual animals, and beauty is justice. Good looking packaging will also add color to desserts and increase product exposure; The last is innovation. Only by continuous innovation can customers have the desire to buy.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③ Service: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pre-sales service attitude is very important. Why many customers didn't make a second purchase? It is likely that the after-sales service is not up to standard. If things are not good, most people choose not to say and will not buy them. So we must listen to the customer's suggestions and make timely compensation when problems occur, so that the customer feels that buying things is guaranteed and can place an order without concern. In the future, customers will be willing to try new products.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④ Favorable policies and activities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We should give customers real benefits, such as discounts for old customers, new gifts for old customers, and discounts for referrals; Secondly, appropriate activities should be carried out, such as irregular second killing, holiday discounts, new product experience, and recharge gifts. The former is an affirmation of customers' long-term consumption, while the latter is the motivation to attract customers to continue spending.</w:t>
      </w:r>
    </w:p>
    <w:p>
      <w:pPr>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br w:type="page"/>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sz w:val="28"/>
          <w:szCs w:val="28"/>
        </w:rPr>
      </w:pPr>
      <w:bookmarkStart w:id="0" w:name="_GoBack"/>
      <w:bookmarkEnd w:id="0"/>
      <w:r>
        <w:rPr>
          <w:rFonts w:hint="default" w:ascii="Times New Roman Regular" w:hAnsi="Times New Roman Regular" w:cs="Times New Roman Regular"/>
          <w:sz w:val="28"/>
          <w:szCs w:val="28"/>
        </w:rPr>
        <w:t>6 References</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u w:val="single"/>
        </w:rPr>
        <w:t>Introduction: Feeling disney, buying Disney, being Disney</w:t>
      </w:r>
      <w:r>
        <w:rPr>
          <w:rFonts w:hint="default" w:ascii="Times New Roman Regular" w:hAnsi="Times New Roman Regular" w:cs="Times New Roman Regular"/>
          <w:sz w:val="24"/>
          <w:szCs w:val="24"/>
        </w:rPr>
        <w:t xml:space="preserve">” (2016) Disney, Culture, and Curriculum, pp. 31–58. Available at: https://doi.org/10.4324/9781315661599-11.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Osatinski, A.S. (2019) “</w:t>
      </w:r>
      <w:r>
        <w:rPr>
          <w:rFonts w:hint="default" w:ascii="Times New Roman Regular" w:hAnsi="Times New Roman Regular" w:cs="Times New Roman Regular"/>
          <w:sz w:val="24"/>
          <w:szCs w:val="24"/>
          <w:u w:val="single"/>
        </w:rPr>
        <w:t>The Disney Way</w:t>
      </w:r>
      <w:r>
        <w:rPr>
          <w:rFonts w:hint="default" w:ascii="Times New Roman Regular" w:hAnsi="Times New Roman Regular" w:cs="Times New Roman Regular"/>
          <w:sz w:val="24"/>
          <w:szCs w:val="24"/>
        </w:rPr>
        <w:t xml:space="preserve">,” Disney Theatrical Productions, pp. 47–67. Available at: https://doi.org/10.4324/9780429023361-4.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D’Oliveiro, M. (2019) “</w:t>
      </w:r>
      <w:r>
        <w:rPr>
          <w:rFonts w:hint="default" w:ascii="Times New Roman Regular" w:hAnsi="Times New Roman Regular" w:cs="Times New Roman Regular"/>
          <w:sz w:val="24"/>
          <w:szCs w:val="24"/>
          <w:u w:val="single"/>
        </w:rPr>
        <w:t>Live Streaming Media</w:t>
      </w:r>
      <w:r>
        <w:rPr>
          <w:rFonts w:hint="default" w:ascii="Times New Roman Regular" w:hAnsi="Times New Roman Regular" w:cs="Times New Roman Regular"/>
          <w:sz w:val="24"/>
          <w:szCs w:val="24"/>
        </w:rPr>
        <w:t xml:space="preserve">,” The Streaming Media Guide, pp. 138–148. Available at: https://doi.org/10.4324/9780429429750-9.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D’Oliveiro, M. (2019) “</w:t>
      </w:r>
      <w:r>
        <w:rPr>
          <w:rFonts w:hint="default" w:ascii="Times New Roman Regular" w:hAnsi="Times New Roman Regular" w:cs="Times New Roman Regular"/>
          <w:sz w:val="24"/>
          <w:szCs w:val="24"/>
          <w:u w:val="single"/>
        </w:rPr>
        <w:t>Streaming Media Technology Today</w:t>
      </w:r>
      <w:r>
        <w:rPr>
          <w:rFonts w:hint="default" w:ascii="Times New Roman Regular" w:hAnsi="Times New Roman Regular" w:cs="Times New Roman Regular"/>
          <w:sz w:val="24"/>
          <w:szCs w:val="24"/>
        </w:rPr>
        <w:t xml:space="preserve">,” The Streaming Media Guide, pp. 24–48. Available at: https://doi.org/10.4324/9780429429750-3.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u w:val="single"/>
        </w:rPr>
        <w:t>Media Education, media industry, mass media theory: Interrelations and conflict of interests</w:t>
      </w:r>
      <w:r>
        <w:rPr>
          <w:rFonts w:hint="default" w:ascii="Times New Roman Regular" w:hAnsi="Times New Roman Regular" w:cs="Times New Roman Regular"/>
          <w:sz w:val="24"/>
          <w:szCs w:val="24"/>
        </w:rPr>
        <w:t xml:space="preserve">” (2019) Media Education (Mediaobrazovanie), 59(2). Available at: https://doi.org/10.13187/me.2019.2.269.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Russell, M.J. (2014) “</w:t>
      </w:r>
      <w:r>
        <w:rPr>
          <w:rFonts w:hint="default" w:ascii="Times New Roman Regular" w:hAnsi="Times New Roman Regular" w:cs="Times New Roman Regular"/>
          <w:sz w:val="24"/>
          <w:szCs w:val="24"/>
          <w:u w:val="single"/>
        </w:rPr>
        <w:t>Learning &amp;amp; development: Superhero play - superkids - the movie!</w:t>
      </w:r>
      <w:r>
        <w:rPr>
          <w:rFonts w:hint="default" w:ascii="Times New Roman Regular" w:hAnsi="Times New Roman Regular" w:cs="Times New Roman Regular"/>
          <w:sz w:val="24"/>
          <w:szCs w:val="24"/>
        </w:rPr>
        <w:t xml:space="preserve">,” Nursery World, 2014(4). Available at: https://doi.org/10.12968/nuwa.2014.21.4.1143538.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Budiharjo, B. (2019) “</w:t>
      </w:r>
      <w:r>
        <w:rPr>
          <w:rFonts w:hint="default" w:ascii="Times New Roman Regular" w:hAnsi="Times New Roman Regular" w:cs="Times New Roman Regular"/>
          <w:sz w:val="24"/>
          <w:szCs w:val="24"/>
          <w:u w:val="single"/>
        </w:rPr>
        <w:t>English in subscene’s Indonesian subtitle of superhero movie: How does it affect the audience?</w:t>
      </w:r>
      <w:r>
        <w:rPr>
          <w:rFonts w:hint="default" w:ascii="Times New Roman Regular" w:hAnsi="Times New Roman Regular" w:cs="Times New Roman Regular"/>
          <w:sz w:val="24"/>
          <w:szCs w:val="24"/>
        </w:rPr>
        <w:t xml:space="preserve">,” Proceedings of the UNNES International Conference on English Language Teaching, Literature, and Translation (ELTLT 2018) [Preprint]. Available at: https://doi.org/10.2991/eltlt-18.2019.4.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t>Paudyal, N.Y. (20</w:t>
      </w:r>
      <w:r>
        <w:rPr>
          <w:rFonts w:hint="default" w:ascii="Times New Roman Regular" w:hAnsi="Times New Roman Regular" w:cs="Times New Roman Regular"/>
          <w:sz w:val="24"/>
          <w:szCs w:val="24"/>
          <w:lang w:eastAsia="zh-Hans"/>
        </w:rPr>
        <w:t>14</w:t>
      </w:r>
      <w:r>
        <w:rPr>
          <w:rFonts w:hint="default" w:ascii="Times New Roman Regular" w:hAnsi="Times New Roman Regular" w:cs="Times New Roman Regular"/>
          <w:sz w:val="24"/>
          <w:szCs w:val="24"/>
          <w:lang w:val="en-US" w:eastAsia="zh-Hans"/>
        </w:rPr>
        <w:t>)</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u w:val="single"/>
        </w:rPr>
        <w:t>Parables that teach and portray business strategy</w:t>
      </w:r>
      <w:r>
        <w:rPr>
          <w:rFonts w:hint="default" w:ascii="Times New Roman Regular" w:hAnsi="Times New Roman Regular" w:cs="Times New Roman Regular"/>
          <w:sz w:val="24"/>
          <w:szCs w:val="24"/>
        </w:rPr>
        <w:t xml:space="preserve">” Business Strategy, pp. 53–54. Available at: https://doi.org/10.1002/9781118896006.part2.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Lindgren, P. (2018)</w:t>
      </w:r>
      <w:r>
        <w:rPr>
          <w:rFonts w:hint="eastAsia"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u w:val="single"/>
        </w:rPr>
        <w:t>The Multi Business Model Innovation Approach</w:t>
      </w:r>
      <w:r>
        <w:rPr>
          <w:rFonts w:hint="eastAsia"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rPr>
        <w:t xml:space="preserve">, pp. 1–244. Available at: https://doi.org/10.13052/rp-9788793609655.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Molenaar, C. (2022) “</w:t>
      </w:r>
      <w:r>
        <w:rPr>
          <w:rFonts w:hint="default" w:ascii="Times New Roman Regular" w:hAnsi="Times New Roman Regular" w:cs="Times New Roman Regular"/>
          <w:sz w:val="24"/>
          <w:szCs w:val="24"/>
          <w:u w:val="single"/>
        </w:rPr>
        <w:t>Building a demand-driven business model</w:t>
      </w:r>
      <w:r>
        <w:rPr>
          <w:rFonts w:hint="default" w:ascii="Times New Roman Regular" w:hAnsi="Times New Roman Regular" w:cs="Times New Roman Regular"/>
          <w:sz w:val="24"/>
          <w:szCs w:val="24"/>
        </w:rPr>
        <w:t xml:space="preserve">,”Demand-Driven Business Strategy, pp. 71–82. Available at: https://doi.org/10.4324/9781003226161-7.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Abeyratne, R.I.R. (2018) “</w:t>
      </w:r>
      <w:r>
        <w:rPr>
          <w:rFonts w:hint="default" w:ascii="Times New Roman Regular" w:hAnsi="Times New Roman Regular" w:cs="Times New Roman Regular"/>
          <w:sz w:val="24"/>
          <w:szCs w:val="24"/>
          <w:u w:val="single"/>
        </w:rPr>
        <w:t>Competition rules in commercial aviation</w:t>
      </w:r>
      <w:r>
        <w:rPr>
          <w:rFonts w:hint="default" w:ascii="Times New Roman Regular" w:hAnsi="Times New Roman Regular" w:cs="Times New Roman Regular"/>
          <w:sz w:val="24"/>
          <w:szCs w:val="24"/>
        </w:rPr>
        <w:t xml:space="preserve">,” Emergent Commercial Trends and Aviation Safety, pp. 3–47. Available at: https://doi.org/10.4324/9780429460104-1.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u w:val="single"/>
        </w:rPr>
        <w:t>Business-to-business market segmentation</w:t>
      </w:r>
      <w:r>
        <w:rPr>
          <w:rFonts w:hint="default" w:ascii="Times New Roman Regular" w:hAnsi="Times New Roman Regular" w:cs="Times New Roman Regular"/>
          <w:sz w:val="24"/>
          <w:szCs w:val="24"/>
        </w:rPr>
        <w:t xml:space="preserve">” (2022) Handbook of Business-to-Business Marketing, pp. 185–204. Available at: https://doi.org/10.4337/9781800376878.00020.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u w:val="single"/>
        </w:rPr>
        <w:t>Commercial and legal certainty</w:t>
      </w:r>
      <w:r>
        <w:rPr>
          <w:rFonts w:hint="default" w:ascii="Times New Roman Regular" w:hAnsi="Times New Roman Regular" w:cs="Times New Roman Regular"/>
          <w:sz w:val="24"/>
          <w:szCs w:val="24"/>
        </w:rPr>
        <w:t xml:space="preserve">” (2020) Competition, Effects and Predictability [Preprint]. Available at: https://doi.org/10.5040/9781509926084.ch-006.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Costello, L. (2017) “</w:t>
      </w:r>
      <w:r>
        <w:rPr>
          <w:rFonts w:hint="default" w:ascii="Times New Roman Regular" w:hAnsi="Times New Roman Regular" w:cs="Times New Roman Regular"/>
          <w:sz w:val="24"/>
          <w:szCs w:val="24"/>
          <w:u w:val="single"/>
        </w:rPr>
        <w:t>Demand-driven acquisitions</w:t>
      </w:r>
      <w:r>
        <w:rPr>
          <w:rFonts w:hint="default" w:ascii="Times New Roman Regular" w:hAnsi="Times New Roman Regular" w:cs="Times New Roman Regular"/>
          <w:sz w:val="24"/>
          <w:szCs w:val="24"/>
        </w:rPr>
        <w:t xml:space="preserve">,” Evaluating Demand-Driven Acquisitions, pp. 21–41. Available at: https://doi.org/10.1016/b978-0-08-100946-8.00002-8.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u w:val="single"/>
        </w:rPr>
        <w:t>Driven by real demand</w:t>
      </w:r>
      <w:r>
        <w:rPr>
          <w:rFonts w:hint="default" w:ascii="Times New Roman Regular" w:hAnsi="Times New Roman Regular" w:cs="Times New Roman Regular"/>
          <w:sz w:val="24"/>
          <w:szCs w:val="24"/>
        </w:rPr>
        <w:t xml:space="preserve">” (2014) Protean Supply Chains, pp. 13–33. Available at: https://doi.org/10.1002/9781118759721.ch2.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Molenaar, C. (2022) “</w:t>
      </w:r>
      <w:r>
        <w:rPr>
          <w:rFonts w:hint="default" w:ascii="Times New Roman Regular" w:hAnsi="Times New Roman Regular" w:cs="Times New Roman Regular"/>
          <w:sz w:val="24"/>
          <w:szCs w:val="24"/>
          <w:u w:val="single"/>
        </w:rPr>
        <w:t>Demand-driven versus supply-driven</w:t>
      </w:r>
      <w:r>
        <w:rPr>
          <w:rFonts w:hint="default" w:ascii="Times New Roman Regular" w:hAnsi="Times New Roman Regular" w:cs="Times New Roman Regular"/>
          <w:sz w:val="24"/>
          <w:szCs w:val="24"/>
        </w:rPr>
        <w:t xml:space="preserve">,” Demand-Driven Business Strategy, pp. 9–16. Available at: https://doi.org/10.4324/9781003226161-2.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Molenaar, C. (2022) “</w:t>
      </w:r>
      <w:r>
        <w:rPr>
          <w:rFonts w:hint="default" w:ascii="Times New Roman Regular" w:hAnsi="Times New Roman Regular" w:cs="Times New Roman Regular"/>
          <w:sz w:val="24"/>
          <w:szCs w:val="24"/>
          <w:u w:val="single"/>
        </w:rPr>
        <w:t>Shifting from a supply-driven to a demand-driven economy</w:t>
      </w:r>
      <w:r>
        <w:rPr>
          <w:rFonts w:hint="default" w:ascii="Times New Roman Regular" w:hAnsi="Times New Roman Regular" w:cs="Times New Roman Regular"/>
          <w:sz w:val="24"/>
          <w:szCs w:val="24"/>
        </w:rPr>
        <w:t xml:space="preserve">,” Demand-Driven Business Strategy, pp. 17–30. Available at: https://doi.org/10.4324/9781003226161-3.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Molenaar, C. (2022) “</w:t>
      </w:r>
      <w:r>
        <w:rPr>
          <w:rFonts w:hint="default" w:ascii="Times New Roman Regular" w:hAnsi="Times New Roman Regular" w:cs="Times New Roman Regular"/>
          <w:sz w:val="24"/>
          <w:szCs w:val="24"/>
          <w:u w:val="single"/>
        </w:rPr>
        <w:t>Transforming existing business to succeed in a demand-driven economy</w:t>
      </w:r>
      <w:r>
        <w:rPr>
          <w:rFonts w:hint="default" w:ascii="Times New Roman Regular" w:hAnsi="Times New Roman Regular" w:cs="Times New Roman Regular"/>
          <w:sz w:val="24"/>
          <w:szCs w:val="24"/>
        </w:rPr>
        <w:t xml:space="preserve">,” Demand-Driven Business Strategy, pp. 60–70. Available at: https://doi.org/10.4324/9781003226161-6.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Nebbia, P. (2020) “</w:t>
      </w:r>
      <w:r>
        <w:rPr>
          <w:rFonts w:hint="default" w:ascii="Times New Roman Regular" w:hAnsi="Times New Roman Regular" w:cs="Times New Roman Regular"/>
          <w:sz w:val="24"/>
          <w:szCs w:val="24"/>
          <w:u w:val="single"/>
        </w:rPr>
        <w:t>9. competition law and consumer protection against unfair commercial practices: A more- than- complementary relationship?</w:t>
      </w:r>
      <w:r>
        <w:rPr>
          <w:rFonts w:hint="default" w:ascii="Times New Roman Regular" w:hAnsi="Times New Roman Regular" w:cs="Times New Roman Regular"/>
          <w:sz w:val="24"/>
          <w:szCs w:val="24"/>
        </w:rPr>
        <w:t xml:space="preserve">,” The Global Limits of Competition Law, pp. 127–138. Available at: https://doi.org/10.1515/9780804782678-012.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Soyoung Cho (2017) “</w:t>
      </w:r>
      <w:r>
        <w:rPr>
          <w:rFonts w:hint="default" w:ascii="Times New Roman Regular" w:hAnsi="Times New Roman Regular" w:cs="Times New Roman Regular"/>
          <w:sz w:val="24"/>
          <w:szCs w:val="24"/>
          <w:u w:val="single"/>
        </w:rPr>
        <w:t>A constitutional study of advertisement regulation - centering around commercial advertisement -</w:t>
      </w:r>
      <w:r>
        <w:rPr>
          <w:rFonts w:hint="default" w:ascii="Times New Roman Regular" w:hAnsi="Times New Roman Regular" w:cs="Times New Roman Regular"/>
          <w:sz w:val="24"/>
          <w:szCs w:val="24"/>
        </w:rPr>
        <w:t xml:space="preserve">,” Public Law Journal, 18(3), pp. 225–251. Available at: https://doi.org/10.31779/plj.18.3.201708.009.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Bakken, C. (2011) “</w:t>
      </w:r>
      <w:r>
        <w:rPr>
          <w:rFonts w:hint="default" w:ascii="Times New Roman Regular" w:hAnsi="Times New Roman Regular" w:cs="Times New Roman Regular"/>
          <w:sz w:val="24"/>
          <w:szCs w:val="24"/>
          <w:u w:val="single"/>
        </w:rPr>
        <w:t>Analyzing data from the Park</w:t>
      </w:r>
      <w:r>
        <w:rPr>
          <w:rFonts w:hint="default" w:ascii="Times New Roman Regular" w:hAnsi="Times New Roman Regular" w:cs="Times New Roman Regular"/>
          <w:sz w:val="24"/>
          <w:szCs w:val="24"/>
        </w:rPr>
        <w:t xml:space="preserve">,” Amusement Park Physics, pp. 43–54. Available at: https://doi.org/10.1063/9780735420427_003.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Bakken, C. (2011) “</w:t>
      </w:r>
      <w:r>
        <w:rPr>
          <w:rFonts w:hint="default" w:ascii="Times New Roman Regular" w:hAnsi="Times New Roman Regular" w:cs="Times New Roman Regular"/>
          <w:sz w:val="24"/>
          <w:szCs w:val="24"/>
          <w:u w:val="single"/>
        </w:rPr>
        <w:t>Taking a class to physics day</w:t>
      </w:r>
      <w:r>
        <w:rPr>
          <w:rFonts w:hint="default" w:ascii="Times New Roman Regular" w:hAnsi="Times New Roman Regular" w:cs="Times New Roman Regular"/>
          <w:sz w:val="24"/>
          <w:szCs w:val="24"/>
        </w:rPr>
        <w:t xml:space="preserve">,” Amusement Park Physics, pp. 55–97. Available at: https://doi.org/10.1063/9780735420427_004.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Hsu, Y.W. et al. (2008) “</w:t>
      </w:r>
      <w:r>
        <w:rPr>
          <w:rFonts w:hint="default" w:ascii="Times New Roman Regular" w:hAnsi="Times New Roman Regular" w:cs="Times New Roman Regular"/>
          <w:sz w:val="24"/>
          <w:szCs w:val="24"/>
          <w:u w:val="single"/>
        </w:rPr>
        <w:t>Research on recognition of graphic symbols in Amusement Park: A case study of taiwan’s Theme Amusement Park</w:t>
      </w:r>
      <w:r>
        <w:rPr>
          <w:rFonts w:hint="default" w:ascii="Times New Roman Regular" w:hAnsi="Times New Roman Regular" w:cs="Times New Roman Regular"/>
          <w:sz w:val="24"/>
          <w:szCs w:val="24"/>
        </w:rPr>
        <w:t xml:space="preserve">,” Asian Journal on Quality, 9(2), pp. 79–89. Available at: https://doi.org/10.1108/15982688200800018.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Nathan, A. (2014) “</w:t>
      </w:r>
      <w:r>
        <w:rPr>
          <w:rFonts w:hint="default" w:ascii="Times New Roman Regular" w:hAnsi="Times New Roman Regular" w:cs="Times New Roman Regular"/>
          <w:sz w:val="24"/>
          <w:szCs w:val="24"/>
          <w:u w:val="single"/>
        </w:rPr>
        <w:t>Gwynn Oak Amusement park protest movement</w:t>
      </w:r>
      <w:r>
        <w:rPr>
          <w:rFonts w:hint="default" w:ascii="Times New Roman Regular" w:hAnsi="Times New Roman Regular" w:cs="Times New Roman Regular"/>
          <w:sz w:val="24"/>
          <w:szCs w:val="24"/>
        </w:rPr>
        <w:t xml:space="preserve">,” African American Studies Center [Preprint]. Available at: https://doi.org/10.1093/acref/9780195301731.013.50380.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Wood, J. and Öz, B.N. (2017) “</w:t>
      </w:r>
      <w:r>
        <w:rPr>
          <w:rFonts w:hint="default" w:ascii="Times New Roman Regular" w:hAnsi="Times New Roman Regular" w:cs="Times New Roman Regular"/>
          <w:sz w:val="24"/>
          <w:szCs w:val="24"/>
          <w:u w:val="single"/>
        </w:rPr>
        <w:t>The Turkish Amusement Park</w:t>
      </w:r>
      <w:r>
        <w:rPr>
          <w:rFonts w:hint="default" w:ascii="Times New Roman Regular" w:hAnsi="Times New Roman Regular" w:cs="Times New Roman Regular"/>
          <w:sz w:val="24"/>
          <w:szCs w:val="24"/>
        </w:rPr>
        <w:t xml:space="preserve">,” The Amusement Park, pp. 98–119. Available at: https://doi.org/10.4324/9781315612409-5.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u w:val="single"/>
        </w:rPr>
        <w:t>Brochures, World Heritage Sites in China and responsible tourism: The Tourism Services Perspective</w:t>
      </w:r>
      <w:r>
        <w:rPr>
          <w:rFonts w:hint="default" w:ascii="Times New Roman Regular" w:hAnsi="Times New Roman Regular" w:cs="Times New Roman Regular"/>
          <w:sz w:val="24"/>
          <w:szCs w:val="24"/>
        </w:rPr>
        <w:t xml:space="preserve">” (2009) Tourism in China, pp. 231–242. Available at: https://doi.org/10.4324/9780203886366-23.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Li, M., Liu, T. and Qiu, S. (2019) “</w:t>
      </w:r>
      <w:r>
        <w:rPr>
          <w:rFonts w:hint="default" w:ascii="Times New Roman Regular" w:hAnsi="Times New Roman Regular" w:cs="Times New Roman Regular"/>
          <w:sz w:val="24"/>
          <w:szCs w:val="24"/>
          <w:u w:val="single"/>
        </w:rPr>
        <w:t>Governance of Sustainable Tourism Development in China</w:t>
      </w:r>
      <w:r>
        <w:rPr>
          <w:rFonts w:hint="default" w:ascii="Times New Roman Regular" w:hAnsi="Times New Roman Regular" w:cs="Times New Roman Regular"/>
          <w:sz w:val="24"/>
          <w:szCs w:val="24"/>
        </w:rPr>
        <w:t xml:space="preserve">,” Journal of China Tourism Research, 16(2), pp. 261–278. Available at: https://doi.org/10.1080/19388160.2019.1637317.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Wu, T.-P. (2019) “</w:t>
      </w:r>
      <w:r>
        <w:rPr>
          <w:rFonts w:hint="default" w:ascii="Times New Roman Regular" w:hAnsi="Times New Roman Regular" w:cs="Times New Roman Regular"/>
          <w:sz w:val="24"/>
          <w:szCs w:val="24"/>
          <w:u w:val="single"/>
        </w:rPr>
        <w:t>Does tourism affect house prices? evidence from China</w:t>
      </w:r>
      <w:r>
        <w:rPr>
          <w:rFonts w:hint="default" w:ascii="Times New Roman Regular" w:hAnsi="Times New Roman Regular" w:cs="Times New Roman Regular"/>
          <w:sz w:val="24"/>
          <w:szCs w:val="24"/>
        </w:rPr>
        <w:t xml:space="preserve">,” Journal of China Tourism Research, 15(4), pp. 490–502. Available at: https://doi.org/10.1080/19388160.2019.1582449.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Yang, J. and Xu, H. (2022) “</w:t>
      </w:r>
      <w:r>
        <w:rPr>
          <w:rFonts w:hint="default" w:ascii="Times New Roman Regular" w:hAnsi="Times New Roman Regular" w:cs="Times New Roman Regular"/>
          <w:sz w:val="24"/>
          <w:szCs w:val="24"/>
          <w:u w:val="single"/>
        </w:rPr>
        <w:t>Tourism Higher Education Collaboration in China</w:t>
      </w:r>
      <w:r>
        <w:rPr>
          <w:rFonts w:hint="default" w:ascii="Times New Roman Regular" w:hAnsi="Times New Roman Regular" w:cs="Times New Roman Regular"/>
          <w:sz w:val="24"/>
          <w:szCs w:val="24"/>
        </w:rPr>
        <w:t xml:space="preserve">,” Journal of China Tourism Research, pp. 1–24. Available at: https://doi.org/10.1080/19388160.2022.2085833. </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Zhang, J. (2015) “</w:t>
      </w:r>
      <w:r>
        <w:rPr>
          <w:rFonts w:hint="default" w:ascii="Times New Roman Regular" w:hAnsi="Times New Roman Regular" w:cs="Times New Roman Regular"/>
          <w:sz w:val="24"/>
          <w:szCs w:val="24"/>
          <w:u w:val="single"/>
        </w:rPr>
        <w:t>Tourism research co-authorship networks in China</w:t>
      </w:r>
      <w:r>
        <w:rPr>
          <w:rFonts w:hint="default" w:ascii="Times New Roman Regular" w:hAnsi="Times New Roman Regular" w:cs="Times New Roman Regular"/>
          <w:sz w:val="24"/>
          <w:szCs w:val="24"/>
        </w:rPr>
        <w:t xml:space="preserve">,” Journal of China Tourism Research, 11(4), pp. 424–439. Available at: https://doi.org/10.1080/19388160.2015.1108889.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4F4D75"/>
    <w:multiLevelType w:val="singleLevel"/>
    <w:tmpl w:val="124F4D7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BEFB4"/>
    <w:rsid w:val="1F7F6BB8"/>
    <w:rsid w:val="1FFFAD95"/>
    <w:rsid w:val="35F17908"/>
    <w:rsid w:val="3EF3E95E"/>
    <w:rsid w:val="3FFBEFB4"/>
    <w:rsid w:val="457FA5E7"/>
    <w:rsid w:val="6687DECD"/>
    <w:rsid w:val="ABF79511"/>
    <w:rsid w:val="C7778620"/>
    <w:rsid w:val="DBBDCC53"/>
    <w:rsid w:val="E90B393C"/>
    <w:rsid w:val="FFB73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Office_4.4.1.7360_F1E327BC-269C-435d-A152-05C5408002CA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2018-12-13T23:06:00Z</dcterms:created>
  <dc:creator> </dc:creator>
  <cp:lastModifiedBy>Bling</cp:lastModifiedBy>
  <dcterms:modified xsi:type="dcterms:W3CDTF">2022-12-11T17:27:41Z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2052-4.4.1.7360</vt:lpwstr>
  </property>
  <property fmtid="{D5CDD505-2E9C-101B-9397-08002B2CF9AE}" pid="3" name="ICV">
    <vt:lpwstr>7D88A64332FF713060B094632B3B81D2</vt:lpwstr>
  </property>
</Properties>
</file>