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Override ContentType="application/vnd.openxmlformats-officedocument.wordprocessingml.header+xml" PartName="/word/header1.xml"/>
  <Override ContentType="application/vnd.openxmlformats-officedocument.wordprocessingml.footer+xml" PartName="/word/footer1.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keepNext w:val="false"/>
        <w:spacing w:after="900"/>
        <w:jc w:val="center"/>
      </w:pPr>
      <w:r>
        <w:rPr>
          <w:rFonts w:ascii="Arial" w:cs="Arial" w:eastAsia="Arial" w:hAnsi="Arial"/>
          <w:b/>
          <w:bCs/>
          <w:i w:val="false"/>
          <w:iCs w:val="false"/>
          <w:color w:val="1F3864"/>
          <w:sz w:val="24"/>
          <w:szCs w:val="24"/>
        </w:rPr>
        <w:t xml:space="preserve">UNIVERSITY OF WALES TRINITY SAINT DAVID</w:t>
      </w:r>
    </w:p>
    <w:p>
      <w:pPr>
        <w:keepNext w:val="false"/>
        <w:spacing w:after="220"/>
        <w:jc w:val="center"/>
      </w:pPr>
      <w:r>
        <w:rPr>
          <w:rFonts w:ascii="Arial" w:cs="Arial" w:eastAsia="Arial" w:hAnsi="Arial"/>
          <w:b/>
          <w:bCs/>
          <w:i w:val="false"/>
          <w:iCs w:val="false"/>
          <w:color w:val="1F3864"/>
          <w:sz w:val="38"/>
          <w:szCs w:val="38"/>
        </w:rPr>
        <w:t xml:space="preserve">Problem Solving and Decision Making</w:t>
      </w:r>
    </w:p>
    <w:p>
      <w:pPr>
        <w:keepNext w:val="false"/>
        <w:spacing w:after="900"/>
        <w:jc w:val="center"/>
      </w:pPr>
      <w:r>
        <w:rPr>
          <w:rFonts w:ascii="Arial" w:cs="Arial" w:eastAsia="Arial" w:hAnsi="Arial"/>
          <w:b/>
          <w:bCs/>
          <w:i w:val="false"/>
          <w:iCs w:val="false"/>
          <w:color w:val="000000"/>
          <w:sz w:val="30"/>
          <w:szCs w:val="30"/>
        </w:rPr>
        <w:t xml:space="preserve">Component 2 Report: Basil's Bakery</w:t>
      </w:r>
    </w:p>
    <w:tbl>
      <w:tblPr>
        <w:tblW w:type="dxa" w:w="9638"/>
        <w:tblBorders>
          <w:top w:val="single" w:color="auto" w:sz="4"/>
          <w:left w:val="single" w:color="auto" w:sz="4"/>
          <w:bottom w:val="single" w:color="auto" w:sz="4"/>
          <w:right w:val="single" w:color="auto" w:sz="4"/>
          <w:insideH w:val="single" w:color="auto" w:sz="4"/>
          <w:insideV w:val="single" w:color="auto" w:sz="4"/>
        </w:tblBorders>
        <w:tblLayout w:type="fixed"/>
      </w:tblPr>
      <w:tblGrid>
        <w:gridCol w:w="3000"/>
        <w:gridCol w:w="6638"/>
      </w:tblGrid>
      <w:tr>
        <w:trPr>
          <w:tblHeader/>
        </w:trPr>
        <w:tc>
          <w:tcPr>
            <w:tcW w:type="dxa" w:w="3000"/>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22"/>
                <w:szCs w:val="22"/>
              </w:rPr>
              <w:t xml:space="preserve">Student information</w:t>
            </w:r>
          </w:p>
        </w:tc>
        <w:tc>
          <w:tcPr>
            <w:tcW w:type="dxa" w:w="6638"/>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22"/>
                <w:szCs w:val="22"/>
              </w:rPr>
              <w:t xml:space="preserve">Details</w:t>
            </w:r>
          </w:p>
        </w:tc>
      </w:tr>
      <w:tr>
        <w:tc>
          <w:tcPr>
            <w:tcW w:type="dxa" w:w="30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2"/>
                <w:szCs w:val="22"/>
              </w:rPr>
              <w:t xml:space="preserve">Student Name</w:t>
            </w:r>
          </w:p>
        </w:tc>
        <w:tc>
          <w:tcPr>
            <w:tcW w:type="dxa" w:w="66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2"/>
                <w:szCs w:val="22"/>
              </w:rPr>
              <w:t xml:space="preserve">[Insert student name]</w:t>
            </w:r>
          </w:p>
        </w:tc>
      </w:tr>
      <w:tr>
        <w:tc>
          <w:tcPr>
            <w:tcW w:type="dxa" w:w="30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2"/>
                <w:szCs w:val="22"/>
              </w:rPr>
              <w:t xml:space="preserve">Student Number</w:t>
            </w:r>
          </w:p>
        </w:tc>
        <w:tc>
          <w:tcPr>
            <w:tcW w:type="dxa" w:w="66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2"/>
                <w:szCs w:val="22"/>
              </w:rPr>
              <w:t xml:space="preserve">[Insert student number]</w:t>
            </w:r>
          </w:p>
        </w:tc>
      </w:tr>
      <w:tr>
        <w:tc>
          <w:tcPr>
            <w:tcW w:type="dxa" w:w="30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2"/>
                <w:szCs w:val="22"/>
              </w:rPr>
              <w:t xml:space="preserve">Module Code</w:t>
            </w:r>
          </w:p>
        </w:tc>
        <w:tc>
          <w:tcPr>
            <w:tcW w:type="dxa" w:w="66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2"/>
                <w:szCs w:val="22"/>
              </w:rPr>
              <w:t xml:space="preserve">LCLM4004</w:t>
            </w:r>
          </w:p>
        </w:tc>
      </w:tr>
      <w:tr>
        <w:tc>
          <w:tcPr>
            <w:tcW w:type="dxa" w:w="30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2"/>
                <w:szCs w:val="22"/>
              </w:rPr>
              <w:t xml:space="preserve">Lecturer's Name</w:t>
            </w:r>
          </w:p>
        </w:tc>
        <w:tc>
          <w:tcPr>
            <w:tcW w:type="dxa" w:w="66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2"/>
                <w:szCs w:val="22"/>
              </w:rPr>
              <w:t xml:space="preserve">[Insert lecturer's name]</w:t>
            </w:r>
          </w:p>
        </w:tc>
      </w:tr>
      <w:tr>
        <w:tc>
          <w:tcPr>
            <w:tcW w:type="dxa" w:w="30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2"/>
                <w:szCs w:val="22"/>
              </w:rPr>
              <w:t xml:space="preserve">Submission Date</w:t>
            </w:r>
          </w:p>
        </w:tc>
        <w:tc>
          <w:tcPr>
            <w:tcW w:type="dxa" w:w="66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2"/>
                <w:szCs w:val="22"/>
              </w:rPr>
              <w:t xml:space="preserve">[Insert submission date]</w:t>
            </w:r>
          </w:p>
        </w:tc>
      </w:tr>
    </w:tbl>
    <w:p>
      <w:pPr>
        <w:keepNext w:val="false"/>
        <w:spacing w:after="0" w:before="900" w:line="360"/>
        <w:jc w:val="center"/>
      </w:pPr>
      <w:r>
        <w:rPr>
          <w:rFonts w:ascii="Arial" w:cs="Arial" w:eastAsia="Arial" w:hAnsi="Arial"/>
          <w:b w:val="false"/>
          <w:bCs w:val="false"/>
          <w:i/>
          <w:iCs/>
          <w:color w:val="000000"/>
          <w:sz w:val="24"/>
          <w:szCs w:val="24"/>
        </w:rPr>
        <w:t xml:space="preserve">Word count: approximately 1,500 words, excluding the cover page, contents page, reference list and appendices.</w:t>
      </w:r>
    </w:p>
    <w:p>
      <w:r>
        <w:br w:type="page"/>
      </w:r>
    </w:p>
    <w:p>
      <w:pPr>
        <w:pStyle w:val="Heading1"/>
        <w:keepNext/>
      </w:pPr>
      <w:r>
        <w:t xml:space="preserve">Contents</w:t>
      </w:r>
    </w:p>
    <w:p>
      <w:pPr>
        <w:keepNext w:val="false"/>
        <w:spacing w:after="160" w:line="360"/>
      </w:pPr>
      <w:r>
        <w:rPr>
          <w:rFonts w:ascii="Arial" w:cs="Arial" w:eastAsia="Arial" w:hAnsi="Arial"/>
          <w:b w:val="false"/>
          <w:bCs w:val="false"/>
          <w:i/>
          <w:iCs/>
          <w:color w:val="000000"/>
          <w:sz w:val="24"/>
          <w:szCs w:val="24"/>
        </w:rPr>
        <w:t xml:space="preserve">Page numbers should be checked and updated after final editing in Microsoft Word.</w:t>
      </w:r>
    </w:p>
    <w:tbl>
      <w:tblPr>
        <w:tblW w:type="dxa" w:w="9638"/>
        <w:tblBorders>
          <w:top w:val="single" w:color="auto" w:sz="4"/>
          <w:left w:val="single" w:color="auto" w:sz="4"/>
          <w:bottom w:val="single" w:color="auto" w:sz="4"/>
          <w:right w:val="single" w:color="auto" w:sz="4"/>
          <w:insideH w:val="single" w:color="auto" w:sz="4"/>
          <w:insideV w:val="single" w:color="auto" w:sz="4"/>
        </w:tblBorders>
        <w:tblLayout w:type="fixed"/>
      </w:tblPr>
      <w:tblGrid>
        <w:gridCol w:w="8538"/>
        <w:gridCol w:w="1100"/>
      </w:tblGrid>
      <w:tr>
        <w:trPr>
          <w:tblHeader/>
        </w:trPr>
        <w:tc>
          <w:tcPr>
            <w:tcW w:type="dxa" w:w="8538"/>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20"/>
                <w:szCs w:val="20"/>
              </w:rPr>
              <w:t xml:space="preserve">Section</w:t>
            </w:r>
          </w:p>
        </w:tc>
        <w:tc>
          <w:tcPr>
            <w:tcW w:type="dxa" w:w="1100"/>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20"/>
                <w:szCs w:val="20"/>
              </w:rPr>
              <w:t xml:space="preserve">Page</w:t>
            </w:r>
          </w:p>
        </w:tc>
      </w:tr>
      <w:tr>
        <w:tc>
          <w:tcPr>
            <w:tcW w:type="dxa" w:w="85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Task 1: Overview of the case study</w:t>
            </w:r>
          </w:p>
        </w:tc>
        <w:tc>
          <w:tcPr>
            <w:tcW w:type="dxa" w:w="11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3</w:t>
            </w:r>
          </w:p>
        </w:tc>
      </w:tr>
      <w:tr>
        <w:tc>
          <w:tcPr>
            <w:tcW w:type="dxa" w:w="85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Task 2: Two proposed solutions</w:t>
            </w:r>
          </w:p>
        </w:tc>
        <w:tc>
          <w:tcPr>
            <w:tcW w:type="dxa" w:w="11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3</w:t>
            </w:r>
          </w:p>
        </w:tc>
      </w:tr>
      <w:tr>
        <w:tc>
          <w:tcPr>
            <w:tcW w:type="dxa" w:w="85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Task 3b: Evaluation results and preferred solution</w:t>
            </w:r>
          </w:p>
        </w:tc>
        <w:tc>
          <w:tcPr>
            <w:tcW w:type="dxa" w:w="11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4</w:t>
            </w:r>
          </w:p>
        </w:tc>
      </w:tr>
      <w:tr>
        <w:tc>
          <w:tcPr>
            <w:tcW w:type="dxa" w:w="85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Task 4b: Reasons for the implementation plan</w:t>
            </w:r>
          </w:p>
        </w:tc>
        <w:tc>
          <w:tcPr>
            <w:tcW w:type="dxa" w:w="11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4</w:t>
            </w:r>
          </w:p>
        </w:tc>
      </w:tr>
      <w:tr>
        <w:tc>
          <w:tcPr>
            <w:tcW w:type="dxa" w:w="85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Task 5b: Monitoring and evaluating the solution</w:t>
            </w:r>
          </w:p>
        </w:tc>
        <w:tc>
          <w:tcPr>
            <w:tcW w:type="dxa" w:w="11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5</w:t>
            </w:r>
          </w:p>
        </w:tc>
      </w:tr>
      <w:tr>
        <w:tc>
          <w:tcPr>
            <w:tcW w:type="dxa" w:w="85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Task 6: Key findings</w:t>
            </w:r>
          </w:p>
        </w:tc>
        <w:tc>
          <w:tcPr>
            <w:tcW w:type="dxa" w:w="11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5</w:t>
            </w:r>
          </w:p>
        </w:tc>
      </w:tr>
      <w:tr>
        <w:tc>
          <w:tcPr>
            <w:tcW w:type="dxa" w:w="85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Reference list</w:t>
            </w:r>
          </w:p>
        </w:tc>
        <w:tc>
          <w:tcPr>
            <w:tcW w:type="dxa" w:w="11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6</w:t>
            </w:r>
          </w:p>
        </w:tc>
      </w:tr>
      <w:tr>
        <w:tc>
          <w:tcPr>
            <w:tcW w:type="dxa" w:w="85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Appendix 1: PMI evaluation</w:t>
            </w:r>
          </w:p>
        </w:tc>
        <w:tc>
          <w:tcPr>
            <w:tcW w:type="dxa" w:w="11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7</w:t>
            </w:r>
          </w:p>
        </w:tc>
      </w:tr>
      <w:tr>
        <w:tc>
          <w:tcPr>
            <w:tcW w:type="dxa" w:w="85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Appendix 2: Implementation plan</w:t>
            </w:r>
          </w:p>
        </w:tc>
        <w:tc>
          <w:tcPr>
            <w:tcW w:type="dxa" w:w="11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9</w:t>
            </w:r>
          </w:p>
        </w:tc>
      </w:tr>
      <w:tr>
        <w:tc>
          <w:tcPr>
            <w:tcW w:type="dxa" w:w="85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Appendix 3: KPI and SMART objectives</w:t>
            </w:r>
          </w:p>
        </w:tc>
        <w:tc>
          <w:tcPr>
            <w:tcW w:type="dxa" w:w="11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20"/>
                <w:szCs w:val="20"/>
              </w:rPr>
              <w:t xml:space="preserve">10</w:t>
            </w:r>
          </w:p>
        </w:tc>
      </w:tr>
    </w:tbl>
    <w:p>
      <w:r>
        <w:br w:type="page"/>
      </w:r>
    </w:p>
    <w:p>
      <w:pPr>
        <w:pStyle w:val="Heading1"/>
        <w:keepNext/>
      </w:pPr>
      <w:r>
        <w:t xml:space="preserve">Task 1: Overview of the Case Study</w:t>
      </w:r>
    </w:p>
    <w:p>
      <w:pPr>
        <w:keepNext w:val="false"/>
        <w:spacing w:after="160" w:line="360"/>
      </w:pPr>
      <w:r>
        <w:rPr>
          <w:rFonts w:ascii="Arial" w:cs="Arial" w:eastAsia="Arial" w:hAnsi="Arial"/>
          <w:b w:val="false"/>
          <w:bCs w:val="false"/>
          <w:i w:val="false"/>
          <w:iCs w:val="false"/>
          <w:color w:val="000000"/>
          <w:sz w:val="24"/>
          <w:szCs w:val="24"/>
        </w:rPr>
        <w:t xml:space="preserve">Basil's Bakery is a small independent bakery in a Coventry retail park. Its main problem is that sales remain around 25% below the 2019 level, while costs such as rent, utilities, insurance and organic ingredients have increased. The fall in sales is linked to lower retail-park footfall, shop closures, redundancies and hybrid working. These changes mean fewer shoppers and workers visit the bakery. The business also depends mainly on walk-in customers. Telephone pre-orders are sometimes missed and delivery is unavailable. Therefore, the root problem is not poor product quality, but an outdated sales method that no longer matches customers' need for convenience and remote ordering (Office for National Statistics, 2024).</w:t>
      </w:r>
    </w:p>
    <w:p>
      <w:pPr>
        <w:pStyle w:val="Heading1"/>
        <w:keepNext/>
      </w:pPr>
      <w:r>
        <w:t xml:space="preserve">Task 2: Two Proposed Solutions</w:t>
      </w:r>
    </w:p>
    <w:p>
      <w:pPr>
        <w:pStyle w:val="Heading2"/>
        <w:keepNext/>
      </w:pPr>
      <w:r>
        <w:t xml:space="preserve">Solution A: Online Pre-order and Click-and-Collect</w:t>
      </w:r>
    </w:p>
    <w:p>
      <w:pPr>
        <w:keepNext w:val="false"/>
        <w:spacing w:after="160" w:line="360"/>
      </w:pPr>
      <w:r>
        <w:rPr>
          <w:rFonts w:ascii="Arial" w:cs="Arial" w:eastAsia="Arial" w:hAnsi="Arial"/>
          <w:b w:val="false"/>
          <w:bCs w:val="false"/>
          <w:i w:val="false"/>
          <w:iCs w:val="false"/>
          <w:color w:val="000000"/>
          <w:sz w:val="24"/>
          <w:szCs w:val="24"/>
        </w:rPr>
        <w:t xml:space="preserve">The first solution is a simple mobile-friendly website where customers can view available products, choose a collection time and pay online. This would allow orders to be placed even when Basil cannot answer the telephone. It should also reduce waiting times because products can be prepared before the customer arrives. Advance orders would give Basil a clearer idea of demand, which may improve production planning and reduce unsold stock. The UK SME Digital Adoption Taskforce (2025) states that e-commerce and other digital tools can reduce administration and make business processes more efficient. This option is realistic because Basil can stay onsite to bake while customers collect their orders. However, he would need to pay setup and transaction costs, learn the system, keep product information updated and provide accurate allergen information online (Food Standards Agency, n.d.).</w:t>
      </w:r>
    </w:p>
    <w:p>
      <w:pPr>
        <w:pStyle w:val="Heading2"/>
        <w:keepNext/>
      </w:pPr>
      <w:r>
        <w:t xml:space="preserve">Solution B: Third-party Local Delivery</w:t>
      </w:r>
    </w:p>
    <w:p>
      <w:pPr>
        <w:keepNext w:val="false"/>
        <w:spacing w:after="160" w:line="360"/>
      </w:pPr>
      <w:r>
        <w:rPr>
          <w:rFonts w:ascii="Arial" w:cs="Arial" w:eastAsia="Arial" w:hAnsi="Arial"/>
          <w:b w:val="false"/>
          <w:bCs w:val="false"/>
          <w:i w:val="false"/>
          <w:iCs w:val="false"/>
          <w:color w:val="000000"/>
          <w:sz w:val="24"/>
          <w:szCs w:val="24"/>
        </w:rPr>
        <w:t xml:space="preserve">The second solution is to sell through an established food-delivery platform. This would allow former customers, home workers and local residents to buy from the bakery without travelling to the retail park. It could increase the bakery's market area and reduce its dependence on footfall. The platform would manage online ordering, payment and drivers, so Basil would not need to employ a delivery worker at the beginning. However, this option creates important risks. Commission and packaging costs could reduce already pressured profit margins. Delivery delays may affect the freshness and appearance of cakes and pastries, while Basil would have less control over the final customer experience. Chaffey and Ellis-Chadwick (2022) explain that digital channels can extend customer reach, but businesses must consider channel costs and the effect on service quality.</w:t>
      </w:r>
    </w:p>
    <w:p>
      <w:pPr>
        <w:pStyle w:val="Heading1"/>
        <w:keepNext/>
      </w:pPr>
      <w:r>
        <w:t xml:space="preserve">Task 3b: Evaluation Results and Preferred Solution</w:t>
      </w:r>
    </w:p>
    <w:p>
      <w:pPr>
        <w:keepNext w:val="false"/>
        <w:spacing w:after="160" w:line="360"/>
      </w:pPr>
      <w:r>
        <w:rPr>
          <w:rFonts w:ascii="Arial" w:cs="Arial" w:eastAsia="Arial" w:hAnsi="Arial"/>
          <w:b w:val="false"/>
          <w:bCs w:val="false"/>
          <w:i w:val="false"/>
          <w:iCs w:val="false"/>
          <w:color w:val="000000"/>
          <w:sz w:val="24"/>
          <w:szCs w:val="24"/>
        </w:rPr>
        <w:t xml:space="preserve">Appendix 1 uses de Bono's PMI technique to compare the plus, minus and interesting points of both ideas (de Bono, 1999). The criteria were customer access, cost, ease of operation, service quality and potential for future growth. Customer access and cost were given the greatest weight because the bakery must replace lost footfall without making its financial position worse.</w:t>
      </w:r>
    </w:p>
    <w:p>
      <w:pPr>
        <w:keepNext w:val="false"/>
        <w:spacing w:after="160" w:line="360"/>
      </w:pPr>
      <w:r>
        <w:rPr>
          <w:rFonts w:ascii="Arial" w:cs="Arial" w:eastAsia="Arial" w:hAnsi="Arial"/>
          <w:b w:val="false"/>
          <w:bCs w:val="false"/>
          <w:i w:val="false"/>
          <w:iCs w:val="false"/>
          <w:color w:val="000000"/>
          <w:sz w:val="24"/>
          <w:szCs w:val="24"/>
        </w:rPr>
        <w:t xml:space="preserve">Click-and-collect achieved an overall score of +20, compared with +10 for third-party delivery. Therefore, click-and-collect is the preferred solution. It provides a convenient ordering method, reduces missed calls and queues, and allows Basil to keep control of product quality and customer contact. It may not reach as many people as delivery because customers must still travel to the bakery. However, its website and payment costs should be easier to control than continuing platform commission and packaging charges. The OECD (2026) identifies cost, relevance and trust as major barriers to small-business technology adoption, so Basil should choose a simple system and test it before making a long commitment.</w:t>
      </w:r>
    </w:p>
    <w:p>
      <w:pPr>
        <w:pStyle w:val="Heading1"/>
        <w:keepNext/>
      </w:pPr>
      <w:r>
        <w:t xml:space="preserve">Task 4b: Reasons for the Implementation Plan</w:t>
      </w:r>
    </w:p>
    <w:p>
      <w:pPr>
        <w:keepNext w:val="false"/>
        <w:spacing w:after="160" w:line="360"/>
      </w:pPr>
      <w:r>
        <w:rPr>
          <w:rFonts w:ascii="Arial" w:cs="Arial" w:eastAsia="Arial" w:hAnsi="Arial"/>
          <w:b w:val="false"/>
          <w:bCs w:val="false"/>
          <w:i w:val="false"/>
          <w:iCs w:val="false"/>
          <w:color w:val="000000"/>
          <w:sz w:val="24"/>
          <w:szCs w:val="24"/>
        </w:rPr>
        <w:t xml:space="preserve">The plan in Appendix 2 is organised into five stages so that Basil does not spend money before checking customer demand. The first stage gathers customer views and records current sales, waiting times, missed calls and waste. This creates a baseline for later comparison. System selection comes next because the chosen website must match the required functions and Basil's budget.</w:t>
      </w:r>
    </w:p>
    <w:p>
      <w:pPr>
        <w:keepNext w:val="false"/>
        <w:spacing w:after="160" w:line="360"/>
      </w:pPr>
      <w:r>
        <w:rPr>
          <w:rFonts w:ascii="Arial" w:cs="Arial" w:eastAsia="Arial" w:hAnsi="Arial"/>
          <w:b w:val="false"/>
          <w:bCs w:val="false"/>
          <w:i w:val="false"/>
          <w:iCs w:val="false"/>
          <w:color w:val="000000"/>
          <w:sz w:val="24"/>
          <w:szCs w:val="24"/>
        </w:rPr>
        <w:t xml:space="preserve">The website is then built and tested before launch. This is important because payment, order notifications, collection slots, stock limits and allergen details must work correctly. Basil is responsible for business decisions, while the website provider supplies technical knowledge. Any assistant who hands over orders should also be trained. A four-week pilot follows, using only popular products and limited collection times. This reduces risk and makes problems easier to correct. The final stage reviews the evidence and improves the process. This order follows the plan-do-check-act approach, where an organisation plans a change, tests it, checks the results and takes corrective action (International Organization for Standardization, 2015).</w:t>
      </w:r>
    </w:p>
    <w:p>
      <w:pPr>
        <w:pStyle w:val="Heading1"/>
        <w:keepNext/>
      </w:pPr>
      <w:r>
        <w:t xml:space="preserve">Task 5b: Monitoring and Evaluating the Solution</w:t>
      </w:r>
    </w:p>
    <w:p>
      <w:pPr>
        <w:keepNext w:val="false"/>
        <w:spacing w:after="160" w:line="360"/>
      </w:pPr>
      <w:r>
        <w:rPr>
          <w:rFonts w:ascii="Arial" w:cs="Arial" w:eastAsia="Arial" w:hAnsi="Arial"/>
          <w:b w:val="false"/>
          <w:bCs w:val="false"/>
          <w:i w:val="false"/>
          <w:iCs w:val="false"/>
          <w:color w:val="000000"/>
          <w:sz w:val="24"/>
          <w:szCs w:val="24"/>
        </w:rPr>
        <w:t xml:space="preserve">The main KPI is the percentage of total weekly sales revenue generated through online pre-orders. This is suitable because it measures whether the new service is creating a useful sales channel. It should be calculated by dividing weekly online pre-order revenue by total weekly sales revenue and multiplying the result by 100. The main SMART objective is for online pre-orders to produce at least 15% of weekly revenue within 12 weeks of launch. Supporting objectives are to reach 40 online orders per week, prepare at least 90% of orders by the agreed collection time, maintain customer satisfaction of at least four out of five, and keep order errors below 3%. These objectives follow Doran's (1981) SMART approach because they are specific, measurable, achievable, relevant and time-bound.</w:t>
      </w:r>
    </w:p>
    <w:p>
      <w:pPr>
        <w:keepNext w:val="false"/>
        <w:spacing w:after="160" w:line="360"/>
      </w:pPr>
      <w:r>
        <w:rPr>
          <w:rFonts w:ascii="Arial" w:cs="Arial" w:eastAsia="Arial" w:hAnsi="Arial"/>
          <w:b w:val="false"/>
          <w:bCs w:val="false"/>
          <w:i w:val="false"/>
          <w:iCs w:val="false"/>
          <w:color w:val="000000"/>
          <w:sz w:val="24"/>
          <w:szCs w:val="24"/>
        </w:rPr>
        <w:t xml:space="preserve">Basil should record total sales, online sales and online order numbers every week. Order and collection timestamps should be used to calculate the on-time rate, while mistakes should be entered in a simple error log. A short survey after collection can measure customer satisfaction. Results should be reviewed at weeks 4, 8 and 12 and compared with both the targets and the four-week baseline. Parmenter (2015) argues that KPIs should focus attention on activities that influence performance. Therefore, Basil should not judge success from revenue alone. If online sales rise but errors or delays become high, collection slots, staffing or the product range should be adjusted. If the targets are achieved without harming quality or profit, the system can be continued and later expanded.</w:t>
      </w:r>
    </w:p>
    <w:p>
      <w:pPr>
        <w:pStyle w:val="Heading1"/>
        <w:keepNext/>
      </w:pPr>
      <w:r>
        <w:t xml:space="preserve">Task 6: Key Findings</w:t>
      </w:r>
    </w:p>
    <w:p>
      <w:pPr>
        <w:pStyle w:val="ListParagraph"/>
        <w:numPr>
          <w:ilvl w:val="0"/>
          <w:numId w:val="1"/>
        </w:numPr>
        <w:spacing w:after="120" w:line="360"/>
      </w:pPr>
      <w:r>
        <w:rPr>
          <w:rFonts w:ascii="Arial" w:cs="Arial" w:eastAsia="Arial" w:hAnsi="Arial"/>
          <w:b w:val="false"/>
          <w:bCs w:val="false"/>
          <w:i w:val="false"/>
          <w:iCs w:val="false"/>
          <w:color w:val="000000"/>
          <w:sz w:val="24"/>
          <w:szCs w:val="24"/>
        </w:rPr>
        <w:t xml:space="preserve">Basil's sales remain about 25% below the 2019 level, while higher overheads make the current walk-in model less sustainable.</w:t>
      </w:r>
    </w:p>
    <w:p>
      <w:pPr>
        <w:pStyle w:val="ListParagraph"/>
        <w:numPr>
          <w:ilvl w:val="0"/>
          <w:numId w:val="1"/>
        </w:numPr>
        <w:spacing w:after="120" w:line="360"/>
      </w:pPr>
      <w:r>
        <w:rPr>
          <w:rFonts w:ascii="Arial" w:cs="Arial" w:eastAsia="Arial" w:hAnsi="Arial"/>
          <w:b w:val="false"/>
          <w:bCs w:val="false"/>
          <w:i w:val="false"/>
          <w:iCs w:val="false"/>
          <w:color w:val="000000"/>
          <w:sz w:val="24"/>
          <w:szCs w:val="24"/>
        </w:rPr>
        <w:t xml:space="preserve">Lower retail-park footfall, shop closures and hybrid working have reduced the number of customers who pass the bakery.</w:t>
      </w:r>
    </w:p>
    <w:p>
      <w:pPr>
        <w:pStyle w:val="ListParagraph"/>
        <w:numPr>
          <w:ilvl w:val="0"/>
          <w:numId w:val="1"/>
        </w:numPr>
        <w:spacing w:after="120" w:line="360"/>
      </w:pPr>
      <w:r>
        <w:rPr>
          <w:rFonts w:ascii="Arial" w:cs="Arial" w:eastAsia="Arial" w:hAnsi="Arial"/>
          <w:b w:val="false"/>
          <w:bCs w:val="false"/>
          <w:i w:val="false"/>
          <w:iCs w:val="false"/>
          <w:color w:val="000000"/>
          <w:sz w:val="24"/>
          <w:szCs w:val="24"/>
        </w:rPr>
        <w:t xml:space="preserve">Missed telephone orders, queues and the lack of online ordering prevent the bakery from meeting customers' need for convenience.</w:t>
      </w:r>
    </w:p>
    <w:p>
      <w:pPr>
        <w:pStyle w:val="ListParagraph"/>
        <w:numPr>
          <w:ilvl w:val="0"/>
          <w:numId w:val="1"/>
        </w:numPr>
        <w:spacing w:after="120" w:line="360"/>
      </w:pPr>
      <w:r>
        <w:rPr>
          <w:rFonts w:ascii="Arial" w:cs="Arial" w:eastAsia="Arial" w:hAnsi="Arial"/>
          <w:b w:val="false"/>
          <w:bCs w:val="false"/>
          <w:i w:val="false"/>
          <w:iCs w:val="false"/>
          <w:color w:val="000000"/>
          <w:sz w:val="24"/>
          <w:szCs w:val="24"/>
        </w:rPr>
        <w:t xml:space="preserve">Click-and-collect is more suitable than third-party delivery because it improves access while protecting margins, quality and operational control.</w:t>
      </w:r>
    </w:p>
    <w:p>
      <w:pPr>
        <w:pStyle w:val="ListParagraph"/>
        <w:numPr>
          <w:ilvl w:val="0"/>
          <w:numId w:val="1"/>
        </w:numPr>
        <w:spacing w:after="120" w:line="360"/>
      </w:pPr>
      <w:r>
        <w:rPr>
          <w:rFonts w:ascii="Arial" w:cs="Arial" w:eastAsia="Arial" w:hAnsi="Arial"/>
          <w:b w:val="false"/>
          <w:bCs w:val="false"/>
          <w:i w:val="false"/>
          <w:iCs w:val="false"/>
          <w:color w:val="000000"/>
          <w:sz w:val="24"/>
          <w:szCs w:val="24"/>
        </w:rPr>
        <w:t xml:space="preserve">A 12-week pilot should be measured through online revenue, order numbers, on-time preparation, error rates and customer satisfaction.</w:t>
      </w:r>
    </w:p>
    <w:p>
      <w:pPr>
        <w:pStyle w:val="Heading1"/>
        <w:keepNext/>
        <w:pageBreakBefore/>
      </w:pPr>
      <w:r>
        <w:t xml:space="preserve">Reference List</w:t>
      </w:r>
    </w:p>
    <w:p>
      <w:pPr>
        <w:keepNext w:val="false"/>
        <w:spacing w:after="160" w:line="360"/>
      </w:pPr>
      <w:r>
        <w:rPr>
          <w:rFonts w:ascii="Arial" w:cs="Arial" w:eastAsia="Arial" w:hAnsi="Arial"/>
          <w:b w:val="false"/>
          <w:bCs w:val="false"/>
          <w:i w:val="false"/>
          <w:iCs w:val="false"/>
          <w:color w:val="000000"/>
          <w:sz w:val="24"/>
          <w:szCs w:val="24"/>
        </w:rPr>
        <w:t xml:space="preserve">Chaffey, D. and Ellis-Chadwick, F. (2022) Digital Marketing: Strategy, Implementation and Practice. 8th edn. Harlow: Pearson.</w:t>
      </w:r>
    </w:p>
    <w:p>
      <w:pPr>
        <w:keepNext w:val="false"/>
        <w:spacing w:after="160" w:line="360"/>
      </w:pPr>
      <w:r>
        <w:rPr>
          <w:rFonts w:ascii="Arial" w:cs="Arial" w:eastAsia="Arial" w:hAnsi="Arial"/>
          <w:b w:val="false"/>
          <w:bCs w:val="false"/>
          <w:i w:val="false"/>
          <w:iCs w:val="false"/>
          <w:color w:val="000000"/>
          <w:sz w:val="24"/>
          <w:szCs w:val="24"/>
        </w:rPr>
        <w:t xml:space="preserve">de Bono, E. (1999) Six Thinking Hats. Revised edn. London: Penguin Books.</w:t>
      </w:r>
    </w:p>
    <w:p>
      <w:pPr>
        <w:keepNext w:val="false"/>
        <w:spacing w:after="160" w:line="360"/>
      </w:pPr>
      <w:r>
        <w:rPr>
          <w:rFonts w:ascii="Arial" w:cs="Arial" w:eastAsia="Arial" w:hAnsi="Arial"/>
          <w:b w:val="false"/>
          <w:bCs w:val="false"/>
          <w:i w:val="false"/>
          <w:iCs w:val="false"/>
          <w:color w:val="000000"/>
          <w:sz w:val="24"/>
          <w:szCs w:val="24"/>
        </w:rPr>
        <w:t xml:space="preserve">Doran, G.T. (1981) 'There's a S.M.A.R.T. way to write management's goals and objectives', Management Review, 70(11), pp. 35-36.</w:t>
      </w:r>
    </w:p>
    <w:p>
      <w:pPr>
        <w:keepNext w:val="false"/>
        <w:spacing w:after="160" w:line="360"/>
      </w:pPr>
      <w:r>
        <w:rPr>
          <w:rFonts w:ascii="Arial" w:cs="Arial" w:eastAsia="Arial" w:hAnsi="Arial"/>
          <w:b w:val="false"/>
          <w:bCs w:val="false"/>
          <w:i w:val="false"/>
          <w:iCs w:val="false"/>
          <w:color w:val="000000"/>
          <w:sz w:val="24"/>
          <w:szCs w:val="24"/>
        </w:rPr>
        <w:t xml:space="preserve">Food Standards Agency (n.d.) Allergens. Available at: https://www.food.gov.uk/topic/allergens (Accessed: 12 August 2026).</w:t>
      </w:r>
    </w:p>
    <w:p>
      <w:pPr>
        <w:keepNext w:val="false"/>
        <w:spacing w:after="160" w:line="360"/>
      </w:pPr>
      <w:r>
        <w:rPr>
          <w:rFonts w:ascii="Arial" w:cs="Arial" w:eastAsia="Arial" w:hAnsi="Arial"/>
          <w:b w:val="false"/>
          <w:bCs w:val="false"/>
          <w:i w:val="false"/>
          <w:iCs w:val="false"/>
          <w:color w:val="000000"/>
          <w:sz w:val="24"/>
          <w:szCs w:val="24"/>
        </w:rPr>
        <w:t xml:space="preserve">International Organization for Standardization (2015) ISO 9001:2015 Quality Management Systems - Requirements. Geneva: ISO.</w:t>
      </w:r>
    </w:p>
    <w:p>
      <w:pPr>
        <w:keepNext w:val="false"/>
        <w:spacing w:after="160" w:line="360"/>
      </w:pPr>
      <w:r>
        <w:rPr>
          <w:rFonts w:ascii="Arial" w:cs="Arial" w:eastAsia="Arial" w:hAnsi="Arial"/>
          <w:b w:val="false"/>
          <w:bCs w:val="false"/>
          <w:i w:val="false"/>
          <w:iCs w:val="false"/>
          <w:color w:val="000000"/>
          <w:sz w:val="24"/>
          <w:szCs w:val="24"/>
        </w:rPr>
        <w:t xml:space="preserve">Office for National Statistics (2024) Characteristics of hybrid workers, Great Britain. Available at: https://www.ons.gov.uk/releases/characteristicsofhybridworkersgreatbritain (Accessed: 12 August 2026).</w:t>
      </w:r>
    </w:p>
    <w:p>
      <w:pPr>
        <w:keepNext w:val="false"/>
        <w:spacing w:after="160" w:line="360"/>
      </w:pPr>
      <w:r>
        <w:rPr>
          <w:rFonts w:ascii="Arial" w:cs="Arial" w:eastAsia="Arial" w:hAnsi="Arial"/>
          <w:b w:val="false"/>
          <w:bCs w:val="false"/>
          <w:i w:val="false"/>
          <w:iCs w:val="false"/>
          <w:color w:val="000000"/>
          <w:sz w:val="24"/>
          <w:szCs w:val="24"/>
        </w:rPr>
        <w:t xml:space="preserve">OECD (2026) SME Technology Adoption in the United Kingdom. Paris: OECD Publishing. Available at: https://www.oecd.org/en/publications/sme-technology-adoption-in-the-united-kingdom_5f25ce2a-en.html (Accessed: 12 August 2026).</w:t>
      </w:r>
    </w:p>
    <w:p>
      <w:pPr>
        <w:keepNext w:val="false"/>
        <w:spacing w:after="160" w:line="360"/>
      </w:pPr>
      <w:r>
        <w:rPr>
          <w:rFonts w:ascii="Arial" w:cs="Arial" w:eastAsia="Arial" w:hAnsi="Arial"/>
          <w:b w:val="false"/>
          <w:bCs w:val="false"/>
          <w:i w:val="false"/>
          <w:iCs w:val="false"/>
          <w:color w:val="000000"/>
          <w:sz w:val="24"/>
          <w:szCs w:val="24"/>
        </w:rPr>
        <w:t xml:space="preserve">Parmenter, D. (2015) Key Performance Indicators: Developing, Implementing, and Using Winning KPIs. 3rd edn. Hoboken, NJ: Wiley.</w:t>
      </w:r>
    </w:p>
    <w:p>
      <w:pPr>
        <w:keepNext w:val="false"/>
        <w:spacing w:after="160" w:line="360"/>
      </w:pPr>
      <w:r>
        <w:rPr>
          <w:rFonts w:ascii="Arial" w:cs="Arial" w:eastAsia="Arial" w:hAnsi="Arial"/>
          <w:b w:val="false"/>
          <w:bCs w:val="false"/>
          <w:i w:val="false"/>
          <w:iCs w:val="false"/>
          <w:color w:val="000000"/>
          <w:sz w:val="24"/>
          <w:szCs w:val="24"/>
        </w:rPr>
        <w:t xml:space="preserve">SME Digital Adoption Taskforce (2025) SME Digital Adoption Taskforce: Final Report. London: Department for Business and Trade. Available at: https://www.gov.uk/government/publications/sme-digital-adoption-taskforce-final-report/sme-digital-adoption-taskforce-final-report (Accessed: 12 August 2026).</w:t>
      </w:r>
    </w:p>
    <w:p>
      <w:pPr>
        <w:pStyle w:val="Heading1"/>
        <w:keepNext/>
        <w:pageBreakBefore/>
      </w:pPr>
      <w:r>
        <w:t xml:space="preserve">Appendix 1: Task 3a - PMI Evaluation</w:t>
      </w:r>
    </w:p>
    <w:p>
      <w:pPr>
        <w:keepNext w:val="false"/>
        <w:spacing w:after="160" w:line="360"/>
      </w:pPr>
      <w:r>
        <w:rPr>
          <w:rFonts w:ascii="Arial" w:cs="Arial" w:eastAsia="Arial" w:hAnsi="Arial"/>
          <w:b w:val="false"/>
          <w:bCs w:val="false"/>
          <w:i w:val="false"/>
          <w:iCs w:val="false"/>
          <w:color w:val="000000"/>
          <w:sz w:val="24"/>
          <w:szCs w:val="24"/>
        </w:rPr>
        <w:t xml:space="preserve">The PMI method examines the plus, minus and interesting points of an idea before a final decision is made (de Bono, 1999). In this analysis, each factor has an impact score and an importance weighting. Positive scores are added and negative scores are deducted.</w:t>
      </w:r>
    </w:p>
    <w:p>
      <w:pPr>
        <w:pStyle w:val="Heading2"/>
        <w:keepNext/>
      </w:pPr>
      <w:r>
        <w:t xml:space="preserve">Solution A: Online Pre-order and Click-and-Collect</w:t>
      </w:r>
    </w:p>
    <w:tbl>
      <w:tblPr>
        <w:tblW w:type="dxa" w:w="9638"/>
        <w:tblBorders>
          <w:top w:val="single" w:color="auto" w:sz="4"/>
          <w:left w:val="single" w:color="auto" w:sz="4"/>
          <w:bottom w:val="single" w:color="auto" w:sz="4"/>
          <w:right w:val="single" w:color="auto" w:sz="4"/>
          <w:insideH w:val="single" w:color="auto" w:sz="4"/>
          <w:insideV w:val="single" w:color="auto" w:sz="4"/>
        </w:tblBorders>
        <w:tblLayout w:type="fixed"/>
      </w:tblPr>
      <w:tblGrid>
        <w:gridCol w:w="1200"/>
        <w:gridCol w:w="5738"/>
        <w:gridCol w:w="900"/>
        <w:gridCol w:w="900"/>
        <w:gridCol w:w="900"/>
      </w:tblGrid>
      <w:tr>
        <w:trPr>
          <w:tblHeader/>
        </w:trPr>
        <w:tc>
          <w:tcPr>
            <w:tcW w:type="dxa" w:w="1200"/>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17"/>
                <w:szCs w:val="17"/>
              </w:rPr>
              <w:t xml:space="preserve">Category</w:t>
            </w:r>
          </w:p>
        </w:tc>
        <w:tc>
          <w:tcPr>
            <w:tcW w:type="dxa" w:w="5738"/>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17"/>
                <w:szCs w:val="17"/>
              </w:rPr>
              <w:t xml:space="preserve">Factor</w:t>
            </w:r>
          </w:p>
        </w:tc>
        <w:tc>
          <w:tcPr>
            <w:tcW w:type="dxa" w:w="900"/>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17"/>
                <w:szCs w:val="17"/>
              </w:rPr>
              <w:t xml:space="preserve">Impact</w:t>
            </w:r>
          </w:p>
        </w:tc>
        <w:tc>
          <w:tcPr>
            <w:tcW w:type="dxa" w:w="900"/>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17"/>
                <w:szCs w:val="17"/>
              </w:rPr>
              <w:t xml:space="preserve">Weight</w:t>
            </w:r>
          </w:p>
        </w:tc>
        <w:tc>
          <w:tcPr>
            <w:tcW w:type="dxa" w:w="900"/>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17"/>
                <w:szCs w:val="17"/>
              </w:rPr>
              <w:t xml:space="preserve">Score</w:t>
            </w:r>
          </w:p>
        </w:tc>
      </w:tr>
      <w:tr>
        <w:tc>
          <w:tcPr>
            <w:tcW w:type="dxa" w:w="12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Plus</w:t>
            </w:r>
          </w:p>
        </w:tc>
        <w:tc>
          <w:tcPr>
            <w:tcW w:type="dxa" w:w="57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Customers can order and pay at any time</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+5</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+15</w:t>
            </w:r>
          </w:p>
        </w:tc>
      </w:tr>
      <w:tr>
        <w:tc>
          <w:tcPr>
            <w:tcW w:type="dxa" w:w="12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Plus</w:t>
            </w:r>
          </w:p>
        </w:tc>
        <w:tc>
          <w:tcPr>
            <w:tcW w:type="dxa" w:w="57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Reduces queues and missed telephone orders</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+4</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+12</w:t>
            </w:r>
          </w:p>
        </w:tc>
      </w:tr>
      <w:tr>
        <w:tc>
          <w:tcPr>
            <w:tcW w:type="dxa" w:w="12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Plus</w:t>
            </w:r>
          </w:p>
        </w:tc>
        <w:tc>
          <w:tcPr>
            <w:tcW w:type="dxa" w:w="57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Supports production planning and may reduce waste</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+4</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+8</w:t>
            </w:r>
          </w:p>
        </w:tc>
      </w:tr>
      <w:tr>
        <w:tc>
          <w:tcPr>
            <w:tcW w:type="dxa" w:w="12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Plus</w:t>
            </w:r>
          </w:p>
        </w:tc>
        <w:tc>
          <w:tcPr>
            <w:tcW w:type="dxa" w:w="57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Basil keeps control of quality and service</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+4</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+8</w:t>
            </w:r>
          </w:p>
        </w:tc>
      </w:tr>
      <w:tr>
        <w:tc>
          <w:tcPr>
            <w:tcW w:type="dxa" w:w="12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Minus</w:t>
            </w:r>
          </w:p>
        </w:tc>
        <w:tc>
          <w:tcPr>
            <w:tcW w:type="dxa" w:w="57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Setup, hosting and transaction costs</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-9</w:t>
            </w:r>
          </w:p>
        </w:tc>
      </w:tr>
      <w:tr>
        <w:tc>
          <w:tcPr>
            <w:tcW w:type="dxa" w:w="12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Minus</w:t>
            </w:r>
          </w:p>
        </w:tc>
        <w:tc>
          <w:tcPr>
            <w:tcW w:type="dxa" w:w="57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Requires technical learning and administration</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-4</w:t>
            </w:r>
          </w:p>
        </w:tc>
      </w:tr>
      <w:tr>
        <w:tc>
          <w:tcPr>
            <w:tcW w:type="dxa" w:w="12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Minus</w:t>
            </w:r>
          </w:p>
        </w:tc>
        <w:tc>
          <w:tcPr>
            <w:tcW w:type="dxa" w:w="57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Customers must still travel to the bakery</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-4</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-12</w:t>
            </w:r>
          </w:p>
        </w:tc>
      </w:tr>
      <w:tr>
        <w:tc>
          <w:tcPr>
            <w:tcW w:type="dxa" w:w="12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Minus</w:t>
            </w:r>
          </w:p>
        </w:tc>
        <w:tc>
          <w:tcPr>
            <w:tcW w:type="dxa" w:w="57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Technical or security problems could affect orders</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-4</w:t>
            </w:r>
          </w:p>
        </w:tc>
      </w:tr>
      <w:tr>
        <w:tc>
          <w:tcPr>
            <w:tcW w:type="dxa" w:w="12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Interesting</w:t>
            </w:r>
          </w:p>
        </w:tc>
        <w:tc>
          <w:tcPr>
            <w:tcW w:type="dxa" w:w="57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Customer data may support future promotions</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+6</w:t>
            </w:r>
          </w:p>
        </w:tc>
      </w:tr>
      <w:tr>
        <w:tc>
          <w:tcPr>
            <w:tcW w:type="dxa" w:w="12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Interesting</w:t>
            </w:r>
          </w:p>
        </w:tc>
        <w:tc>
          <w:tcPr>
            <w:tcW w:type="dxa" w:w="57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The system could support delivery later</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1</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r>
      <w:tr>
        <w:tc>
          <w:tcPr>
            <w:tcW w:type="dxa" w:w="12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Interesting</w:t>
            </w:r>
          </w:p>
        </w:tc>
        <w:tc>
          <w:tcPr>
            <w:tcW w:type="dxa" w:w="57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Pre-orders may show previously hidden demand</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1</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r>
      <w:tr>
        <w:tc>
          <w:tcPr>
            <w:tcW w:type="dxa" w:w="12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Interesting</w:t>
            </w:r>
          </w:p>
        </w:tc>
        <w:tc>
          <w:tcPr>
            <w:tcW w:type="dxa" w:w="57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Collection slots may spread busy periods</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1</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r>
      <w:tr>
        <w:tc>
          <w:tcPr>
            <w:tcW w:type="dxa" w:w="12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
            </w:r>
          </w:p>
        </w:tc>
        <w:tc>
          <w:tcPr>
            <w:tcW w:type="dxa" w:w="57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Overall total</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+20</w:t>
            </w:r>
          </w:p>
        </w:tc>
      </w:tr>
    </w:tbl>
    <w:p>
      <w:pPr>
        <w:pStyle w:val="Heading2"/>
        <w:keepNext/>
      </w:pPr>
      <w:r>
        <w:t xml:space="preserve">Solution B: Third-party Local Delivery</w:t>
      </w:r>
    </w:p>
    <w:tbl>
      <w:tblPr>
        <w:tblW w:type="dxa" w:w="9638"/>
        <w:tblBorders>
          <w:top w:val="single" w:color="auto" w:sz="4"/>
          <w:left w:val="single" w:color="auto" w:sz="4"/>
          <w:bottom w:val="single" w:color="auto" w:sz="4"/>
          <w:right w:val="single" w:color="auto" w:sz="4"/>
          <w:insideH w:val="single" w:color="auto" w:sz="4"/>
          <w:insideV w:val="single" w:color="auto" w:sz="4"/>
        </w:tblBorders>
        <w:tblLayout w:type="fixed"/>
      </w:tblPr>
      <w:tblGrid>
        <w:gridCol w:w="1200"/>
        <w:gridCol w:w="5738"/>
        <w:gridCol w:w="900"/>
        <w:gridCol w:w="900"/>
        <w:gridCol w:w="900"/>
      </w:tblGrid>
      <w:tr>
        <w:trPr>
          <w:tblHeader/>
        </w:trPr>
        <w:tc>
          <w:tcPr>
            <w:tcW w:type="dxa" w:w="1200"/>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17"/>
                <w:szCs w:val="17"/>
              </w:rPr>
              <w:t xml:space="preserve">Category</w:t>
            </w:r>
          </w:p>
        </w:tc>
        <w:tc>
          <w:tcPr>
            <w:tcW w:type="dxa" w:w="5738"/>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17"/>
                <w:szCs w:val="17"/>
              </w:rPr>
              <w:t xml:space="preserve">Factor</w:t>
            </w:r>
          </w:p>
        </w:tc>
        <w:tc>
          <w:tcPr>
            <w:tcW w:type="dxa" w:w="900"/>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17"/>
                <w:szCs w:val="17"/>
              </w:rPr>
              <w:t xml:space="preserve">Impact</w:t>
            </w:r>
          </w:p>
        </w:tc>
        <w:tc>
          <w:tcPr>
            <w:tcW w:type="dxa" w:w="900"/>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17"/>
                <w:szCs w:val="17"/>
              </w:rPr>
              <w:t xml:space="preserve">Weight</w:t>
            </w:r>
          </w:p>
        </w:tc>
        <w:tc>
          <w:tcPr>
            <w:tcW w:type="dxa" w:w="900"/>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17"/>
                <w:szCs w:val="17"/>
              </w:rPr>
              <w:t xml:space="preserve">Score</w:t>
            </w:r>
          </w:p>
        </w:tc>
      </w:tr>
      <w:tr>
        <w:tc>
          <w:tcPr>
            <w:tcW w:type="dxa" w:w="12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Plus</w:t>
            </w:r>
          </w:p>
        </w:tc>
        <w:tc>
          <w:tcPr>
            <w:tcW w:type="dxa" w:w="57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Reaches customers at home and remote workers</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+5</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+15</w:t>
            </w:r>
          </w:p>
        </w:tc>
      </w:tr>
      <w:tr>
        <w:tc>
          <w:tcPr>
            <w:tcW w:type="dxa" w:w="12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Plus</w:t>
            </w:r>
          </w:p>
        </w:tc>
        <w:tc>
          <w:tcPr>
            <w:tcW w:type="dxa" w:w="57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Reduces dependence on retail-park footfall</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+5</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+15</w:t>
            </w:r>
          </w:p>
        </w:tc>
      </w:tr>
      <w:tr>
        <w:tc>
          <w:tcPr>
            <w:tcW w:type="dxa" w:w="12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Plus</w:t>
            </w:r>
          </w:p>
        </w:tc>
        <w:tc>
          <w:tcPr>
            <w:tcW w:type="dxa" w:w="57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Provides access to an existing digital audience</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+4</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+8</w:t>
            </w:r>
          </w:p>
        </w:tc>
      </w:tr>
      <w:tr>
        <w:tc>
          <w:tcPr>
            <w:tcW w:type="dxa" w:w="12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Plus</w:t>
            </w:r>
          </w:p>
        </w:tc>
        <w:tc>
          <w:tcPr>
            <w:tcW w:type="dxa" w:w="57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Avoids employing a driver at the start</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+6</w:t>
            </w:r>
          </w:p>
        </w:tc>
      </w:tr>
      <w:tr>
        <w:tc>
          <w:tcPr>
            <w:tcW w:type="dxa" w:w="12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Minus</w:t>
            </w:r>
          </w:p>
        </w:tc>
        <w:tc>
          <w:tcPr>
            <w:tcW w:type="dxa" w:w="57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Commission and packaging reduce margins</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-5</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-15</w:t>
            </w:r>
          </w:p>
        </w:tc>
      </w:tr>
      <w:tr>
        <w:tc>
          <w:tcPr>
            <w:tcW w:type="dxa" w:w="12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Minus</w:t>
            </w:r>
          </w:p>
        </w:tc>
        <w:tc>
          <w:tcPr>
            <w:tcW w:type="dxa" w:w="57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Delivery delays may damage freshness or appearance</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-4</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-12</w:t>
            </w:r>
          </w:p>
        </w:tc>
      </w:tr>
      <w:tr>
        <w:tc>
          <w:tcPr>
            <w:tcW w:type="dxa" w:w="12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Minus</w:t>
            </w:r>
          </w:p>
        </w:tc>
        <w:tc>
          <w:tcPr>
            <w:tcW w:type="dxa" w:w="57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Basil has less control over customer service</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-6</w:t>
            </w:r>
          </w:p>
        </w:tc>
      </w:tr>
      <w:tr>
        <w:tc>
          <w:tcPr>
            <w:tcW w:type="dxa" w:w="12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Minus</w:t>
            </w:r>
          </w:p>
        </w:tc>
        <w:tc>
          <w:tcPr>
            <w:tcW w:type="dxa" w:w="57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Delivery demand may disrupt production</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-6</w:t>
            </w:r>
          </w:p>
        </w:tc>
      </w:tr>
      <w:tr>
        <w:tc>
          <w:tcPr>
            <w:tcW w:type="dxa" w:w="12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Interesting</w:t>
            </w:r>
          </w:p>
        </w:tc>
        <w:tc>
          <w:tcPr>
            <w:tcW w:type="dxa" w:w="57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Could attract larger office or catering orders</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+6</w:t>
            </w:r>
          </w:p>
        </w:tc>
      </w:tr>
      <w:tr>
        <w:tc>
          <w:tcPr>
            <w:tcW w:type="dxa" w:w="12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Interesting</w:t>
            </w:r>
          </w:p>
        </w:tc>
        <w:tc>
          <w:tcPr>
            <w:tcW w:type="dxa" w:w="57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A minimum order could protect margins</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1</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r>
      <w:tr>
        <w:tc>
          <w:tcPr>
            <w:tcW w:type="dxa" w:w="12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Interesting</w:t>
            </w:r>
          </w:p>
        </w:tc>
        <w:tc>
          <w:tcPr>
            <w:tcW w:type="dxa" w:w="57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A small delivery area could support testing</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1</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r>
      <w:tr>
        <w:tc>
          <w:tcPr>
            <w:tcW w:type="dxa" w:w="12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Interesting</w:t>
            </w:r>
          </w:p>
        </w:tc>
        <w:tc>
          <w:tcPr>
            <w:tcW w:type="dxa" w:w="57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Order data could identify new customer areas</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1</w:t>
            </w:r>
          </w:p>
        </w:tc>
        <w:tc>
          <w:tcPr>
            <w:tcW w:type="dxa" w:w="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r>
      <w:tr>
        <w:tc>
          <w:tcPr>
            <w:tcW w:type="dxa" w:w="12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
            </w:r>
          </w:p>
        </w:tc>
        <w:tc>
          <w:tcPr>
            <w:tcW w:type="dxa" w:w="57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Overall total</w:t>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
            </w:r>
          </w:p>
        </w:tc>
        <w:tc>
          <w:tcPr>
            <w:tcW w:type="dxa" w:w="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+10</w:t>
            </w:r>
          </w:p>
        </w:tc>
      </w:tr>
    </w:tbl>
    <w:p>
      <w:pPr>
        <w:keepNext w:val="false"/>
        <w:spacing w:after="160" w:line="360"/>
      </w:pPr>
      <w:r>
        <w:rPr>
          <w:rFonts w:ascii="Arial" w:cs="Arial" w:eastAsia="Arial" w:hAnsi="Arial"/>
          <w:b w:val="false"/>
          <w:bCs w:val="false"/>
          <w:i w:val="false"/>
          <w:iCs w:val="false"/>
          <w:color w:val="000000"/>
          <w:sz w:val="24"/>
          <w:szCs w:val="24"/>
        </w:rPr>
        <w:t xml:space="preserve">Decision: Solution A, online pre-order and click-and-collect, should be implemented.</w:t>
      </w:r>
    </w:p>
    <w:p>
      <w:pPr>
        <w:pStyle w:val="Heading1"/>
        <w:keepNext/>
        <w:pageBreakBefore/>
      </w:pPr>
      <w:r>
        <w:t xml:space="preserve">Appendix 2: Task 4a - Implementation Plan</w:t>
      </w:r>
    </w:p>
    <w:p>
      <w:pPr>
        <w:keepNext w:val="false"/>
        <w:spacing w:after="160" w:line="360"/>
      </w:pPr>
      <w:r>
        <w:rPr>
          <w:rFonts w:ascii="Arial" w:cs="Arial" w:eastAsia="Arial" w:hAnsi="Arial"/>
          <w:b w:val="false"/>
          <w:bCs w:val="false"/>
          <w:i w:val="false"/>
          <w:iCs w:val="false"/>
          <w:color w:val="000000"/>
          <w:sz w:val="24"/>
          <w:szCs w:val="24"/>
        </w:rPr>
        <w:t xml:space="preserve">Problem being solved: Sales are about 25% below the 2019 level because reduced footfall and limited ordering methods restrict customer access.</w:t>
      </w:r>
    </w:p>
    <w:p>
      <w:pPr>
        <w:keepNext w:val="false"/>
        <w:spacing w:after="160" w:line="360"/>
      </w:pPr>
      <w:r>
        <w:rPr>
          <w:rFonts w:ascii="Arial" w:cs="Arial" w:eastAsia="Arial" w:hAnsi="Arial"/>
          <w:b w:val="false"/>
          <w:bCs w:val="false"/>
          <w:i w:val="false"/>
          <w:iCs w:val="false"/>
          <w:color w:val="000000"/>
          <w:sz w:val="24"/>
          <w:szCs w:val="24"/>
        </w:rPr>
        <w:t xml:space="preserve">Solution being implemented: Online pre-order and click-and-collect.</w:t>
      </w:r>
    </w:p>
    <w:tbl>
      <w:tblPr>
        <w:tblW w:type="dxa" w:w="9638"/>
        <w:tblBorders>
          <w:top w:val="single" w:color="auto" w:sz="4"/>
          <w:left w:val="single" w:color="auto" w:sz="4"/>
          <w:bottom w:val="single" w:color="auto" w:sz="4"/>
          <w:right w:val="single" w:color="auto" w:sz="4"/>
          <w:insideH w:val="single" w:color="auto" w:sz="4"/>
          <w:insideV w:val="single" w:color="auto" w:sz="4"/>
        </w:tblBorders>
        <w:tblLayout w:type="fixed"/>
      </w:tblPr>
      <w:tblGrid>
        <w:gridCol w:w="650"/>
        <w:gridCol w:w="1800"/>
        <w:gridCol w:w="4488"/>
        <w:gridCol w:w="1200"/>
        <w:gridCol w:w="1500"/>
      </w:tblGrid>
      <w:tr>
        <w:trPr>
          <w:tblHeader/>
        </w:trPr>
        <w:tc>
          <w:tcPr>
            <w:tcW w:type="dxa" w:w="650"/>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17"/>
                <w:szCs w:val="17"/>
              </w:rPr>
              <w:t xml:space="preserve">Stage</w:t>
            </w:r>
          </w:p>
        </w:tc>
        <w:tc>
          <w:tcPr>
            <w:tcW w:type="dxa" w:w="1800"/>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17"/>
                <w:szCs w:val="17"/>
              </w:rPr>
              <w:t xml:space="preserve">What</w:t>
            </w:r>
          </w:p>
        </w:tc>
        <w:tc>
          <w:tcPr>
            <w:tcW w:type="dxa" w:w="4488"/>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17"/>
                <w:szCs w:val="17"/>
              </w:rPr>
              <w:t xml:space="preserve">How</w:t>
            </w:r>
          </w:p>
        </w:tc>
        <w:tc>
          <w:tcPr>
            <w:tcW w:type="dxa" w:w="1200"/>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17"/>
                <w:szCs w:val="17"/>
              </w:rPr>
              <w:t xml:space="preserve">When</w:t>
            </w:r>
          </w:p>
        </w:tc>
        <w:tc>
          <w:tcPr>
            <w:tcW w:type="dxa" w:w="1500"/>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17"/>
                <w:szCs w:val="17"/>
              </w:rPr>
              <w:t xml:space="preserve">Who</w:t>
            </w:r>
          </w:p>
        </w:tc>
      </w:tr>
      <w:tr>
        <w:tc>
          <w:tcPr>
            <w:tcW w:type="dxa" w:w="65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1</w:t>
            </w:r>
          </w:p>
        </w:tc>
        <w:tc>
          <w:tcPr>
            <w:tcW w:type="dxa" w:w="18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Confirm customer needs and baseline performance</w:t>
            </w:r>
          </w:p>
        </w:tc>
        <w:tc>
          <w:tcPr>
            <w:tcW w:type="dxa" w:w="448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Survey customers about products, payment and collection times. Record four weeks of sales, waiting, missed calls and waste.</w:t>
            </w:r>
          </w:p>
        </w:tc>
        <w:tc>
          <w:tcPr>
            <w:tcW w:type="dxa" w:w="12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Weeks 1-2</w:t>
            </w:r>
          </w:p>
        </w:tc>
        <w:tc>
          <w:tcPr>
            <w:tcW w:type="dxa" w:w="15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Basil and assistant</w:t>
            </w:r>
          </w:p>
        </w:tc>
      </w:tr>
      <w:tr>
        <w:tc>
          <w:tcPr>
            <w:tcW w:type="dxa" w:w="65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2</w:t>
            </w:r>
          </w:p>
        </w:tc>
        <w:tc>
          <w:tcPr>
            <w:tcW w:type="dxa" w:w="18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Choose the system and design the process</w:t>
            </w:r>
          </w:p>
        </w:tc>
        <w:tc>
          <w:tcPr>
            <w:tcW w:type="dxa" w:w="448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Compare three providers for price, ease of use, security and support. Set the budget, menu, stock limits, collection slots and refund process.</w:t>
            </w:r>
          </w:p>
        </w:tc>
        <w:tc>
          <w:tcPr>
            <w:tcW w:type="dxa" w:w="12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Weeks 3-4</w:t>
            </w:r>
          </w:p>
        </w:tc>
        <w:tc>
          <w:tcPr>
            <w:tcW w:type="dxa" w:w="15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Basil and website provider</w:t>
            </w:r>
          </w:p>
        </w:tc>
      </w:tr>
      <w:tr>
        <w:tc>
          <w:tcPr>
            <w:tcW w:type="dxa" w:w="65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3</w:t>
            </w:r>
          </w:p>
        </w:tc>
        <w:tc>
          <w:tcPr>
            <w:tcW w:type="dxa" w:w="18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Build, test and train</w:t>
            </w:r>
          </w:p>
        </w:tc>
        <w:tc>
          <w:tcPr>
            <w:tcW w:type="dxa" w:w="448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Upload prices, product details and allergens. Test payments, notifications and handover. Train the person supporting collections.</w:t>
            </w:r>
          </w:p>
        </w:tc>
        <w:tc>
          <w:tcPr>
            <w:tcW w:type="dxa" w:w="12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Weeks 5-6</w:t>
            </w:r>
          </w:p>
        </w:tc>
        <w:tc>
          <w:tcPr>
            <w:tcW w:type="dxa" w:w="15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Provider, Basil and assistant</w:t>
            </w:r>
          </w:p>
        </w:tc>
      </w:tr>
      <w:tr>
        <w:tc>
          <w:tcPr>
            <w:tcW w:type="dxa" w:w="65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4</w:t>
            </w:r>
          </w:p>
        </w:tc>
        <w:tc>
          <w:tcPr>
            <w:tcW w:type="dxa" w:w="18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Run a controlled pilot</w:t>
            </w:r>
          </w:p>
        </w:tc>
        <w:tc>
          <w:tcPr>
            <w:tcW w:type="dxa" w:w="448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Promote the service in-store and online. Begin with popular products and limited collection times.</w:t>
            </w:r>
          </w:p>
        </w:tc>
        <w:tc>
          <w:tcPr>
            <w:tcW w:type="dxa" w:w="12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Weeks 7-10</w:t>
            </w:r>
          </w:p>
        </w:tc>
        <w:tc>
          <w:tcPr>
            <w:tcW w:type="dxa" w:w="15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Basil; assistant supports fulfilment</w:t>
            </w:r>
          </w:p>
        </w:tc>
      </w:tr>
      <w:tr>
        <w:tc>
          <w:tcPr>
            <w:tcW w:type="dxa" w:w="65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5</w:t>
            </w:r>
          </w:p>
        </w:tc>
        <w:tc>
          <w:tcPr>
            <w:tcW w:type="dxa" w:w="18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Review and improve</w:t>
            </w:r>
          </w:p>
        </w:tc>
        <w:tc>
          <w:tcPr>
            <w:tcW w:type="dxa" w:w="448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Compare the KPI results with targets and baseline figures. Change the workflow, menu, pricing or slots where needed.</w:t>
            </w:r>
          </w:p>
        </w:tc>
        <w:tc>
          <w:tcPr>
            <w:tcW w:type="dxa" w:w="12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Weeks 11-12</w:t>
            </w:r>
          </w:p>
        </w:tc>
        <w:tc>
          <w:tcPr>
            <w:tcW w:type="dxa" w:w="15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7"/>
                <w:szCs w:val="17"/>
              </w:rPr>
              <w:t xml:space="preserve">Basil, using feedback and provider support</w:t>
            </w:r>
          </w:p>
        </w:tc>
      </w:tr>
    </w:tbl>
    <w:p>
      <w:pPr>
        <w:keepNext w:val="false"/>
        <w:spacing w:after="160" w:line="360"/>
      </w:pPr>
      <w:r>
        <w:rPr>
          <w:rFonts w:ascii="Arial" w:cs="Arial" w:eastAsia="Arial" w:hAnsi="Arial"/>
          <w:b w:val="false"/>
          <w:bCs w:val="false"/>
          <w:i w:val="false"/>
          <w:iCs w:val="false"/>
          <w:color w:val="000000"/>
          <w:sz w:val="24"/>
          <w:szCs w:val="24"/>
        </w:rPr>
        <w:t xml:space="preserve">Source: adapted from the plan-do-check-act approach in International Organization for Standardization (2015).</w:t>
      </w:r>
    </w:p>
    <w:p>
      <w:pPr>
        <w:pStyle w:val="Heading1"/>
        <w:keepNext/>
        <w:pageBreakBefore/>
      </w:pPr>
      <w:r>
        <w:t xml:space="preserve">Appendix 3: Task 5a - KPI and SMART Objectives</w:t>
      </w:r>
    </w:p>
    <w:p>
      <w:pPr>
        <w:keepNext w:val="false"/>
        <w:spacing w:after="160" w:line="360"/>
      </w:pPr>
      <w:r>
        <w:rPr>
          <w:rFonts w:ascii="Arial" w:cs="Arial" w:eastAsia="Arial" w:hAnsi="Arial"/>
          <w:b w:val="false"/>
          <w:bCs w:val="false"/>
          <w:i w:val="false"/>
          <w:iCs w:val="false"/>
          <w:color w:val="000000"/>
          <w:sz w:val="24"/>
          <w:szCs w:val="24"/>
        </w:rPr>
        <w:t xml:space="preserve">Key Performance Indicator: percentage of total weekly sales revenue generated through online pre-orders.</w:t>
      </w:r>
    </w:p>
    <w:p>
      <w:pPr>
        <w:keepNext w:val="false"/>
        <w:spacing w:after="160" w:line="360"/>
      </w:pPr>
      <w:r>
        <w:rPr>
          <w:rFonts w:ascii="Arial" w:cs="Arial" w:eastAsia="Arial" w:hAnsi="Arial"/>
          <w:b w:val="false"/>
          <w:bCs w:val="false"/>
          <w:i w:val="false"/>
          <w:iCs w:val="false"/>
          <w:color w:val="000000"/>
          <w:sz w:val="24"/>
          <w:szCs w:val="24"/>
        </w:rPr>
        <w:t xml:space="preserve">Calculation: weekly online pre-order revenue divided by total weekly sales revenue, multiplied by 100.</w:t>
      </w:r>
    </w:p>
    <w:tbl>
      <w:tblPr>
        <w:tblW w:type="dxa" w:w="9638"/>
        <w:tblBorders>
          <w:top w:val="single" w:color="auto" w:sz="4"/>
          <w:left w:val="single" w:color="auto" w:sz="4"/>
          <w:bottom w:val="single" w:color="auto" w:sz="4"/>
          <w:right w:val="single" w:color="auto" w:sz="4"/>
          <w:insideH w:val="single" w:color="auto" w:sz="4"/>
          <w:insideV w:val="single" w:color="auto" w:sz="4"/>
        </w:tblBorders>
        <w:tblLayout w:type="fixed"/>
      </w:tblPr>
      <w:tblGrid>
        <w:gridCol w:w="1900"/>
        <w:gridCol w:w="7738"/>
      </w:tblGrid>
      <w:tr>
        <w:trPr>
          <w:tblHeader/>
        </w:trPr>
        <w:tc>
          <w:tcPr>
            <w:tcW w:type="dxa" w:w="1900"/>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19"/>
                <w:szCs w:val="19"/>
              </w:rPr>
              <w:t xml:space="preserve">SMART element</w:t>
            </w:r>
          </w:p>
        </w:tc>
        <w:tc>
          <w:tcPr>
            <w:tcW w:type="dxa" w:w="7738"/>
            <w:shd w:fill="1F3864" w:val="clear"/>
            <w:tcMar>
              <w:top w:type="dxa" w:w="100"/>
              <w:left w:type="dxa" w:w="100"/>
              <w:bottom w:type="dxa" w:w="100"/>
              <w:right w:type="dxa" w:w="100"/>
            </w:tcMar>
            <w:vAlign w:val="center"/>
          </w:tcPr>
          <w:p>
            <w:pPr>
              <w:spacing w:after="60" w:line="276"/>
              <w:jc w:val="left"/>
            </w:pPr>
            <w:r>
              <w:rPr>
                <w:rFonts w:ascii="Arial" w:cs="Arial" w:eastAsia="Arial" w:hAnsi="Arial"/>
                <w:b/>
                <w:bCs/>
                <w:i w:val="false"/>
                <w:iCs w:val="false"/>
                <w:color w:val="FFFFFF"/>
                <w:sz w:val="19"/>
                <w:szCs w:val="19"/>
              </w:rPr>
              <w:t xml:space="preserve">Objective</w:t>
            </w:r>
          </w:p>
        </w:tc>
      </w:tr>
      <w:tr>
        <w:tc>
          <w:tcPr>
            <w:tcW w:type="dxa" w:w="1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9"/>
                <w:szCs w:val="19"/>
              </w:rPr>
              <w:t xml:space="preserve">Specific</w:t>
            </w:r>
          </w:p>
        </w:tc>
        <w:tc>
          <w:tcPr>
            <w:tcW w:type="dxa" w:w="77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9"/>
                <w:szCs w:val="19"/>
              </w:rPr>
              <w:t xml:space="preserve">Launch a click-and-collect service for selected bakery products and use online pre-orders to increase sales.</w:t>
            </w:r>
          </w:p>
        </w:tc>
      </w:tr>
      <w:tr>
        <w:tc>
          <w:tcPr>
            <w:tcW w:type="dxa" w:w="1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9"/>
                <w:szCs w:val="19"/>
              </w:rPr>
              <w:t xml:space="preserve">Measurable</w:t>
            </w:r>
          </w:p>
        </w:tc>
        <w:tc>
          <w:tcPr>
            <w:tcW w:type="dxa" w:w="77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9"/>
                <w:szCs w:val="19"/>
              </w:rPr>
              <w:t xml:space="preserve">Generate at least 15% of weekly revenue online and reach 40 online orders each week. Prepare at least 90% on time, maintain satisfaction of 4/5 or more, and keep errors below 3%.</w:t>
            </w:r>
          </w:p>
        </w:tc>
      </w:tr>
      <w:tr>
        <w:tc>
          <w:tcPr>
            <w:tcW w:type="dxa" w:w="1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9"/>
                <w:szCs w:val="19"/>
              </w:rPr>
              <w:t xml:space="preserve">Attainable</w:t>
            </w:r>
          </w:p>
        </w:tc>
        <w:tc>
          <w:tcPr>
            <w:tcW w:type="dxa" w:w="77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9"/>
                <w:szCs w:val="19"/>
              </w:rPr>
              <w:t xml:space="preserve">Start with popular products, limited collection slots and a four-week pilot. Use the existing bakery and an affordable website rather than employing a delivery driver.</w:t>
            </w:r>
          </w:p>
        </w:tc>
      </w:tr>
      <w:tr>
        <w:tc>
          <w:tcPr>
            <w:tcW w:type="dxa" w:w="1900"/>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9"/>
                <w:szCs w:val="19"/>
              </w:rPr>
              <w:t xml:space="preserve">Relevant</w:t>
            </w:r>
          </w:p>
        </w:tc>
        <w:tc>
          <w:tcPr>
            <w:tcW w:type="dxa" w:w="7738"/>
            <w:shd w:fill="FFFFFF"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9"/>
                <w:szCs w:val="19"/>
              </w:rPr>
              <w:t xml:space="preserve">The objectives address reduced footfall, missed telephone orders and queues while allowing Basil to remain onsite and bake.</w:t>
            </w:r>
          </w:p>
        </w:tc>
      </w:tr>
      <w:tr>
        <w:tc>
          <w:tcPr>
            <w:tcW w:type="dxa" w:w="1900"/>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9"/>
                <w:szCs w:val="19"/>
              </w:rPr>
              <w:t xml:space="preserve">Time-bound</w:t>
            </w:r>
          </w:p>
        </w:tc>
        <w:tc>
          <w:tcPr>
            <w:tcW w:type="dxa" w:w="7738"/>
            <w:shd w:fill="F2F2F2" w:val="clear"/>
            <w:tcMar>
              <w:top w:type="dxa" w:w="100"/>
              <w:left w:type="dxa" w:w="100"/>
              <w:bottom w:type="dxa" w:w="100"/>
              <w:right w:type="dxa" w:w="100"/>
            </w:tcMar>
            <w:vAlign w:val="center"/>
          </w:tcPr>
          <w:p>
            <w:pPr>
              <w:spacing w:after="60" w:line="276"/>
              <w:jc w:val="left"/>
            </w:pPr>
            <w:r>
              <w:rPr>
                <w:rFonts w:ascii="Arial" w:cs="Arial" w:eastAsia="Arial" w:hAnsi="Arial"/>
                <w:b w:val="false"/>
                <w:bCs w:val="false"/>
                <w:i w:val="false"/>
                <w:iCs w:val="false"/>
                <w:color w:val="000000"/>
                <w:sz w:val="19"/>
                <w:szCs w:val="19"/>
              </w:rPr>
              <w:t xml:space="preserve">Launch by the end of week 6, pilot during weeks 7-10, review progress at weeks 4, 8 and 12 after launch, and achieve the targets by week 12.</w:t>
            </w:r>
          </w:p>
        </w:tc>
      </w:tr>
    </w:tbl>
    <w:p>
      <w:pPr>
        <w:keepNext w:val="false"/>
        <w:spacing w:after="160" w:line="360"/>
      </w:pPr>
      <w:r>
        <w:rPr>
          <w:rFonts w:ascii="Arial" w:cs="Arial" w:eastAsia="Arial" w:hAnsi="Arial"/>
          <w:b w:val="false"/>
          <w:bCs w:val="false"/>
          <w:i w:val="false"/>
          <w:iCs w:val="false"/>
          <w:color w:val="000000"/>
          <w:sz w:val="24"/>
          <w:szCs w:val="24"/>
        </w:rPr>
        <w:t xml:space="preserve">The objectives are based on Doran's (1981) SMART approach, and the KPI is designed to focus attention on measurable business performance (Parmenter, 2015).</w:t>
      </w:r>
    </w:p>
    <w:sectPr>
      <w:headerReference w:type="default" r:id="rId7"/>
      <w:footerReference w:type="default" r:id="rId8"/>
      <w:pgSz w:w="11906" w:h="16838" w:orient="portrait"/>
      <w:pgMar w:top="1134" w:right="1134" w:bottom="1134" w:left="1134"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w:pPr>
      <w:spacing w:after="0"/>
      <w:jc w:val="center"/>
    </w:pPr>
    <w:r>
      <w:rPr>
        <w:rFonts w:ascii="Arial" w:cs="Arial" w:eastAsia="Arial" w:hAnsi="Arial"/>
        <w:b w:val="false"/>
        <w:bCs w:val="false"/>
        <w:i w:val="false"/>
        <w:iCs w:val="false"/>
        <w:color w:val="000000"/>
        <w:sz w:val="18"/>
        <w:szCs w:val="18"/>
      </w:rPr>
      <w:t xml:space="preserve">Page </w:t>
    </w:r>
    <w:r>
      <w:rPr>
        <w:rFonts w:ascii="Arial" w:cs="Arial" w:eastAsia="Arial" w:hAnsi="Arial"/>
        <w:sz w:val="18"/>
        <w:szCs w:val="18"/>
      </w:rPr>
      <w:fldChar w:fldCharType="begin"/>
      <w:instrText xml:space="preserve">PAGE</w:instrText>
      <w:fldChar w:fldCharType="separate"/>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w16cid="http://schemas.microsoft.com/office/word/2016/wordml/cid" xmlns:w16se="http://schemas.microsoft.com/office/word/2015/wordml/symex">
  <w:p>
    <w:pPr>
      <w:spacing w:after="0"/>
      <w:jc w:val="right"/>
    </w:pPr>
    <w:r>
      <w:rPr>
        <w:rFonts w:ascii="Arial" w:cs="Arial" w:eastAsia="Arial" w:hAnsi="Arial"/>
        <w:b w:val="false"/>
        <w:bCs w:val="false"/>
        <w:i w:val="false"/>
        <w:iCs w:val="false"/>
        <w:color w:val="666666"/>
        <w:sz w:val="18"/>
        <w:szCs w:val="18"/>
      </w:rPr>
      <w:t xml:space="preserve">LCLM4004 - Basil's Bakery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updateFields/>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cs="Arial" w:eastAsia="Arial" w:hAnsi="Arial"/>
        <w:sz w:val="24"/>
        <w:szCs w:val="24"/>
      </w:rPr>
    </w:rPrDefault>
    <w:pPrDefault>
      <w:pPr>
        <w:spacing w:after="160" w:line="360"/>
      </w:pPr>
    </w:pPrDefault>
  </w:docDefaults>
  <w:style w:type="paragraph" w:styleId="Title">
    <w:name w:val="Title"/>
    <w:basedOn w:val="Normal"/>
    <w:next w:val="Normal"/>
    <w:qFormat/>
    <w:pPr>
      <w:spacing w:after="240" w:before="180"/>
      <w:jc w:val="center"/>
    </w:pPr>
    <w:rPr>
      <w:rFonts w:ascii="Arial" w:cs="Arial" w:eastAsia="Arial" w:hAnsi="Arial"/>
      <w:b/>
      <w:bCs/>
      <w:color w:val="1F3864"/>
      <w:sz w:val="38"/>
      <w:szCs w:val="38"/>
    </w:rPr>
  </w:style>
  <w:style w:type="paragraph" w:styleId="Heading1">
    <w:name w:val="Heading 1"/>
    <w:basedOn w:val="Normal"/>
    <w:next w:val="Normal"/>
    <w:qFormat/>
    <w:pPr>
      <w:keepNext/>
      <w:spacing w:after="140" w:before="280"/>
    </w:pPr>
    <w:rPr>
      <w:rFonts w:ascii="Arial" w:cs="Arial" w:eastAsia="Arial" w:hAnsi="Arial"/>
      <w:b/>
      <w:bCs/>
      <w:color w:val="1F3864"/>
      <w:sz w:val="30"/>
      <w:szCs w:val="30"/>
    </w:rPr>
  </w:style>
  <w:style w:type="paragraph" w:styleId="Heading2">
    <w:name w:val="Heading 2"/>
    <w:basedOn w:val="Normal"/>
    <w:next w:val="Normal"/>
    <w:qFormat/>
    <w:pPr>
      <w:keepNext/>
      <w:spacing w:after="100" w:before="220"/>
    </w:pPr>
    <w:rPr>
      <w:rFonts w:ascii="Arial" w:cs="Arial" w:eastAsia="Arial" w:hAnsi="Arial"/>
      <w:b/>
      <w:bCs/>
      <w:color w:val="1F3864"/>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er1.xml.rels><?xml version="1.0" encoding="UTF-8"?><Relationships xmlns="http://schemas.openxmlformats.org/package/2006/relationships"/>
</file>

<file path=word/_rels/footnotes.xml.rels><?xml version="1.0" encoding="UTF-8"?><Relationships xmlns="http://schemas.openxmlformats.org/package/2006/relationships"/>
</file>

<file path=word/_rels/header1.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2026-08-12T10:34:06.360Z</dcterms:created>
  <dcterms:modified xsi:type="dcterms:W3CDTF">2026-08-12T10:34:06.360Z</dcterms:modified>
</cp:coreProperties>
</file>

<file path=docProps/custom.xml><?xml version="1.0" encoding="utf-8"?>
<Properties xmlns="http://schemas.openxmlformats.org/officeDocument/2006/custom-properties" xmlns:vt="http://schemas.openxmlformats.org/officeDocument/2006/docPropsVTypes"/>
</file>