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23A2" w:rsidRPr="00924E7E" w:rsidRDefault="004D23A2" w:rsidP="004D23A2">
      <w:pPr>
        <w:spacing w:after="400" w:line="360" w:lineRule="auto"/>
        <w:jc w:val="center"/>
        <w:rPr>
          <w:rFonts w:ascii="Arial" w:hAnsi="Arial" w:cs="Arial"/>
          <w:b/>
          <w:bCs/>
          <w:sz w:val="32"/>
          <w:szCs w:val="32"/>
        </w:rPr>
      </w:pPr>
      <w:r w:rsidRPr="00924E7E">
        <w:rPr>
          <w:rFonts w:ascii="Arial" w:hAnsi="Arial" w:cs="Arial"/>
          <w:b/>
          <w:bCs/>
          <w:noProof/>
          <w:sz w:val="32"/>
          <w:szCs w:val="32"/>
          <w:lang w:val="en-GB" w:eastAsia="en-GB"/>
        </w:rPr>
        <w:drawing>
          <wp:inline distT="0" distB="0" distL="0" distR="0" wp14:anchorId="220F9E5F" wp14:editId="4C3B77B4">
            <wp:extent cx="2019300" cy="876300"/>
            <wp:effectExtent l="0" t="0" r="0" b="0"/>
            <wp:docPr id="113161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15531" name=""/>
                    <pic:cNvPicPr/>
                  </pic:nvPicPr>
                  <pic:blipFill>
                    <a:blip r:embed="rId6"/>
                    <a:stretch>
                      <a:fillRect/>
                    </a:stretch>
                  </pic:blipFill>
                  <pic:spPr>
                    <a:xfrm>
                      <a:off x="0" y="0"/>
                      <a:ext cx="2019300" cy="876300"/>
                    </a:xfrm>
                    <a:prstGeom prst="rect">
                      <a:avLst/>
                    </a:prstGeom>
                  </pic:spPr>
                </pic:pic>
              </a:graphicData>
            </a:graphic>
          </wp:inline>
        </w:drawing>
      </w:r>
    </w:p>
    <w:p w:rsidR="004D23A2" w:rsidRDefault="004D23A2" w:rsidP="004D23A2">
      <w:pPr>
        <w:pStyle w:val="NoSpacing"/>
        <w:jc w:val="center"/>
        <w:rPr>
          <w:rFonts w:ascii="Arial" w:hAnsi="Arial" w:cs="Arial"/>
          <w:b/>
          <w:bCs/>
          <w:sz w:val="28"/>
          <w:szCs w:val="28"/>
        </w:rPr>
      </w:pPr>
      <w:r w:rsidRPr="00924E7E">
        <w:rPr>
          <w:rFonts w:ascii="Arial" w:hAnsi="Arial" w:cs="Arial"/>
          <w:b/>
          <w:bCs/>
          <w:sz w:val="28"/>
          <w:szCs w:val="28"/>
        </w:rPr>
        <w:t>Programme: Master of Business Administration</w:t>
      </w:r>
    </w:p>
    <w:p w:rsidR="004D23A2" w:rsidRPr="00924E7E" w:rsidRDefault="004D23A2" w:rsidP="004D23A2">
      <w:pPr>
        <w:pStyle w:val="NoSpacing"/>
        <w:jc w:val="center"/>
        <w:rPr>
          <w:rFonts w:ascii="Arial" w:hAnsi="Arial" w:cs="Arial"/>
          <w:b/>
          <w:bCs/>
          <w:sz w:val="28"/>
          <w:szCs w:val="28"/>
        </w:rPr>
      </w:pPr>
    </w:p>
    <w:p w:rsidR="004D23A2" w:rsidRPr="00924E7E" w:rsidRDefault="004D23A2" w:rsidP="004D23A2">
      <w:pPr>
        <w:pStyle w:val="NoSpacing"/>
        <w:jc w:val="center"/>
        <w:rPr>
          <w:rFonts w:ascii="Arial" w:hAnsi="Arial" w:cs="Arial"/>
          <w:b/>
          <w:bCs/>
          <w:sz w:val="28"/>
          <w:szCs w:val="28"/>
        </w:rPr>
      </w:pPr>
      <w:r w:rsidRPr="00924E7E">
        <w:rPr>
          <w:rFonts w:ascii="Arial" w:hAnsi="Arial" w:cs="Arial"/>
          <w:b/>
          <w:bCs/>
          <w:sz w:val="28"/>
          <w:szCs w:val="28"/>
        </w:rPr>
        <w:t>Module Code and Title: LCMB7035 Dissertation</w:t>
      </w:r>
    </w:p>
    <w:p w:rsidR="004D23A2" w:rsidRPr="00924E7E" w:rsidRDefault="004D23A2" w:rsidP="004D23A2">
      <w:pPr>
        <w:pStyle w:val="NoSpacing"/>
        <w:jc w:val="center"/>
        <w:rPr>
          <w:rFonts w:ascii="Arial" w:hAnsi="Arial" w:cs="Arial"/>
          <w:b/>
          <w:bCs/>
          <w:sz w:val="28"/>
          <w:szCs w:val="28"/>
        </w:rPr>
      </w:pPr>
    </w:p>
    <w:p w:rsidR="004D23A2" w:rsidRPr="00924E7E" w:rsidRDefault="004D23A2" w:rsidP="004D23A2">
      <w:pPr>
        <w:pStyle w:val="NoSpacing"/>
        <w:jc w:val="center"/>
        <w:rPr>
          <w:rFonts w:ascii="Arial" w:hAnsi="Arial" w:cs="Arial"/>
          <w:b/>
          <w:bCs/>
          <w:sz w:val="28"/>
          <w:szCs w:val="28"/>
        </w:rPr>
      </w:pPr>
      <w:r w:rsidRPr="00924E7E">
        <w:rPr>
          <w:rFonts w:ascii="Arial" w:hAnsi="Arial" w:cs="Arial"/>
          <w:b/>
          <w:bCs/>
          <w:sz w:val="28"/>
          <w:szCs w:val="28"/>
        </w:rPr>
        <w:t xml:space="preserve">Proposal On: </w:t>
      </w:r>
    </w:p>
    <w:p w:rsidR="004D23A2" w:rsidRPr="00924E7E" w:rsidRDefault="004D23A2" w:rsidP="004D23A2">
      <w:pPr>
        <w:spacing w:after="400" w:line="360" w:lineRule="auto"/>
        <w:jc w:val="center"/>
        <w:rPr>
          <w:rFonts w:ascii="Arial" w:hAnsi="Arial" w:cs="Arial"/>
          <w:b/>
          <w:bCs/>
          <w:i/>
          <w:iCs/>
          <w:sz w:val="28"/>
          <w:szCs w:val="28"/>
        </w:rPr>
      </w:pPr>
    </w:p>
    <w:p w:rsidR="004D23A2" w:rsidRPr="004D23A2" w:rsidRDefault="004D23A2" w:rsidP="004D23A2">
      <w:pPr>
        <w:spacing w:after="400" w:line="360" w:lineRule="auto"/>
        <w:jc w:val="center"/>
        <w:rPr>
          <w:rFonts w:ascii="Arial" w:hAnsi="Arial" w:cs="Arial"/>
          <w:b/>
          <w:bCs/>
          <w:i/>
          <w:iCs/>
        </w:rPr>
      </w:pPr>
      <w:r w:rsidRPr="00924E7E">
        <w:rPr>
          <w:rFonts w:ascii="Arial" w:hAnsi="Arial" w:cs="Arial"/>
          <w:b/>
          <w:bCs/>
          <w:i/>
          <w:iCs/>
          <w:sz w:val="28"/>
          <w:szCs w:val="28"/>
        </w:rPr>
        <w:t>“</w:t>
      </w:r>
      <w:r w:rsidRPr="00924E7E">
        <w:rPr>
          <w:rFonts w:ascii="Arial" w:hAnsi="Arial" w:cs="Arial"/>
          <w:b/>
          <w:bCs/>
          <w:i/>
          <w:iCs/>
        </w:rPr>
        <w:t>Examining the Relationship Between Employees' Perceptions of Flexible Work Arrangements and Employee Engagement in the Bangladesh Ready-Made Garment Industry: Evidence from Natural Group</w:t>
      </w:r>
      <w:r w:rsidRPr="00924E7E">
        <w:rPr>
          <w:rFonts w:ascii="Arial" w:hAnsi="Arial" w:cs="Arial"/>
          <w:b/>
          <w:bCs/>
          <w:i/>
          <w:iCs/>
          <w:sz w:val="28"/>
          <w:szCs w:val="28"/>
        </w:rPr>
        <w:t>”</w:t>
      </w:r>
    </w:p>
    <w:p w:rsidR="004D23A2" w:rsidRDefault="004D23A2" w:rsidP="004D23A2">
      <w:pPr>
        <w:spacing w:after="400" w:line="360" w:lineRule="auto"/>
        <w:jc w:val="center"/>
        <w:rPr>
          <w:rFonts w:ascii="Arial" w:hAnsi="Arial" w:cs="Arial"/>
          <w:b/>
          <w:bCs/>
          <w:sz w:val="32"/>
          <w:szCs w:val="32"/>
        </w:rPr>
      </w:pPr>
      <w:r w:rsidRPr="00924E7E">
        <w:rPr>
          <w:rFonts w:ascii="Arial" w:hAnsi="Arial" w:cs="Arial"/>
          <w:b/>
          <w:bCs/>
          <w:sz w:val="32"/>
          <w:szCs w:val="32"/>
        </w:rPr>
        <w:t>Student Name:</w:t>
      </w:r>
      <w:r w:rsidRPr="00924E7E">
        <w:rPr>
          <w:rFonts w:ascii="Arial" w:hAnsi="Arial" w:cs="Arial"/>
          <w:color w:val="222222"/>
          <w:shd w:val="clear" w:color="auto" w:fill="FFFFFF"/>
        </w:rPr>
        <w:t xml:space="preserve"> </w:t>
      </w:r>
      <w:r w:rsidRPr="00924E7E">
        <w:rPr>
          <w:rFonts w:ascii="Arial" w:hAnsi="Arial" w:cs="Arial"/>
          <w:b/>
          <w:bCs/>
          <w:sz w:val="32"/>
          <w:szCs w:val="32"/>
        </w:rPr>
        <w:t>Md Moinul Hasan Bappy</w:t>
      </w:r>
      <w:r w:rsidRPr="00924E7E">
        <w:rPr>
          <w:rFonts w:ascii="Arial" w:hAnsi="Arial" w:cs="Arial"/>
          <w:b/>
          <w:bCs/>
          <w:sz w:val="32"/>
          <w:szCs w:val="32"/>
        </w:rPr>
        <w:br/>
        <w:t>Student ID: 2503567</w:t>
      </w:r>
    </w:p>
    <w:p w:rsidR="00956741" w:rsidRPr="00924E7E" w:rsidRDefault="00956741" w:rsidP="004D23A2">
      <w:pPr>
        <w:spacing w:after="400" w:line="360" w:lineRule="auto"/>
        <w:jc w:val="center"/>
        <w:rPr>
          <w:rFonts w:ascii="Arial" w:hAnsi="Arial" w:cs="Arial"/>
          <w:b/>
          <w:bCs/>
          <w:sz w:val="32"/>
          <w:szCs w:val="32"/>
        </w:rPr>
      </w:pPr>
      <w:r>
        <w:rPr>
          <w:rFonts w:ascii="Arial" w:hAnsi="Arial" w:cs="Arial"/>
          <w:b/>
          <w:bCs/>
          <w:sz w:val="32"/>
          <w:szCs w:val="32"/>
        </w:rPr>
        <w:t>Supervisor: Amare Desta</w:t>
      </w:r>
      <w:bookmarkStart w:id="0" w:name="_GoBack"/>
      <w:bookmarkEnd w:id="0"/>
    </w:p>
    <w:p w:rsidR="004D23A2" w:rsidRPr="00924E7E" w:rsidRDefault="004D23A2" w:rsidP="004D23A2">
      <w:pPr>
        <w:rPr>
          <w:rFonts w:ascii="Arial" w:hAnsi="Arial" w:cs="Arial"/>
          <w:b/>
          <w:bCs/>
          <w:sz w:val="32"/>
          <w:szCs w:val="32"/>
        </w:rPr>
      </w:pPr>
      <w:r w:rsidRPr="00924E7E">
        <w:rPr>
          <w:rFonts w:ascii="Arial" w:hAnsi="Arial" w:cs="Arial"/>
          <w:b/>
          <w:bCs/>
          <w:sz w:val="32"/>
          <w:szCs w:val="32"/>
        </w:rPr>
        <w:br w:type="page"/>
      </w:r>
    </w:p>
    <w:sdt>
      <w:sdtPr>
        <w:rPr>
          <w:rFonts w:ascii="Arial" w:eastAsia="Times New Roman" w:hAnsi="Arial" w:cs="Arial"/>
          <w:color w:val="auto"/>
          <w:sz w:val="24"/>
          <w:szCs w:val="24"/>
          <w:lang w:eastAsia="zh-TW"/>
        </w:rPr>
        <w:id w:val="1701042724"/>
        <w:docPartObj>
          <w:docPartGallery w:val="Table of Contents"/>
          <w:docPartUnique/>
        </w:docPartObj>
      </w:sdtPr>
      <w:sdtEndPr>
        <w:rPr>
          <w:b/>
          <w:bCs/>
          <w:noProof/>
        </w:rPr>
      </w:sdtEndPr>
      <w:sdtContent>
        <w:p w:rsidR="004D23A2" w:rsidRPr="004A3ADF" w:rsidRDefault="004D23A2" w:rsidP="004D23A2">
          <w:pPr>
            <w:pStyle w:val="TOCHeading"/>
            <w:jc w:val="center"/>
            <w:rPr>
              <w:rFonts w:ascii="Arial" w:hAnsi="Arial" w:cs="Arial"/>
            </w:rPr>
          </w:pPr>
          <w:r w:rsidRPr="004A3ADF">
            <w:rPr>
              <w:rFonts w:ascii="Arial" w:hAnsi="Arial" w:cs="Arial"/>
            </w:rPr>
            <w:t>Table of Contents</w:t>
          </w:r>
        </w:p>
        <w:p w:rsidR="004D23A2" w:rsidRPr="004A3ADF" w:rsidRDefault="004D23A2" w:rsidP="004D23A2">
          <w:pPr>
            <w:pStyle w:val="TOC1"/>
            <w:rPr>
              <w:rFonts w:ascii="Arial" w:eastAsiaTheme="minorEastAsia" w:hAnsi="Arial" w:cs="Arial"/>
              <w:b w:val="0"/>
              <w:bCs w:val="0"/>
              <w:sz w:val="22"/>
              <w:szCs w:val="22"/>
              <w:lang w:val="en-US" w:eastAsia="en-US"/>
            </w:rPr>
          </w:pPr>
          <w:r w:rsidRPr="004A3ADF">
            <w:rPr>
              <w:rFonts w:ascii="Arial" w:hAnsi="Arial" w:cs="Arial"/>
            </w:rPr>
            <w:fldChar w:fldCharType="begin"/>
          </w:r>
          <w:r w:rsidRPr="004A3ADF">
            <w:rPr>
              <w:rFonts w:ascii="Arial" w:hAnsi="Arial" w:cs="Arial"/>
            </w:rPr>
            <w:instrText xml:space="preserve"> TOC \o "1-3" \h \z \u </w:instrText>
          </w:r>
          <w:r w:rsidRPr="004A3ADF">
            <w:rPr>
              <w:rFonts w:ascii="Arial" w:hAnsi="Arial" w:cs="Arial"/>
            </w:rPr>
            <w:fldChar w:fldCharType="separate"/>
          </w:r>
          <w:hyperlink w:anchor="_Toc235471138" w:history="1">
            <w:r w:rsidRPr="004A3ADF">
              <w:rPr>
                <w:rStyle w:val="Hyperlink"/>
                <w:rFonts w:ascii="Arial" w:hAnsi="Arial" w:cs="Arial"/>
              </w:rPr>
              <w:t>1.0 Introduction</w:t>
            </w:r>
            <w:r w:rsidRPr="004A3ADF">
              <w:rPr>
                <w:rFonts w:ascii="Arial" w:hAnsi="Arial" w:cs="Arial"/>
                <w:webHidden/>
              </w:rPr>
              <w:tab/>
            </w:r>
            <w:r w:rsidRPr="004A3ADF">
              <w:rPr>
                <w:rFonts w:ascii="Arial" w:hAnsi="Arial" w:cs="Arial"/>
                <w:webHidden/>
              </w:rPr>
              <w:fldChar w:fldCharType="begin"/>
            </w:r>
            <w:r w:rsidRPr="004A3ADF">
              <w:rPr>
                <w:rFonts w:ascii="Arial" w:hAnsi="Arial" w:cs="Arial"/>
                <w:webHidden/>
              </w:rPr>
              <w:instrText xml:space="preserve"> PAGEREF _Toc235471138 \h </w:instrText>
            </w:r>
            <w:r w:rsidRPr="004A3ADF">
              <w:rPr>
                <w:rFonts w:ascii="Arial" w:hAnsi="Arial" w:cs="Arial"/>
                <w:webHidden/>
              </w:rPr>
            </w:r>
            <w:r w:rsidRPr="004A3ADF">
              <w:rPr>
                <w:rFonts w:ascii="Arial" w:hAnsi="Arial" w:cs="Arial"/>
                <w:webHidden/>
              </w:rPr>
              <w:fldChar w:fldCharType="separate"/>
            </w:r>
            <w:r>
              <w:rPr>
                <w:rFonts w:ascii="Arial" w:hAnsi="Arial" w:cs="Arial"/>
                <w:webHidden/>
              </w:rPr>
              <w:t>3</w:t>
            </w:r>
            <w:r w:rsidRPr="004A3ADF">
              <w:rPr>
                <w:rFonts w:ascii="Arial" w:hAnsi="Arial" w:cs="Arial"/>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39" w:history="1">
            <w:r w:rsidR="004D23A2" w:rsidRPr="004A3ADF">
              <w:rPr>
                <w:rStyle w:val="Hyperlink"/>
                <w:rFonts w:ascii="Arial" w:hAnsi="Arial" w:cs="Arial"/>
                <w:noProof/>
              </w:rPr>
              <w:t>1.1 Background of the study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_Toc235471139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4</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0" w:history="1">
            <w:r w:rsidR="004D23A2" w:rsidRPr="004A3ADF">
              <w:rPr>
                <w:rStyle w:val="Hyperlink"/>
                <w:rFonts w:ascii="Arial" w:hAnsi="Arial" w:cs="Arial"/>
                <w:noProof/>
              </w:rPr>
              <w:t>1.2 Rationale of the Research</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_Toc235471140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4</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1" w:history="1">
            <w:r w:rsidR="004D23A2" w:rsidRPr="004A3ADF">
              <w:rPr>
                <w:rStyle w:val="Hyperlink"/>
                <w:rFonts w:ascii="Arial" w:hAnsi="Arial" w:cs="Arial"/>
                <w:noProof/>
              </w:rPr>
              <w:t>1.3 Research Aim</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_Toc235471141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4</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2" w:history="1">
            <w:r w:rsidR="004D23A2" w:rsidRPr="004A3ADF">
              <w:rPr>
                <w:rStyle w:val="Hyperlink"/>
                <w:rFonts w:ascii="Arial" w:hAnsi="Arial" w:cs="Arial"/>
                <w:noProof/>
              </w:rPr>
              <w:t>1.4 Research objectives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_Toc235471142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5</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3" w:history="1">
            <w:r w:rsidR="004D23A2" w:rsidRPr="004A3ADF">
              <w:rPr>
                <w:rStyle w:val="Hyperlink"/>
                <w:rFonts w:ascii="Arial" w:hAnsi="Arial" w:cs="Arial"/>
                <w:noProof/>
              </w:rPr>
              <w:t>1.5 Research questions: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_Toc235471143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5</w:t>
            </w:r>
            <w:r w:rsidR="004D23A2" w:rsidRPr="004A3ADF">
              <w:rPr>
                <w:rFonts w:ascii="Arial" w:hAnsi="Arial" w:cs="Arial"/>
                <w:noProof/>
                <w:webHidden/>
              </w:rPr>
              <w:fldChar w:fldCharType="end"/>
            </w:r>
          </w:hyperlink>
        </w:p>
        <w:p w:rsidR="004D23A2" w:rsidRPr="004A3ADF" w:rsidRDefault="006D54BC" w:rsidP="004D23A2">
          <w:pPr>
            <w:pStyle w:val="TOC1"/>
            <w:rPr>
              <w:rFonts w:ascii="Arial" w:eastAsiaTheme="minorEastAsia" w:hAnsi="Arial" w:cs="Arial"/>
              <w:b w:val="0"/>
              <w:bCs w:val="0"/>
              <w:sz w:val="22"/>
              <w:szCs w:val="22"/>
              <w:lang w:val="en-US" w:eastAsia="en-US"/>
            </w:rPr>
          </w:pPr>
          <w:hyperlink w:anchor="_Toc235471144" w:history="1">
            <w:r w:rsidR="004D23A2" w:rsidRPr="004A3ADF">
              <w:rPr>
                <w:rStyle w:val="Hyperlink"/>
                <w:rFonts w:ascii="Arial" w:hAnsi="Arial" w:cs="Arial"/>
              </w:rPr>
              <w:t>2.0 Literature Review</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_Toc235471144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5</w:t>
            </w:r>
            <w:r w:rsidR="004D23A2" w:rsidRPr="004A3ADF">
              <w:rPr>
                <w:rFonts w:ascii="Arial" w:hAnsi="Arial" w:cs="Arial"/>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5" w:history="1">
            <w:r w:rsidR="004D23A2" w:rsidRPr="004A3ADF">
              <w:rPr>
                <w:rStyle w:val="Hyperlink"/>
                <w:rFonts w:ascii="Arial" w:hAnsi="Arial" w:cs="Arial"/>
                <w:noProof/>
              </w:rPr>
              <w:t>2.1 Employee Engagement in the Bangladesh Ready-Made Garment Industry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_Toc235471145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5</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6" w:history="1">
            <w:r w:rsidR="004D23A2" w:rsidRPr="004A3ADF">
              <w:rPr>
                <w:rStyle w:val="Hyperlink"/>
                <w:rFonts w:ascii="Arial" w:hAnsi="Arial" w:cs="Arial"/>
                <w:noProof/>
              </w:rPr>
              <w:t>2.2 Flexible Work Arrangements in Bangladesh's Ready-Made Garment Industry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_Toc235471146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6</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8" w:history="1">
            <w:r w:rsidR="004D23A2" w:rsidRPr="004A3ADF">
              <w:rPr>
                <w:rStyle w:val="Hyperlink"/>
                <w:rFonts w:ascii="Arial" w:hAnsi="Arial" w:cs="Arial"/>
                <w:noProof/>
              </w:rPr>
              <w:t>2.3 Theoretical Frameworks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_Toc235471148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8</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49" w:history="1">
            <w:r w:rsidR="004D23A2" w:rsidRPr="004A3ADF">
              <w:rPr>
                <w:rStyle w:val="Hyperlink"/>
                <w:rFonts w:ascii="Arial" w:hAnsi="Arial" w:cs="Arial"/>
                <w:noProof/>
              </w:rPr>
              <w:t>2.4 Research Gap</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_Toc235471149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10</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50" w:history="1">
            <w:r w:rsidR="004D23A2" w:rsidRPr="004A3ADF">
              <w:rPr>
                <w:rStyle w:val="Hyperlink"/>
                <w:rFonts w:ascii="Arial" w:hAnsi="Arial" w:cs="Arial"/>
                <w:noProof/>
              </w:rPr>
              <w:t>2.5 Conceptual Framework and Hypotheses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_Toc235471150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11</w:t>
            </w:r>
            <w:r w:rsidR="004D23A2" w:rsidRPr="004A3ADF">
              <w:rPr>
                <w:rFonts w:ascii="Arial" w:hAnsi="Arial" w:cs="Arial"/>
                <w:noProof/>
                <w:webHidden/>
              </w:rPr>
              <w:fldChar w:fldCharType="end"/>
            </w:r>
          </w:hyperlink>
        </w:p>
        <w:p w:rsidR="004D23A2" w:rsidRPr="004A3ADF" w:rsidRDefault="006D54BC" w:rsidP="004D23A2">
          <w:pPr>
            <w:pStyle w:val="TOC1"/>
            <w:rPr>
              <w:rFonts w:ascii="Arial" w:eastAsiaTheme="minorEastAsia" w:hAnsi="Arial" w:cs="Arial"/>
              <w:b w:val="0"/>
              <w:bCs w:val="0"/>
              <w:sz w:val="22"/>
              <w:szCs w:val="22"/>
              <w:lang w:val="en-US" w:eastAsia="en-US"/>
            </w:rPr>
          </w:pPr>
          <w:hyperlink w:anchor="_Toc235471151" w:history="1">
            <w:r w:rsidR="004D23A2" w:rsidRPr="004A3ADF">
              <w:rPr>
                <w:rStyle w:val="Hyperlink"/>
                <w:rFonts w:ascii="Arial" w:hAnsi="Arial" w:cs="Arial"/>
              </w:rPr>
              <w:t>3.0 Methodology</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_Toc235471151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12</w:t>
            </w:r>
            <w:r w:rsidR="004D23A2" w:rsidRPr="004A3ADF">
              <w:rPr>
                <w:rFonts w:ascii="Arial" w:hAnsi="Arial" w:cs="Arial"/>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52" w:history="1">
            <w:r w:rsidR="004D23A2" w:rsidRPr="004A3ADF">
              <w:rPr>
                <w:rStyle w:val="Hyperlink"/>
                <w:rFonts w:ascii="Arial" w:hAnsi="Arial" w:cs="Arial"/>
                <w:noProof/>
              </w:rPr>
              <w:t>3.1 Research Philosophy</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_Toc235471152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13</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53" w:history="1">
            <w:r w:rsidR="004D23A2" w:rsidRPr="004A3ADF">
              <w:rPr>
                <w:rStyle w:val="Hyperlink"/>
                <w:rFonts w:ascii="Arial" w:hAnsi="Arial" w:cs="Arial"/>
                <w:noProof/>
              </w:rPr>
              <w:t>3.2 Methodological Choice, Strategy and Time Horizon</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_Toc235471153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13</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54" w:history="1">
            <w:r w:rsidR="004D23A2" w:rsidRPr="004A3ADF">
              <w:rPr>
                <w:rStyle w:val="Hyperlink"/>
                <w:rFonts w:ascii="Arial" w:hAnsi="Arial" w:cs="Arial"/>
                <w:noProof/>
              </w:rPr>
              <w:t>3.3 Target Population and Sampling</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_Toc235471154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13</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55" w:history="1">
            <w:r w:rsidR="004D23A2" w:rsidRPr="004A3ADF">
              <w:rPr>
                <w:rStyle w:val="Hyperlink"/>
                <w:rFonts w:ascii="Arial" w:hAnsi="Arial" w:cs="Arial"/>
                <w:noProof/>
              </w:rPr>
              <w:t>3.4 Primary Data Collection Instrument</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_Toc235471155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14</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56" w:history="1">
            <w:r w:rsidR="004D23A2" w:rsidRPr="004A3ADF">
              <w:rPr>
                <w:rStyle w:val="Hyperlink"/>
                <w:rFonts w:ascii="Arial" w:hAnsi="Arial" w:cs="Arial"/>
                <w:noProof/>
              </w:rPr>
              <w:t>3.5 Data Analysis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_Toc235471156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15</w:t>
            </w:r>
            <w:r w:rsidR="004D23A2" w:rsidRPr="004A3ADF">
              <w:rPr>
                <w:rFonts w:ascii="Arial" w:hAnsi="Arial" w:cs="Arial"/>
                <w:noProof/>
                <w:webHidden/>
              </w:rPr>
              <w:fldChar w:fldCharType="end"/>
            </w:r>
          </w:hyperlink>
        </w:p>
        <w:p w:rsidR="004D23A2" w:rsidRPr="004A3ADF" w:rsidRDefault="006D54BC" w:rsidP="004D23A2">
          <w:pPr>
            <w:pStyle w:val="TOC2"/>
            <w:tabs>
              <w:tab w:val="right" w:leader="dot" w:pos="9350"/>
            </w:tabs>
            <w:rPr>
              <w:rFonts w:ascii="Arial" w:eastAsiaTheme="minorEastAsia" w:hAnsi="Arial" w:cs="Arial"/>
              <w:noProof/>
              <w:sz w:val="22"/>
              <w:szCs w:val="22"/>
              <w:lang w:val="en-US" w:eastAsia="en-US"/>
            </w:rPr>
          </w:pPr>
          <w:hyperlink w:anchor="_Toc235471157" w:history="1">
            <w:r w:rsidR="004D23A2" w:rsidRPr="004A3ADF">
              <w:rPr>
                <w:rStyle w:val="Hyperlink"/>
                <w:rFonts w:ascii="Arial" w:hAnsi="Arial" w:cs="Arial"/>
                <w:noProof/>
              </w:rPr>
              <w:t>3.6 Ethical Considerations</w:t>
            </w:r>
            <w:r w:rsidR="004D23A2" w:rsidRPr="004A3ADF">
              <w:rPr>
                <w:rFonts w:ascii="Arial" w:hAnsi="Arial" w:cs="Arial"/>
                <w:noProof/>
                <w:webHidden/>
              </w:rPr>
              <w:tab/>
            </w:r>
            <w:r w:rsidR="004D23A2" w:rsidRPr="004A3ADF">
              <w:rPr>
                <w:rFonts w:ascii="Arial" w:hAnsi="Arial" w:cs="Arial"/>
                <w:noProof/>
                <w:webHidden/>
              </w:rPr>
              <w:fldChar w:fldCharType="begin"/>
            </w:r>
            <w:r w:rsidR="004D23A2" w:rsidRPr="004A3ADF">
              <w:rPr>
                <w:rFonts w:ascii="Arial" w:hAnsi="Arial" w:cs="Arial"/>
                <w:noProof/>
                <w:webHidden/>
              </w:rPr>
              <w:instrText xml:space="preserve"> PAGEREF _Toc235471157 \h </w:instrText>
            </w:r>
            <w:r w:rsidR="004D23A2" w:rsidRPr="004A3ADF">
              <w:rPr>
                <w:rFonts w:ascii="Arial" w:hAnsi="Arial" w:cs="Arial"/>
                <w:noProof/>
                <w:webHidden/>
              </w:rPr>
            </w:r>
            <w:r w:rsidR="004D23A2" w:rsidRPr="004A3ADF">
              <w:rPr>
                <w:rFonts w:ascii="Arial" w:hAnsi="Arial" w:cs="Arial"/>
                <w:noProof/>
                <w:webHidden/>
              </w:rPr>
              <w:fldChar w:fldCharType="separate"/>
            </w:r>
            <w:r w:rsidR="004D23A2">
              <w:rPr>
                <w:rFonts w:ascii="Arial" w:hAnsi="Arial" w:cs="Arial"/>
                <w:noProof/>
                <w:webHidden/>
              </w:rPr>
              <w:t>15</w:t>
            </w:r>
            <w:r w:rsidR="004D23A2" w:rsidRPr="004A3ADF">
              <w:rPr>
                <w:rFonts w:ascii="Arial" w:hAnsi="Arial" w:cs="Arial"/>
                <w:noProof/>
                <w:webHidden/>
              </w:rPr>
              <w:fldChar w:fldCharType="end"/>
            </w:r>
          </w:hyperlink>
        </w:p>
        <w:p w:rsidR="004D23A2" w:rsidRPr="004A3ADF" w:rsidRDefault="006D54BC" w:rsidP="004D23A2">
          <w:pPr>
            <w:pStyle w:val="TOC1"/>
            <w:rPr>
              <w:rFonts w:ascii="Arial" w:eastAsiaTheme="minorEastAsia" w:hAnsi="Arial" w:cs="Arial"/>
              <w:b w:val="0"/>
              <w:bCs w:val="0"/>
              <w:sz w:val="22"/>
              <w:szCs w:val="22"/>
              <w:lang w:val="en-US" w:eastAsia="en-US"/>
            </w:rPr>
          </w:pPr>
          <w:hyperlink w:anchor="_Toc235471158" w:history="1">
            <w:r w:rsidR="004D23A2" w:rsidRPr="004A3ADF">
              <w:rPr>
                <w:rStyle w:val="Hyperlink"/>
                <w:rFonts w:ascii="Arial" w:hAnsi="Arial" w:cs="Arial"/>
              </w:rPr>
              <w:t>4.0 Expected Findings</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_Toc235471158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16</w:t>
            </w:r>
            <w:r w:rsidR="004D23A2" w:rsidRPr="004A3ADF">
              <w:rPr>
                <w:rFonts w:ascii="Arial" w:hAnsi="Arial" w:cs="Arial"/>
                <w:webHidden/>
              </w:rPr>
              <w:fldChar w:fldCharType="end"/>
            </w:r>
          </w:hyperlink>
        </w:p>
        <w:p w:rsidR="004D23A2" w:rsidRPr="004A3ADF" w:rsidRDefault="006D54BC" w:rsidP="004D23A2">
          <w:pPr>
            <w:pStyle w:val="TOC1"/>
            <w:rPr>
              <w:rFonts w:ascii="Arial" w:eastAsiaTheme="minorEastAsia" w:hAnsi="Arial" w:cs="Arial"/>
              <w:b w:val="0"/>
              <w:bCs w:val="0"/>
              <w:sz w:val="22"/>
              <w:szCs w:val="22"/>
              <w:lang w:val="en-US" w:eastAsia="en-US"/>
            </w:rPr>
          </w:pPr>
          <w:hyperlink w:anchor="_Toc235471159" w:history="1">
            <w:r w:rsidR="004D23A2" w:rsidRPr="004A3ADF">
              <w:rPr>
                <w:rStyle w:val="Hyperlink"/>
                <w:rFonts w:ascii="Arial" w:hAnsi="Arial" w:cs="Arial"/>
              </w:rPr>
              <w:t>5.0 Limitations</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_Toc235471159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16</w:t>
            </w:r>
            <w:r w:rsidR="004D23A2" w:rsidRPr="004A3ADF">
              <w:rPr>
                <w:rFonts w:ascii="Arial" w:hAnsi="Arial" w:cs="Arial"/>
                <w:webHidden/>
              </w:rPr>
              <w:fldChar w:fldCharType="end"/>
            </w:r>
          </w:hyperlink>
        </w:p>
        <w:p w:rsidR="004D23A2" w:rsidRPr="004A3ADF" w:rsidRDefault="006D54BC" w:rsidP="004D23A2">
          <w:pPr>
            <w:pStyle w:val="TOC1"/>
            <w:rPr>
              <w:rFonts w:ascii="Arial" w:eastAsiaTheme="minorEastAsia" w:hAnsi="Arial" w:cs="Arial"/>
              <w:b w:val="0"/>
              <w:bCs w:val="0"/>
              <w:sz w:val="22"/>
              <w:szCs w:val="22"/>
              <w:lang w:val="en-US" w:eastAsia="en-US"/>
            </w:rPr>
          </w:pPr>
          <w:hyperlink w:anchor="_Toc235471160" w:history="1">
            <w:r w:rsidR="004D23A2" w:rsidRPr="004A3ADF">
              <w:rPr>
                <w:rStyle w:val="Hyperlink"/>
                <w:rFonts w:ascii="Arial" w:hAnsi="Arial" w:cs="Arial"/>
              </w:rPr>
              <w:t>6. Timeframe</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_Toc235471160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18</w:t>
            </w:r>
            <w:r w:rsidR="004D23A2" w:rsidRPr="004A3ADF">
              <w:rPr>
                <w:rFonts w:ascii="Arial" w:hAnsi="Arial" w:cs="Arial"/>
                <w:webHidden/>
              </w:rPr>
              <w:fldChar w:fldCharType="end"/>
            </w:r>
          </w:hyperlink>
        </w:p>
        <w:p w:rsidR="004D23A2" w:rsidRPr="004A3ADF" w:rsidRDefault="006D54BC" w:rsidP="004D23A2">
          <w:pPr>
            <w:pStyle w:val="TOC1"/>
            <w:rPr>
              <w:rFonts w:ascii="Arial" w:eastAsiaTheme="minorEastAsia" w:hAnsi="Arial" w:cs="Arial"/>
              <w:b w:val="0"/>
              <w:bCs w:val="0"/>
              <w:sz w:val="22"/>
              <w:szCs w:val="22"/>
              <w:lang w:val="en-US" w:eastAsia="en-US"/>
            </w:rPr>
          </w:pPr>
          <w:hyperlink w:anchor="_Toc235471161" w:history="1">
            <w:r w:rsidR="004D23A2" w:rsidRPr="004A3ADF">
              <w:rPr>
                <w:rStyle w:val="Hyperlink"/>
                <w:rFonts w:ascii="Arial" w:hAnsi="Arial" w:cs="Arial"/>
              </w:rPr>
              <w:t>7.0 Conclusion</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_Toc235471161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20</w:t>
            </w:r>
            <w:r w:rsidR="004D23A2" w:rsidRPr="004A3ADF">
              <w:rPr>
                <w:rFonts w:ascii="Arial" w:hAnsi="Arial" w:cs="Arial"/>
                <w:webHidden/>
              </w:rPr>
              <w:fldChar w:fldCharType="end"/>
            </w:r>
          </w:hyperlink>
        </w:p>
        <w:p w:rsidR="004D23A2" w:rsidRPr="004A3ADF" w:rsidRDefault="006D54BC" w:rsidP="004D23A2">
          <w:pPr>
            <w:pStyle w:val="TOC1"/>
            <w:rPr>
              <w:rFonts w:ascii="Arial" w:eastAsiaTheme="minorEastAsia" w:hAnsi="Arial" w:cs="Arial"/>
              <w:b w:val="0"/>
              <w:bCs w:val="0"/>
              <w:sz w:val="22"/>
              <w:szCs w:val="22"/>
              <w:lang w:val="en-US" w:eastAsia="en-US"/>
            </w:rPr>
          </w:pPr>
          <w:hyperlink w:anchor="_Toc235471162" w:history="1">
            <w:r w:rsidR="004D23A2" w:rsidRPr="004A3ADF">
              <w:rPr>
                <w:rStyle w:val="Hyperlink"/>
                <w:rFonts w:ascii="Arial" w:hAnsi="Arial" w:cs="Arial"/>
              </w:rPr>
              <w:t>8.0 References</w:t>
            </w:r>
            <w:r w:rsidR="004D23A2" w:rsidRPr="004A3ADF">
              <w:rPr>
                <w:rFonts w:ascii="Arial" w:hAnsi="Arial" w:cs="Arial"/>
                <w:webHidden/>
              </w:rPr>
              <w:tab/>
            </w:r>
            <w:r w:rsidR="004D23A2" w:rsidRPr="004A3ADF">
              <w:rPr>
                <w:rFonts w:ascii="Arial" w:hAnsi="Arial" w:cs="Arial"/>
                <w:webHidden/>
              </w:rPr>
              <w:fldChar w:fldCharType="begin"/>
            </w:r>
            <w:r w:rsidR="004D23A2" w:rsidRPr="004A3ADF">
              <w:rPr>
                <w:rFonts w:ascii="Arial" w:hAnsi="Arial" w:cs="Arial"/>
                <w:webHidden/>
              </w:rPr>
              <w:instrText xml:space="preserve"> PAGEREF _Toc235471162 \h </w:instrText>
            </w:r>
            <w:r w:rsidR="004D23A2" w:rsidRPr="004A3ADF">
              <w:rPr>
                <w:rFonts w:ascii="Arial" w:hAnsi="Arial" w:cs="Arial"/>
                <w:webHidden/>
              </w:rPr>
            </w:r>
            <w:r w:rsidR="004D23A2" w:rsidRPr="004A3ADF">
              <w:rPr>
                <w:rFonts w:ascii="Arial" w:hAnsi="Arial" w:cs="Arial"/>
                <w:webHidden/>
              </w:rPr>
              <w:fldChar w:fldCharType="separate"/>
            </w:r>
            <w:r w:rsidR="004D23A2">
              <w:rPr>
                <w:rFonts w:ascii="Arial" w:hAnsi="Arial" w:cs="Arial"/>
                <w:webHidden/>
              </w:rPr>
              <w:t>21</w:t>
            </w:r>
            <w:r w:rsidR="004D23A2" w:rsidRPr="004A3ADF">
              <w:rPr>
                <w:rFonts w:ascii="Arial" w:hAnsi="Arial" w:cs="Arial"/>
                <w:webHidden/>
              </w:rPr>
              <w:fldChar w:fldCharType="end"/>
            </w:r>
          </w:hyperlink>
        </w:p>
        <w:p w:rsidR="004D23A2" w:rsidRPr="00924E7E" w:rsidRDefault="004D23A2" w:rsidP="004D23A2">
          <w:pPr>
            <w:spacing w:line="276" w:lineRule="auto"/>
            <w:rPr>
              <w:rFonts w:ascii="Arial" w:hAnsi="Arial" w:cs="Arial"/>
            </w:rPr>
          </w:pPr>
          <w:r w:rsidRPr="004A3ADF">
            <w:rPr>
              <w:rFonts w:ascii="Arial" w:hAnsi="Arial" w:cs="Arial"/>
              <w:b/>
              <w:bCs/>
              <w:noProof/>
            </w:rPr>
            <w:fldChar w:fldCharType="end"/>
          </w:r>
        </w:p>
      </w:sdtContent>
    </w:sdt>
    <w:p w:rsidR="004D23A2" w:rsidRPr="00924E7E" w:rsidRDefault="004D23A2" w:rsidP="004D23A2">
      <w:pPr>
        <w:rPr>
          <w:rFonts w:ascii="Arial" w:hAnsi="Arial" w:cs="Arial"/>
        </w:rPr>
      </w:pPr>
    </w:p>
    <w:p w:rsidR="004D23A2" w:rsidRDefault="004D23A2" w:rsidP="004D23A2">
      <w:pPr>
        <w:pStyle w:val="Heading1"/>
        <w:spacing w:line="360" w:lineRule="auto"/>
        <w:jc w:val="both"/>
        <w:rPr>
          <w:rFonts w:cs="Arial"/>
        </w:rPr>
      </w:pPr>
      <w:bookmarkStart w:id="1" w:name="_Toc235471138"/>
      <w:bookmarkStart w:id="2" w:name="_Toc233717712"/>
    </w:p>
    <w:p w:rsidR="004D23A2" w:rsidRDefault="004D23A2" w:rsidP="004D23A2">
      <w:pPr>
        <w:rPr>
          <w:rFonts w:cs="Arial"/>
        </w:rPr>
      </w:pPr>
      <w:r>
        <w:rPr>
          <w:rFonts w:cs="Arial"/>
        </w:rPr>
        <w:br w:type="page"/>
      </w:r>
    </w:p>
    <w:p w:rsidR="004D23A2" w:rsidRPr="004A3ADF" w:rsidRDefault="004D23A2" w:rsidP="004D23A2">
      <w:pPr>
        <w:rPr>
          <w:rFonts w:cs="Arial"/>
          <w:b/>
          <w:bCs/>
          <w:sz w:val="32"/>
          <w:szCs w:val="32"/>
        </w:rPr>
      </w:pPr>
      <w:r w:rsidRPr="004A3ADF">
        <w:rPr>
          <w:rFonts w:cs="Arial"/>
          <w:b/>
          <w:bCs/>
          <w:sz w:val="32"/>
          <w:szCs w:val="32"/>
        </w:rPr>
        <w:lastRenderedPageBreak/>
        <w:t>Lis of Figures</w:t>
      </w:r>
    </w:p>
    <w:p w:rsidR="004D23A2" w:rsidRDefault="004D23A2" w:rsidP="004D23A2">
      <w:pPr>
        <w:rPr>
          <w:rFonts w:ascii="Arial" w:hAnsi="Arial" w:cs="Arial"/>
          <w:b/>
          <w:bCs/>
          <w:color w:val="000000"/>
          <w:sz w:val="32"/>
          <w:szCs w:val="32"/>
        </w:rPr>
      </w:pPr>
    </w:p>
    <w:p w:rsidR="004D23A2" w:rsidRPr="004A3ADF" w:rsidRDefault="004D23A2"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r w:rsidRPr="004A3ADF">
        <w:rPr>
          <w:rFonts w:ascii="Arial" w:hAnsi="Arial" w:cs="Arial"/>
          <w:sz w:val="24"/>
          <w:szCs w:val="24"/>
        </w:rPr>
        <w:fldChar w:fldCharType="begin"/>
      </w:r>
      <w:r w:rsidRPr="004A3ADF">
        <w:rPr>
          <w:rFonts w:ascii="Arial" w:hAnsi="Arial" w:cs="Arial"/>
          <w:sz w:val="24"/>
          <w:szCs w:val="24"/>
        </w:rPr>
        <w:instrText xml:space="preserve"> TOC \h \z \c "Figure" </w:instrText>
      </w:r>
      <w:r w:rsidRPr="004A3ADF">
        <w:rPr>
          <w:rFonts w:ascii="Arial" w:hAnsi="Arial" w:cs="Arial"/>
          <w:sz w:val="24"/>
          <w:szCs w:val="24"/>
        </w:rPr>
        <w:fldChar w:fldCharType="separate"/>
      </w:r>
      <w:hyperlink w:anchor="_Toc235472270" w:history="1">
        <w:r w:rsidRPr="004A3ADF">
          <w:rPr>
            <w:rStyle w:val="Hyperlink"/>
            <w:rFonts w:ascii="Arial" w:hAnsi="Arial" w:cs="Arial"/>
            <w:noProof/>
            <w:sz w:val="24"/>
            <w:szCs w:val="24"/>
          </w:rPr>
          <w:t>Figure 1: Flexible work arrangements (FWAs) framework; Source: (Weideman &amp; Hofmeyr, 2020)</w:t>
        </w:r>
        <w:r w:rsidRPr="004A3ADF">
          <w:rPr>
            <w:rFonts w:ascii="Arial" w:hAnsi="Arial" w:cs="Arial"/>
            <w:noProof/>
            <w:webHidden/>
            <w:sz w:val="24"/>
            <w:szCs w:val="24"/>
          </w:rPr>
          <w:tab/>
        </w:r>
        <w:r w:rsidRPr="004A3ADF">
          <w:rPr>
            <w:rFonts w:ascii="Arial" w:hAnsi="Arial" w:cs="Arial"/>
            <w:noProof/>
            <w:webHidden/>
            <w:sz w:val="24"/>
            <w:szCs w:val="24"/>
          </w:rPr>
          <w:fldChar w:fldCharType="begin"/>
        </w:r>
        <w:r w:rsidRPr="004A3ADF">
          <w:rPr>
            <w:rFonts w:ascii="Arial" w:hAnsi="Arial" w:cs="Arial"/>
            <w:noProof/>
            <w:webHidden/>
            <w:sz w:val="24"/>
            <w:szCs w:val="24"/>
          </w:rPr>
          <w:instrText xml:space="preserve"> PAGEREF _Toc235472270 \h </w:instrText>
        </w:r>
        <w:r w:rsidRPr="004A3ADF">
          <w:rPr>
            <w:rFonts w:ascii="Arial" w:hAnsi="Arial" w:cs="Arial"/>
            <w:noProof/>
            <w:webHidden/>
            <w:sz w:val="24"/>
            <w:szCs w:val="24"/>
          </w:rPr>
        </w:r>
        <w:r w:rsidRPr="004A3ADF">
          <w:rPr>
            <w:rFonts w:ascii="Arial" w:hAnsi="Arial" w:cs="Arial"/>
            <w:noProof/>
            <w:webHidden/>
            <w:sz w:val="24"/>
            <w:szCs w:val="24"/>
          </w:rPr>
          <w:fldChar w:fldCharType="separate"/>
        </w:r>
        <w:r w:rsidRPr="004A3ADF">
          <w:rPr>
            <w:rFonts w:ascii="Arial" w:hAnsi="Arial" w:cs="Arial"/>
            <w:noProof/>
            <w:webHidden/>
            <w:sz w:val="24"/>
            <w:szCs w:val="24"/>
          </w:rPr>
          <w:t>7</w:t>
        </w:r>
        <w:r w:rsidRPr="004A3ADF">
          <w:rPr>
            <w:rFonts w:ascii="Arial" w:hAnsi="Arial" w:cs="Arial"/>
            <w:noProof/>
            <w:webHidden/>
            <w:sz w:val="24"/>
            <w:szCs w:val="24"/>
          </w:rPr>
          <w:fldChar w:fldCharType="end"/>
        </w:r>
      </w:hyperlink>
    </w:p>
    <w:p w:rsidR="004D23A2" w:rsidRPr="004A3ADF" w:rsidRDefault="006D54BC"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w:anchor="_Toc235472271" w:history="1">
        <w:r w:rsidR="004D23A2" w:rsidRPr="004A3ADF">
          <w:rPr>
            <w:rStyle w:val="Hyperlink"/>
            <w:rFonts w:ascii="Arial" w:hAnsi="Arial" w:cs="Arial"/>
            <w:noProof/>
            <w:sz w:val="24"/>
            <w:szCs w:val="24"/>
          </w:rPr>
          <w:t>Figure 2: The Job Demands-Resources Model (adapted from Bakker and Demerouti, 2017).</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_Toc235472271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8</w:t>
        </w:r>
        <w:r w:rsidR="004D23A2" w:rsidRPr="004A3ADF">
          <w:rPr>
            <w:rFonts w:ascii="Arial" w:hAnsi="Arial" w:cs="Arial"/>
            <w:noProof/>
            <w:webHidden/>
            <w:sz w:val="24"/>
            <w:szCs w:val="24"/>
          </w:rPr>
          <w:fldChar w:fldCharType="end"/>
        </w:r>
      </w:hyperlink>
    </w:p>
    <w:p w:rsidR="004D23A2" w:rsidRPr="004A3ADF" w:rsidRDefault="006D54BC"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w:anchor="_Toc235472272" w:history="1">
        <w:r w:rsidR="004D23A2" w:rsidRPr="004A3ADF">
          <w:rPr>
            <w:rStyle w:val="Hyperlink"/>
            <w:rFonts w:ascii="Arial" w:hAnsi="Arial" w:cs="Arial"/>
            <w:noProof/>
            <w:sz w:val="24"/>
            <w:szCs w:val="24"/>
          </w:rPr>
          <w:t>Figure 3: Social Exchange Theory applied to the employment relationship (adapted from Saks, 2019).</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_Toc235472272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9</w:t>
        </w:r>
        <w:r w:rsidR="004D23A2" w:rsidRPr="004A3ADF">
          <w:rPr>
            <w:rFonts w:ascii="Arial" w:hAnsi="Arial" w:cs="Arial"/>
            <w:noProof/>
            <w:webHidden/>
            <w:sz w:val="24"/>
            <w:szCs w:val="24"/>
          </w:rPr>
          <w:fldChar w:fldCharType="end"/>
        </w:r>
      </w:hyperlink>
    </w:p>
    <w:p w:rsidR="004D23A2" w:rsidRPr="004A3ADF" w:rsidRDefault="006D54BC"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r:id="rId7" w:anchor="_Toc235472273" w:history="1">
        <w:r w:rsidR="004D23A2" w:rsidRPr="004A3ADF">
          <w:rPr>
            <w:rStyle w:val="Hyperlink"/>
            <w:rFonts w:ascii="Arial" w:hAnsi="Arial" w:cs="Arial"/>
            <w:noProof/>
            <w:sz w:val="24"/>
            <w:szCs w:val="24"/>
          </w:rPr>
          <w:t>Figure 4: Conceptual framework of the study (Source: Author’s own construction).</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_Toc235472273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11</w:t>
        </w:r>
        <w:r w:rsidR="004D23A2" w:rsidRPr="004A3ADF">
          <w:rPr>
            <w:rFonts w:ascii="Arial" w:hAnsi="Arial" w:cs="Arial"/>
            <w:noProof/>
            <w:webHidden/>
            <w:sz w:val="24"/>
            <w:szCs w:val="24"/>
          </w:rPr>
          <w:fldChar w:fldCharType="end"/>
        </w:r>
      </w:hyperlink>
    </w:p>
    <w:p w:rsidR="004D23A2" w:rsidRPr="004A3ADF" w:rsidRDefault="006D54BC" w:rsidP="004D23A2">
      <w:pPr>
        <w:pStyle w:val="TableofFigures"/>
        <w:tabs>
          <w:tab w:val="right" w:leader="dot" w:pos="9350"/>
        </w:tabs>
        <w:spacing w:line="360" w:lineRule="auto"/>
        <w:rPr>
          <w:rFonts w:ascii="Arial" w:eastAsiaTheme="minorEastAsia" w:hAnsi="Arial" w:cs="Arial"/>
          <w:smallCaps w:val="0"/>
          <w:noProof/>
          <w:sz w:val="24"/>
          <w:szCs w:val="24"/>
          <w:lang w:eastAsia="en-US"/>
        </w:rPr>
      </w:pPr>
      <w:hyperlink w:anchor="_Toc235472274" w:history="1">
        <w:r w:rsidR="004D23A2" w:rsidRPr="004A3ADF">
          <w:rPr>
            <w:rStyle w:val="Hyperlink"/>
            <w:rFonts w:ascii="Arial" w:hAnsi="Arial" w:cs="Arial"/>
            <w:noProof/>
            <w:sz w:val="24"/>
            <w:szCs w:val="24"/>
          </w:rPr>
          <w:t>Figure 5: The research onion (Saunders, Lewis and Thornhill, 2019).</w:t>
        </w:r>
        <w:r w:rsidR="004D23A2" w:rsidRPr="004A3ADF">
          <w:rPr>
            <w:rFonts w:ascii="Arial" w:hAnsi="Arial" w:cs="Arial"/>
            <w:noProof/>
            <w:webHidden/>
            <w:sz w:val="24"/>
            <w:szCs w:val="24"/>
          </w:rPr>
          <w:tab/>
        </w:r>
        <w:r w:rsidR="004D23A2" w:rsidRPr="004A3ADF">
          <w:rPr>
            <w:rFonts w:ascii="Arial" w:hAnsi="Arial" w:cs="Arial"/>
            <w:noProof/>
            <w:webHidden/>
            <w:sz w:val="24"/>
            <w:szCs w:val="24"/>
          </w:rPr>
          <w:fldChar w:fldCharType="begin"/>
        </w:r>
        <w:r w:rsidR="004D23A2" w:rsidRPr="004A3ADF">
          <w:rPr>
            <w:rFonts w:ascii="Arial" w:hAnsi="Arial" w:cs="Arial"/>
            <w:noProof/>
            <w:webHidden/>
            <w:sz w:val="24"/>
            <w:szCs w:val="24"/>
          </w:rPr>
          <w:instrText xml:space="preserve"> PAGEREF _Toc235472274 \h </w:instrText>
        </w:r>
        <w:r w:rsidR="004D23A2" w:rsidRPr="004A3ADF">
          <w:rPr>
            <w:rFonts w:ascii="Arial" w:hAnsi="Arial" w:cs="Arial"/>
            <w:noProof/>
            <w:webHidden/>
            <w:sz w:val="24"/>
            <w:szCs w:val="24"/>
          </w:rPr>
        </w:r>
        <w:r w:rsidR="004D23A2" w:rsidRPr="004A3ADF">
          <w:rPr>
            <w:rFonts w:ascii="Arial" w:hAnsi="Arial" w:cs="Arial"/>
            <w:noProof/>
            <w:webHidden/>
            <w:sz w:val="24"/>
            <w:szCs w:val="24"/>
          </w:rPr>
          <w:fldChar w:fldCharType="separate"/>
        </w:r>
        <w:r w:rsidR="004D23A2" w:rsidRPr="004A3ADF">
          <w:rPr>
            <w:rFonts w:ascii="Arial" w:hAnsi="Arial" w:cs="Arial"/>
            <w:noProof/>
            <w:webHidden/>
            <w:sz w:val="24"/>
            <w:szCs w:val="24"/>
          </w:rPr>
          <w:t>12</w:t>
        </w:r>
        <w:r w:rsidR="004D23A2" w:rsidRPr="004A3ADF">
          <w:rPr>
            <w:rFonts w:ascii="Arial" w:hAnsi="Arial" w:cs="Arial"/>
            <w:noProof/>
            <w:webHidden/>
            <w:sz w:val="24"/>
            <w:szCs w:val="24"/>
          </w:rPr>
          <w:fldChar w:fldCharType="end"/>
        </w:r>
      </w:hyperlink>
    </w:p>
    <w:p w:rsidR="004D23A2" w:rsidRPr="004A3ADF" w:rsidRDefault="004D23A2" w:rsidP="004D23A2">
      <w:pPr>
        <w:spacing w:line="360" w:lineRule="auto"/>
        <w:rPr>
          <w:rFonts w:ascii="Arial" w:hAnsi="Arial" w:cs="Arial"/>
          <w:b/>
          <w:bCs/>
          <w:color w:val="000000"/>
        </w:rPr>
      </w:pPr>
      <w:r w:rsidRPr="004A3ADF">
        <w:rPr>
          <w:rFonts w:ascii="Arial" w:hAnsi="Arial" w:cs="Arial"/>
        </w:rPr>
        <w:fldChar w:fldCharType="end"/>
      </w:r>
      <w:r w:rsidRPr="004A3ADF">
        <w:rPr>
          <w:rFonts w:ascii="Arial" w:hAnsi="Arial" w:cs="Arial"/>
        </w:rPr>
        <w:br w:type="page"/>
      </w:r>
    </w:p>
    <w:p w:rsidR="004D23A2" w:rsidRPr="00924E7E" w:rsidRDefault="004D23A2" w:rsidP="004D23A2">
      <w:pPr>
        <w:pStyle w:val="Heading1"/>
        <w:spacing w:line="360" w:lineRule="auto"/>
        <w:jc w:val="both"/>
        <w:rPr>
          <w:rFonts w:cs="Arial"/>
          <w:b w:val="0"/>
          <w:bCs w:val="0"/>
        </w:rPr>
      </w:pPr>
      <w:r w:rsidRPr="00924E7E">
        <w:rPr>
          <w:rFonts w:cs="Arial"/>
        </w:rPr>
        <w:lastRenderedPageBreak/>
        <w:t>1.</w:t>
      </w:r>
      <w:r>
        <w:rPr>
          <w:rFonts w:cs="Arial"/>
        </w:rPr>
        <w:t>0</w:t>
      </w:r>
      <w:r w:rsidRPr="00924E7E">
        <w:rPr>
          <w:rFonts w:cs="Arial"/>
        </w:rPr>
        <w:t xml:space="preserve"> Introduction</w:t>
      </w:r>
      <w:bookmarkEnd w:id="1"/>
    </w:p>
    <w:p w:rsidR="004D23A2" w:rsidRPr="00924E7E" w:rsidRDefault="004D23A2" w:rsidP="004D23A2">
      <w:pPr>
        <w:pStyle w:val="Heading2"/>
      </w:pPr>
      <w:bookmarkStart w:id="3" w:name="_Toc235471139"/>
      <w:r w:rsidRPr="00924E7E">
        <w:t xml:space="preserve">1.1 Background of </w:t>
      </w:r>
      <w:r w:rsidRPr="000C71DB">
        <w:t>the</w:t>
      </w:r>
      <w:r w:rsidRPr="00924E7E">
        <w:t xml:space="preserve"> study</w:t>
      </w:r>
      <w:bookmarkEnd w:id="3"/>
    </w:p>
    <w:p w:rsidR="004D23A2" w:rsidRDefault="004D23A2" w:rsidP="004D23A2">
      <w:pPr>
        <w:spacing w:after="400" w:line="360" w:lineRule="auto"/>
        <w:jc w:val="both"/>
        <w:rPr>
          <w:rFonts w:ascii="Arial" w:hAnsi="Arial" w:cs="Arial"/>
        </w:rPr>
      </w:pPr>
      <w:r>
        <w:rPr>
          <w:rFonts w:ascii="Arial" w:hAnsi="Arial" w:cs="Arial"/>
        </w:rPr>
        <w:t xml:space="preserve">There is </w:t>
      </w:r>
      <w:r w:rsidRPr="00924E7E">
        <w:rPr>
          <w:rFonts w:ascii="Arial" w:hAnsi="Arial" w:cs="Arial"/>
        </w:rPr>
        <w:t xml:space="preserve">growing importance of flexible working arrangements in modern working practice </w:t>
      </w:r>
      <w:r>
        <w:rPr>
          <w:rFonts w:ascii="Arial" w:hAnsi="Arial" w:cs="Arial"/>
        </w:rPr>
        <w:t xml:space="preserve">in RMG sector of </w:t>
      </w:r>
      <w:r w:rsidRPr="00924E7E">
        <w:rPr>
          <w:rFonts w:ascii="Arial" w:hAnsi="Arial" w:cs="Arial"/>
        </w:rPr>
        <w:t xml:space="preserve">Bangladesh which is driven by the desire to give employees more choice, predictability and flexibility in how they manage their working lives (Allen et al., 2013; CIPD, 2024). Operational service environments typically require employees to complete their work on site, so flexible working does not always mean flexible work locations, as is sometimes assumed (Soga et al., 2022; CIPD, 2025). </w:t>
      </w:r>
      <w:r w:rsidRPr="00924E7E">
        <w:rPr>
          <w:rStyle w:val="Strong"/>
          <w:rFonts w:ascii="Arial" w:hAnsi="Arial" w:cs="Arial"/>
          <w:b w:val="0"/>
          <w:bCs w:val="0"/>
        </w:rPr>
        <w:t>However, in the ready-made garment (RMG) manufacturing sector, this flexibility is more commonly reflected through shift scheduling, predictable working hours, overtime planning, and employees' ability to request or exchange shifts when operationally feasible (Natural Group, 2026).</w:t>
      </w:r>
      <w:r w:rsidRPr="00924E7E">
        <w:rPr>
          <w:rFonts w:ascii="Arial" w:hAnsi="Arial" w:cs="Arial"/>
        </w:rPr>
        <w:t xml:space="preserve"> They are more pertinent in hourly work, where unpredictable schedules and low levels of employee control can lead to uncertainty and increased employee planning problems (Lambert et al., 2019; Kesavan et al., 2022). In contrast, higher levels of scheduling control and ease of shift accommodations can support employees' personal responsibilities and their sense of organisational support (de Menezes and Kelliher, 2017; Kossek, Perrigino and Lautsch, 2023).</w:t>
      </w:r>
      <w:r>
        <w:rPr>
          <w:rFonts w:ascii="Arial" w:hAnsi="Arial" w:cs="Arial"/>
        </w:rPr>
        <w:t xml:space="preserve"> </w:t>
      </w:r>
    </w:p>
    <w:p w:rsidR="004D23A2" w:rsidRDefault="004D23A2" w:rsidP="004D23A2">
      <w:pPr>
        <w:pStyle w:val="Heading2"/>
      </w:pPr>
      <w:bookmarkStart w:id="4" w:name="_Toc235471140"/>
      <w:r>
        <w:t>1.2 Rationale of the Research</w:t>
      </w:r>
      <w:bookmarkEnd w:id="4"/>
    </w:p>
    <w:p w:rsidR="004D23A2" w:rsidRPr="000C71DB" w:rsidRDefault="004D23A2" w:rsidP="004D23A2">
      <w:pPr>
        <w:spacing w:after="400" w:line="360" w:lineRule="auto"/>
        <w:jc w:val="both"/>
        <w:rPr>
          <w:rFonts w:ascii="Arial" w:hAnsi="Arial" w:cs="Arial"/>
        </w:rPr>
      </w:pPr>
      <w:r w:rsidRPr="000C71DB">
        <w:rPr>
          <w:rFonts w:ascii="Arial" w:hAnsi="Arial" w:cs="Arial"/>
        </w:rPr>
        <w:t>Though the flexible work arrangements are gaining recognition, little studies have been conducted on the effects of employees' perception on flexible work arrangements on employee engagement in the Ready-Made Garment (RMG) industry of Bangladesh. The current study aims to fill this gap by providing evidence from Natural Group Bangladesh in implementing effective workforce management and employee engagement practices (Soga et al., 2022; ILO, 2023).</w:t>
      </w:r>
      <w:r>
        <w:rPr>
          <w:rFonts w:ascii="Arial" w:hAnsi="Arial" w:cs="Arial"/>
        </w:rPr>
        <w:t xml:space="preserve"> </w:t>
      </w:r>
    </w:p>
    <w:p w:rsidR="004D23A2" w:rsidRPr="00924E7E" w:rsidRDefault="004D23A2" w:rsidP="004D23A2">
      <w:pPr>
        <w:pStyle w:val="Heading2"/>
        <w:jc w:val="both"/>
        <w:rPr>
          <w:rFonts w:cs="Arial"/>
        </w:rPr>
      </w:pPr>
      <w:bookmarkStart w:id="5" w:name="_Toc235471141"/>
      <w:r w:rsidRPr="00924E7E">
        <w:rPr>
          <w:rFonts w:cs="Arial"/>
        </w:rPr>
        <w:t>1.</w:t>
      </w:r>
      <w:r>
        <w:rPr>
          <w:rFonts w:cs="Arial"/>
        </w:rPr>
        <w:t>3</w:t>
      </w:r>
      <w:r w:rsidRPr="00924E7E">
        <w:rPr>
          <w:rFonts w:cs="Arial"/>
        </w:rPr>
        <w:t xml:space="preserve"> Research Aim</w:t>
      </w:r>
      <w:bookmarkEnd w:id="5"/>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aim of this study is to examine the relationship between employees' perceptions of flexible work arrangements and employee engagement among employees of Natural </w:t>
      </w:r>
      <w:r w:rsidRPr="00924E7E">
        <w:rPr>
          <w:rFonts w:ascii="Arial" w:hAnsi="Arial" w:cs="Arial"/>
        </w:rPr>
        <w:lastRenderedPageBreak/>
        <w:t>Group Bangladesh, with particular attention to perceived schedule control, perceived schedule predictability, and perceived shift accommodation.</w:t>
      </w:r>
    </w:p>
    <w:p w:rsidR="004D23A2" w:rsidRPr="00924E7E" w:rsidRDefault="004D23A2" w:rsidP="004D23A2">
      <w:pPr>
        <w:pStyle w:val="Heading2"/>
        <w:jc w:val="both"/>
        <w:rPr>
          <w:rFonts w:cs="Arial"/>
        </w:rPr>
      </w:pPr>
      <w:bookmarkStart w:id="6" w:name="_Toc235471142"/>
      <w:r w:rsidRPr="00924E7E">
        <w:rPr>
          <w:rFonts w:cs="Arial"/>
        </w:rPr>
        <w:t>1.</w:t>
      </w:r>
      <w:r>
        <w:rPr>
          <w:rFonts w:cs="Arial"/>
        </w:rPr>
        <w:t>4</w:t>
      </w:r>
      <w:r w:rsidRPr="00924E7E">
        <w:rPr>
          <w:rFonts w:cs="Arial"/>
        </w:rPr>
        <w:t xml:space="preserve"> Research objectives</w:t>
      </w:r>
      <w:bookmarkEnd w:id="6"/>
    </w:p>
    <w:p w:rsidR="004D23A2" w:rsidRPr="00924E7E" w:rsidRDefault="004D23A2" w:rsidP="004D23A2">
      <w:pPr>
        <w:spacing w:before="100" w:beforeAutospacing="1" w:after="100" w:afterAutospacing="1" w:line="276" w:lineRule="auto"/>
        <w:jc w:val="both"/>
        <w:rPr>
          <w:rFonts w:ascii="Arial" w:hAnsi="Arial" w:cs="Arial"/>
          <w:lang w:eastAsia="en-US"/>
        </w:rPr>
      </w:pPr>
      <w:r w:rsidRPr="005F0DEA">
        <w:rPr>
          <w:rFonts w:ascii="Arial" w:hAnsi="Arial" w:cs="Arial"/>
          <w:b/>
          <w:bCs/>
          <w:lang w:eastAsia="en-US"/>
        </w:rPr>
        <w:t>RO1:</w:t>
      </w:r>
      <w:r w:rsidRPr="00924E7E">
        <w:rPr>
          <w:rFonts w:ascii="Arial" w:hAnsi="Arial" w:cs="Arial"/>
          <w:lang w:eastAsia="en-US"/>
        </w:rPr>
        <w:t xml:space="preserve"> To examine the relationship between perceived schedule control and employee engagement among employees of Natural Group Bangladesh.</w:t>
      </w:r>
    </w:p>
    <w:p w:rsidR="004D23A2" w:rsidRPr="00924E7E" w:rsidRDefault="004D23A2" w:rsidP="004D23A2">
      <w:pPr>
        <w:spacing w:before="100" w:beforeAutospacing="1" w:after="100" w:afterAutospacing="1" w:line="276" w:lineRule="auto"/>
        <w:jc w:val="both"/>
        <w:rPr>
          <w:rFonts w:ascii="Arial" w:hAnsi="Arial" w:cs="Arial"/>
          <w:lang w:eastAsia="en-US"/>
        </w:rPr>
      </w:pPr>
      <w:r w:rsidRPr="005F0DEA">
        <w:rPr>
          <w:rFonts w:ascii="Arial" w:hAnsi="Arial" w:cs="Arial"/>
          <w:b/>
          <w:bCs/>
          <w:lang w:eastAsia="en-US"/>
        </w:rPr>
        <w:t>RO2:</w:t>
      </w:r>
      <w:r w:rsidRPr="00924E7E">
        <w:rPr>
          <w:rFonts w:ascii="Arial" w:hAnsi="Arial" w:cs="Arial"/>
          <w:lang w:eastAsia="en-US"/>
        </w:rPr>
        <w:t xml:space="preserve"> To examine the relationship between perceived schedule predictability and employee engagement among employees of Natural Group Bangladesh.</w:t>
      </w:r>
    </w:p>
    <w:p w:rsidR="004D23A2" w:rsidRPr="00924E7E" w:rsidRDefault="004D23A2" w:rsidP="004D23A2">
      <w:pPr>
        <w:spacing w:before="100" w:beforeAutospacing="1" w:after="100" w:afterAutospacing="1" w:line="276" w:lineRule="auto"/>
        <w:jc w:val="both"/>
        <w:rPr>
          <w:rFonts w:ascii="Arial" w:hAnsi="Arial" w:cs="Arial"/>
          <w:lang w:eastAsia="en-US"/>
        </w:rPr>
      </w:pPr>
      <w:r w:rsidRPr="005F0DEA">
        <w:rPr>
          <w:rFonts w:ascii="Arial" w:hAnsi="Arial" w:cs="Arial"/>
          <w:b/>
          <w:bCs/>
          <w:lang w:eastAsia="en-US"/>
        </w:rPr>
        <w:t>RO3:</w:t>
      </w:r>
      <w:r w:rsidRPr="00924E7E">
        <w:rPr>
          <w:rFonts w:ascii="Arial" w:hAnsi="Arial" w:cs="Arial"/>
          <w:lang w:eastAsia="en-US"/>
        </w:rPr>
        <w:t xml:space="preserve"> To examine the relationship between perceived shift accommodation and employee engagement among employees of Natural Group Bangladesh.</w:t>
      </w:r>
    </w:p>
    <w:p w:rsidR="004D23A2" w:rsidRPr="00924E7E" w:rsidRDefault="004D23A2" w:rsidP="004D23A2">
      <w:pPr>
        <w:pStyle w:val="Heading2"/>
        <w:jc w:val="both"/>
        <w:rPr>
          <w:rFonts w:cs="Arial"/>
        </w:rPr>
      </w:pPr>
      <w:bookmarkStart w:id="7" w:name="_Toc235471143"/>
      <w:r w:rsidRPr="00924E7E">
        <w:rPr>
          <w:rFonts w:cs="Arial"/>
        </w:rPr>
        <w:t>1.</w:t>
      </w:r>
      <w:r>
        <w:rPr>
          <w:rFonts w:cs="Arial"/>
        </w:rPr>
        <w:t>5</w:t>
      </w:r>
      <w:r w:rsidRPr="00924E7E">
        <w:rPr>
          <w:rFonts w:cs="Arial"/>
        </w:rPr>
        <w:t xml:space="preserve"> Research questions:</w:t>
      </w:r>
      <w:bookmarkEnd w:id="7"/>
    </w:p>
    <w:p w:rsidR="004D23A2" w:rsidRPr="00924E7E" w:rsidRDefault="004D23A2" w:rsidP="004D23A2">
      <w:pPr>
        <w:pStyle w:val="pdq2pgselectionanchorcontainer"/>
        <w:spacing w:line="276" w:lineRule="auto"/>
        <w:jc w:val="both"/>
        <w:rPr>
          <w:rFonts w:ascii="Arial" w:hAnsi="Arial" w:cs="Arial"/>
        </w:rPr>
      </w:pPr>
      <w:r w:rsidRPr="005F0DEA">
        <w:rPr>
          <w:rFonts w:ascii="Arial" w:hAnsi="Arial" w:cs="Arial"/>
          <w:b/>
          <w:bCs/>
        </w:rPr>
        <w:t>RQ1:</w:t>
      </w:r>
      <w:r w:rsidRPr="00924E7E">
        <w:rPr>
          <w:rFonts w:ascii="Arial" w:hAnsi="Arial" w:cs="Arial"/>
        </w:rPr>
        <w:t xml:space="preserve"> What relationship exists between perceived schedule control and employee engagement among employees of Natural Group Bangladesh?</w:t>
      </w:r>
    </w:p>
    <w:p w:rsidR="004D23A2" w:rsidRPr="00924E7E" w:rsidRDefault="004D23A2" w:rsidP="004D23A2">
      <w:pPr>
        <w:pStyle w:val="NormalWeb"/>
        <w:spacing w:line="276" w:lineRule="auto"/>
        <w:jc w:val="both"/>
        <w:rPr>
          <w:rFonts w:ascii="Arial" w:hAnsi="Arial" w:cs="Arial"/>
        </w:rPr>
      </w:pPr>
      <w:r w:rsidRPr="005F0DEA">
        <w:rPr>
          <w:rFonts w:ascii="Arial" w:hAnsi="Arial" w:cs="Arial"/>
          <w:b/>
          <w:bCs/>
        </w:rPr>
        <w:t>RQ2:</w:t>
      </w:r>
      <w:r w:rsidRPr="00924E7E">
        <w:rPr>
          <w:rFonts w:ascii="Arial" w:hAnsi="Arial" w:cs="Arial"/>
        </w:rPr>
        <w:t xml:space="preserve"> What relationship exists between perceived schedule predictability and employee engagement among employees of Natural Group Bangladesh?</w:t>
      </w:r>
    </w:p>
    <w:p w:rsidR="004D23A2" w:rsidRPr="00924E7E" w:rsidRDefault="004D23A2" w:rsidP="004D23A2">
      <w:pPr>
        <w:pStyle w:val="NormalWeb"/>
        <w:spacing w:line="276" w:lineRule="auto"/>
        <w:jc w:val="both"/>
        <w:rPr>
          <w:rFonts w:ascii="Arial" w:hAnsi="Arial" w:cs="Arial"/>
        </w:rPr>
      </w:pPr>
      <w:r w:rsidRPr="005F0DEA">
        <w:rPr>
          <w:rFonts w:ascii="Arial" w:hAnsi="Arial" w:cs="Arial"/>
          <w:b/>
          <w:bCs/>
        </w:rPr>
        <w:t>RQ3:</w:t>
      </w:r>
      <w:r w:rsidRPr="00924E7E">
        <w:rPr>
          <w:rFonts w:ascii="Arial" w:hAnsi="Arial" w:cs="Arial"/>
        </w:rPr>
        <w:t xml:space="preserve"> What relationship exists between perceived shift accommodation and employee engagement among employees of Natural Group Bangladesh?</w:t>
      </w:r>
    </w:p>
    <w:p w:rsidR="004D23A2" w:rsidRPr="00924E7E" w:rsidRDefault="004D23A2" w:rsidP="004D23A2">
      <w:pPr>
        <w:pStyle w:val="Heading1"/>
      </w:pPr>
      <w:bookmarkStart w:id="8" w:name="_Toc235471144"/>
      <w:r w:rsidRPr="00924E7E">
        <w:t>2.</w:t>
      </w:r>
      <w:r>
        <w:t>0</w:t>
      </w:r>
      <w:r w:rsidRPr="00924E7E">
        <w:t xml:space="preserve"> Literature </w:t>
      </w:r>
      <w:r w:rsidRPr="000C71DB">
        <w:t>Review</w:t>
      </w:r>
      <w:bookmarkEnd w:id="8"/>
    </w:p>
    <w:p w:rsidR="004D23A2" w:rsidRPr="00924E7E" w:rsidRDefault="004D23A2" w:rsidP="004D23A2">
      <w:pPr>
        <w:pStyle w:val="Heading2"/>
      </w:pPr>
      <w:bookmarkStart w:id="9" w:name="_Toc235471145"/>
      <w:r w:rsidRPr="00924E7E">
        <w:t xml:space="preserve">2.1 Employee </w:t>
      </w:r>
      <w:r w:rsidRPr="000C71DB">
        <w:t>Engagement</w:t>
      </w:r>
      <w:r w:rsidRPr="00924E7E">
        <w:t xml:space="preserve"> in the Bangladesh Ready-Made Garment Industry</w:t>
      </w:r>
      <w:bookmarkEnd w:id="9"/>
      <w:r w:rsidRPr="00924E7E">
        <w:t xml:space="preserve"> </w:t>
      </w:r>
    </w:p>
    <w:p w:rsidR="004D23A2" w:rsidRPr="00924E7E" w:rsidRDefault="004D23A2" w:rsidP="004D23A2">
      <w:pPr>
        <w:spacing w:after="200" w:line="360" w:lineRule="auto"/>
        <w:jc w:val="both"/>
        <w:rPr>
          <w:rFonts w:ascii="Arial" w:hAnsi="Arial" w:cs="Arial"/>
        </w:rPr>
      </w:pPr>
      <w:r w:rsidRPr="00924E7E">
        <w:rPr>
          <w:rFonts w:ascii="Arial" w:hAnsi="Arial" w:cs="Arial"/>
        </w:rPr>
        <w:t>According to Schaufeli et al. (2019), employee engagement is a positive psychological state at work characterised by vigour, dedication and absorption, which in turn facilitates the investment of physical, mental and emotional resources in work. Engaged staff consistently are found to be associated with better organisational performance, reduced turnover intentions and increased productivity (Bailey et al., 2017</w:t>
      </w:r>
      <w:r>
        <w:rPr>
          <w:rFonts w:ascii="Arial" w:hAnsi="Arial" w:cs="Arial"/>
        </w:rPr>
        <w:t xml:space="preserve">; </w:t>
      </w:r>
      <w:r w:rsidRPr="00EA77B9">
        <w:rPr>
          <w:rFonts w:ascii="Arial" w:hAnsi="Arial" w:cs="Arial"/>
        </w:rPr>
        <w:t>Gašić &amp; Berber, 2023</w:t>
      </w:r>
      <w:r>
        <w:rPr>
          <w:rFonts w:ascii="Arial" w:hAnsi="Arial" w:cs="Arial"/>
        </w:rPr>
        <w:t xml:space="preserve">; </w:t>
      </w:r>
      <w:r w:rsidRPr="00924E7E">
        <w:rPr>
          <w:rFonts w:ascii="Arial" w:hAnsi="Arial" w:cs="Arial"/>
        </w:rPr>
        <w:t>Ghlichlee</w:t>
      </w:r>
      <w:r>
        <w:rPr>
          <w:rFonts w:ascii="Arial" w:hAnsi="Arial" w:cs="Arial"/>
        </w:rPr>
        <w:t xml:space="preserve"> </w:t>
      </w:r>
      <w:r w:rsidRPr="00924E7E">
        <w:rPr>
          <w:rFonts w:ascii="Arial" w:hAnsi="Arial" w:cs="Arial"/>
        </w:rPr>
        <w:t>and Bayat, 2021</w:t>
      </w:r>
      <w:r w:rsidRPr="00EA77B9">
        <w:rPr>
          <w:rFonts w:ascii="Arial" w:hAnsi="Arial" w:cs="Arial"/>
        </w:rPr>
        <w:t>).</w:t>
      </w:r>
      <w:r w:rsidRPr="00924E7E">
        <w:rPr>
          <w:rFonts w:ascii="Arial" w:hAnsi="Arial" w:cs="Arial"/>
        </w:rPr>
        <w:t xml:space="preserve"> Despite the extensive studies on employee engagement in service and knowledge-based industries, comparatively few studies have focused on labour-intensive manufacturing industries, especially the Ready-Made Garment (RMG) sector in Bangladesh.</w:t>
      </w:r>
    </w:p>
    <w:p w:rsidR="004D23A2" w:rsidRPr="00924E7E" w:rsidRDefault="004D23A2" w:rsidP="004D23A2">
      <w:pPr>
        <w:spacing w:after="200" w:line="360" w:lineRule="auto"/>
        <w:jc w:val="both"/>
        <w:rPr>
          <w:rFonts w:ascii="Arial" w:hAnsi="Arial" w:cs="Arial"/>
        </w:rPr>
      </w:pPr>
      <w:r w:rsidRPr="00924E7E">
        <w:rPr>
          <w:rFonts w:ascii="Arial" w:hAnsi="Arial" w:cs="Arial"/>
        </w:rPr>
        <w:lastRenderedPageBreak/>
        <w:t>Employees' commitment is key to the RMG industry as production efficiency, product quality and prompt deliveries are hugely dependent on the performance of the frontline production workers and not on automation (Chen</w:t>
      </w:r>
      <w:r>
        <w:rPr>
          <w:rFonts w:ascii="Arial" w:hAnsi="Arial" w:cs="Arial"/>
        </w:rPr>
        <w:t xml:space="preserve"> </w:t>
      </w:r>
      <w:r w:rsidRPr="00924E7E">
        <w:rPr>
          <w:rFonts w:ascii="Arial" w:hAnsi="Arial" w:cs="Arial"/>
        </w:rPr>
        <w:t>and Peng, 2021</w:t>
      </w:r>
      <w:r>
        <w:rPr>
          <w:rFonts w:ascii="Arial" w:hAnsi="Arial" w:cs="Arial"/>
        </w:rPr>
        <w:t xml:space="preserve">; </w:t>
      </w:r>
      <w:r w:rsidRPr="00924E7E">
        <w:rPr>
          <w:rFonts w:ascii="Arial" w:hAnsi="Arial" w:cs="Arial"/>
        </w:rPr>
        <w:t>BGMEA, 2025). Despite the considerable number of studies on the wages, occupational safety, compliance and labour rights of the RMG sector in Bangladesh, psychological factors that affect employee engagement has received less attention (ILO, 2023). This leaves a significant research gap as it is possible that organisational performance may also be influenced by employees' perceptions of workplace practices. Engaging employees is crucial for Natural Group Bangladesh to meet production targets and remain competitive in the international market. As such, measures of employee engagement are a suitable dependent variable to investigate whether employee perceptions of flexible work arrangements relate to motivation and involvement in work, as per the study's purpose and hypotheses.</w:t>
      </w:r>
    </w:p>
    <w:p w:rsidR="004D23A2" w:rsidRPr="000C71DB" w:rsidRDefault="004D23A2" w:rsidP="004D23A2">
      <w:pPr>
        <w:pStyle w:val="Heading2"/>
      </w:pPr>
      <w:bookmarkStart w:id="10" w:name="_Toc235471146"/>
      <w:r w:rsidRPr="000C71DB">
        <w:t>2.2 Flexible Work Arrangements in Bangladesh's Ready-Made Garment Industry</w:t>
      </w:r>
      <w:bookmarkEnd w:id="10"/>
      <w:r w:rsidRPr="000C71DB">
        <w:t xml:space="preserve"> </w:t>
      </w:r>
    </w:p>
    <w:p w:rsidR="004D23A2" w:rsidRPr="00924E7E" w:rsidRDefault="004D23A2" w:rsidP="004D23A2">
      <w:pPr>
        <w:spacing w:after="200" w:line="360" w:lineRule="auto"/>
        <w:jc w:val="both"/>
        <w:rPr>
          <w:rFonts w:ascii="Arial" w:hAnsi="Arial" w:cs="Arial"/>
        </w:rPr>
      </w:pPr>
      <w:r w:rsidRPr="00924E7E">
        <w:rPr>
          <w:rFonts w:ascii="Arial" w:hAnsi="Arial" w:cs="Arial"/>
        </w:rPr>
        <w:t>Flexible work arrangements (FWAs) are organisational practices that give workers more flexibility in how, when and where they do their work (Allen et al., 2013). The idea has received a lot of attention since the advent of hybrid and remote working, but the literature that has emerged so far describes workplace environments that are mainly office-based, which makes it less suitable for industrial environments with labour-intensive work that requires workers to be on site during production (Soga et al., 2022). This implies that flexibility would have a different meaning in the context of the Ready-Made Garment (RMG) industry in Bangladesh.</w:t>
      </w:r>
    </w:p>
    <w:p w:rsidR="004D23A2" w:rsidRDefault="004D23A2" w:rsidP="004D23A2">
      <w:pPr>
        <w:keepNext/>
        <w:spacing w:after="200" w:line="360" w:lineRule="auto"/>
        <w:jc w:val="both"/>
      </w:pPr>
      <w:r w:rsidRPr="00924E7E">
        <w:rPr>
          <w:rFonts w:ascii="Arial" w:hAnsi="Arial" w:cs="Arial"/>
          <w:noProof/>
          <w:lang w:val="en-GB" w:eastAsia="en-GB"/>
        </w:rPr>
        <w:lastRenderedPageBreak/>
        <w:drawing>
          <wp:inline distT="0" distB="0" distL="0" distR="0" wp14:anchorId="206C2263" wp14:editId="6F6FFC50">
            <wp:extent cx="6067425" cy="3133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67425" cy="3133725"/>
                    </a:xfrm>
                    <a:prstGeom prst="rect">
                      <a:avLst/>
                    </a:prstGeom>
                  </pic:spPr>
                </pic:pic>
              </a:graphicData>
            </a:graphic>
          </wp:inline>
        </w:drawing>
      </w:r>
    </w:p>
    <w:p w:rsidR="004D23A2" w:rsidRPr="00BD3AC8" w:rsidRDefault="004D23A2" w:rsidP="004D23A2">
      <w:pPr>
        <w:pStyle w:val="Caption"/>
        <w:jc w:val="center"/>
        <w:rPr>
          <w:rFonts w:ascii="Arial" w:hAnsi="Arial" w:cs="Arial"/>
        </w:rPr>
      </w:pPr>
      <w:bookmarkStart w:id="11" w:name="_Toc235472270"/>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DB01AB">
        <w:t>Flexible work arrangements (FWAs) framework; Source: (Weideman &amp; Hofmeyr, 2020)</w:t>
      </w:r>
      <w:bookmarkEnd w:id="11"/>
    </w:p>
    <w:p w:rsidR="004D23A2" w:rsidRPr="00924E7E" w:rsidRDefault="004D23A2" w:rsidP="004D23A2">
      <w:pPr>
        <w:spacing w:after="200" w:line="360" w:lineRule="auto"/>
        <w:jc w:val="both"/>
        <w:rPr>
          <w:rFonts w:ascii="Arial" w:hAnsi="Arial" w:cs="Arial"/>
        </w:rPr>
      </w:pPr>
      <w:r w:rsidRPr="00924E7E">
        <w:rPr>
          <w:rFonts w:ascii="Arial" w:hAnsi="Arial" w:cs="Arial"/>
        </w:rPr>
        <w:t>The level of flexibility workers in the garment industry experience is more likely to be in terms of scheduling flexibility than in terms of work location. For this reason, the present study considers FWAs in three dimensions: perceived schedule control, perceived schedule predictability and perceived shift accommodation</w:t>
      </w:r>
      <w:r>
        <w:rPr>
          <w:rFonts w:ascii="Arial" w:hAnsi="Arial" w:cs="Arial"/>
        </w:rPr>
        <w:t xml:space="preserve"> (</w:t>
      </w:r>
      <w:r w:rsidRPr="00924E7E">
        <w:rPr>
          <w:rFonts w:ascii="Arial" w:hAnsi="Arial" w:cs="Arial"/>
        </w:rPr>
        <w:t>Edeh</w:t>
      </w:r>
      <w:r>
        <w:rPr>
          <w:rFonts w:ascii="Arial" w:hAnsi="Arial" w:cs="Arial"/>
        </w:rPr>
        <w:t xml:space="preserve"> et al., </w:t>
      </w:r>
      <w:r w:rsidRPr="00924E7E">
        <w:rPr>
          <w:rFonts w:ascii="Arial" w:hAnsi="Arial" w:cs="Arial"/>
        </w:rPr>
        <w:t>2025. Past literature suggests that increased schedule control meets the employees' need for autonomy and motivation, predictable schedules reduce uncertainty, and fair handling of schedule requests increases employees' perceptions of organizational support (Bal and De Lange, 2015; Lambert et al., 2019; de Menezes and Kelliher, 2017; Kossek, Perrigino and Lautsch, 2023). There is little empirical evidence, however, that has explored these aspects of scheduling in the RMG sector in Bangladesh, where production deadlines, overtime requests and supervisory discretion can shape workers' working hours (ILO, 2023). As such, assessment of workers' perceptions of these three dimensions at Natural Group Bangladesh is suitable to fulfil the aim and test the positive relationships with employee engagement.</w:t>
      </w:r>
    </w:p>
    <w:p w:rsidR="004D23A2" w:rsidRPr="00924E7E" w:rsidRDefault="004D23A2" w:rsidP="004D23A2">
      <w:pPr>
        <w:spacing w:after="200" w:line="360" w:lineRule="auto"/>
        <w:jc w:val="both"/>
        <w:rPr>
          <w:rFonts w:ascii="Arial" w:hAnsi="Arial" w:cs="Arial"/>
        </w:rPr>
      </w:pPr>
    </w:p>
    <w:p w:rsidR="004D23A2" w:rsidRPr="00924E7E" w:rsidRDefault="004D23A2" w:rsidP="004D23A2">
      <w:pPr>
        <w:spacing w:after="200" w:line="360" w:lineRule="auto"/>
        <w:jc w:val="both"/>
        <w:rPr>
          <w:rFonts w:ascii="Arial" w:hAnsi="Arial" w:cs="Arial"/>
        </w:rPr>
      </w:pPr>
    </w:p>
    <w:p w:rsidR="004D23A2" w:rsidRPr="00924E7E" w:rsidRDefault="004D23A2" w:rsidP="004D23A2">
      <w:pPr>
        <w:pStyle w:val="Heading2"/>
        <w:jc w:val="both"/>
        <w:rPr>
          <w:rFonts w:cs="Arial"/>
        </w:rPr>
      </w:pPr>
      <w:bookmarkStart w:id="12" w:name="_Toc235471148"/>
      <w:r w:rsidRPr="00924E7E">
        <w:rPr>
          <w:rFonts w:cs="Arial"/>
        </w:rPr>
        <w:lastRenderedPageBreak/>
        <w:t>2.3 Theoretical Frameworks</w:t>
      </w:r>
      <w:bookmarkEnd w:id="12"/>
    </w:p>
    <w:p w:rsidR="004D23A2" w:rsidRPr="00924E7E" w:rsidRDefault="004D23A2" w:rsidP="004D23A2">
      <w:pPr>
        <w:spacing w:after="200" w:line="360" w:lineRule="auto"/>
        <w:jc w:val="both"/>
        <w:rPr>
          <w:rFonts w:ascii="Arial" w:hAnsi="Arial" w:cs="Arial"/>
        </w:rPr>
      </w:pPr>
      <w:r w:rsidRPr="00924E7E">
        <w:rPr>
          <w:rFonts w:ascii="Arial" w:hAnsi="Arial" w:cs="Arial"/>
        </w:rPr>
        <w:t>The Job Demands–Resources (JD–R) Theory and Social Exchange Theory (SET) are known to give a proper theoretical basis for comprehending the association between the perception of a flexible workplace and employee engagement of the employees in the Ready-Made Garment (RMG) industry of Bangladesh. These theories are commonly used in HRM studies as they provide an understanding of the relationship between organizational practices and employee motivation, attitudes and work behaviors (Bakker &amp; Demerouti, 2017; Saks, 2019).</w:t>
      </w:r>
    </w:p>
    <w:p w:rsidR="004D23A2" w:rsidRPr="00924E7E" w:rsidRDefault="004D23A2" w:rsidP="004D23A2">
      <w:pPr>
        <w:spacing w:after="200" w:line="360" w:lineRule="auto"/>
        <w:jc w:val="both"/>
        <w:rPr>
          <w:rFonts w:ascii="Arial" w:hAnsi="Arial" w:cs="Arial"/>
        </w:rPr>
      </w:pPr>
      <w:r w:rsidRPr="00924E7E">
        <w:rPr>
          <w:rFonts w:ascii="Arial" w:hAnsi="Arial" w:cs="Arial"/>
        </w:rPr>
        <w:t>According to JD–R Theory, employee engagement is a result of employees' possession of an adequate amount of job resources to meet the challenges of work and to attain the organisations’ objectives (Bakker &amp; Demerouti, 2017). While workers in the RMG sector are required to work under tight production schedules, overtime requirement, strict delivery timelines etc., perceived schedule control, schedule predictability and shift accommodation can be seen as important job resources that enhances the level of autonomy experienced by RMG workers, decreases the uncertainty and promotes work–life balance</w:t>
      </w:r>
      <w:r>
        <w:rPr>
          <w:rFonts w:ascii="Arial" w:hAnsi="Arial" w:cs="Arial"/>
        </w:rPr>
        <w:t xml:space="preserve"> (</w:t>
      </w:r>
      <w:r w:rsidRPr="00924E7E">
        <w:rPr>
          <w:rFonts w:ascii="Arial" w:hAnsi="Arial" w:cs="Arial"/>
        </w:rPr>
        <w:t>Bakker</w:t>
      </w:r>
      <w:r>
        <w:rPr>
          <w:rFonts w:ascii="Arial" w:hAnsi="Arial" w:cs="Arial"/>
        </w:rPr>
        <w:t xml:space="preserve">, </w:t>
      </w:r>
      <w:r w:rsidRPr="00924E7E">
        <w:rPr>
          <w:rFonts w:ascii="Arial" w:hAnsi="Arial" w:cs="Arial"/>
        </w:rPr>
        <w:t>Demerouti and Sanz-Vergel, 2023</w:t>
      </w:r>
      <w:r>
        <w:rPr>
          <w:rFonts w:ascii="Arial" w:hAnsi="Arial" w:cs="Arial"/>
        </w:rPr>
        <w:t>)</w:t>
      </w:r>
      <w:r w:rsidRPr="00924E7E">
        <w:rPr>
          <w:rFonts w:ascii="Arial" w:hAnsi="Arial" w:cs="Arial"/>
        </w:rPr>
        <w:t>. Therefore, workers who feel more schedule flexibility should be found to be more engaged, even in manufacturing settings where the operating environment is not conducive to engagement.</w:t>
      </w:r>
    </w:p>
    <w:p w:rsidR="004D23A2" w:rsidRDefault="004D23A2" w:rsidP="004D23A2">
      <w:pPr>
        <w:keepNext/>
        <w:spacing w:after="200" w:line="360" w:lineRule="auto"/>
        <w:jc w:val="both"/>
      </w:pPr>
      <w:r w:rsidRPr="00924E7E">
        <w:rPr>
          <w:rFonts w:ascii="Arial" w:hAnsi="Arial" w:cs="Arial"/>
          <w:noProof/>
          <w:lang w:val="en-GB" w:eastAsia="en-GB"/>
        </w:rPr>
        <w:drawing>
          <wp:inline distT="0" distB="0" distL="0" distR="0" wp14:anchorId="362F8CCA" wp14:editId="5938E172">
            <wp:extent cx="5514975" cy="2552700"/>
            <wp:effectExtent l="0" t="0" r="9525" b="0"/>
            <wp:docPr id="5" name="Picture 5" descr="Have you ever heard about the JD-R (Job Demands–Resources) Model? It's a  powerful framework used to understand what drives employee burnout and  motivation in the workplace. -&gt; Job Demands – Think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ve you ever heard about the JD-R (Job Demands–Resources) Model? It's a  powerful framework used to understand what drives employee burnout and  motivation in the workplace. -&gt; Job Demands – Think of… |"/>
                    <pic:cNvPicPr>
                      <a:picLocks noChangeAspect="1" noChangeArrowheads="1"/>
                    </pic:cNvPicPr>
                  </pic:nvPicPr>
                  <pic:blipFill rotWithShape="1">
                    <a:blip r:embed="rId9">
                      <a:extLst>
                        <a:ext uri="{28A0092B-C50C-407E-A947-70E740481C1C}">
                          <a14:useLocalDpi xmlns:a14="http://schemas.microsoft.com/office/drawing/2010/main" val="0"/>
                        </a:ext>
                      </a:extLst>
                    </a:blip>
                    <a:srcRect l="2724" t="19711" r="4487" b="22436"/>
                    <a:stretch/>
                  </pic:blipFill>
                  <pic:spPr bwMode="auto">
                    <a:xfrm>
                      <a:off x="0" y="0"/>
                      <a:ext cx="5514975" cy="2552700"/>
                    </a:xfrm>
                    <a:prstGeom prst="rect">
                      <a:avLst/>
                    </a:prstGeom>
                    <a:noFill/>
                    <a:ln>
                      <a:noFill/>
                    </a:ln>
                    <a:extLst>
                      <a:ext uri="{53640926-AAD7-44D8-BBD7-CCE9431645EC}">
                        <a14:shadowObscured xmlns:a14="http://schemas.microsoft.com/office/drawing/2010/main"/>
                      </a:ext>
                    </a:extLst>
                  </pic:spPr>
                </pic:pic>
              </a:graphicData>
            </a:graphic>
          </wp:inline>
        </w:drawing>
      </w:r>
    </w:p>
    <w:p w:rsidR="004D23A2" w:rsidRPr="00924E7E" w:rsidRDefault="004D23A2" w:rsidP="004D23A2">
      <w:pPr>
        <w:pStyle w:val="Caption"/>
        <w:jc w:val="center"/>
        <w:rPr>
          <w:rFonts w:ascii="Arial" w:hAnsi="Arial" w:cs="Arial"/>
        </w:rPr>
      </w:pPr>
      <w:bookmarkStart w:id="13" w:name="_Toc235472271"/>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631EB2">
        <w:t>The Job Demands-Resources Model (adapted from Bakker and Demerouti, 2017).</w:t>
      </w:r>
      <w:bookmarkEnd w:id="13"/>
    </w:p>
    <w:p w:rsidR="004D23A2" w:rsidRPr="00924E7E" w:rsidRDefault="004D23A2" w:rsidP="004D23A2">
      <w:pPr>
        <w:spacing w:after="200" w:line="360" w:lineRule="auto"/>
        <w:jc w:val="both"/>
        <w:rPr>
          <w:rFonts w:ascii="Arial" w:hAnsi="Arial" w:cs="Arial"/>
        </w:rPr>
      </w:pPr>
      <w:r w:rsidRPr="00924E7E">
        <w:rPr>
          <w:rFonts w:ascii="Arial" w:hAnsi="Arial" w:cs="Arial"/>
        </w:rPr>
        <w:lastRenderedPageBreak/>
        <w:t>In addition, the focus of Social Exchange Theory on the reciprocal relationship between positive organisational attitudes and behaviours encourages workers to respond positively to positive treatment in the organisation, complementing the JD–R approach. If managers are seen to be performing reasonably well in scheduling staff, accommodating reasonable request for shifts and communicating work schedules in a consistent manner, employees are more likely to interpret this as evidence of organisational support. This exchange results in greater employee motivation and commitment to the job (Cropanzano et al., 2017).</w:t>
      </w:r>
    </w:p>
    <w:p w:rsidR="004D23A2" w:rsidRDefault="004D23A2" w:rsidP="004D23A2">
      <w:pPr>
        <w:keepNext/>
        <w:spacing w:after="200" w:line="360" w:lineRule="auto"/>
        <w:jc w:val="both"/>
      </w:pPr>
      <w:r w:rsidRPr="00924E7E">
        <w:rPr>
          <w:rFonts w:ascii="Arial" w:hAnsi="Arial" w:cs="Arial"/>
          <w:noProof/>
          <w:lang w:val="en-GB" w:eastAsia="en-GB"/>
        </w:rPr>
        <w:drawing>
          <wp:inline distT="0" distB="0" distL="0" distR="0" wp14:anchorId="762DB7DD" wp14:editId="52F3973D">
            <wp:extent cx="5495925" cy="4171950"/>
            <wp:effectExtent l="0" t="0" r="9525" b="0"/>
            <wp:docPr id="6" name="Picture 6" descr="Social Exchange Theory PowerPoint and Google Slide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Exchange Theory PowerPoint and Google Slides Template"/>
                    <pic:cNvPicPr>
                      <a:picLocks noChangeAspect="1" noChangeArrowheads="1"/>
                    </pic:cNvPicPr>
                  </pic:nvPicPr>
                  <pic:blipFill rotWithShape="1">
                    <a:blip r:embed="rId10">
                      <a:extLst>
                        <a:ext uri="{28A0092B-C50C-407E-A947-70E740481C1C}">
                          <a14:useLocalDpi xmlns:a14="http://schemas.microsoft.com/office/drawing/2010/main" val="0"/>
                        </a:ext>
                      </a:extLst>
                    </a:blip>
                    <a:srcRect r="7532" b="6410"/>
                    <a:stretch/>
                  </pic:blipFill>
                  <pic:spPr bwMode="auto">
                    <a:xfrm>
                      <a:off x="0" y="0"/>
                      <a:ext cx="5495925" cy="4171950"/>
                    </a:xfrm>
                    <a:prstGeom prst="rect">
                      <a:avLst/>
                    </a:prstGeom>
                    <a:noFill/>
                    <a:ln>
                      <a:noFill/>
                    </a:ln>
                    <a:extLst>
                      <a:ext uri="{53640926-AAD7-44D8-BBD7-CCE9431645EC}">
                        <a14:shadowObscured xmlns:a14="http://schemas.microsoft.com/office/drawing/2010/main"/>
                      </a:ext>
                    </a:extLst>
                  </pic:spPr>
                </pic:pic>
              </a:graphicData>
            </a:graphic>
          </wp:inline>
        </w:drawing>
      </w:r>
    </w:p>
    <w:p w:rsidR="004D23A2" w:rsidRPr="00924E7E" w:rsidRDefault="004D23A2" w:rsidP="004D23A2">
      <w:pPr>
        <w:pStyle w:val="Caption"/>
        <w:jc w:val="center"/>
        <w:rPr>
          <w:rFonts w:ascii="Arial" w:hAnsi="Arial" w:cs="Arial"/>
        </w:rPr>
      </w:pPr>
      <w:bookmarkStart w:id="14" w:name="_Toc235472272"/>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8F781E">
        <w:t>Social Exchange Theory applied to the employment relationship (adapted from Saks, 2019).</w:t>
      </w:r>
      <w:bookmarkEnd w:id="14"/>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combined use of JD–R Theory and Social Exchange Theory is especially suitable as the focus of this study is on employees' perceptions instead of formal flexible working policies. The theories when combined, are able to identify the positive relationships between perceived schedule control, perceived schedule predictability and perceived </w:t>
      </w:r>
      <w:r w:rsidRPr="00924E7E">
        <w:rPr>
          <w:rFonts w:ascii="Arial" w:hAnsi="Arial" w:cs="Arial"/>
        </w:rPr>
        <w:lastRenderedPageBreak/>
        <w:t>shift accommodation with employee engagement among employees of Natural Group Bangladesh, which forms the foundation of the proposed hypotheses.</w:t>
      </w:r>
    </w:p>
    <w:p w:rsidR="004D23A2" w:rsidRPr="00924E7E" w:rsidRDefault="004D23A2" w:rsidP="004D23A2">
      <w:pPr>
        <w:pStyle w:val="Heading2"/>
        <w:jc w:val="both"/>
        <w:rPr>
          <w:rFonts w:cs="Arial"/>
        </w:rPr>
      </w:pPr>
      <w:bookmarkStart w:id="15" w:name="_Toc235471149"/>
      <w:r w:rsidRPr="00924E7E">
        <w:rPr>
          <w:rFonts w:cs="Arial"/>
        </w:rPr>
        <w:t>2.4 Research Gap</w:t>
      </w:r>
      <w:bookmarkEnd w:id="15"/>
    </w:p>
    <w:p w:rsidR="004D23A2" w:rsidRPr="00924E7E" w:rsidRDefault="004D23A2" w:rsidP="004D23A2">
      <w:pPr>
        <w:spacing w:after="200" w:line="360" w:lineRule="auto"/>
        <w:jc w:val="both"/>
        <w:rPr>
          <w:rFonts w:ascii="Arial" w:hAnsi="Arial" w:cs="Arial"/>
        </w:rPr>
      </w:pPr>
      <w:r w:rsidRPr="00924E7E">
        <w:rPr>
          <w:rFonts w:ascii="Arial" w:hAnsi="Arial" w:cs="Arial"/>
        </w:rPr>
        <w:t>While flexible work arrangements and employee engagement have been the focus of much study this research has tended to focus on knowledge-intensive, service and hybrid working contexts where flexible working is often linked to remote working or flexible workplace location (Allen et al., 2013; Soga et al., 2022). In such labour-intensive manufacturing sectors where employees are expected to be on-site at a specific time, the flexibility in work arrangements is studied to a lesser extent.Therefore, much less evidence is available to account for the flexibility of work arrangements in such labour-intensive manufacturing industries.</w:t>
      </w:r>
    </w:p>
    <w:p w:rsidR="004D23A2" w:rsidRPr="00924E7E" w:rsidRDefault="004D23A2" w:rsidP="004D23A2">
      <w:pPr>
        <w:spacing w:after="200" w:line="360" w:lineRule="auto"/>
        <w:jc w:val="both"/>
        <w:rPr>
          <w:rFonts w:ascii="Arial" w:hAnsi="Arial" w:cs="Arial"/>
        </w:rPr>
      </w:pPr>
      <w:r w:rsidRPr="00924E7E">
        <w:rPr>
          <w:rFonts w:ascii="Arial" w:hAnsi="Arial" w:cs="Arial"/>
        </w:rPr>
        <w:t>In the Ready-Made Garment (RMG) industry of Bangladesh, most of the previous studies have been conducted on occupational safety, wages, labour rights, compliance and employee turnover, and limited research has been carried out on employees’ perceptions of workplace scheduling practices as determinants of employee engagement (ILO, 2023; Islam et al., 2022). Furthermore, current research does not consider the three aspects of schedule control, schedule predictability and shift accommodation at the same time, though these are the most practical and feasible types of flexibility that can be applied to garment production. This reduces the knowledge of the relationship between perceived scheduling flexibility and engagement among employees in export manufacturing companies.</w:t>
      </w:r>
    </w:p>
    <w:p w:rsidR="004D23A2" w:rsidRPr="00924E7E" w:rsidRDefault="004D23A2" w:rsidP="004D23A2">
      <w:pPr>
        <w:spacing w:after="200" w:line="360" w:lineRule="auto"/>
        <w:jc w:val="both"/>
        <w:rPr>
          <w:rFonts w:ascii="Arial" w:hAnsi="Arial" w:cs="Arial"/>
        </w:rPr>
      </w:pPr>
      <w:r w:rsidRPr="00924E7E">
        <w:rPr>
          <w:rFonts w:ascii="Arial" w:hAnsi="Arial" w:cs="Arial"/>
        </w:rPr>
        <w:t>Hence the gaps identified in this study are addressed by investigating the relationship between perceived schedule control, perceived schedule predictability, perceived shift accommodation and employee engagement among the employees of Natural Group Bangladesh. This study further contributes to the research of flexible working arrangements by exploring the relationship between flexible working arrangements and employee engagement in the context of the RMG sector in Bangladesh and provides evidence-based practical insights for employee engagement strategies in labour-intensive manufacturing organisations.</w:t>
      </w:r>
    </w:p>
    <w:p w:rsidR="004D23A2" w:rsidRPr="00924E7E" w:rsidRDefault="004D23A2" w:rsidP="004D23A2">
      <w:pPr>
        <w:pStyle w:val="Heading2"/>
        <w:jc w:val="both"/>
        <w:rPr>
          <w:rFonts w:cs="Arial"/>
        </w:rPr>
      </w:pPr>
      <w:bookmarkStart w:id="16" w:name="_Toc235471150"/>
      <w:r w:rsidRPr="00924E7E">
        <w:rPr>
          <w:rFonts w:cs="Arial"/>
        </w:rPr>
        <w:lastRenderedPageBreak/>
        <w:t>2.5 Conceptual Framework and Hypotheses</w:t>
      </w:r>
      <w:bookmarkEnd w:id="16"/>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conceptual model shown in Figure </w:t>
      </w:r>
      <w:r>
        <w:rPr>
          <w:rFonts w:ascii="Arial" w:hAnsi="Arial" w:cs="Arial"/>
        </w:rPr>
        <w:t>4</w:t>
      </w:r>
      <w:r w:rsidRPr="00924E7E">
        <w:rPr>
          <w:rFonts w:ascii="Arial" w:hAnsi="Arial" w:cs="Arial"/>
        </w:rPr>
        <w:t xml:space="preserve"> includes three independent variables: flexible work arrangements perceptions of employees, and one dependent: employee engagement. The model is purposely simple and free of mediators, moderators or second outcome.</w:t>
      </w:r>
    </w:p>
    <w:p w:rsidR="004D23A2" w:rsidRPr="00924E7E" w:rsidRDefault="004D23A2" w:rsidP="004D23A2">
      <w:pPr>
        <w:spacing w:after="200" w:line="360" w:lineRule="auto"/>
        <w:jc w:val="center"/>
        <w:rPr>
          <w:rFonts w:ascii="Arial" w:hAnsi="Arial" w:cs="Arial"/>
          <w:b/>
          <w:bCs/>
          <w:u w:val="thick"/>
        </w:rPr>
      </w:pPr>
      <w:r w:rsidRPr="00924E7E">
        <w:rPr>
          <w:rFonts w:ascii="Arial" w:hAnsi="Arial" w:cs="Arial"/>
          <w:b/>
          <w:bCs/>
          <w:u w:val="thick"/>
        </w:rPr>
        <w:t>Conceptual Framework</w:t>
      </w:r>
    </w:p>
    <w:p w:rsidR="004D23A2" w:rsidRPr="00924E7E" w:rsidRDefault="004D23A2" w:rsidP="004D23A2">
      <w:pPr>
        <w:spacing w:after="200" w:line="360" w:lineRule="auto"/>
        <w:jc w:val="center"/>
        <w:rPr>
          <w:rFonts w:ascii="Arial" w:hAnsi="Arial" w:cs="Arial"/>
          <w:i/>
          <w:iCs/>
          <w:sz w:val="20"/>
          <w:szCs w:val="20"/>
          <w:u w:val="thick"/>
        </w:rPr>
      </w:pPr>
      <w:r>
        <w:rPr>
          <w:noProof/>
          <w:lang w:val="en-GB" w:eastAsia="en-GB"/>
        </w:rPr>
        <mc:AlternateContent>
          <mc:Choice Requires="wps">
            <w:drawing>
              <wp:anchor distT="0" distB="0" distL="114300" distR="114300" simplePos="0" relativeHeight="251660288" behindDoc="1" locked="0" layoutInCell="1" allowOverlap="1" wp14:anchorId="65FDE609" wp14:editId="586ED02B">
                <wp:simplePos x="0" y="0"/>
                <wp:positionH relativeFrom="column">
                  <wp:posOffset>427990</wp:posOffset>
                </wp:positionH>
                <wp:positionV relativeFrom="paragraph">
                  <wp:posOffset>4028440</wp:posOffset>
                </wp:positionV>
                <wp:extent cx="5953125" cy="635"/>
                <wp:effectExtent l="0" t="0" r="9525" b="8255"/>
                <wp:wrapTight wrapText="bothSides">
                  <wp:wrapPolygon edited="0">
                    <wp:start x="0" y="0"/>
                    <wp:lineTo x="0" y="20698"/>
                    <wp:lineTo x="21565" y="20698"/>
                    <wp:lineTo x="2156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953125" cy="635"/>
                        </a:xfrm>
                        <a:prstGeom prst="rect">
                          <a:avLst/>
                        </a:prstGeom>
                        <a:solidFill>
                          <a:prstClr val="white"/>
                        </a:solidFill>
                        <a:ln>
                          <a:noFill/>
                        </a:ln>
                      </wps:spPr>
                      <wps:txbx>
                        <w:txbxContent>
                          <w:p w:rsidR="004D23A2" w:rsidRPr="005532EF" w:rsidRDefault="004D23A2" w:rsidP="004D23A2">
                            <w:pPr>
                              <w:pStyle w:val="Caption"/>
                              <w:jc w:val="center"/>
                              <w:rPr>
                                <w:rFonts w:ascii="Arial" w:hAnsi="Arial" w:cs="Arial"/>
                                <w:noProof/>
                                <w:sz w:val="20"/>
                                <w:szCs w:val="20"/>
                                <w:u w:val="thick"/>
                              </w:rPr>
                            </w:pPr>
                            <w:bookmarkStart w:id="17" w:name="_Toc235472273"/>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555C06">
                              <w:t>Conceptual framework of the study (Source: Author’s own construction).</w:t>
                            </w:r>
                            <w:bookmarkEnd w:id="17"/>
                            <w:r>
                              <w:t xml:space="preserve"> adapted from Bakker and Demerouti (2017); Saks (2019); Weideman and Hofmeyr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5FDE609" id="_x0000_t202" coordsize="21600,21600" o:spt="202" path="m,l,21600r21600,l21600,xe">
                <v:stroke joinstyle="miter"/>
                <v:path gradientshapeok="t" o:connecttype="rect"/>
              </v:shapetype>
              <v:shape id="Text Box 2" o:spid="_x0000_s1026" type="#_x0000_t202" style="position:absolute;left:0;text-align:left;margin-left:33.7pt;margin-top:317.2pt;width:468.75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" stroked="f">
                <v:textbox style="mso-fit-shape-to-text:t" inset="0,0,0,0">
                  <w:txbxContent>
                    <w:p w:rsidR="004D23A2" w:rsidRPr="005532EF" w:rsidRDefault="004D23A2" w:rsidP="004D23A2">
                      <w:pPr>
                        <w:pStyle w:val="Caption"/>
                        <w:jc w:val="center"/>
                        <w:rPr>
                          <w:rFonts w:ascii="Arial" w:hAnsi="Arial" w:cs="Arial"/>
                          <w:noProof/>
                          <w:sz w:val="20"/>
                          <w:szCs w:val="20"/>
                          <w:u w:val="thick"/>
                        </w:rPr>
                      </w:pPr>
                      <w:bookmarkStart w:id="17" w:name="_Toc235472273"/>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555C06">
                        <w:t>Conceptual framework of the study (Source: Author’s own construction).</w:t>
                      </w:r>
                      <w:bookmarkEnd w:id="17"/>
                      <w:r>
                        <w:t xml:space="preserve"> adapted from Bakker and Demerouti (2017); Saks (2019); Weideman and Hofmeyr (2020).</w:t>
                      </w:r>
                    </w:p>
                  </w:txbxContent>
                </v:textbox>
                <w10:wrap type="tight"/>
              </v:shape>
            </w:pict>
          </mc:Fallback>
        </mc:AlternateContent>
      </w:r>
      <w:r w:rsidRPr="00924E7E">
        <w:rPr>
          <w:rFonts w:ascii="Arial" w:hAnsi="Arial" w:cs="Arial"/>
          <w:i/>
          <w:iCs/>
          <w:noProof/>
          <w:sz w:val="20"/>
          <w:szCs w:val="20"/>
          <w:u w:val="thick"/>
          <w:lang w:val="en-GB" w:eastAsia="en-GB"/>
        </w:rPr>
        <w:drawing>
          <wp:anchor distT="0" distB="0" distL="114300" distR="114300" simplePos="0" relativeHeight="251659264" behindDoc="1" locked="0" layoutInCell="1" allowOverlap="1" wp14:anchorId="2E34E6DA" wp14:editId="3E88FBE2">
            <wp:simplePos x="0" y="0"/>
            <wp:positionH relativeFrom="column">
              <wp:posOffset>-476250</wp:posOffset>
            </wp:positionH>
            <wp:positionV relativeFrom="paragraph">
              <wp:posOffset>504190</wp:posOffset>
            </wp:positionV>
            <wp:extent cx="6858000" cy="3467100"/>
            <wp:effectExtent l="0" t="0" r="0" b="0"/>
            <wp:wrapTight wrapText="bothSides">
              <wp:wrapPolygon edited="0">
                <wp:start x="0" y="0"/>
                <wp:lineTo x="0" y="21481"/>
                <wp:lineTo x="21540" y="21481"/>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11122" b="16586"/>
                    <a:stretch/>
                  </pic:blipFill>
                  <pic:spPr bwMode="auto">
                    <a:xfrm>
                      <a:off x="0" y="0"/>
                      <a:ext cx="6858000" cy="3467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24E7E">
        <w:rPr>
          <w:rFonts w:ascii="Arial" w:hAnsi="Arial" w:cs="Arial"/>
          <w:i/>
          <w:iCs/>
          <w:sz w:val="20"/>
          <w:szCs w:val="20"/>
        </w:rPr>
        <w:t xml:space="preserve">Examining the Relationship Between Employees’ Perceptions of Flexible Work Arrangements and Employee Engagement in the </w:t>
      </w:r>
      <w:r>
        <w:rPr>
          <w:rFonts w:ascii="Arial" w:hAnsi="Arial" w:cs="Arial"/>
          <w:i/>
          <w:iCs/>
          <w:sz w:val="20"/>
          <w:szCs w:val="20"/>
        </w:rPr>
        <w:t>Bangladesh</w:t>
      </w:r>
      <w:r w:rsidRPr="00924E7E">
        <w:rPr>
          <w:rFonts w:ascii="Arial" w:hAnsi="Arial" w:cs="Arial"/>
          <w:i/>
          <w:iCs/>
          <w:sz w:val="20"/>
          <w:szCs w:val="20"/>
        </w:rPr>
        <w:t xml:space="preserve"> Ready-Made Garments: Evidence from </w:t>
      </w:r>
      <w:r w:rsidRPr="00924E7E">
        <w:rPr>
          <w:rFonts w:ascii="Arial" w:hAnsi="Arial" w:cs="Arial"/>
          <w:i/>
          <w:iCs/>
          <w:sz w:val="20"/>
          <w:szCs w:val="20"/>
          <w:shd w:val="clear" w:color="auto" w:fill="FFFFFF"/>
        </w:rPr>
        <w:t>Natural Group</w:t>
      </w:r>
    </w:p>
    <w:p w:rsidR="004D23A2" w:rsidRPr="00924E7E" w:rsidRDefault="004D23A2" w:rsidP="004D23A2">
      <w:pPr>
        <w:spacing w:after="200" w:line="360" w:lineRule="auto"/>
        <w:jc w:val="both"/>
        <w:rPr>
          <w:rFonts w:ascii="Arial" w:hAnsi="Arial" w:cs="Arial"/>
        </w:rPr>
      </w:pPr>
      <w:r w:rsidRPr="00924E7E">
        <w:rPr>
          <w:rFonts w:ascii="Arial" w:hAnsi="Arial" w:cs="Arial"/>
        </w:rPr>
        <w:t>Drawing on the two frameworks and the empirical evidence reviewed above, three hypotheses are proposed.</w:t>
      </w:r>
      <w:r>
        <w:rPr>
          <w:rFonts w:ascii="Arial" w:hAnsi="Arial" w:cs="Arial"/>
        </w:rPr>
        <w:t xml:space="preserve"> </w:t>
      </w:r>
    </w:p>
    <w:p w:rsidR="004D23A2" w:rsidRPr="00924E7E" w:rsidRDefault="004D23A2" w:rsidP="004D23A2">
      <w:pPr>
        <w:spacing w:after="200" w:line="276" w:lineRule="auto"/>
        <w:jc w:val="both"/>
        <w:rPr>
          <w:rFonts w:ascii="Arial" w:hAnsi="Arial" w:cs="Arial"/>
        </w:rPr>
      </w:pPr>
      <w:r w:rsidRPr="00924E7E">
        <w:rPr>
          <w:rFonts w:ascii="Arial" w:hAnsi="Arial" w:cs="Arial"/>
        </w:rPr>
        <w:t>Three hypotheses are proposed.</w:t>
      </w:r>
    </w:p>
    <w:p w:rsidR="004D23A2" w:rsidRPr="00924E7E" w:rsidRDefault="004D23A2" w:rsidP="004D23A2">
      <w:pPr>
        <w:spacing w:after="80" w:line="360" w:lineRule="auto"/>
        <w:ind w:left="360"/>
        <w:jc w:val="both"/>
        <w:rPr>
          <w:rFonts w:ascii="Arial" w:hAnsi="Arial" w:cs="Arial"/>
        </w:rPr>
      </w:pPr>
      <w:r w:rsidRPr="00924E7E">
        <w:rPr>
          <w:rFonts w:ascii="Arial" w:hAnsi="Arial" w:cs="Arial"/>
        </w:rPr>
        <w:t>H1: Perceived schedule control is positively and significantly associated with employee engagement.</w:t>
      </w:r>
    </w:p>
    <w:p w:rsidR="004D23A2" w:rsidRPr="00924E7E" w:rsidRDefault="004D23A2" w:rsidP="004D23A2">
      <w:pPr>
        <w:spacing w:after="80" w:line="360" w:lineRule="auto"/>
        <w:ind w:left="360"/>
        <w:jc w:val="both"/>
        <w:rPr>
          <w:rFonts w:ascii="Arial" w:hAnsi="Arial" w:cs="Arial"/>
        </w:rPr>
      </w:pPr>
      <w:r w:rsidRPr="00924E7E">
        <w:rPr>
          <w:rFonts w:ascii="Arial" w:hAnsi="Arial" w:cs="Arial"/>
        </w:rPr>
        <w:lastRenderedPageBreak/>
        <w:t>H2: Perceived schedule predictability is positively and significantly associated with employee engagement.</w:t>
      </w:r>
    </w:p>
    <w:p w:rsidR="004D23A2" w:rsidRPr="00924E7E" w:rsidRDefault="004D23A2" w:rsidP="004D23A2">
      <w:pPr>
        <w:spacing w:after="80" w:line="360" w:lineRule="auto"/>
        <w:ind w:left="360"/>
        <w:jc w:val="both"/>
        <w:rPr>
          <w:rFonts w:ascii="Arial" w:hAnsi="Arial" w:cs="Arial"/>
        </w:rPr>
      </w:pPr>
      <w:r w:rsidRPr="00924E7E">
        <w:rPr>
          <w:rFonts w:ascii="Arial" w:hAnsi="Arial" w:cs="Arial"/>
        </w:rPr>
        <w:t>H3: Perceived shift accommodation is positively and significantly associated with employee engagement.</w:t>
      </w:r>
    </w:p>
    <w:p w:rsidR="004D23A2" w:rsidRPr="00924E7E" w:rsidRDefault="004D23A2" w:rsidP="004D23A2">
      <w:pPr>
        <w:pStyle w:val="Heading1"/>
        <w:spacing w:line="360" w:lineRule="auto"/>
        <w:jc w:val="both"/>
        <w:rPr>
          <w:rFonts w:cs="Arial"/>
        </w:rPr>
      </w:pPr>
      <w:bookmarkStart w:id="18" w:name="_Toc235471151"/>
      <w:r w:rsidRPr="00924E7E">
        <w:rPr>
          <w:rFonts w:cs="Arial"/>
        </w:rPr>
        <w:t>3.</w:t>
      </w:r>
      <w:r>
        <w:rPr>
          <w:rFonts w:cs="Arial"/>
        </w:rPr>
        <w:t>0</w:t>
      </w:r>
      <w:r w:rsidRPr="00924E7E">
        <w:rPr>
          <w:rFonts w:cs="Arial"/>
        </w:rPr>
        <w:t xml:space="preserve"> Methodology</w:t>
      </w:r>
      <w:bookmarkEnd w:id="18"/>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methodology is organized based on the research onion (Saunders, Lewis and Thornhill, 2019), Figure </w:t>
      </w:r>
      <w:r>
        <w:rPr>
          <w:rFonts w:ascii="Arial" w:hAnsi="Arial" w:cs="Arial"/>
        </w:rPr>
        <w:t>5</w:t>
      </w:r>
      <w:r w:rsidRPr="00924E7E">
        <w:rPr>
          <w:rFonts w:ascii="Arial" w:hAnsi="Arial" w:cs="Arial"/>
        </w:rPr>
        <w:t>, which spans from the philosophy of the study to the data collection.</w:t>
      </w:r>
    </w:p>
    <w:p w:rsidR="004D23A2" w:rsidRDefault="004D23A2" w:rsidP="004D23A2">
      <w:pPr>
        <w:keepNext/>
        <w:spacing w:after="200" w:line="360" w:lineRule="auto"/>
        <w:jc w:val="both"/>
      </w:pPr>
      <w:r w:rsidRPr="00924E7E">
        <w:rPr>
          <w:rFonts w:ascii="Arial" w:hAnsi="Arial" w:cs="Arial"/>
          <w:noProof/>
          <w:lang w:val="en-GB" w:eastAsia="en-GB"/>
        </w:rPr>
        <w:drawing>
          <wp:inline distT="0" distB="0" distL="0" distR="0" wp14:anchorId="2833D9E8" wp14:editId="683B53B9">
            <wp:extent cx="5829300" cy="4133850"/>
            <wp:effectExtent l="0" t="0" r="0" b="0"/>
            <wp:docPr id="7" name="Picture 7"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esearch Onion Explained: Layers, Methodology, and Application -  getitdone experience | Academic Writing Solutions"/>
                    <pic:cNvPicPr>
                      <a:picLocks noChangeAspect="1" noChangeArrowheads="1"/>
                    </pic:cNvPicPr>
                  </pic:nvPicPr>
                  <pic:blipFill rotWithShape="1">
                    <a:blip r:embed="rId12">
                      <a:extLst>
                        <a:ext uri="{28A0092B-C50C-407E-A947-70E740481C1C}">
                          <a14:useLocalDpi xmlns:a14="http://schemas.microsoft.com/office/drawing/2010/main" val="0"/>
                        </a:ext>
                      </a:extLst>
                    </a:blip>
                    <a:srcRect l="961" t="1122" r="961" b="1525"/>
                    <a:stretch/>
                  </pic:blipFill>
                  <pic:spPr bwMode="auto">
                    <a:xfrm>
                      <a:off x="0" y="0"/>
                      <a:ext cx="5829300" cy="4133850"/>
                    </a:xfrm>
                    <a:prstGeom prst="rect">
                      <a:avLst/>
                    </a:prstGeom>
                    <a:noFill/>
                    <a:ln>
                      <a:noFill/>
                    </a:ln>
                    <a:extLst>
                      <a:ext uri="{53640926-AAD7-44D8-BBD7-CCE9431645EC}">
                        <a14:shadowObscured xmlns:a14="http://schemas.microsoft.com/office/drawing/2010/main"/>
                      </a:ext>
                    </a:extLst>
                  </pic:spPr>
                </pic:pic>
              </a:graphicData>
            </a:graphic>
          </wp:inline>
        </w:drawing>
      </w:r>
    </w:p>
    <w:p w:rsidR="004D23A2" w:rsidRPr="00924E7E" w:rsidRDefault="004D23A2" w:rsidP="004D23A2">
      <w:pPr>
        <w:pStyle w:val="Caption"/>
        <w:jc w:val="center"/>
        <w:rPr>
          <w:rFonts w:ascii="Arial" w:hAnsi="Arial" w:cs="Arial"/>
        </w:rPr>
      </w:pPr>
      <w:bookmarkStart w:id="19" w:name="_Toc235472274"/>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835D96">
        <w:t>The research onion (Saunders, Lewis and Thornhill, 2019).</w:t>
      </w:r>
      <w:bookmarkEnd w:id="19"/>
    </w:p>
    <w:p w:rsidR="004D23A2" w:rsidRPr="00924E7E" w:rsidRDefault="004D23A2" w:rsidP="004D23A2">
      <w:pPr>
        <w:pStyle w:val="Heading2"/>
        <w:jc w:val="both"/>
        <w:rPr>
          <w:rFonts w:cs="Arial"/>
        </w:rPr>
      </w:pPr>
    </w:p>
    <w:p w:rsidR="004D23A2" w:rsidRPr="00924E7E" w:rsidRDefault="004D23A2" w:rsidP="004D23A2">
      <w:pPr>
        <w:pStyle w:val="Heading2"/>
        <w:jc w:val="both"/>
        <w:rPr>
          <w:rFonts w:cs="Arial"/>
        </w:rPr>
      </w:pPr>
    </w:p>
    <w:p w:rsidR="004D23A2" w:rsidRPr="00924E7E" w:rsidRDefault="004D23A2" w:rsidP="004D23A2">
      <w:pPr>
        <w:pStyle w:val="Heading2"/>
        <w:jc w:val="both"/>
        <w:rPr>
          <w:rFonts w:cs="Arial"/>
        </w:rPr>
      </w:pPr>
    </w:p>
    <w:p w:rsidR="004D23A2" w:rsidRPr="00924E7E" w:rsidRDefault="004D23A2" w:rsidP="004D23A2">
      <w:pPr>
        <w:pStyle w:val="Heading2"/>
        <w:jc w:val="both"/>
        <w:rPr>
          <w:rFonts w:cs="Arial"/>
        </w:rPr>
      </w:pPr>
      <w:bookmarkStart w:id="20" w:name="_Toc235471152"/>
      <w:r w:rsidRPr="00924E7E">
        <w:rPr>
          <w:rFonts w:cs="Arial"/>
        </w:rPr>
        <w:lastRenderedPageBreak/>
        <w:t>3.1 Research Philosophy</w:t>
      </w:r>
      <w:bookmarkEnd w:id="20"/>
      <w:r w:rsidRPr="00924E7E">
        <w:rPr>
          <w:rFonts w:cs="Arial"/>
        </w:rPr>
        <w:t xml:space="preserve"> </w:t>
      </w:r>
    </w:p>
    <w:p w:rsidR="004D23A2" w:rsidRDefault="004D23A2" w:rsidP="004D23A2">
      <w:pPr>
        <w:spacing w:after="200" w:line="360" w:lineRule="auto"/>
        <w:jc w:val="both"/>
        <w:rPr>
          <w:rFonts w:ascii="Arial" w:hAnsi="Arial" w:cs="Arial"/>
        </w:rPr>
      </w:pPr>
      <w:r w:rsidRPr="00924E7E">
        <w:rPr>
          <w:rFonts w:ascii="Arial" w:hAnsi="Arial" w:cs="Arial"/>
        </w:rPr>
        <w:t xml:space="preserve">A positivist philosophy is suitable because the study specifies measurable constructs, and relates constructs within the study using a form of statistical hypothesis testing, treating social phenomena as observable and quantifiable (Collis and Hussey, 2014). A deductive approach is adopted because the hypotheses are formulated based on Job Demands-Resources Theory and Social Exchange Theory and flexible work literature prior to collecting the data and then tested with the collected data (Bryman and Bell, 2015). </w:t>
      </w:r>
    </w:p>
    <w:p w:rsidR="004D23A2" w:rsidRPr="00924E7E" w:rsidRDefault="004D23A2" w:rsidP="004D23A2">
      <w:pPr>
        <w:spacing w:after="200" w:line="360" w:lineRule="auto"/>
        <w:jc w:val="both"/>
        <w:rPr>
          <w:rFonts w:ascii="Arial" w:hAnsi="Arial" w:cs="Arial"/>
        </w:rPr>
      </w:pPr>
      <w:r w:rsidRPr="00924E7E">
        <w:rPr>
          <w:rFonts w:ascii="Arial" w:hAnsi="Arial" w:cs="Arial"/>
        </w:rPr>
        <w:t>This philosophical is suitable because the study aims to analyse quantitatively the relationship among the employees' perception of schedule control, schedule predictability, shift accommodation and employee engagement among employees at Natural Group Bangladesh.</w:t>
      </w:r>
    </w:p>
    <w:p w:rsidR="004D23A2" w:rsidRPr="00924E7E" w:rsidRDefault="004D23A2" w:rsidP="004D23A2">
      <w:pPr>
        <w:pStyle w:val="Heading2"/>
        <w:jc w:val="both"/>
        <w:rPr>
          <w:rFonts w:cs="Arial"/>
        </w:rPr>
      </w:pPr>
      <w:bookmarkStart w:id="21" w:name="_Toc235471153"/>
      <w:r w:rsidRPr="00924E7E">
        <w:rPr>
          <w:rFonts w:cs="Arial"/>
        </w:rPr>
        <w:t>3.2 Methodological Choice, Strategy and Time Horizon</w:t>
      </w:r>
      <w:bookmarkEnd w:id="21"/>
    </w:p>
    <w:p w:rsidR="004D23A2" w:rsidRDefault="004D23A2" w:rsidP="004D23A2">
      <w:pPr>
        <w:spacing w:after="200" w:line="360" w:lineRule="auto"/>
        <w:jc w:val="both"/>
        <w:rPr>
          <w:rFonts w:ascii="Arial" w:hAnsi="Arial" w:cs="Arial"/>
        </w:rPr>
      </w:pPr>
      <w:r w:rsidRPr="000C71DB">
        <w:rPr>
          <w:rFonts w:ascii="Arial" w:hAnsi="Arial" w:cs="Arial"/>
          <w:b/>
          <w:bCs/>
        </w:rPr>
        <w:t>Method:</w:t>
      </w:r>
      <w:r>
        <w:rPr>
          <w:rFonts w:ascii="Arial" w:hAnsi="Arial" w:cs="Arial"/>
        </w:rPr>
        <w:t xml:space="preserve"> </w:t>
      </w:r>
      <w:r w:rsidRPr="00924E7E">
        <w:rPr>
          <w:rFonts w:ascii="Arial" w:hAnsi="Arial" w:cs="Arial"/>
        </w:rPr>
        <w:t xml:space="preserve">The study uses a Primary quantitative mono-method design with an explanatory and correlational purpose. </w:t>
      </w:r>
    </w:p>
    <w:p w:rsidR="004D23A2" w:rsidRDefault="004D23A2" w:rsidP="004D23A2">
      <w:pPr>
        <w:spacing w:after="200" w:line="360" w:lineRule="auto"/>
        <w:jc w:val="both"/>
        <w:rPr>
          <w:rFonts w:ascii="Arial" w:hAnsi="Arial" w:cs="Arial"/>
        </w:rPr>
      </w:pPr>
      <w:r w:rsidRPr="000C71DB">
        <w:rPr>
          <w:rFonts w:ascii="Arial" w:hAnsi="Arial" w:cs="Arial"/>
          <w:b/>
          <w:bCs/>
        </w:rPr>
        <w:t>Strategy/Approach:</w:t>
      </w:r>
      <w:r>
        <w:rPr>
          <w:rFonts w:ascii="Arial" w:hAnsi="Arial" w:cs="Arial"/>
          <w:b/>
          <w:bCs/>
        </w:rPr>
        <w:t xml:space="preserve"> </w:t>
      </w:r>
      <w:r w:rsidRPr="00924E7E">
        <w:rPr>
          <w:rFonts w:ascii="Arial" w:hAnsi="Arial" w:cs="Arial"/>
        </w:rPr>
        <w:t xml:space="preserve">To provide the context of the organisation and facilitate the statistical analysis of the proposed relationships, the research takes a single-organisation case study approach where one of the top-level Ready-Made Garment (RMG) factories in Bangladesh is chosen as the case study organisation, the Natural Group Bangladesh (NGB) (Yin, 2018). </w:t>
      </w:r>
    </w:p>
    <w:p w:rsidR="004D23A2" w:rsidRPr="00924E7E" w:rsidRDefault="004D23A2" w:rsidP="004D23A2">
      <w:pPr>
        <w:spacing w:after="200" w:line="360" w:lineRule="auto"/>
        <w:jc w:val="both"/>
        <w:rPr>
          <w:rFonts w:ascii="Arial" w:hAnsi="Arial" w:cs="Arial"/>
        </w:rPr>
      </w:pPr>
      <w:r w:rsidRPr="000C71DB">
        <w:rPr>
          <w:rFonts w:ascii="Arial" w:hAnsi="Arial" w:cs="Arial"/>
          <w:b/>
          <w:bCs/>
        </w:rPr>
        <w:t>Time Horizon:</w:t>
      </w:r>
      <w:r>
        <w:rPr>
          <w:rFonts w:ascii="Arial" w:hAnsi="Arial" w:cs="Arial"/>
        </w:rPr>
        <w:t xml:space="preserve"> </w:t>
      </w:r>
      <w:r w:rsidRPr="00924E7E">
        <w:rPr>
          <w:rFonts w:ascii="Arial" w:hAnsi="Arial" w:cs="Arial"/>
        </w:rPr>
        <w:t>A cross-sectional time horizon is used due to the data being gathered at one single time point via an online self-administered questionnaire to eligible staff.</w:t>
      </w:r>
    </w:p>
    <w:p w:rsidR="004D23A2" w:rsidRPr="00924E7E" w:rsidRDefault="004D23A2" w:rsidP="004D23A2">
      <w:pPr>
        <w:pStyle w:val="Heading2"/>
        <w:jc w:val="both"/>
        <w:rPr>
          <w:rFonts w:cs="Arial"/>
        </w:rPr>
      </w:pPr>
      <w:bookmarkStart w:id="22" w:name="_Toc235471154"/>
      <w:r w:rsidRPr="00924E7E">
        <w:rPr>
          <w:rFonts w:cs="Arial"/>
        </w:rPr>
        <w:t>3.3 Target Population and Sampling</w:t>
      </w:r>
      <w:bookmarkEnd w:id="22"/>
    </w:p>
    <w:p w:rsidR="004D23A2" w:rsidRPr="00924E7E" w:rsidRDefault="004D23A2" w:rsidP="004D23A2">
      <w:pPr>
        <w:spacing w:after="200" w:line="360" w:lineRule="auto"/>
        <w:jc w:val="both"/>
        <w:rPr>
          <w:rFonts w:ascii="Arial" w:hAnsi="Arial" w:cs="Arial"/>
        </w:rPr>
      </w:pPr>
      <w:r w:rsidRPr="00924E7E">
        <w:rPr>
          <w:rFonts w:ascii="Arial" w:hAnsi="Arial" w:cs="Arial"/>
          <w:b/>
          <w:bCs/>
        </w:rPr>
        <w:t>The Population:</w:t>
      </w:r>
      <w:r w:rsidRPr="00924E7E">
        <w:rPr>
          <w:rFonts w:ascii="Arial" w:hAnsi="Arial" w:cs="Arial"/>
        </w:rPr>
        <w:t xml:space="preserve"> The population consists of production staff and operational staff of Natural Group Bangladesh such as Sewing Operator, Cutting Operator, Finishing Operator, Quality Inspector, Line Supervisor and Production Supervisor. Administrative, merchandising and corporate office employees are not included because their working arrangements are very different from those of factory-based production employees. Applicants should be at least 18 years old, must have a minimum of three months of </w:t>
      </w:r>
      <w:r w:rsidRPr="00924E7E">
        <w:rPr>
          <w:rFonts w:ascii="Arial" w:hAnsi="Arial" w:cs="Arial"/>
        </w:rPr>
        <w:lastRenderedPageBreak/>
        <w:t>uninterrupted employment with Natural Group Bangladesh, must have any job scheduled shift or fixed production schedule and should be able to give informed consent. Three months is deemed a reasonable period of time to allow respondents to have some experience of workplace scheduling practices and the managerial support that they receive; this is why the minimum time period has been set at three months.</w:t>
      </w:r>
    </w:p>
    <w:p w:rsidR="004D23A2" w:rsidRPr="00924E7E" w:rsidRDefault="004D23A2" w:rsidP="004D23A2">
      <w:pPr>
        <w:spacing w:after="200" w:line="360" w:lineRule="auto"/>
        <w:jc w:val="both"/>
        <w:rPr>
          <w:rFonts w:ascii="Arial" w:hAnsi="Arial" w:cs="Arial"/>
        </w:rPr>
      </w:pPr>
      <w:r w:rsidRPr="00924E7E">
        <w:rPr>
          <w:rFonts w:ascii="Arial" w:hAnsi="Arial" w:cs="Arial"/>
          <w:b/>
          <w:bCs/>
        </w:rPr>
        <w:t>Sampling:</w:t>
      </w:r>
      <w:r w:rsidRPr="00924E7E">
        <w:rPr>
          <w:rFonts w:ascii="Arial" w:hAnsi="Arial" w:cs="Arial"/>
        </w:rPr>
        <w:t xml:space="preserve"> The purposive convenience sampling will be applied as it is often used and accepted in organisational studies in which sampling frames are unavailable (Pajo, 2018). The participants will be recruited from the relevant production departments of Natural Group Bangladesh to get the workers who are working under similar production planning systems. Multiple production units in the organisation help to minimise departmental bias and are consistent with the design of the case study.</w:t>
      </w:r>
    </w:p>
    <w:p w:rsidR="004D23A2" w:rsidRPr="00924E7E" w:rsidRDefault="004D23A2" w:rsidP="004D23A2">
      <w:pPr>
        <w:spacing w:after="200" w:line="360" w:lineRule="auto"/>
        <w:jc w:val="both"/>
        <w:rPr>
          <w:rFonts w:ascii="Arial" w:hAnsi="Arial" w:cs="Arial"/>
        </w:rPr>
      </w:pPr>
      <w:r w:rsidRPr="00924E7E">
        <w:rPr>
          <w:rFonts w:ascii="Arial" w:hAnsi="Arial" w:cs="Arial"/>
          <w:b/>
          <w:bCs/>
        </w:rPr>
        <w:t>Same Size:</w:t>
      </w:r>
      <w:r w:rsidRPr="00924E7E">
        <w:rPr>
          <w:rFonts w:ascii="Arial" w:hAnsi="Arial" w:cs="Arial"/>
        </w:rPr>
        <w:t xml:space="preserve"> The study's target (50-100) survey responses are sufficient for correlation and multiple regression analysis with three predictors on the assumption of conventional power (Faul et al., 2009). </w:t>
      </w:r>
    </w:p>
    <w:p w:rsidR="004D23A2" w:rsidRPr="00924E7E" w:rsidRDefault="004D23A2" w:rsidP="004D23A2">
      <w:pPr>
        <w:pStyle w:val="Heading2"/>
        <w:rPr>
          <w:rFonts w:cs="Arial"/>
        </w:rPr>
      </w:pPr>
      <w:bookmarkStart w:id="23" w:name="_Toc235471155"/>
      <w:r w:rsidRPr="00924E7E">
        <w:rPr>
          <w:rFonts w:cs="Arial"/>
        </w:rPr>
        <w:t xml:space="preserve">3.4 </w:t>
      </w:r>
      <w:r>
        <w:rPr>
          <w:rFonts w:cs="Arial"/>
        </w:rPr>
        <w:t xml:space="preserve">Primary </w:t>
      </w:r>
      <w:r w:rsidRPr="00924E7E">
        <w:rPr>
          <w:rFonts w:cs="Arial"/>
        </w:rPr>
        <w:t>Data Collection Instrument</w:t>
      </w:r>
      <w:bookmarkEnd w:id="23"/>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data will be collected through structured self-administered online questionnaire to obtain the data from the respondents. This instrument can be filled out online which is suitable for workers in various production units and shift times across the company, and it only takes 6-8 minutes to complete anonymously. Employee engagement is measured using the validated ultra-short Utrecht Work Engagement Scale (UWES-3) which is based on the three dimensions of vigour, dedication and absorption (Schaufeli et al., 2019). The three constructs of flexibility (perceived schedule control, perceived schedule predictability and perceived shift accommodation) are rated on four adapted items on a five-point Likert scale, based on previous scheduling and flexibility research. The questionnaire was created to obtain employees' perspectives on the scheduling practices in the Bangladesh Ready-Made Garment (RMG) industry, while ensuring consistency with previously validated questionnaires. These measures are adapted and will not be fully validated, and will be content validated via a small pilot test with Natural Group employees and an expert review before being fully distributed. </w:t>
      </w:r>
    </w:p>
    <w:p w:rsidR="004D23A2" w:rsidRPr="00924E7E" w:rsidRDefault="004D23A2" w:rsidP="004D23A2">
      <w:pPr>
        <w:pStyle w:val="Heading2"/>
        <w:rPr>
          <w:rFonts w:cs="Arial"/>
        </w:rPr>
      </w:pPr>
      <w:bookmarkStart w:id="24" w:name="_Toc235471156"/>
      <w:r w:rsidRPr="00924E7E">
        <w:rPr>
          <w:rFonts w:cs="Arial"/>
        </w:rPr>
        <w:lastRenderedPageBreak/>
        <w:t>3.5 Data Analysis</w:t>
      </w:r>
      <w:bookmarkEnd w:id="24"/>
    </w:p>
    <w:p w:rsidR="004D23A2" w:rsidRPr="00924E7E" w:rsidRDefault="004D23A2" w:rsidP="004D23A2">
      <w:pPr>
        <w:spacing w:after="200" w:line="360" w:lineRule="auto"/>
        <w:jc w:val="both"/>
        <w:rPr>
          <w:rFonts w:ascii="Arial" w:hAnsi="Arial" w:cs="Arial"/>
        </w:rPr>
      </w:pPr>
      <w:r w:rsidRPr="004F7686">
        <w:rPr>
          <w:rStyle w:val="Strong"/>
          <w:rFonts w:ascii="Arial" w:hAnsi="Arial" w:cs="Arial"/>
          <w:b w:val="0"/>
          <w:bCs w:val="0"/>
        </w:rPr>
        <w:t>According to Saunders, Lewis and Thornhill (2019),</w:t>
      </w:r>
      <w:r>
        <w:t xml:space="preserve"> </w:t>
      </w:r>
      <w:r w:rsidRPr="00924E7E">
        <w:rPr>
          <w:rFonts w:ascii="Arial" w:hAnsi="Arial" w:cs="Arial"/>
        </w:rPr>
        <w:t>SPSS will be used to analyse data. Responses will be initially reviewed for missing responses, duplicate responses, ineligibility, outliers and problematic response patterns. Demographic variables will be summari</w:t>
      </w:r>
      <w:r>
        <w:rPr>
          <w:rFonts w:ascii="Arial" w:hAnsi="Arial" w:cs="Arial"/>
        </w:rPr>
        <w:t>s</w:t>
      </w:r>
      <w:r w:rsidRPr="00924E7E">
        <w:rPr>
          <w:rFonts w:ascii="Arial" w:hAnsi="Arial" w:cs="Arial"/>
        </w:rPr>
        <w:t xml:space="preserve">ed in frequencies and percentages, and study variables will be described in means and standard deviations. Cronbach’s alpha and corrected item-total correlations will assess internal consistency. Bivariate relationships will be explored using Pearson correlation and the three hypotheses will be tested and each predictor's unique contribution will be estimated using multiple linear regression. Before interpretation of </w:t>
      </w:r>
      <w:r>
        <w:rPr>
          <w:rFonts w:ascii="Arial" w:hAnsi="Arial" w:cs="Arial"/>
        </w:rPr>
        <w:t xml:space="preserve">the regression </w:t>
      </w:r>
      <w:r w:rsidRPr="00924E7E">
        <w:rPr>
          <w:rFonts w:ascii="Arial" w:hAnsi="Arial" w:cs="Arial"/>
        </w:rPr>
        <w:t>coefficients</w:t>
      </w:r>
      <w:r>
        <w:rPr>
          <w:rFonts w:ascii="Arial" w:hAnsi="Arial" w:cs="Arial"/>
        </w:rPr>
        <w:t xml:space="preserve">, </w:t>
      </w:r>
      <w:r w:rsidRPr="00924E7E">
        <w:rPr>
          <w:rFonts w:ascii="Arial" w:hAnsi="Arial" w:cs="Arial"/>
        </w:rPr>
        <w:t>assumptions</w:t>
      </w:r>
      <w:r>
        <w:rPr>
          <w:rFonts w:ascii="Arial" w:hAnsi="Arial" w:cs="Arial"/>
        </w:rPr>
        <w:t xml:space="preserve"> such as</w:t>
      </w:r>
      <w:r w:rsidRPr="00924E7E">
        <w:rPr>
          <w:rFonts w:ascii="Arial" w:hAnsi="Arial" w:cs="Arial"/>
        </w:rPr>
        <w:t xml:space="preserve"> Linear, Normality of residuals, Homoscedasticity, Independence of observations, and Multicollinearity and influential cases</w:t>
      </w:r>
      <w:r>
        <w:rPr>
          <w:rFonts w:ascii="Arial" w:hAnsi="Arial" w:cs="Arial"/>
        </w:rPr>
        <w:t xml:space="preserve"> will be assessed</w:t>
      </w:r>
      <w:r w:rsidRPr="00924E7E">
        <w:rPr>
          <w:rFonts w:ascii="Arial" w:hAnsi="Arial" w:cs="Arial"/>
        </w:rPr>
        <w:t>.</w:t>
      </w:r>
      <w:r>
        <w:rPr>
          <w:rFonts w:ascii="Arial" w:hAnsi="Arial" w:cs="Arial"/>
        </w:rPr>
        <w:t xml:space="preserve"> </w:t>
      </w:r>
      <w:r w:rsidRPr="00CC214F">
        <w:rPr>
          <w:rFonts w:ascii="Arial" w:hAnsi="Arial" w:cs="Arial"/>
        </w:rPr>
        <w:t>In quantitative research of business, these statistical procedures are suitable to investigate the relationship between variables and to test the hypothesis (Bryman and Bell 2015).</w:t>
      </w:r>
    </w:p>
    <w:p w:rsidR="004D23A2" w:rsidRPr="00924E7E" w:rsidRDefault="004D23A2" w:rsidP="004D23A2">
      <w:pPr>
        <w:spacing w:after="200" w:line="360" w:lineRule="auto"/>
        <w:jc w:val="both"/>
        <w:rPr>
          <w:rFonts w:ascii="Arial" w:hAnsi="Arial" w:cs="Arial"/>
        </w:rPr>
      </w:pPr>
      <w:r w:rsidRPr="00924E7E">
        <w:rPr>
          <w:rFonts w:ascii="Arial" w:hAnsi="Arial" w:cs="Arial"/>
        </w:rPr>
        <w:t>This approach is also suitable as it allows the analysis to identify if the perceived schedule control, perceived schedule predictability and perceived shift accommodation significantly predict employee engagement of the employees of Natural Group Bangladesh.</w:t>
      </w:r>
    </w:p>
    <w:p w:rsidR="004D23A2" w:rsidRPr="00924E7E" w:rsidRDefault="004D23A2" w:rsidP="004D23A2">
      <w:pPr>
        <w:pStyle w:val="Heading2"/>
        <w:rPr>
          <w:rFonts w:cs="Arial"/>
        </w:rPr>
      </w:pPr>
      <w:bookmarkStart w:id="25" w:name="_Toc235471157"/>
      <w:r w:rsidRPr="00924E7E">
        <w:rPr>
          <w:rFonts w:cs="Arial"/>
        </w:rPr>
        <w:t>3.6 Ethical Considerations</w:t>
      </w:r>
      <w:bookmarkEnd w:id="25"/>
    </w:p>
    <w:p w:rsidR="004D23A2" w:rsidRDefault="004D23A2" w:rsidP="004D23A2">
      <w:pPr>
        <w:spacing w:after="200" w:line="360" w:lineRule="auto"/>
        <w:jc w:val="both"/>
        <w:rPr>
          <w:rFonts w:ascii="Arial" w:hAnsi="Arial" w:cs="Arial"/>
        </w:rPr>
      </w:pPr>
      <w:r w:rsidRPr="00924E7E">
        <w:rPr>
          <w:rFonts w:ascii="Arial" w:hAnsi="Arial" w:cs="Arial"/>
        </w:rPr>
        <w:t>Prior to any data collecting, ethical approval will be gained from the University of Wales Trinity Saint David, and no primary data will be collected without approval (Polonsky and Waller, 2015). Participation will be voluntary and anonymous, informed consent will be obtained in a consent section and no information will be requested on identifying details like names, employee numbers or workplace addresses. None of the participation will impact the employment role, working conditions or employment relationships of employees, and study respondents will be informed that they may withdraw at any time without giving a reason. The data will be kept in a secure way in the University's OneDrive account, and only will be accessible for moderation to the supervisor, the programme manager and authorised staff.</w:t>
      </w:r>
    </w:p>
    <w:p w:rsidR="004D23A2" w:rsidRPr="00924E7E" w:rsidRDefault="004D23A2" w:rsidP="004D23A2">
      <w:pPr>
        <w:spacing w:after="200" w:line="360" w:lineRule="auto"/>
        <w:jc w:val="both"/>
        <w:rPr>
          <w:rFonts w:ascii="Arial" w:hAnsi="Arial" w:cs="Arial"/>
        </w:rPr>
      </w:pPr>
    </w:p>
    <w:p w:rsidR="004D23A2" w:rsidRPr="00924E7E" w:rsidRDefault="004D23A2" w:rsidP="004D23A2">
      <w:pPr>
        <w:pStyle w:val="Heading1"/>
        <w:rPr>
          <w:rFonts w:cs="Arial"/>
        </w:rPr>
      </w:pPr>
      <w:bookmarkStart w:id="26" w:name="_Toc235471158"/>
      <w:r w:rsidRPr="00924E7E">
        <w:rPr>
          <w:rFonts w:cs="Arial"/>
        </w:rPr>
        <w:lastRenderedPageBreak/>
        <w:t>4.</w:t>
      </w:r>
      <w:r>
        <w:rPr>
          <w:rFonts w:cs="Arial"/>
        </w:rPr>
        <w:t>0</w:t>
      </w:r>
      <w:r w:rsidRPr="00924E7E">
        <w:rPr>
          <w:rFonts w:cs="Arial"/>
        </w:rPr>
        <w:t xml:space="preserve"> Expected Findings</w:t>
      </w:r>
      <w:bookmarkEnd w:id="26"/>
    </w:p>
    <w:p w:rsidR="004D23A2" w:rsidRPr="00924E7E" w:rsidRDefault="004D23A2" w:rsidP="004D23A2">
      <w:pPr>
        <w:spacing w:after="200" w:line="360" w:lineRule="auto"/>
        <w:jc w:val="both"/>
        <w:rPr>
          <w:rFonts w:ascii="Arial" w:hAnsi="Arial" w:cs="Arial"/>
        </w:rPr>
      </w:pPr>
      <w:r w:rsidRPr="00924E7E">
        <w:rPr>
          <w:rFonts w:ascii="Arial" w:hAnsi="Arial" w:cs="Arial"/>
        </w:rPr>
        <w:t xml:space="preserve">The research is based on the Job Demands-Resources Model and Social Exchange Theory and hypothesize that there will be positive and significant relationships among the three dimensions of perceived flexible work arrangement and employee engagement of Natural Group Bangladesh. The perceived schedule control is expected to have a moderate positive correlation with the level of employees' engagement since increased autonomy over work schedule may also lead to heightened employee motivation and psychological ownership despite the operational limitations of the Ready-Made Garment (RMG) sector, as stated by Bal and De Lange (2015). The perceived schedule predictability is hypothesized to be positively correlated with engagement because employees' experience of regular, advanced information regarding work schedules can minimize uncertainty in the workplace and facilitate better work-life balance (Lambert et al., 2019). Likewise, shift accommodation perceived by employees is expected to show the highest positive association with employee engagement as it is the actions of the supervisor that involve employees in accommodating their needs that are expected to be reciprocated by increasing employees' engagement and commitment to the organisation (Saks, 2019). The three predictors are hypothesized to account for a sizeable amount of variance in employee engagement; however, the shared variance among the three independent variables may be controlled and then perceived shift accommodation may be the strongest predictor. The results indicated that if the relationships proposed are not strong or statistically significant, it might not indicate that formal scheduling practices alone contribute to improving employee engagement in the Bangladesh RMG industry, suggesting the need for employees' perceptions of scheduling support to be considered along with policy. </w:t>
      </w:r>
    </w:p>
    <w:p w:rsidR="004D23A2" w:rsidRPr="00924E7E" w:rsidRDefault="004D23A2" w:rsidP="004D23A2">
      <w:pPr>
        <w:pStyle w:val="Heading1"/>
        <w:rPr>
          <w:rFonts w:cs="Arial"/>
        </w:rPr>
      </w:pPr>
      <w:bookmarkStart w:id="27" w:name="_Toc235471159"/>
      <w:r w:rsidRPr="00924E7E">
        <w:rPr>
          <w:rFonts w:cs="Arial"/>
        </w:rPr>
        <w:t>5.</w:t>
      </w:r>
      <w:r>
        <w:rPr>
          <w:rFonts w:cs="Arial"/>
        </w:rPr>
        <w:t>0</w:t>
      </w:r>
      <w:r w:rsidRPr="00924E7E">
        <w:rPr>
          <w:rFonts w:cs="Arial"/>
        </w:rPr>
        <w:t xml:space="preserve"> Limitations</w:t>
      </w:r>
      <w:bookmarkEnd w:id="27"/>
    </w:p>
    <w:p w:rsidR="004D23A2" w:rsidRDefault="004D23A2" w:rsidP="004D23A2">
      <w:pPr>
        <w:spacing w:after="200" w:line="360" w:lineRule="auto"/>
        <w:jc w:val="both"/>
        <w:rPr>
          <w:rFonts w:ascii="Arial" w:hAnsi="Arial" w:cs="Arial"/>
        </w:rPr>
      </w:pPr>
      <w:r w:rsidRPr="00924E7E">
        <w:rPr>
          <w:rFonts w:ascii="Arial" w:hAnsi="Arial" w:cs="Arial"/>
        </w:rPr>
        <w:t>There are some limitations identified in this research</w:t>
      </w:r>
      <w:r>
        <w:rPr>
          <w:rFonts w:ascii="Arial" w:hAnsi="Arial" w:cs="Arial"/>
        </w:rPr>
        <w:t xml:space="preserve"> which are as follows: </w:t>
      </w:r>
    </w:p>
    <w:p w:rsidR="004D23A2" w:rsidRDefault="004D23A2" w:rsidP="004D23A2">
      <w:pPr>
        <w:spacing w:after="200" w:line="360" w:lineRule="auto"/>
        <w:jc w:val="both"/>
        <w:rPr>
          <w:rFonts w:ascii="Arial" w:hAnsi="Arial" w:cs="Arial"/>
        </w:rPr>
      </w:pPr>
      <w:r w:rsidRPr="00FA0DF3">
        <w:rPr>
          <w:rFonts w:ascii="Arial" w:hAnsi="Arial" w:cs="Arial"/>
          <w:b/>
          <w:bCs/>
        </w:rPr>
        <w:t>Firstly,</w:t>
      </w:r>
      <w:r>
        <w:rPr>
          <w:rFonts w:ascii="Arial" w:hAnsi="Arial" w:cs="Arial"/>
        </w:rPr>
        <w:t xml:space="preserve"> t</w:t>
      </w:r>
      <w:r w:rsidRPr="00924E7E">
        <w:rPr>
          <w:rFonts w:ascii="Arial" w:hAnsi="Arial" w:cs="Arial"/>
        </w:rPr>
        <w:t xml:space="preserve">he cross-sectional design makes causal inferences impossible since the relationships are only observed at one time in the measurement process. </w:t>
      </w:r>
    </w:p>
    <w:p w:rsidR="004D23A2" w:rsidRDefault="004D23A2" w:rsidP="004D23A2">
      <w:pPr>
        <w:spacing w:after="200" w:line="360" w:lineRule="auto"/>
        <w:jc w:val="both"/>
        <w:rPr>
          <w:rFonts w:ascii="Arial" w:hAnsi="Arial" w:cs="Arial"/>
        </w:rPr>
      </w:pPr>
      <w:r w:rsidRPr="00FA0DF3">
        <w:rPr>
          <w:rFonts w:ascii="Arial" w:hAnsi="Arial" w:cs="Arial"/>
          <w:b/>
          <w:bCs/>
        </w:rPr>
        <w:lastRenderedPageBreak/>
        <w:t>Secondly,</w:t>
      </w:r>
      <w:r>
        <w:rPr>
          <w:rFonts w:ascii="Arial" w:hAnsi="Arial" w:cs="Arial"/>
        </w:rPr>
        <w:t xml:space="preserve"> a</w:t>
      </w:r>
      <w:r w:rsidRPr="00924E7E">
        <w:rPr>
          <w:rFonts w:ascii="Arial" w:hAnsi="Arial" w:cs="Arial"/>
        </w:rPr>
        <w:t xml:space="preserve"> limitation of this study is that it is based on self-reported questionnaire data, which can cause common method bias and socially desirable responding. The findings of this study might not be generalizable to other Ready-Made Garment (RMG) manufacturers in Bangladesh or other manufacturing industries due to the use of purposive convenience sampling in one organisation (Natural Group Bangladesh). </w:t>
      </w:r>
    </w:p>
    <w:p w:rsidR="004D23A2" w:rsidRDefault="004D23A2" w:rsidP="004D23A2">
      <w:pPr>
        <w:spacing w:after="200" w:line="360" w:lineRule="auto"/>
        <w:jc w:val="both"/>
        <w:rPr>
          <w:rFonts w:ascii="Arial" w:hAnsi="Arial" w:cs="Arial"/>
        </w:rPr>
      </w:pPr>
      <w:r w:rsidRPr="00FA0DF3">
        <w:rPr>
          <w:rFonts w:ascii="Arial" w:hAnsi="Arial" w:cs="Arial"/>
          <w:b/>
          <w:bCs/>
        </w:rPr>
        <w:t>Thirdly,</w:t>
      </w:r>
      <w:r>
        <w:rPr>
          <w:rFonts w:ascii="Arial" w:hAnsi="Arial" w:cs="Arial"/>
        </w:rPr>
        <w:t xml:space="preserve"> </w:t>
      </w:r>
      <w:r w:rsidRPr="00924E7E">
        <w:rPr>
          <w:rFonts w:ascii="Arial" w:hAnsi="Arial" w:cs="Arial"/>
        </w:rPr>
        <w:t xml:space="preserve">the findings might apply to one garment manufacturer but not another, because there can be variations in organisational policies, management practices and production systems between the garment manufacturers in each case. </w:t>
      </w:r>
    </w:p>
    <w:p w:rsidR="004D23A2" w:rsidRDefault="004D23A2" w:rsidP="004D23A2">
      <w:pPr>
        <w:spacing w:after="200" w:line="360" w:lineRule="auto"/>
        <w:jc w:val="both"/>
        <w:rPr>
          <w:rFonts w:ascii="Arial" w:hAnsi="Arial" w:cs="Arial"/>
        </w:rPr>
      </w:pPr>
      <w:r w:rsidRPr="00FA0DF3">
        <w:rPr>
          <w:rFonts w:ascii="Arial" w:hAnsi="Arial" w:cs="Arial"/>
          <w:b/>
          <w:bCs/>
        </w:rPr>
        <w:t>Fourthly,</w:t>
      </w:r>
      <w:r>
        <w:rPr>
          <w:rFonts w:ascii="Arial" w:hAnsi="Arial" w:cs="Arial"/>
        </w:rPr>
        <w:t xml:space="preserve"> </w:t>
      </w:r>
      <w:r w:rsidRPr="00924E7E">
        <w:rPr>
          <w:rFonts w:ascii="Arial" w:hAnsi="Arial" w:cs="Arial"/>
        </w:rPr>
        <w:t xml:space="preserve">the sample size of one hundred responses is too small to support the responsible application of more sophisticated analyses of the data, such as modelling, and the study can only be analysed by correlation and multiple regression. </w:t>
      </w:r>
    </w:p>
    <w:p w:rsidR="004D23A2" w:rsidRPr="00924E7E" w:rsidRDefault="004D23A2" w:rsidP="004D23A2">
      <w:pPr>
        <w:spacing w:after="200" w:line="360" w:lineRule="auto"/>
        <w:jc w:val="both"/>
        <w:rPr>
          <w:rFonts w:ascii="Arial" w:hAnsi="Arial" w:cs="Arial"/>
        </w:rPr>
        <w:sectPr w:rsidR="004D23A2" w:rsidRPr="00924E7E" w:rsidSect="00291E6E">
          <w:footerReference w:type="default" r:id="rId1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FA0DF3">
        <w:rPr>
          <w:rFonts w:ascii="Arial" w:hAnsi="Arial" w:cs="Arial"/>
          <w:b/>
          <w:bCs/>
        </w:rPr>
        <w:t>Lastly,</w:t>
      </w:r>
      <w:r>
        <w:rPr>
          <w:rFonts w:ascii="Arial" w:hAnsi="Arial" w:cs="Arial"/>
        </w:rPr>
        <w:t xml:space="preserve"> </w:t>
      </w:r>
      <w:r w:rsidRPr="00924E7E">
        <w:rPr>
          <w:rFonts w:ascii="Arial" w:hAnsi="Arial" w:cs="Arial"/>
        </w:rPr>
        <w:t>the study only considers three perceived flexible working arrangement dimensions such as schedule control, predictability of the schedule and shift accommodation and does not refer to other organisational or personal factors which can affect levels of employee engagement.</w:t>
      </w:r>
    </w:p>
    <w:p w:rsidR="004D23A2" w:rsidRPr="00924E7E" w:rsidRDefault="004D23A2" w:rsidP="004D23A2">
      <w:pPr>
        <w:pStyle w:val="Heading1"/>
        <w:jc w:val="both"/>
        <w:rPr>
          <w:rFonts w:cs="Arial"/>
        </w:rPr>
      </w:pPr>
      <w:bookmarkStart w:id="28" w:name="_Toc235471160"/>
      <w:r w:rsidRPr="00924E7E">
        <w:rPr>
          <w:rFonts w:cs="Arial"/>
        </w:rPr>
        <w:lastRenderedPageBreak/>
        <w:t>6. Timeframe</w:t>
      </w:r>
      <w:bookmarkEnd w:id="2"/>
      <w:bookmarkEnd w:id="28"/>
    </w:p>
    <w:tbl>
      <w:tblPr>
        <w:tblW w:w="5000" w:type="pct"/>
        <w:jc w:val="center"/>
        <w:tblLook w:val="04A0" w:firstRow="1" w:lastRow="0" w:firstColumn="1" w:lastColumn="0" w:noHBand="0" w:noVBand="1"/>
      </w:tblPr>
      <w:tblGrid>
        <w:gridCol w:w="318"/>
        <w:gridCol w:w="1386"/>
        <w:gridCol w:w="507"/>
        <w:gridCol w:w="507"/>
        <w:gridCol w:w="582"/>
        <w:gridCol w:w="632"/>
        <w:gridCol w:w="632"/>
        <w:gridCol w:w="738"/>
        <w:gridCol w:w="552"/>
        <w:gridCol w:w="603"/>
        <w:gridCol w:w="603"/>
        <w:gridCol w:w="753"/>
        <w:gridCol w:w="547"/>
        <w:gridCol w:w="647"/>
        <w:gridCol w:w="647"/>
        <w:gridCol w:w="647"/>
        <w:gridCol w:w="788"/>
        <w:gridCol w:w="587"/>
        <w:gridCol w:w="637"/>
        <w:gridCol w:w="637"/>
      </w:tblGrid>
      <w:tr w:rsidR="004D23A2" w:rsidRPr="00924E7E" w:rsidTr="00A71E38">
        <w:trPr>
          <w:trHeight w:val="300"/>
          <w:jc w:val="center"/>
        </w:trPr>
        <w:tc>
          <w:tcPr>
            <w:tcW w:w="12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ID</w:t>
            </w:r>
          </w:p>
        </w:tc>
        <w:tc>
          <w:tcPr>
            <w:tcW w:w="571"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Research Activity</w:t>
            </w:r>
          </w:p>
        </w:tc>
        <w:tc>
          <w:tcPr>
            <w:tcW w:w="199"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Start</w:t>
            </w:r>
          </w:p>
        </w:tc>
        <w:tc>
          <w:tcPr>
            <w:tcW w:w="199"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End</w:t>
            </w:r>
          </w:p>
        </w:tc>
        <w:tc>
          <w:tcPr>
            <w:tcW w:w="221"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8-14 Jun</w:t>
            </w:r>
          </w:p>
        </w:tc>
        <w:tc>
          <w:tcPr>
            <w:tcW w:w="242"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15-21 Jun</w:t>
            </w:r>
          </w:p>
        </w:tc>
        <w:tc>
          <w:tcPr>
            <w:tcW w:w="242"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22-28 Jun</w:t>
            </w:r>
          </w:p>
        </w:tc>
        <w:tc>
          <w:tcPr>
            <w:tcW w:w="275"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29 Jun-5 Jul</w:t>
            </w:r>
          </w:p>
        </w:tc>
        <w:tc>
          <w:tcPr>
            <w:tcW w:w="21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6-12 Jul</w:t>
            </w:r>
          </w:p>
        </w:tc>
        <w:tc>
          <w:tcPr>
            <w:tcW w:w="23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13-19 Jul</w:t>
            </w:r>
          </w:p>
        </w:tc>
        <w:tc>
          <w:tcPr>
            <w:tcW w:w="23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20-26 Jul</w:t>
            </w:r>
          </w:p>
        </w:tc>
        <w:tc>
          <w:tcPr>
            <w:tcW w:w="283"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27 Jul-2 Aug</w:t>
            </w:r>
          </w:p>
        </w:tc>
        <w:tc>
          <w:tcPr>
            <w:tcW w:w="21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3-9 Aug</w:t>
            </w:r>
          </w:p>
        </w:tc>
        <w:tc>
          <w:tcPr>
            <w:tcW w:w="25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10-16 Aug</w:t>
            </w:r>
          </w:p>
        </w:tc>
        <w:tc>
          <w:tcPr>
            <w:tcW w:w="25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17-23 Aug</w:t>
            </w:r>
          </w:p>
        </w:tc>
        <w:tc>
          <w:tcPr>
            <w:tcW w:w="250"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24-30 Aug</w:t>
            </w:r>
          </w:p>
        </w:tc>
        <w:tc>
          <w:tcPr>
            <w:tcW w:w="299"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31 Aug-6 Sep</w:t>
            </w:r>
          </w:p>
        </w:tc>
        <w:tc>
          <w:tcPr>
            <w:tcW w:w="225"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7-13 Sep</w:t>
            </w:r>
          </w:p>
        </w:tc>
        <w:tc>
          <w:tcPr>
            <w:tcW w:w="246"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14-20 Sep</w:t>
            </w:r>
          </w:p>
        </w:tc>
        <w:tc>
          <w:tcPr>
            <w:tcW w:w="246" w:type="pct"/>
            <w:tcBorders>
              <w:top w:val="single" w:sz="4" w:space="0" w:color="auto"/>
              <w:left w:val="nil"/>
              <w:bottom w:val="single" w:sz="4" w:space="0" w:color="auto"/>
              <w:right w:val="single" w:sz="4" w:space="0" w:color="auto"/>
            </w:tcBorders>
            <w:shd w:val="clear" w:color="auto" w:fill="auto"/>
            <w:noWrap/>
            <w:vAlign w:val="bottom"/>
            <w:hideMark/>
          </w:tcPr>
          <w:p w:rsidR="004D23A2" w:rsidRPr="00CB23EF" w:rsidRDefault="004D23A2" w:rsidP="00A71E38">
            <w:pPr>
              <w:jc w:val="center"/>
              <w:rPr>
                <w:rFonts w:ascii="Arial" w:hAnsi="Arial" w:cs="Arial"/>
                <w:b/>
                <w:bCs/>
                <w:sz w:val="20"/>
                <w:szCs w:val="20"/>
              </w:rPr>
            </w:pPr>
            <w:r w:rsidRPr="00CB23EF">
              <w:rPr>
                <w:rFonts w:ascii="Arial" w:hAnsi="Arial" w:cs="Arial"/>
                <w:b/>
                <w:bCs/>
                <w:sz w:val="20"/>
                <w:szCs w:val="20"/>
              </w:rPr>
              <w:t>21-25 Sep</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1</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Literature review &amp; proposal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8-Jun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12-Jul</w:t>
            </w:r>
          </w:p>
        </w:tc>
        <w:tc>
          <w:tcPr>
            <w:tcW w:w="221"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000000" w:fill="8E44A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2</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Methodology &amp; questionnaire</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22-Jun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19-Jul</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000000" w:fill="3498DB"/>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3</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Ethics application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13-Jul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19-Jul</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000000" w:fill="27AE60"/>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4</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Ethics approval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20-Jul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26-Jul</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000000" w:fill="F39C12"/>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5</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Pilot test</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27-Jul</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2-Aug</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000000" w:fill="16A085"/>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6</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Data collection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3-Aug</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30-Aug</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000000" w:fill="E74C3C"/>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7</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Data cleaning</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31-Aug</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6-Sep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000000" w:fill="7F8C8D"/>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8</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SPSS analysis</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7-Sep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13-Sep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000000" w:fill="D35400"/>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9</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Write findings</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7-Sep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20-Sep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000000" w:fill="2E86C1"/>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2E86C1"/>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10</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Revision &amp; references</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14-Sep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23-Sep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AF7AC5"/>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AF7AC5"/>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t>11</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Formatting &amp; Turnitin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23-Sep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24-Sep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52BE80"/>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r>
      <w:tr w:rsidR="004D23A2" w:rsidRPr="00924E7E" w:rsidTr="00A71E38">
        <w:trPr>
          <w:trHeight w:val="300"/>
          <w:jc w:val="center"/>
        </w:trPr>
        <w:tc>
          <w:tcPr>
            <w:tcW w:w="124" w:type="pct"/>
            <w:tcBorders>
              <w:top w:val="nil"/>
              <w:left w:val="single" w:sz="4" w:space="0" w:color="auto"/>
              <w:bottom w:val="single" w:sz="4" w:space="0" w:color="auto"/>
              <w:right w:val="single" w:sz="4" w:space="0" w:color="auto"/>
            </w:tcBorders>
            <w:shd w:val="clear" w:color="auto" w:fill="auto"/>
            <w:noWrap/>
            <w:vAlign w:val="bottom"/>
            <w:hideMark/>
          </w:tcPr>
          <w:p w:rsidR="004D23A2" w:rsidRPr="00CB23EF" w:rsidRDefault="004D23A2" w:rsidP="00A71E38">
            <w:pPr>
              <w:jc w:val="right"/>
              <w:rPr>
                <w:rFonts w:ascii="Arial" w:hAnsi="Arial" w:cs="Arial"/>
                <w:color w:val="000000"/>
                <w:sz w:val="20"/>
                <w:szCs w:val="20"/>
              </w:rPr>
            </w:pPr>
            <w:r w:rsidRPr="00CB23EF">
              <w:rPr>
                <w:rFonts w:ascii="Arial" w:hAnsi="Arial" w:cs="Arial"/>
                <w:color w:val="000000"/>
                <w:sz w:val="20"/>
                <w:szCs w:val="20"/>
              </w:rPr>
              <w:lastRenderedPageBreak/>
              <w:t>12</w:t>
            </w:r>
          </w:p>
        </w:tc>
        <w:tc>
          <w:tcPr>
            <w:tcW w:w="57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Final submission</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25-Sep</w:t>
            </w:r>
          </w:p>
        </w:tc>
        <w:tc>
          <w:tcPr>
            <w:tcW w:w="1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25-Sep</w:t>
            </w:r>
          </w:p>
        </w:tc>
        <w:tc>
          <w:tcPr>
            <w:tcW w:w="221"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2"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7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3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83"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1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50"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99"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25"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auto" w:fill="auto"/>
            <w:noWrap/>
            <w:vAlign w:val="bottom"/>
            <w:hideMark/>
          </w:tcPr>
          <w:p w:rsidR="004D23A2" w:rsidRPr="00CB23EF" w:rsidRDefault="004D23A2" w:rsidP="00A71E38">
            <w:pPr>
              <w:rPr>
                <w:rFonts w:ascii="Arial" w:hAnsi="Arial" w:cs="Arial"/>
                <w:color w:val="000000"/>
                <w:sz w:val="20"/>
                <w:szCs w:val="20"/>
              </w:rPr>
            </w:pPr>
            <w:r w:rsidRPr="00CB23EF">
              <w:rPr>
                <w:rFonts w:ascii="Arial" w:hAnsi="Arial" w:cs="Arial"/>
                <w:color w:val="000000"/>
                <w:sz w:val="20"/>
                <w:szCs w:val="20"/>
              </w:rPr>
              <w:t> </w:t>
            </w:r>
          </w:p>
        </w:tc>
        <w:tc>
          <w:tcPr>
            <w:tcW w:w="246" w:type="pct"/>
            <w:tcBorders>
              <w:top w:val="nil"/>
              <w:left w:val="nil"/>
              <w:bottom w:val="single" w:sz="4" w:space="0" w:color="auto"/>
              <w:right w:val="single" w:sz="4" w:space="0" w:color="auto"/>
            </w:tcBorders>
            <w:shd w:val="clear" w:color="000000" w:fill="C0392B"/>
            <w:noWrap/>
            <w:vAlign w:val="bottom"/>
            <w:hideMark/>
          </w:tcPr>
          <w:p w:rsidR="004D23A2" w:rsidRPr="00CB23EF" w:rsidRDefault="004D23A2" w:rsidP="00A71E38">
            <w:pPr>
              <w:rPr>
                <w:rFonts w:ascii="Arial" w:hAnsi="Arial" w:cs="Arial"/>
                <w:color w:val="000000"/>
                <w:sz w:val="20"/>
                <w:szCs w:val="20"/>
              </w:rPr>
            </w:pPr>
            <w:r w:rsidRPr="00CB23EF">
              <w:rPr>
                <w:rFonts w:ascii="Cambria Math" w:hAnsi="Cambria Math" w:cs="Cambria Math"/>
                <w:color w:val="000000"/>
                <w:sz w:val="20"/>
                <w:szCs w:val="20"/>
              </w:rPr>
              <w:t>◆</w:t>
            </w:r>
          </w:p>
        </w:tc>
      </w:tr>
    </w:tbl>
    <w:p w:rsidR="004D23A2" w:rsidRPr="00924E7E" w:rsidRDefault="004D23A2" w:rsidP="004D23A2">
      <w:pPr>
        <w:spacing w:after="200" w:line="360" w:lineRule="auto"/>
        <w:jc w:val="both"/>
        <w:rPr>
          <w:rFonts w:ascii="Arial" w:hAnsi="Arial" w:cs="Arial"/>
        </w:rPr>
      </w:pPr>
    </w:p>
    <w:p w:rsidR="004D23A2" w:rsidRPr="00924E7E" w:rsidRDefault="004D23A2" w:rsidP="004D23A2">
      <w:pPr>
        <w:spacing w:before="200" w:after="100" w:line="360" w:lineRule="auto"/>
        <w:jc w:val="center"/>
        <w:rPr>
          <w:rFonts w:ascii="Arial" w:hAnsi="Arial" w:cs="Arial"/>
          <w:b/>
          <w:bCs/>
          <w:i/>
          <w:iCs/>
          <w:sz w:val="22"/>
          <w:szCs w:val="22"/>
        </w:rPr>
      </w:pPr>
      <w:r w:rsidRPr="00924E7E">
        <w:rPr>
          <w:rFonts w:ascii="Arial" w:hAnsi="Arial" w:cs="Arial"/>
          <w:b/>
          <w:bCs/>
          <w:i/>
          <w:iCs/>
          <w:sz w:val="22"/>
          <w:szCs w:val="22"/>
        </w:rPr>
        <w:t>Figure 5: Gantt Chart of the Dissertation Timeframe (Source: Author’s own construction)</w:t>
      </w:r>
      <w:bookmarkStart w:id="29" w:name="_Toc233717713"/>
    </w:p>
    <w:p w:rsidR="004D23A2" w:rsidRPr="004F7686" w:rsidRDefault="004D23A2" w:rsidP="004D23A2">
      <w:pPr>
        <w:spacing w:before="200" w:after="100" w:line="360" w:lineRule="auto"/>
        <w:jc w:val="both"/>
        <w:rPr>
          <w:rFonts w:ascii="Arial" w:hAnsi="Arial" w:cs="Arial"/>
        </w:rPr>
        <w:sectPr w:rsidR="004D23A2" w:rsidRPr="004F7686" w:rsidSect="00291E6E">
          <w:pgSz w:w="15840" w:h="12240" w:orient="landscape"/>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924E7E">
        <w:rPr>
          <w:rFonts w:ascii="Arial" w:hAnsi="Arial" w:cs="Arial"/>
        </w:rPr>
        <w:t>This Gantt chart shows the schedule of research for a 16-week period from 8 June to 25 September 2026. The project starts with the literature review and refinement of the research proposal (8 June – 12 July 2026), and then continues with the development of the research methodology and questionnaire (22 June – 19 July 2026). The ethics application will be submitted from 13-19 July 2026 and the ethics approval process will take place from 20-26 July 2026. After approval of the questionnaire, the questionnaire will be piloted and revised from 27 July to 2 August, 2026 prior to primary data collection from eligible employees of Natural Group Bangladesh from 3 to 30 August, 2026. Data cleaning and coding will be completed on 31 August – 6 September 2026, with statistical analysis and interpretation of the findings completed on 7 – 13 September 2026. Dissertation writing will be continued from 7 to 20 September 2026, however, the revision of the dissertation, referencing, appendices, proofreading, formatting and Turnitin similarity check will be completed between 14 and 24 September 2026. A short contingency period has been built in to the programme to allow for any unforeseen delays and to ensure all academic and administrative matters are finalised prior to the final submission of the dissertation on Friday 25th September 2026.</w:t>
      </w:r>
    </w:p>
    <w:p w:rsidR="004D23A2" w:rsidRPr="00924E7E" w:rsidRDefault="004D23A2" w:rsidP="004D23A2">
      <w:pPr>
        <w:pStyle w:val="Heading1"/>
        <w:jc w:val="both"/>
        <w:rPr>
          <w:rFonts w:cs="Arial"/>
        </w:rPr>
      </w:pPr>
    </w:p>
    <w:p w:rsidR="004D23A2" w:rsidRPr="00924E7E" w:rsidRDefault="004D23A2" w:rsidP="004D23A2">
      <w:pPr>
        <w:pStyle w:val="Heading1"/>
        <w:jc w:val="both"/>
        <w:rPr>
          <w:rFonts w:cs="Arial"/>
        </w:rPr>
      </w:pPr>
      <w:bookmarkStart w:id="30" w:name="_Toc235471161"/>
      <w:r w:rsidRPr="00924E7E">
        <w:rPr>
          <w:rFonts w:cs="Arial"/>
        </w:rPr>
        <w:t>7.</w:t>
      </w:r>
      <w:r>
        <w:rPr>
          <w:rFonts w:cs="Arial"/>
        </w:rPr>
        <w:t>0</w:t>
      </w:r>
      <w:r w:rsidRPr="00924E7E">
        <w:rPr>
          <w:rFonts w:cs="Arial"/>
        </w:rPr>
        <w:t xml:space="preserve"> Conclusion</w:t>
      </w:r>
      <w:bookmarkEnd w:id="29"/>
      <w:bookmarkEnd w:id="30"/>
    </w:p>
    <w:p w:rsidR="004D23A2" w:rsidRPr="00924E7E" w:rsidRDefault="004D23A2" w:rsidP="004D23A2">
      <w:pPr>
        <w:spacing w:after="200" w:line="360" w:lineRule="auto"/>
        <w:jc w:val="both"/>
        <w:rPr>
          <w:rFonts w:ascii="Arial" w:hAnsi="Arial" w:cs="Arial"/>
        </w:rPr>
      </w:pPr>
      <w:r w:rsidRPr="00924E7E">
        <w:rPr>
          <w:rFonts w:ascii="Arial" w:hAnsi="Arial" w:cs="Arial"/>
        </w:rPr>
        <w:t>This proposal is an in-depth study of the association between perception of flexible working arrangements and employee engagement of the Ready-Made Garment (RMG) Industry in Natural Group Bangladesh. The study follows quantitative, correlational design approach and will discuss how perceived schedule control, schedule predictability and shift accommodation affect employee engagement according to Job Demands–Resources Theory and Social Exchange Theory. The study is anticipated to add to the little evidence available on flexible working arrangements in the RMG sector in Bangladesh as well as offering practical suggestions for enhancing employee engagement and working practices at Natural Group Bangladesh. The research can also suggest research for other manufacturing companies in the future.</w:t>
      </w: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rPr>
      </w:pPr>
    </w:p>
    <w:p w:rsidR="004D23A2" w:rsidRPr="00924E7E" w:rsidRDefault="004D23A2" w:rsidP="004D23A2">
      <w:pPr>
        <w:spacing w:before="100" w:beforeAutospacing="1" w:after="100" w:afterAutospacing="1" w:line="360" w:lineRule="auto"/>
        <w:jc w:val="both"/>
        <w:outlineLvl w:val="1"/>
        <w:rPr>
          <w:rFonts w:ascii="Arial" w:hAnsi="Arial" w:cs="Arial"/>
          <w:b/>
          <w:bCs/>
          <w:lang w:eastAsia="en-GB"/>
        </w:rPr>
      </w:pPr>
    </w:p>
    <w:p w:rsidR="004D23A2" w:rsidRPr="00924E7E" w:rsidRDefault="004D23A2" w:rsidP="004D23A2">
      <w:pPr>
        <w:rPr>
          <w:rFonts w:ascii="Arial" w:hAnsi="Arial" w:cs="Arial"/>
          <w:b/>
          <w:bCs/>
          <w:color w:val="000000"/>
          <w:sz w:val="32"/>
          <w:szCs w:val="32"/>
        </w:rPr>
      </w:pPr>
      <w:bookmarkStart w:id="31" w:name="_Toc233717714"/>
      <w:r w:rsidRPr="00924E7E">
        <w:rPr>
          <w:rFonts w:ascii="Arial" w:hAnsi="Arial" w:cs="Arial"/>
        </w:rPr>
        <w:br w:type="page"/>
      </w:r>
    </w:p>
    <w:p w:rsidR="004D23A2" w:rsidRPr="00924E7E" w:rsidRDefault="004D23A2" w:rsidP="004D23A2">
      <w:pPr>
        <w:pStyle w:val="Heading1"/>
        <w:rPr>
          <w:rFonts w:cs="Arial"/>
        </w:rPr>
      </w:pPr>
      <w:bookmarkStart w:id="32" w:name="_Toc235471162"/>
      <w:r w:rsidRPr="00924E7E">
        <w:rPr>
          <w:rFonts w:cs="Arial"/>
        </w:rPr>
        <w:lastRenderedPageBreak/>
        <w:t>8.</w:t>
      </w:r>
      <w:r>
        <w:rPr>
          <w:rFonts w:cs="Arial"/>
        </w:rPr>
        <w:t>0</w:t>
      </w:r>
      <w:r w:rsidRPr="00924E7E">
        <w:rPr>
          <w:rFonts w:cs="Arial"/>
        </w:rPr>
        <w:t xml:space="preserve"> References</w:t>
      </w:r>
      <w:bookmarkEnd w:id="31"/>
      <w:bookmarkEnd w:id="32"/>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Allen, T.D., Johnson, R.C., Kiburz, K.M. and Shockley, K.M. (2013) ‘Work-family conflict and flexible work arrangements: Deconstructing flexibility’, </w:t>
      </w:r>
      <w:r w:rsidRPr="00924E7E">
        <w:rPr>
          <w:rFonts w:ascii="Arial" w:hAnsi="Arial" w:cs="Arial"/>
          <w:i/>
          <w:iCs/>
        </w:rPr>
        <w:t>Personnel Psychology</w:t>
      </w:r>
      <w:r w:rsidRPr="00924E7E">
        <w:rPr>
          <w:rFonts w:ascii="Arial" w:hAnsi="Arial" w:cs="Arial"/>
        </w:rPr>
        <w:t xml:space="preserve">, 66(2), pp. 345–376. Available at: </w:t>
      </w:r>
      <w:hyperlink r:id="rId14" w:tgtFrame="_new" w:history="1">
        <w:r w:rsidRPr="00924E7E">
          <w:rPr>
            <w:rStyle w:val="Hyperlink"/>
            <w:rFonts w:ascii="Arial" w:hAnsi="Arial" w:cs="Arial"/>
          </w:rPr>
          <w:t>https://doi.org/10.1111/peps.12012</w:t>
        </w:r>
      </w:hyperlink>
      <w:r>
        <w:rPr>
          <w:rFonts w:ascii="Arial" w:hAnsi="Arial" w:cs="Arial"/>
        </w:rPr>
        <w:t xml:space="preserve"> (Accessed: 20</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Bailey, C., Madden, A., Alfes, K. and Fletcher, L. (2017) ‘The meaning, antecedents and outcomes of employee engagement: A narrative synthesis’, </w:t>
      </w:r>
      <w:r w:rsidRPr="00924E7E">
        <w:rPr>
          <w:rFonts w:ascii="Arial" w:hAnsi="Arial" w:cs="Arial"/>
          <w:i/>
          <w:iCs/>
        </w:rPr>
        <w:t>International Journal of Management Reviews</w:t>
      </w:r>
      <w:r w:rsidRPr="00924E7E">
        <w:rPr>
          <w:rFonts w:ascii="Arial" w:hAnsi="Arial" w:cs="Arial"/>
        </w:rPr>
        <w:t xml:space="preserve">, 19(1), pp. 31–53. Available at: </w:t>
      </w:r>
      <w:hyperlink r:id="rId15" w:tgtFrame="_new" w:history="1">
        <w:r w:rsidRPr="00924E7E">
          <w:rPr>
            <w:rStyle w:val="Hyperlink"/>
            <w:rFonts w:ascii="Arial" w:hAnsi="Arial" w:cs="Arial"/>
          </w:rPr>
          <w:t>https://doi.org/10.1111/ijmr.12077</w:t>
        </w:r>
      </w:hyperlink>
      <w:r>
        <w:rPr>
          <w:rFonts w:ascii="Arial" w:hAnsi="Arial" w:cs="Arial"/>
        </w:rPr>
        <w:t xml:space="preserve"> (Accessed: 20</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Bakker, A.B. and Demerouti, E. (2017) ‘Job Demands-Resources Theory: Taking stock and looking forward’, </w:t>
      </w:r>
      <w:r w:rsidRPr="00924E7E">
        <w:rPr>
          <w:rFonts w:ascii="Arial" w:hAnsi="Arial" w:cs="Arial"/>
          <w:i/>
          <w:iCs/>
        </w:rPr>
        <w:t>Journal of Occupational Health Psychology</w:t>
      </w:r>
      <w:r w:rsidRPr="00924E7E">
        <w:rPr>
          <w:rFonts w:ascii="Arial" w:hAnsi="Arial" w:cs="Arial"/>
        </w:rPr>
        <w:t xml:space="preserve">, 22(3), pp. 273–285. Available at: </w:t>
      </w:r>
      <w:hyperlink r:id="rId16" w:tgtFrame="_new" w:history="1">
        <w:r w:rsidRPr="00924E7E">
          <w:rPr>
            <w:rStyle w:val="Hyperlink"/>
            <w:rFonts w:ascii="Arial" w:hAnsi="Arial" w:cs="Arial"/>
          </w:rPr>
          <w:t>https://doi.org/10.1037/ocp0000056</w:t>
        </w:r>
      </w:hyperlink>
      <w:r>
        <w:rPr>
          <w:rFonts w:ascii="Arial" w:hAnsi="Arial" w:cs="Arial"/>
        </w:rPr>
        <w:t xml:space="preserve"> (Accessed: 17</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Bakker, A.B., Demerouti, E. and Sanz-Vergel, A.I. (2023) ‘Job Demands-Resources Theory: Ten years later’, </w:t>
      </w:r>
      <w:r w:rsidRPr="00924E7E">
        <w:rPr>
          <w:rFonts w:ascii="Arial" w:hAnsi="Arial" w:cs="Arial"/>
          <w:i/>
          <w:iCs/>
        </w:rPr>
        <w:t>Annual Review of Organizational Psychology and Organizational Behavior</w:t>
      </w:r>
      <w:r w:rsidRPr="00924E7E">
        <w:rPr>
          <w:rFonts w:ascii="Arial" w:hAnsi="Arial" w:cs="Arial"/>
        </w:rPr>
        <w:t xml:space="preserve">, 10, pp. 25–53. Available at: </w:t>
      </w:r>
      <w:hyperlink r:id="rId17" w:tgtFrame="_new" w:history="1">
        <w:r w:rsidRPr="00924E7E">
          <w:rPr>
            <w:rStyle w:val="Hyperlink"/>
            <w:rFonts w:ascii="Arial" w:hAnsi="Arial" w:cs="Arial"/>
          </w:rPr>
          <w:t>https://doi.org/10.1146/annurev-orgpsych-120920-053933</w:t>
        </w:r>
      </w:hyperlink>
      <w:r>
        <w:rPr>
          <w:rFonts w:ascii="Arial" w:hAnsi="Arial" w:cs="Arial"/>
        </w:rPr>
        <w:t xml:space="preserve"> (Accessed: 17</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Bal, P.M. and De Lange, A.H. (2015) ‘From flexibility human resource management to employee engagement and perceived job performance across the lifespan: A multisample study’, </w:t>
      </w:r>
      <w:r w:rsidRPr="00924E7E">
        <w:rPr>
          <w:rFonts w:ascii="Arial" w:hAnsi="Arial" w:cs="Arial"/>
          <w:i/>
          <w:iCs/>
        </w:rPr>
        <w:t>Journal of Occupational and Organizational Psychology</w:t>
      </w:r>
      <w:r w:rsidRPr="00924E7E">
        <w:rPr>
          <w:rFonts w:ascii="Arial" w:hAnsi="Arial" w:cs="Arial"/>
        </w:rPr>
        <w:t xml:space="preserve">, 88(1), pp. 126–154. Available at: </w:t>
      </w:r>
      <w:hyperlink r:id="rId18" w:tgtFrame="_new" w:history="1">
        <w:r w:rsidRPr="00924E7E">
          <w:rPr>
            <w:rStyle w:val="Hyperlink"/>
            <w:rFonts w:ascii="Arial" w:hAnsi="Arial" w:cs="Arial"/>
          </w:rPr>
          <w:t>https://doi.org/10.1111/joop.12082</w:t>
        </w:r>
      </w:hyperlink>
      <w:r>
        <w:rPr>
          <w:rFonts w:ascii="Arial" w:hAnsi="Arial" w:cs="Arial"/>
        </w:rPr>
        <w:t xml:space="preserve"> (Accessed: 19</w:t>
      </w:r>
      <w:r w:rsidRPr="00924E7E">
        <w:rPr>
          <w:rFonts w:ascii="Arial" w:hAnsi="Arial" w:cs="Arial"/>
        </w:rPr>
        <w:t xml:space="preserve"> July 2026).</w:t>
      </w:r>
    </w:p>
    <w:p w:rsidR="004D23A2" w:rsidRPr="00924E7E" w:rsidRDefault="004D23A2" w:rsidP="004D23A2">
      <w:pPr>
        <w:pStyle w:val="pdq2pgselectionanchorcontainer"/>
        <w:spacing w:line="360" w:lineRule="auto"/>
        <w:ind w:left="720" w:hanging="720"/>
        <w:jc w:val="both"/>
        <w:rPr>
          <w:rFonts w:ascii="Arial" w:hAnsi="Arial" w:cs="Arial"/>
        </w:rPr>
      </w:pPr>
      <w:r w:rsidRPr="00924E7E">
        <w:rPr>
          <w:rFonts w:ascii="Arial" w:hAnsi="Arial" w:cs="Arial"/>
        </w:rPr>
        <w:t xml:space="preserve">Bangladesh Garment Manufacturers and Exporters Association (BGMEA). (2025). </w:t>
      </w:r>
      <w:r w:rsidRPr="00924E7E">
        <w:rPr>
          <w:rStyle w:val="Emphasis"/>
          <w:rFonts w:ascii="Arial" w:hAnsi="Arial" w:cs="Arial"/>
        </w:rPr>
        <w:t>About the RMG industry</w:t>
      </w:r>
      <w:r w:rsidRPr="00924E7E">
        <w:rPr>
          <w:rFonts w:ascii="Arial" w:hAnsi="Arial" w:cs="Arial"/>
        </w:rPr>
        <w:t xml:space="preserve">. </w:t>
      </w:r>
      <w:hyperlink r:id="rId19" w:tgtFrame="_new" w:history="1">
        <w:r w:rsidRPr="00924E7E">
          <w:rPr>
            <w:rStyle w:val="Hyperlink"/>
            <w:rFonts w:ascii="Arial" w:hAnsi="Arial" w:cs="Arial"/>
          </w:rPr>
          <w:t>https://bgmea.com.bd/page/AboutGarmentsIndustry</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Bryman, A. and Bell, E. (2015) </w:t>
      </w:r>
      <w:r w:rsidRPr="00924E7E">
        <w:rPr>
          <w:rFonts w:ascii="Arial" w:hAnsi="Arial" w:cs="Arial"/>
          <w:i/>
          <w:iCs/>
        </w:rPr>
        <w:t>Business Research Methods</w:t>
      </w:r>
      <w:r w:rsidRPr="00924E7E">
        <w:rPr>
          <w:rFonts w:ascii="Arial" w:hAnsi="Arial" w:cs="Arial"/>
        </w:rPr>
        <w:t>. 4th edn. Oxford: Oxford University Press.</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lastRenderedPageBreak/>
        <w:t xml:space="preserve">Chartered Institute of Personnel and Development (2024) </w:t>
      </w:r>
      <w:r w:rsidRPr="00924E7E">
        <w:rPr>
          <w:rFonts w:ascii="Arial" w:hAnsi="Arial" w:cs="Arial"/>
          <w:i/>
          <w:iCs/>
        </w:rPr>
        <w:t>Flexible working: The business case</w:t>
      </w:r>
      <w:r w:rsidRPr="00924E7E">
        <w:rPr>
          <w:rFonts w:ascii="Arial" w:hAnsi="Arial" w:cs="Arial"/>
        </w:rPr>
        <w:t xml:space="preserve">. Available at: </w:t>
      </w:r>
      <w:hyperlink r:id="rId20" w:tgtFrame="_new" w:history="1">
        <w:r w:rsidRPr="00924E7E">
          <w:rPr>
            <w:rStyle w:val="Hyperlink"/>
            <w:rFonts w:ascii="Arial" w:hAnsi="Arial" w:cs="Arial"/>
          </w:rPr>
          <w:t>https://www.cipd.org/globalassets/media/knowledge/knowledge-hub/tools/2024-pdfs/8557-flexible-working-business-case-evidence-feb24.pdf</w:t>
        </w:r>
      </w:hyperlink>
      <w:r>
        <w:rPr>
          <w:rFonts w:ascii="Arial" w:hAnsi="Arial" w:cs="Arial"/>
        </w:rPr>
        <w:t xml:space="preserve"> (Accessed: 22</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Chartered Institute of Personnel and Development (2025) </w:t>
      </w:r>
      <w:r w:rsidRPr="00924E7E">
        <w:rPr>
          <w:rFonts w:ascii="Arial" w:hAnsi="Arial" w:cs="Arial"/>
          <w:i/>
          <w:iCs/>
        </w:rPr>
        <w:t>Flexible and hybrid working practices in 2025</w:t>
      </w:r>
      <w:r w:rsidRPr="00924E7E">
        <w:rPr>
          <w:rFonts w:ascii="Arial" w:hAnsi="Arial" w:cs="Arial"/>
        </w:rPr>
        <w:t xml:space="preserve">. Available at: </w:t>
      </w:r>
      <w:hyperlink r:id="rId21" w:tgtFrame="_new" w:history="1">
        <w:r w:rsidRPr="00924E7E">
          <w:rPr>
            <w:rStyle w:val="Hyperlink"/>
            <w:rFonts w:ascii="Arial" w:hAnsi="Arial" w:cs="Arial"/>
          </w:rPr>
          <w:t>https://www.cipd.org/uk/knowledge/reports/flexible-hybrid-working/</w:t>
        </w:r>
      </w:hyperlink>
      <w:r>
        <w:rPr>
          <w:rFonts w:ascii="Arial" w:hAnsi="Arial" w:cs="Arial"/>
        </w:rPr>
        <w:t xml:space="preserve"> (Accessed: 23</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Chen, S.W. and Peng, J.C. (2021) ‘Determinants of frontline employee engagement and their influence on service performance’, </w:t>
      </w:r>
      <w:r w:rsidRPr="00924E7E">
        <w:rPr>
          <w:rFonts w:ascii="Arial" w:hAnsi="Arial" w:cs="Arial"/>
          <w:i/>
          <w:iCs/>
        </w:rPr>
        <w:t>The International Journal of Human Resource Management</w:t>
      </w:r>
      <w:r w:rsidRPr="00924E7E">
        <w:rPr>
          <w:rFonts w:ascii="Arial" w:hAnsi="Arial" w:cs="Arial"/>
        </w:rPr>
        <w:t xml:space="preserve">, 32(5), pp. 1062–1085. Available at: </w:t>
      </w:r>
      <w:hyperlink r:id="rId22" w:tgtFrame="_new" w:history="1">
        <w:r w:rsidRPr="00924E7E">
          <w:rPr>
            <w:rStyle w:val="Hyperlink"/>
            <w:rFonts w:ascii="Arial" w:hAnsi="Arial" w:cs="Arial"/>
          </w:rPr>
          <w:t>https://doi.org/10.1080/09585192.2018.1505764</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Collis, J. and Hussey, R. (2014) </w:t>
      </w:r>
      <w:r w:rsidRPr="00924E7E">
        <w:rPr>
          <w:rFonts w:ascii="Arial" w:hAnsi="Arial" w:cs="Arial"/>
          <w:i/>
          <w:iCs/>
        </w:rPr>
        <w:t>Business Research: A Practical Guide for Undergraduate and Postgraduate Students</w:t>
      </w:r>
      <w:r w:rsidRPr="00924E7E">
        <w:rPr>
          <w:rFonts w:ascii="Arial" w:hAnsi="Arial" w:cs="Arial"/>
        </w:rPr>
        <w:t>. 4th edn. Basingstoke: Palgrave Macmillan.</w:t>
      </w:r>
    </w:p>
    <w:p w:rsidR="004D23A2" w:rsidRPr="00924E7E" w:rsidRDefault="004D23A2" w:rsidP="004D23A2">
      <w:pPr>
        <w:spacing w:line="360" w:lineRule="auto"/>
        <w:ind w:left="720" w:hanging="720"/>
        <w:jc w:val="both"/>
        <w:rPr>
          <w:rFonts w:ascii="Arial" w:hAnsi="Arial" w:cs="Arial"/>
        </w:rPr>
      </w:pPr>
      <w:r w:rsidRPr="00924E7E">
        <w:rPr>
          <w:rFonts w:ascii="Arial" w:hAnsi="Arial" w:cs="Arial"/>
        </w:rPr>
        <w:t xml:space="preserve">Cropanzano, R., Anthony, E. L., Daniels, S. R., &amp; Hall, A. V. (2017). Social exchange theory: A critical review with theoretical remedies. </w:t>
      </w:r>
      <w:r w:rsidRPr="00924E7E">
        <w:rPr>
          <w:rStyle w:val="Emphasis"/>
          <w:rFonts w:ascii="Arial" w:hAnsi="Arial" w:cs="Arial"/>
        </w:rPr>
        <w:t>Academy of Management Annals, 11</w:t>
      </w:r>
      <w:r w:rsidRPr="00924E7E">
        <w:rPr>
          <w:rFonts w:ascii="Arial" w:hAnsi="Arial" w:cs="Arial"/>
        </w:rPr>
        <w:t xml:space="preserve">(1), 479–516. </w:t>
      </w:r>
      <w:hyperlink r:id="rId23" w:tgtFrame="_new" w:history="1">
        <w:r w:rsidRPr="00924E7E">
          <w:rPr>
            <w:rStyle w:val="Hyperlink"/>
            <w:rFonts w:ascii="Arial" w:hAnsi="Arial" w:cs="Arial"/>
          </w:rPr>
          <w:t>https://doi.org/10.5465/annals.2015.0099</w:t>
        </w:r>
      </w:hyperlink>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de Menezes, L.M. and Kelliher, C. (2017) ‘Flexible working, individual performance, and employee attitudes: Comparing formal and informal arrangements’, </w:t>
      </w:r>
      <w:r w:rsidRPr="00924E7E">
        <w:rPr>
          <w:rFonts w:ascii="Arial" w:hAnsi="Arial" w:cs="Arial"/>
          <w:i/>
          <w:iCs/>
        </w:rPr>
        <w:t>Human Resource Management</w:t>
      </w:r>
      <w:r w:rsidRPr="00924E7E">
        <w:rPr>
          <w:rFonts w:ascii="Arial" w:hAnsi="Arial" w:cs="Arial"/>
        </w:rPr>
        <w:t xml:space="preserve">, 56(6), pp. 1051–1070. Available at: </w:t>
      </w:r>
      <w:hyperlink r:id="rId24" w:tgtFrame="_new" w:history="1">
        <w:r w:rsidRPr="00924E7E">
          <w:rPr>
            <w:rStyle w:val="Hyperlink"/>
            <w:rFonts w:ascii="Arial" w:hAnsi="Arial" w:cs="Arial"/>
          </w:rPr>
          <w:t>https://doi.org/10.1002/hrm.21822</w:t>
        </w:r>
      </w:hyperlink>
      <w:r>
        <w:rPr>
          <w:rFonts w:ascii="Arial" w:hAnsi="Arial" w:cs="Arial"/>
        </w:rPr>
        <w:t xml:space="preserve"> (Accessed: 19</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Edeh, F.O., Zayed, N.M., Faisal-E-Alam, M., Nitsenko, V. and Bazaluk, O. (2025) ‘Flexible working arrangements on employee well-being concerning the mobile telecommunication industry’, </w:t>
      </w:r>
      <w:r w:rsidRPr="00924E7E">
        <w:rPr>
          <w:rFonts w:ascii="Arial" w:hAnsi="Arial" w:cs="Arial"/>
          <w:i/>
          <w:iCs/>
        </w:rPr>
        <w:t>The TQM Journal</w:t>
      </w:r>
      <w:r w:rsidRPr="00924E7E">
        <w:rPr>
          <w:rFonts w:ascii="Arial" w:hAnsi="Arial" w:cs="Arial"/>
        </w:rPr>
        <w:t xml:space="preserve">, 37(7), pp. 1874–1891. Available at: </w:t>
      </w:r>
      <w:hyperlink r:id="rId25" w:tgtFrame="_new" w:history="1">
        <w:r w:rsidRPr="00924E7E">
          <w:rPr>
            <w:rStyle w:val="Hyperlink"/>
            <w:rFonts w:ascii="Arial" w:hAnsi="Arial" w:cs="Arial"/>
          </w:rPr>
          <w:t>https://doi.org/10.1108/TQM-11-2023-0390</w:t>
        </w:r>
      </w:hyperlink>
      <w:r>
        <w:rPr>
          <w:rFonts w:ascii="Arial" w:hAnsi="Arial" w:cs="Arial"/>
        </w:rPr>
        <w:t xml:space="preserve"> (Accessed: 20</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Faul, F., Erdfelder, E., Buchner, A. and Lang, A.G. (2009) ‘Statistical power analyses using G*Power 3.1: Tests for correlation and regression analyses’, </w:t>
      </w:r>
      <w:r w:rsidRPr="00924E7E">
        <w:rPr>
          <w:rFonts w:ascii="Arial" w:hAnsi="Arial" w:cs="Arial"/>
          <w:i/>
          <w:iCs/>
        </w:rPr>
        <w:t xml:space="preserve">Behavior </w:t>
      </w:r>
      <w:r w:rsidRPr="00924E7E">
        <w:rPr>
          <w:rFonts w:ascii="Arial" w:hAnsi="Arial" w:cs="Arial"/>
          <w:i/>
          <w:iCs/>
        </w:rPr>
        <w:lastRenderedPageBreak/>
        <w:t>Research Methods</w:t>
      </w:r>
      <w:r w:rsidRPr="00924E7E">
        <w:rPr>
          <w:rFonts w:ascii="Arial" w:hAnsi="Arial" w:cs="Arial"/>
        </w:rPr>
        <w:t xml:space="preserve">, 41(4), pp. 1149–1160. Available at: </w:t>
      </w:r>
      <w:hyperlink r:id="rId26" w:tgtFrame="_new" w:history="1">
        <w:r w:rsidRPr="00924E7E">
          <w:rPr>
            <w:rStyle w:val="Hyperlink"/>
            <w:rFonts w:ascii="Arial" w:hAnsi="Arial" w:cs="Arial"/>
          </w:rPr>
          <w:t>https://doi.org/10.3758/BRM.41.4.1149</w:t>
        </w:r>
      </w:hyperlink>
      <w:r>
        <w:rPr>
          <w:rFonts w:ascii="Arial" w:hAnsi="Arial" w:cs="Arial"/>
        </w:rPr>
        <w:t xml:space="preserve"> (Accessed: 23</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Gašić, D. and Berber, N. (2023) ‘The mediating role of employee engagement in the relationship between flexible work arrangements and turnover intentions among highly educated employees in the Republic of Serbia’, </w:t>
      </w:r>
      <w:r w:rsidRPr="00924E7E">
        <w:rPr>
          <w:rFonts w:ascii="Arial" w:hAnsi="Arial" w:cs="Arial"/>
          <w:i/>
          <w:iCs/>
        </w:rPr>
        <w:t>Behavioral Sciences</w:t>
      </w:r>
      <w:r w:rsidRPr="00924E7E">
        <w:rPr>
          <w:rFonts w:ascii="Arial" w:hAnsi="Arial" w:cs="Arial"/>
        </w:rPr>
        <w:t xml:space="preserve">, 13(2), article 131. Available at: </w:t>
      </w:r>
      <w:hyperlink r:id="rId27" w:tgtFrame="_new" w:history="1">
        <w:r w:rsidRPr="00924E7E">
          <w:rPr>
            <w:rStyle w:val="Hyperlink"/>
            <w:rFonts w:ascii="Arial" w:hAnsi="Arial" w:cs="Arial"/>
          </w:rPr>
          <w:t>https://doi.org/10.3390/bs13020131</w:t>
        </w:r>
      </w:hyperlink>
      <w:r>
        <w:rPr>
          <w:rFonts w:ascii="Arial" w:hAnsi="Arial" w:cs="Arial"/>
        </w:rPr>
        <w:t xml:space="preserve"> (Accessed: 21</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Ghlichlee, B. and Bayat, F. (2021) ‘Frontline employees’ engagement and business performance: The mediating role of customer-oriented behaviors’, </w:t>
      </w:r>
      <w:r w:rsidRPr="00924E7E">
        <w:rPr>
          <w:rFonts w:ascii="Arial" w:hAnsi="Arial" w:cs="Arial"/>
          <w:i/>
          <w:iCs/>
        </w:rPr>
        <w:t>Management Research Review</w:t>
      </w:r>
      <w:r w:rsidRPr="00924E7E">
        <w:rPr>
          <w:rFonts w:ascii="Arial" w:hAnsi="Arial" w:cs="Arial"/>
        </w:rPr>
        <w:t xml:space="preserve">, 44(2), pp. 290–317. Available at: </w:t>
      </w:r>
      <w:hyperlink r:id="rId28" w:tgtFrame="_new" w:history="1">
        <w:r w:rsidRPr="00924E7E">
          <w:rPr>
            <w:rStyle w:val="Hyperlink"/>
            <w:rFonts w:ascii="Arial" w:hAnsi="Arial" w:cs="Arial"/>
          </w:rPr>
          <w:t>https://doi.org/10.1108/MRR-11-2019-0482</w:t>
        </w:r>
      </w:hyperlink>
      <w:r w:rsidR="00EF0DA3">
        <w:rPr>
          <w:rFonts w:ascii="Arial" w:hAnsi="Arial" w:cs="Arial"/>
        </w:rPr>
        <w:t xml:space="preserve"> (Accessed: 25</w:t>
      </w:r>
      <w:r w:rsidRPr="00924E7E">
        <w:rPr>
          <w:rFonts w:ascii="Arial" w:hAnsi="Arial" w:cs="Arial"/>
        </w:rPr>
        <w:t xml:space="preserve"> July 2026).</w:t>
      </w:r>
    </w:p>
    <w:p w:rsidR="004D23A2" w:rsidRPr="00924E7E" w:rsidRDefault="004D23A2" w:rsidP="004D23A2">
      <w:pPr>
        <w:pStyle w:val="NormalWeb"/>
        <w:spacing w:line="360" w:lineRule="auto"/>
        <w:ind w:left="720" w:hanging="720"/>
        <w:jc w:val="both"/>
        <w:rPr>
          <w:rFonts w:ascii="Arial" w:hAnsi="Arial" w:cs="Arial"/>
        </w:rPr>
      </w:pPr>
      <w:r w:rsidRPr="00924E7E">
        <w:rPr>
          <w:rFonts w:ascii="Arial" w:hAnsi="Arial" w:cs="Arial"/>
        </w:rPr>
        <w:t xml:space="preserve">International Labour Organization. (2023). </w:t>
      </w:r>
      <w:r w:rsidRPr="00924E7E">
        <w:rPr>
          <w:rStyle w:val="Emphasis"/>
          <w:rFonts w:ascii="Arial" w:hAnsi="Arial" w:cs="Arial"/>
        </w:rPr>
        <w:t>Working conditions in Bangladesh's ready-made garment sector: Recent developments and priorities</w:t>
      </w:r>
      <w:r w:rsidRPr="00924E7E">
        <w:rPr>
          <w:rFonts w:ascii="Arial" w:hAnsi="Arial" w:cs="Arial"/>
        </w:rPr>
        <w:t>. https:/</w:t>
      </w:r>
      <w:r>
        <w:rPr>
          <w:rFonts w:ascii="Arial" w:hAnsi="Arial" w:cs="Arial"/>
        </w:rPr>
        <w:t>/www.ilo.org/dhaka (Accessed: 24</w:t>
      </w:r>
      <w:r w:rsidRPr="00924E7E">
        <w:rPr>
          <w:rFonts w:ascii="Arial" w:hAnsi="Arial" w:cs="Arial"/>
        </w:rPr>
        <w:t xml:space="preserve"> July 2026).</w:t>
      </w:r>
    </w:p>
    <w:p w:rsidR="004D23A2" w:rsidRPr="00924E7E" w:rsidRDefault="004D23A2" w:rsidP="004D23A2">
      <w:pPr>
        <w:pStyle w:val="NormalWeb"/>
        <w:spacing w:line="360" w:lineRule="auto"/>
        <w:ind w:left="720" w:hanging="720"/>
        <w:jc w:val="both"/>
        <w:rPr>
          <w:rFonts w:ascii="Arial" w:hAnsi="Arial" w:cs="Arial"/>
        </w:rPr>
      </w:pPr>
      <w:r w:rsidRPr="00924E7E">
        <w:rPr>
          <w:rFonts w:ascii="Arial" w:hAnsi="Arial" w:cs="Arial"/>
        </w:rPr>
        <w:t xml:space="preserve">Islam, M. A., Jantan, A. H., Hashim, H., &amp; Chong, C. W. (2022). Employee engagement and organisational performance in labour-intensive manufacturing industries: A systematic review. </w:t>
      </w:r>
      <w:r w:rsidRPr="00924E7E">
        <w:rPr>
          <w:rStyle w:val="Emphasis"/>
          <w:rFonts w:ascii="Arial" w:hAnsi="Arial" w:cs="Arial"/>
        </w:rPr>
        <w:t>Sustainability, 14</w:t>
      </w:r>
      <w:r w:rsidRPr="00924E7E">
        <w:rPr>
          <w:rFonts w:ascii="Arial" w:hAnsi="Arial" w:cs="Arial"/>
        </w:rPr>
        <w:t>(20), 13354. https://doi.org/10.3390/su142013354</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Kesavan, S., Lambert, S.J., Williams, J.C. and Pendem, P.K. (2022) ‘Doing well by doing good: Improving retail store performance with responsible scheduling practices at the Gap, Inc.’, </w:t>
      </w:r>
      <w:r w:rsidRPr="00924E7E">
        <w:rPr>
          <w:rFonts w:ascii="Arial" w:hAnsi="Arial" w:cs="Arial"/>
          <w:i/>
          <w:iCs/>
        </w:rPr>
        <w:t>Management Science</w:t>
      </w:r>
      <w:r w:rsidRPr="00924E7E">
        <w:rPr>
          <w:rFonts w:ascii="Arial" w:hAnsi="Arial" w:cs="Arial"/>
        </w:rPr>
        <w:t xml:space="preserve">, 68(11), pp. 7818–7836. Available at: </w:t>
      </w:r>
      <w:hyperlink r:id="rId29" w:tgtFrame="_new" w:history="1">
        <w:r w:rsidRPr="00924E7E">
          <w:rPr>
            <w:rStyle w:val="Hyperlink"/>
            <w:rFonts w:ascii="Arial" w:hAnsi="Arial" w:cs="Arial"/>
          </w:rPr>
          <w:t>https://doi.org/10.1287/mnsc.2021.4291</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Kossek, E.E., Perrigino, M.B. and Lautsch, B.A. (2023) ‘Work-life flexibility policies from a boundary control and implementation perspective: A review and research framework’, </w:t>
      </w:r>
      <w:r w:rsidRPr="00924E7E">
        <w:rPr>
          <w:rFonts w:ascii="Arial" w:hAnsi="Arial" w:cs="Arial"/>
          <w:i/>
          <w:iCs/>
        </w:rPr>
        <w:t>Journal of Management</w:t>
      </w:r>
      <w:r w:rsidRPr="00924E7E">
        <w:rPr>
          <w:rFonts w:ascii="Arial" w:hAnsi="Arial" w:cs="Arial"/>
        </w:rPr>
        <w:t xml:space="preserve">, 49(6), pp. 2062–2108. Available at: </w:t>
      </w:r>
      <w:hyperlink r:id="rId30" w:tgtFrame="_new" w:history="1">
        <w:r w:rsidRPr="00924E7E">
          <w:rPr>
            <w:rStyle w:val="Hyperlink"/>
            <w:rFonts w:ascii="Arial" w:hAnsi="Arial" w:cs="Arial"/>
          </w:rPr>
          <w:t>https://doi.org/10.1177/01492063221140354</w:t>
        </w:r>
      </w:hyperlink>
      <w:r>
        <w:rPr>
          <w:rFonts w:ascii="Arial" w:hAnsi="Arial" w:cs="Arial"/>
        </w:rPr>
        <w:t xml:space="preserve"> (Accessed: 17</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Lambert, S.J., Henly, J.R., Schoeny, M. and Jarpe, M. (2019) ‘Increasing schedule predictability in hourly jobs: Results from a randomized experiment in a U.S. retail </w:t>
      </w:r>
      <w:r w:rsidRPr="00924E7E">
        <w:rPr>
          <w:rFonts w:ascii="Arial" w:hAnsi="Arial" w:cs="Arial"/>
        </w:rPr>
        <w:lastRenderedPageBreak/>
        <w:t xml:space="preserve">firm’, </w:t>
      </w:r>
      <w:r w:rsidRPr="00924E7E">
        <w:rPr>
          <w:rFonts w:ascii="Arial" w:hAnsi="Arial" w:cs="Arial"/>
          <w:i/>
          <w:iCs/>
        </w:rPr>
        <w:t>Work and Occupations</w:t>
      </w:r>
      <w:r w:rsidRPr="00924E7E">
        <w:rPr>
          <w:rFonts w:ascii="Arial" w:hAnsi="Arial" w:cs="Arial"/>
        </w:rPr>
        <w:t xml:space="preserve">, 46(2), pp. 176–226. Available at: </w:t>
      </w:r>
      <w:hyperlink r:id="rId31" w:tgtFrame="_new" w:history="1">
        <w:r w:rsidRPr="00924E7E">
          <w:rPr>
            <w:rStyle w:val="Hyperlink"/>
            <w:rFonts w:ascii="Arial" w:hAnsi="Arial" w:cs="Arial"/>
          </w:rPr>
          <w:t>https://doi.org/10.1177/0730888418823241</w:t>
        </w:r>
      </w:hyperlink>
      <w:r>
        <w:rPr>
          <w:rFonts w:ascii="Arial" w:hAnsi="Arial" w:cs="Arial"/>
        </w:rPr>
        <w:t xml:space="preserve"> (Accessed: 22</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Natural Group. (2026a). </w:t>
      </w:r>
      <w:r w:rsidRPr="00924E7E">
        <w:rPr>
          <w:rStyle w:val="Emphasis"/>
          <w:rFonts w:ascii="Arial" w:hAnsi="Arial" w:cs="Arial"/>
        </w:rPr>
        <w:t>About us</w:t>
      </w:r>
      <w:r>
        <w:rPr>
          <w:rFonts w:ascii="Arial" w:hAnsi="Arial" w:cs="Arial"/>
        </w:rPr>
        <w:t>. Retrieved July 21</w:t>
      </w:r>
      <w:r w:rsidRPr="00924E7E">
        <w:rPr>
          <w:rFonts w:ascii="Arial" w:hAnsi="Arial" w:cs="Arial"/>
        </w:rPr>
        <w:t xml:space="preserve">, 2026, from </w:t>
      </w:r>
      <w:hyperlink r:id="rId32" w:tgtFrame="_blank" w:history="1">
        <w:r w:rsidRPr="00924E7E">
          <w:rPr>
            <w:rStyle w:val="Hyperlink"/>
            <w:rFonts w:ascii="Arial" w:hAnsi="Arial" w:cs="Arial"/>
          </w:rPr>
          <w:t>https://naturalgroup.org/about-us/</w:t>
        </w:r>
      </w:hyperlink>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Natural Group. (2026b). </w:t>
      </w:r>
      <w:r w:rsidRPr="00924E7E">
        <w:rPr>
          <w:rStyle w:val="Emphasis"/>
          <w:rFonts w:ascii="Arial" w:hAnsi="Arial" w:cs="Arial"/>
        </w:rPr>
        <w:t>Production units</w:t>
      </w:r>
      <w:r w:rsidRPr="00924E7E">
        <w:rPr>
          <w:rFonts w:ascii="Arial" w:hAnsi="Arial" w:cs="Arial"/>
        </w:rPr>
        <w:t xml:space="preserve">. Retrieved July 20, 2026, from </w:t>
      </w:r>
      <w:hyperlink r:id="rId33" w:tgtFrame="_blank" w:history="1">
        <w:r w:rsidRPr="00924E7E">
          <w:rPr>
            <w:rStyle w:val="Hyperlink"/>
            <w:rFonts w:ascii="Arial" w:hAnsi="Arial" w:cs="Arial"/>
          </w:rPr>
          <w:t>https://naturalgroup.org/production-units/</w:t>
        </w:r>
      </w:hyperlink>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Pajo, B. (2017) </w:t>
      </w:r>
      <w:r w:rsidRPr="00924E7E">
        <w:rPr>
          <w:rFonts w:ascii="Arial" w:hAnsi="Arial" w:cs="Arial"/>
          <w:i/>
          <w:iCs/>
        </w:rPr>
        <w:t>Introduction to Research Methods: A Hands-On Approach</w:t>
      </w:r>
      <w:r w:rsidRPr="00924E7E">
        <w:rPr>
          <w:rFonts w:ascii="Arial" w:hAnsi="Arial" w:cs="Arial"/>
        </w:rPr>
        <w:t>. Los Angeles, CA: SAGE Publications.</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Polonsky, M.J. and Waller, D.S. (2015) </w:t>
      </w:r>
      <w:r w:rsidRPr="00924E7E">
        <w:rPr>
          <w:rFonts w:ascii="Arial" w:hAnsi="Arial" w:cs="Arial"/>
          <w:i/>
          <w:iCs/>
        </w:rPr>
        <w:t>Designing and Managing a Research Project: A Business Student’s Guide</w:t>
      </w:r>
      <w:r w:rsidRPr="00924E7E">
        <w:rPr>
          <w:rFonts w:ascii="Arial" w:hAnsi="Arial" w:cs="Arial"/>
        </w:rPr>
        <w:t>. 3rd edn. London: SAGE Publications.</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Saks, A.M. (2019) ‘Antecedents and consequences of employee engagement revisited’, </w:t>
      </w:r>
      <w:r w:rsidRPr="00924E7E">
        <w:rPr>
          <w:rFonts w:ascii="Arial" w:hAnsi="Arial" w:cs="Arial"/>
          <w:i/>
          <w:iCs/>
        </w:rPr>
        <w:t>Journal of Organizational Effectiveness: People and Performance</w:t>
      </w:r>
      <w:r w:rsidRPr="00924E7E">
        <w:rPr>
          <w:rFonts w:ascii="Arial" w:hAnsi="Arial" w:cs="Arial"/>
        </w:rPr>
        <w:t xml:space="preserve">, 6(1), pp. 19–38. Available at: </w:t>
      </w:r>
      <w:hyperlink r:id="rId34" w:tgtFrame="_new" w:history="1">
        <w:r w:rsidRPr="00924E7E">
          <w:rPr>
            <w:rStyle w:val="Hyperlink"/>
            <w:rFonts w:ascii="Arial" w:hAnsi="Arial" w:cs="Arial"/>
          </w:rPr>
          <w:t>https://doi.org/10.1108/JOEPP-06-2018-0034</w:t>
        </w:r>
      </w:hyperlink>
      <w:r>
        <w:rPr>
          <w:rFonts w:ascii="Arial" w:hAnsi="Arial" w:cs="Arial"/>
        </w:rPr>
        <w:t xml:space="preserve"> (Accessed: 18</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Saunders, M.N.K., Lewis, P. and Thornhill, A. (2019) </w:t>
      </w:r>
      <w:r w:rsidRPr="00924E7E">
        <w:rPr>
          <w:rFonts w:ascii="Arial" w:hAnsi="Arial" w:cs="Arial"/>
          <w:i/>
          <w:iCs/>
        </w:rPr>
        <w:t>Research Methods for Business Students</w:t>
      </w:r>
      <w:r w:rsidRPr="00924E7E">
        <w:rPr>
          <w:rFonts w:ascii="Arial" w:hAnsi="Arial" w:cs="Arial"/>
        </w:rPr>
        <w:t xml:space="preserve">. 8th edn. Harlow: Pearson Education. Available at: </w:t>
      </w:r>
      <w:hyperlink r:id="rId35" w:tgtFrame="_new" w:history="1">
        <w:r w:rsidRPr="00924E7E">
          <w:rPr>
            <w:rStyle w:val="Hyperlink"/>
            <w:rFonts w:ascii="Arial" w:hAnsi="Arial" w:cs="Arial"/>
          </w:rPr>
          <w:t>https://www.pearson.com/en-gb/subject-catalog/p/research-methods-for-business-students/P200000003553/9781292208787</w:t>
        </w:r>
      </w:hyperlink>
      <w:r>
        <w:rPr>
          <w:rFonts w:ascii="Arial" w:hAnsi="Arial" w:cs="Arial"/>
        </w:rPr>
        <w:t xml:space="preserve"> (Accessed: 25</w:t>
      </w:r>
      <w:r w:rsidRPr="00924E7E">
        <w:rPr>
          <w:rFonts w:ascii="Arial" w:hAnsi="Arial" w:cs="Arial"/>
        </w:rPr>
        <w:t xml:space="preserve"> June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Schaufeli, W.B., Shimazu, A., Hakanen, J.J., Salanova, M. and De Witte, H. (2019) ‘An ultra-short measure for work engagement: The UWES-3 validation across five countries’, </w:t>
      </w:r>
      <w:r w:rsidRPr="00924E7E">
        <w:rPr>
          <w:rFonts w:ascii="Arial" w:hAnsi="Arial" w:cs="Arial"/>
          <w:i/>
          <w:iCs/>
        </w:rPr>
        <w:t>European Journal of Psychological Assessment</w:t>
      </w:r>
      <w:r w:rsidRPr="00924E7E">
        <w:rPr>
          <w:rFonts w:ascii="Arial" w:hAnsi="Arial" w:cs="Arial"/>
        </w:rPr>
        <w:t xml:space="preserve">, 35(4), pp. 577–591. Available at: </w:t>
      </w:r>
      <w:hyperlink r:id="rId36" w:tgtFrame="_new" w:history="1">
        <w:r w:rsidRPr="00924E7E">
          <w:rPr>
            <w:rStyle w:val="Hyperlink"/>
            <w:rFonts w:ascii="Arial" w:hAnsi="Arial" w:cs="Arial"/>
          </w:rPr>
          <w:t>https://doi.org/10.1027/1015-5759/a000430</w:t>
        </w:r>
      </w:hyperlink>
      <w:r>
        <w:rPr>
          <w:rFonts w:ascii="Arial" w:hAnsi="Arial" w:cs="Arial"/>
        </w:rPr>
        <w:t xml:space="preserve"> (Accessed: 21</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Soga, L.R., Bolade-Ogunfodun, Y., Mariani, M., Nasr, R. and Laker, B. (2022) ‘Unmasking the other face of flexible working practices: A systematic literature review’, </w:t>
      </w:r>
      <w:r w:rsidRPr="00924E7E">
        <w:rPr>
          <w:rFonts w:ascii="Arial" w:hAnsi="Arial" w:cs="Arial"/>
          <w:i/>
          <w:iCs/>
        </w:rPr>
        <w:t>Journal of Business Research</w:t>
      </w:r>
      <w:r w:rsidRPr="00924E7E">
        <w:rPr>
          <w:rFonts w:ascii="Arial" w:hAnsi="Arial" w:cs="Arial"/>
        </w:rPr>
        <w:t xml:space="preserve">, 142, pp. 648–662. Available at: </w:t>
      </w:r>
      <w:hyperlink r:id="rId37" w:tgtFrame="_new" w:history="1">
        <w:r w:rsidRPr="00924E7E">
          <w:rPr>
            <w:rStyle w:val="Hyperlink"/>
            <w:rFonts w:ascii="Arial" w:hAnsi="Arial" w:cs="Arial"/>
          </w:rPr>
          <w:t>https://doi.org/10.1016/j.jbusres.2022.01.024</w:t>
        </w:r>
      </w:hyperlink>
      <w:r w:rsidRPr="00924E7E">
        <w:rPr>
          <w:rFonts w:ascii="Arial" w:hAnsi="Arial" w:cs="Arial"/>
        </w:rPr>
        <w:t xml:space="preserve"> (Accessed: 16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lastRenderedPageBreak/>
        <w:t xml:space="preserve">Weideman, M. and Hofmeyr, K.B. (2020) ‘The influence of flexible work arrangements on employee engagement: An exploratory study’, </w:t>
      </w:r>
      <w:r w:rsidRPr="00924E7E">
        <w:rPr>
          <w:rFonts w:ascii="Arial" w:hAnsi="Arial" w:cs="Arial"/>
          <w:i/>
          <w:iCs/>
        </w:rPr>
        <w:t>SA Journal of Human Resource Management</w:t>
      </w:r>
      <w:r w:rsidRPr="00924E7E">
        <w:rPr>
          <w:rFonts w:ascii="Arial" w:hAnsi="Arial" w:cs="Arial"/>
        </w:rPr>
        <w:t xml:space="preserve">, 18, article a1209. Available at: </w:t>
      </w:r>
      <w:hyperlink r:id="rId38" w:tgtFrame="_new" w:history="1">
        <w:r w:rsidRPr="00924E7E">
          <w:rPr>
            <w:rStyle w:val="Hyperlink"/>
            <w:rFonts w:ascii="Arial" w:hAnsi="Arial" w:cs="Arial"/>
          </w:rPr>
          <w:t>https://doi.org/10.4102/sajhrm.v18i0.1209</w:t>
        </w:r>
      </w:hyperlink>
      <w:r>
        <w:rPr>
          <w:rFonts w:ascii="Arial" w:hAnsi="Arial" w:cs="Arial"/>
        </w:rPr>
        <w:t xml:space="preserve"> (Accessed: 24</w:t>
      </w:r>
      <w:r w:rsidRPr="00924E7E">
        <w:rPr>
          <w:rFonts w:ascii="Arial" w:hAnsi="Arial" w:cs="Arial"/>
        </w:rPr>
        <w:t xml:space="preserve"> July 2026).</w:t>
      </w:r>
    </w:p>
    <w:p w:rsidR="004D23A2" w:rsidRPr="00924E7E" w:rsidRDefault="004D23A2" w:rsidP="004D23A2">
      <w:pPr>
        <w:spacing w:after="160" w:line="360" w:lineRule="auto"/>
        <w:ind w:left="720" w:hanging="720"/>
        <w:jc w:val="both"/>
        <w:rPr>
          <w:rFonts w:ascii="Arial" w:hAnsi="Arial" w:cs="Arial"/>
        </w:rPr>
      </w:pPr>
      <w:r w:rsidRPr="00924E7E">
        <w:rPr>
          <w:rFonts w:ascii="Arial" w:hAnsi="Arial" w:cs="Arial"/>
        </w:rPr>
        <w:t xml:space="preserve">Yin, R.K. (2018) </w:t>
      </w:r>
      <w:r w:rsidRPr="00924E7E">
        <w:rPr>
          <w:rFonts w:ascii="Arial" w:hAnsi="Arial" w:cs="Arial"/>
          <w:i/>
          <w:iCs/>
        </w:rPr>
        <w:t>Case Study Research and Applications: Design and Methods</w:t>
      </w:r>
      <w:r w:rsidRPr="00924E7E">
        <w:rPr>
          <w:rFonts w:ascii="Arial" w:hAnsi="Arial" w:cs="Arial"/>
        </w:rPr>
        <w:t xml:space="preserve">. 6th edn. Thousand Oaks, CA: SAGE Publications. Available at: </w:t>
      </w:r>
      <w:hyperlink r:id="rId39" w:tgtFrame="_new" w:history="1">
        <w:r w:rsidRPr="00924E7E">
          <w:rPr>
            <w:rStyle w:val="Hyperlink"/>
            <w:rFonts w:ascii="Arial" w:hAnsi="Arial" w:cs="Arial"/>
          </w:rPr>
          <w:t>https://uk.sagepub.com/en-gb/eur/case-study-research-and-applications/book250150</w:t>
        </w:r>
      </w:hyperlink>
      <w:r>
        <w:rPr>
          <w:rFonts w:ascii="Arial" w:hAnsi="Arial" w:cs="Arial"/>
        </w:rPr>
        <w:t xml:space="preserve"> (Accessed: 21 July</w:t>
      </w:r>
      <w:r w:rsidRPr="00924E7E">
        <w:rPr>
          <w:rFonts w:ascii="Arial" w:hAnsi="Arial" w:cs="Arial"/>
        </w:rPr>
        <w:t xml:space="preserve"> 2026).</w:t>
      </w:r>
    </w:p>
    <w:p w:rsidR="00AE4980" w:rsidRDefault="00AE4980"/>
    <w:sectPr w:rsidR="00AE4980" w:rsidSect="00291E6E">
      <w:pgSz w:w="12240" w:h="15840"/>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54BC" w:rsidRDefault="006D54BC">
      <w:r>
        <w:separator/>
      </w:r>
    </w:p>
  </w:endnote>
  <w:endnote w:type="continuationSeparator" w:id="0">
    <w:p w:rsidR="006D54BC" w:rsidRDefault="006D5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957" w:rsidRDefault="00EF0DA3">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956741">
      <w:rPr>
        <w:noProof/>
        <w:color w:val="5B9BD5" w:themeColor="accent1"/>
      </w:rPr>
      <w:t>2</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956741">
      <w:rPr>
        <w:noProof/>
        <w:color w:val="5B9BD5" w:themeColor="accent1"/>
      </w:rPr>
      <w:t>25</w:t>
    </w:r>
    <w:r>
      <w:rPr>
        <w:color w:val="5B9BD5" w:themeColor="accent1"/>
      </w:rPr>
      <w:fldChar w:fldCharType="end"/>
    </w:r>
  </w:p>
  <w:p w:rsidR="00C43957" w:rsidRDefault="006D5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54BC" w:rsidRDefault="006D54BC">
      <w:r>
        <w:separator/>
      </w:r>
    </w:p>
  </w:footnote>
  <w:footnote w:type="continuationSeparator" w:id="0">
    <w:p w:rsidR="006D54BC" w:rsidRDefault="006D54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3A2"/>
    <w:rsid w:val="004D23A2"/>
    <w:rsid w:val="006D54BC"/>
    <w:rsid w:val="00956741"/>
    <w:rsid w:val="00AE4980"/>
    <w:rsid w:val="00EF0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E2356"/>
  <w15:chartTrackingRefBased/>
  <w15:docId w15:val="{4AC77060-2A1A-4BF4-A1E5-8A1F7169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23A2"/>
    <w:pPr>
      <w:spacing w:after="0" w:line="240" w:lineRule="auto"/>
    </w:pPr>
    <w:rPr>
      <w:rFonts w:ascii="Times New Roman" w:eastAsia="Times New Roman" w:hAnsi="Times New Roman" w:cs="Times New Roman"/>
      <w:sz w:val="24"/>
      <w:szCs w:val="24"/>
      <w:lang w:val="en-US" w:eastAsia="zh-TW"/>
    </w:rPr>
  </w:style>
  <w:style w:type="paragraph" w:styleId="Heading1">
    <w:name w:val="heading 1"/>
    <w:link w:val="Heading1Char"/>
    <w:uiPriority w:val="9"/>
    <w:qFormat/>
    <w:rsid w:val="004D23A2"/>
    <w:pPr>
      <w:spacing w:before="240" w:after="200" w:line="240" w:lineRule="auto"/>
      <w:outlineLvl w:val="0"/>
    </w:pPr>
    <w:rPr>
      <w:rFonts w:ascii="Arial" w:eastAsia="Times New Roman" w:hAnsi="Arial" w:cs="Times New Roman"/>
      <w:b/>
      <w:bCs/>
      <w:color w:val="000000"/>
      <w:sz w:val="32"/>
      <w:szCs w:val="32"/>
      <w:lang w:val="en-US" w:eastAsia="zh-TW"/>
    </w:rPr>
  </w:style>
  <w:style w:type="paragraph" w:styleId="Heading2">
    <w:name w:val="heading 2"/>
    <w:basedOn w:val="Heading1"/>
    <w:link w:val="Heading2Char"/>
    <w:uiPriority w:val="9"/>
    <w:unhideWhenUsed/>
    <w:qFormat/>
    <w:rsid w:val="004D23A2"/>
    <w:pPr>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3A2"/>
    <w:rPr>
      <w:rFonts w:ascii="Arial" w:eastAsia="Times New Roman" w:hAnsi="Arial" w:cs="Times New Roman"/>
      <w:b/>
      <w:bCs/>
      <w:color w:val="000000"/>
      <w:sz w:val="32"/>
      <w:szCs w:val="32"/>
      <w:lang w:val="en-US" w:eastAsia="zh-TW"/>
    </w:rPr>
  </w:style>
  <w:style w:type="character" w:customStyle="1" w:styleId="Heading2Char">
    <w:name w:val="Heading 2 Char"/>
    <w:basedOn w:val="DefaultParagraphFont"/>
    <w:link w:val="Heading2"/>
    <w:uiPriority w:val="9"/>
    <w:rsid w:val="004D23A2"/>
    <w:rPr>
      <w:rFonts w:ascii="Arial" w:eastAsia="Times New Roman" w:hAnsi="Arial" w:cs="Times New Roman"/>
      <w:b/>
      <w:bCs/>
      <w:color w:val="000000"/>
      <w:sz w:val="28"/>
      <w:szCs w:val="28"/>
      <w:lang w:val="en-US" w:eastAsia="zh-TW"/>
    </w:rPr>
  </w:style>
  <w:style w:type="character" w:styleId="Hyperlink">
    <w:name w:val="Hyperlink"/>
    <w:uiPriority w:val="99"/>
    <w:unhideWhenUsed/>
    <w:rsid w:val="004D23A2"/>
    <w:rPr>
      <w:color w:val="0563C1"/>
      <w:u w:val="single"/>
    </w:rPr>
  </w:style>
  <w:style w:type="paragraph" w:styleId="Footer">
    <w:name w:val="footer"/>
    <w:basedOn w:val="Normal"/>
    <w:link w:val="FooterChar"/>
    <w:uiPriority w:val="99"/>
    <w:unhideWhenUsed/>
    <w:rsid w:val="004D23A2"/>
    <w:pPr>
      <w:tabs>
        <w:tab w:val="center" w:pos="4513"/>
        <w:tab w:val="right" w:pos="9026"/>
      </w:tabs>
    </w:pPr>
  </w:style>
  <w:style w:type="character" w:customStyle="1" w:styleId="FooterChar">
    <w:name w:val="Footer Char"/>
    <w:basedOn w:val="DefaultParagraphFont"/>
    <w:link w:val="Footer"/>
    <w:uiPriority w:val="99"/>
    <w:rsid w:val="004D23A2"/>
    <w:rPr>
      <w:rFonts w:ascii="Times New Roman" w:eastAsia="Times New Roman" w:hAnsi="Times New Roman" w:cs="Times New Roman"/>
      <w:sz w:val="24"/>
      <w:szCs w:val="24"/>
      <w:lang w:val="en-US" w:eastAsia="zh-TW"/>
    </w:rPr>
  </w:style>
  <w:style w:type="paragraph" w:styleId="TOC1">
    <w:name w:val="toc 1"/>
    <w:basedOn w:val="Normal"/>
    <w:next w:val="Normal"/>
    <w:autoRedefine/>
    <w:uiPriority w:val="39"/>
    <w:unhideWhenUsed/>
    <w:rsid w:val="004D23A2"/>
    <w:pPr>
      <w:tabs>
        <w:tab w:val="right" w:leader="dot" w:pos="9496"/>
      </w:tabs>
      <w:spacing w:after="100" w:line="360" w:lineRule="auto"/>
    </w:pPr>
    <w:rPr>
      <w:b/>
      <w:bCs/>
      <w:noProof/>
      <w:lang w:val="en-GB"/>
    </w:rPr>
  </w:style>
  <w:style w:type="paragraph" w:styleId="TOC2">
    <w:name w:val="toc 2"/>
    <w:basedOn w:val="Normal"/>
    <w:next w:val="Normal"/>
    <w:autoRedefine/>
    <w:uiPriority w:val="39"/>
    <w:unhideWhenUsed/>
    <w:rsid w:val="004D23A2"/>
    <w:pPr>
      <w:spacing w:after="100"/>
      <w:ind w:left="240"/>
    </w:pPr>
    <w:rPr>
      <w:lang w:val="en-GB"/>
    </w:rPr>
  </w:style>
  <w:style w:type="character" w:styleId="Strong">
    <w:name w:val="Strong"/>
    <w:basedOn w:val="DefaultParagraphFont"/>
    <w:uiPriority w:val="22"/>
    <w:qFormat/>
    <w:rsid w:val="004D23A2"/>
    <w:rPr>
      <w:b/>
      <w:bCs/>
    </w:rPr>
  </w:style>
  <w:style w:type="character" w:styleId="Emphasis">
    <w:name w:val="Emphasis"/>
    <w:basedOn w:val="DefaultParagraphFont"/>
    <w:uiPriority w:val="20"/>
    <w:qFormat/>
    <w:rsid w:val="004D23A2"/>
    <w:rPr>
      <w:i/>
      <w:iCs/>
    </w:rPr>
  </w:style>
  <w:style w:type="paragraph" w:styleId="TOCHeading">
    <w:name w:val="TOC Heading"/>
    <w:basedOn w:val="Heading1"/>
    <w:next w:val="Normal"/>
    <w:uiPriority w:val="39"/>
    <w:unhideWhenUsed/>
    <w:qFormat/>
    <w:rsid w:val="004D23A2"/>
    <w:pPr>
      <w:keepNext/>
      <w:keepLines/>
      <w:spacing w:after="0" w:line="259" w:lineRule="auto"/>
      <w:outlineLvl w:val="9"/>
    </w:pPr>
    <w:rPr>
      <w:rFonts w:asciiTheme="majorHAnsi" w:eastAsiaTheme="majorEastAsia" w:hAnsiTheme="majorHAnsi" w:cstheme="majorBidi"/>
      <w:b w:val="0"/>
      <w:bCs w:val="0"/>
      <w:color w:val="2E74B5" w:themeColor="accent1" w:themeShade="BF"/>
      <w:lang w:eastAsia="en-US"/>
    </w:rPr>
  </w:style>
  <w:style w:type="paragraph" w:customStyle="1" w:styleId="pdq2pgselectionanchorcontainer">
    <w:name w:val="pdq2pg_selectionanchorcontainer"/>
    <w:basedOn w:val="Normal"/>
    <w:rsid w:val="004D23A2"/>
    <w:pPr>
      <w:spacing w:before="100" w:beforeAutospacing="1" w:after="100" w:afterAutospacing="1"/>
    </w:pPr>
    <w:rPr>
      <w:lang w:eastAsia="en-US"/>
    </w:rPr>
  </w:style>
  <w:style w:type="paragraph" w:styleId="NormalWeb">
    <w:name w:val="Normal (Web)"/>
    <w:basedOn w:val="Normal"/>
    <w:uiPriority w:val="99"/>
    <w:unhideWhenUsed/>
    <w:rsid w:val="004D23A2"/>
    <w:pPr>
      <w:spacing w:before="100" w:beforeAutospacing="1" w:after="100" w:afterAutospacing="1"/>
    </w:pPr>
    <w:rPr>
      <w:lang w:eastAsia="en-US"/>
    </w:rPr>
  </w:style>
  <w:style w:type="paragraph" w:styleId="NoSpacing">
    <w:name w:val="No Spacing"/>
    <w:uiPriority w:val="1"/>
    <w:qFormat/>
    <w:rsid w:val="004D23A2"/>
    <w:pPr>
      <w:spacing w:after="0" w:line="240" w:lineRule="auto"/>
    </w:pPr>
    <w:rPr>
      <w:rFonts w:ascii="Times New Roman" w:eastAsia="Times New Roman" w:hAnsi="Times New Roman" w:cs="Times New Roman"/>
      <w:sz w:val="24"/>
      <w:szCs w:val="24"/>
      <w:lang w:val="en-US" w:eastAsia="zh-TW"/>
    </w:rPr>
  </w:style>
  <w:style w:type="paragraph" w:styleId="Caption">
    <w:name w:val="caption"/>
    <w:basedOn w:val="Normal"/>
    <w:next w:val="Normal"/>
    <w:uiPriority w:val="35"/>
    <w:unhideWhenUsed/>
    <w:qFormat/>
    <w:rsid w:val="004D23A2"/>
    <w:pPr>
      <w:spacing w:after="200"/>
    </w:pPr>
    <w:rPr>
      <w:i/>
      <w:iCs/>
      <w:color w:val="44546A" w:themeColor="text2"/>
      <w:sz w:val="18"/>
      <w:szCs w:val="18"/>
    </w:rPr>
  </w:style>
  <w:style w:type="paragraph" w:styleId="TableofFigures">
    <w:name w:val="table of figures"/>
    <w:basedOn w:val="Normal"/>
    <w:next w:val="Normal"/>
    <w:uiPriority w:val="99"/>
    <w:unhideWhenUsed/>
    <w:rsid w:val="004D23A2"/>
    <w:pPr>
      <w:ind w:left="480" w:hanging="480"/>
    </w:pPr>
    <w:rPr>
      <w:rFonts w:asciiTheme="minorHAnsi" w:hAnsi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1111/joop.12082" TargetMode="External"/><Relationship Id="rId26" Type="http://schemas.openxmlformats.org/officeDocument/2006/relationships/hyperlink" Target="https://doi.org/10.3758/BRM.41.4.1149" TargetMode="External"/><Relationship Id="rId39" Type="http://schemas.openxmlformats.org/officeDocument/2006/relationships/hyperlink" Target="https://uk.sagepub.com/en-gb/eur/case-study-research-and-applications/book250150?utm_source=chatgpt.com" TargetMode="External"/><Relationship Id="rId21" Type="http://schemas.openxmlformats.org/officeDocument/2006/relationships/hyperlink" Target="https://www.cipd.org/uk/knowledge/reports/flexible-hybrid-working/?utm_source=chatgpt.com" TargetMode="External"/><Relationship Id="rId34" Type="http://schemas.openxmlformats.org/officeDocument/2006/relationships/hyperlink" Target="https://doi.org/10.1108/JOEPP-06-2018-0034" TargetMode="External"/><Relationship Id="rId7" Type="http://schemas.openxmlformats.org/officeDocument/2006/relationships/hyperlink" Target="file:///C:\Users\DFIT\Downloads\Md%20Moinul%20Hasan%20Bappy_MBA%20dissertation%20proposal.docx" TargetMode="External"/><Relationship Id="rId2" Type="http://schemas.openxmlformats.org/officeDocument/2006/relationships/settings" Target="settings.xml"/><Relationship Id="rId16" Type="http://schemas.openxmlformats.org/officeDocument/2006/relationships/hyperlink" Target="https://doi.org/10.1037/ocp0000056" TargetMode="External"/><Relationship Id="rId20" Type="http://schemas.openxmlformats.org/officeDocument/2006/relationships/hyperlink" Target="https://www.cipd.org/globalassets/media/knowledge/knowledge-hub/tools/2024-pdfs/8557-flexible-working-business-case-evidence-feb24.pdf?utm_source=chatgpt.com" TargetMode="External"/><Relationship Id="rId29" Type="http://schemas.openxmlformats.org/officeDocument/2006/relationships/hyperlink" Target="https://doi.org/10.1287/mnsc.2021.4291"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doi.org/10.1002/hrm.21822" TargetMode="External"/><Relationship Id="rId32" Type="http://schemas.openxmlformats.org/officeDocument/2006/relationships/hyperlink" Target="https://naturalgroup.org/about-us/?utm_source=chatgpt.com" TargetMode="External"/><Relationship Id="rId37" Type="http://schemas.openxmlformats.org/officeDocument/2006/relationships/hyperlink" Target="https://doi.org/10.1016/j.jbusres.2022.01.024"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111/ijmr.12077" TargetMode="External"/><Relationship Id="rId23" Type="http://schemas.openxmlformats.org/officeDocument/2006/relationships/hyperlink" Target="https://doi.org/10.5465/annals.2015.0099" TargetMode="External"/><Relationship Id="rId28" Type="http://schemas.openxmlformats.org/officeDocument/2006/relationships/hyperlink" Target="https://doi.org/10.1108/MRR-11-2019-0482" TargetMode="External"/><Relationship Id="rId36" Type="http://schemas.openxmlformats.org/officeDocument/2006/relationships/hyperlink" Target="https://doi.org/10.1027/1015-5759/a000430" TargetMode="External"/><Relationship Id="rId10" Type="http://schemas.openxmlformats.org/officeDocument/2006/relationships/image" Target="media/image4.png"/><Relationship Id="rId19" Type="http://schemas.openxmlformats.org/officeDocument/2006/relationships/hyperlink" Target="https://bgmea.com.bd/page/AboutGarmentsIndustry" TargetMode="External"/><Relationship Id="rId31" Type="http://schemas.openxmlformats.org/officeDocument/2006/relationships/hyperlink" Target="https://doi.org/10.1177/0730888418823241"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doi.org/10.1111/peps.12012" TargetMode="External"/><Relationship Id="rId22" Type="http://schemas.openxmlformats.org/officeDocument/2006/relationships/hyperlink" Target="https://doi.org/10.1080/09585192.2018.1505764" TargetMode="External"/><Relationship Id="rId27" Type="http://schemas.openxmlformats.org/officeDocument/2006/relationships/hyperlink" Target="https://doi.org/10.3390/bs13020131" TargetMode="External"/><Relationship Id="rId30" Type="http://schemas.openxmlformats.org/officeDocument/2006/relationships/hyperlink" Target="https://doi.org/10.1177/01492063221140354" TargetMode="External"/><Relationship Id="rId35" Type="http://schemas.openxmlformats.org/officeDocument/2006/relationships/hyperlink" Target="https://www.pearson.com/en-gb/subject-catalog/p/research-methods-for-business-students/P200000003553/9781292208787" TargetMode="Externa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hyperlink" Target="https://doi.org/10.1146/annurev-orgpsych-120920-053933" TargetMode="External"/><Relationship Id="rId25" Type="http://schemas.openxmlformats.org/officeDocument/2006/relationships/hyperlink" Target="https://doi.org/10.1108/TQM-11-2023-0390?utm_source=chatgpt.com" TargetMode="External"/><Relationship Id="rId33" Type="http://schemas.openxmlformats.org/officeDocument/2006/relationships/hyperlink" Target="https://naturalgroup.org/production-units/?utm_source=chatgpt.com" TargetMode="External"/><Relationship Id="rId38" Type="http://schemas.openxmlformats.org/officeDocument/2006/relationships/hyperlink" Target="https://doi.org/10.4102/sajhrm.v18i0.1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25</Pages>
  <Words>5882</Words>
  <Characters>33528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moinul</dc:creator>
  <cp:keywords/>
  <dc:description/>
  <cp:lastModifiedBy>moinul</cp:lastModifiedBy>
  <cp:revision>3</cp:revision>
  <dcterms:created xsi:type="dcterms:W3CDTF">2026-07-25T13:37:00Z</dcterms:created>
  <dcterms:modified xsi:type="dcterms:W3CDTF">2026-07-25T13:55:00Z</dcterms:modified>
</cp:coreProperties>
</file>