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jc w:val="center"/>
        <w:rPr>
          <w:b w:val="1"/>
          <w:bCs w:val="1"/>
          <w:sz w:val="28"/>
          <w:szCs w:val="28"/>
        </w:rPr>
      </w:pPr>
      <w:r>
        <w:drawing xmlns:a="http://schemas.openxmlformats.org/drawingml/2006/main">
          <wp:inline distT="0" distB="0" distL="0" distR="0">
            <wp:extent cx="1504950" cy="666750"/>
            <wp:effectExtent l="0" t="0" r="0" b="0"/>
            <wp:docPr id="1073741825" name="officeArt object" descr="C:\Users\DIPAYA~1\AppData\Local\Temp\ksohtml3976\wps2.jpg"/>
            <wp:cNvGraphicFramePr/>
            <a:graphic xmlns:a="http://schemas.openxmlformats.org/drawingml/2006/main">
              <a:graphicData uri="http://schemas.openxmlformats.org/drawingml/2006/picture">
                <pic:pic xmlns:pic="http://schemas.openxmlformats.org/drawingml/2006/picture">
                  <pic:nvPicPr>
                    <pic:cNvPr id="1073741825" name="C:\Users\DIPAYA~1\AppData\Local\Temp\ksohtml3976\wps2.jpg" descr="C:\Users\DIPAYA~1\AppData\Local\Temp\ksohtml3976\wps2.jpg"/>
                    <pic:cNvPicPr>
                      <a:picLocks noChangeAspect="1"/>
                    </pic:cNvPicPr>
                  </pic:nvPicPr>
                  <pic:blipFill>
                    <a:blip r:embed="rId4">
                      <a:extLst/>
                    </a:blip>
                    <a:stretch>
                      <a:fillRect/>
                    </a:stretch>
                  </pic:blipFill>
                  <pic:spPr>
                    <a:xfrm>
                      <a:off x="0" y="0"/>
                      <a:ext cx="1504950" cy="666750"/>
                    </a:xfrm>
                    <a:prstGeom prst="rect">
                      <a:avLst/>
                    </a:prstGeom>
                    <a:ln w="12700" cap="flat">
                      <a:noFill/>
                      <a:miter lim="400000"/>
                    </a:ln>
                    <a:effectLst/>
                  </pic:spPr>
                </pic:pic>
              </a:graphicData>
            </a:graphic>
          </wp:inline>
        </w:drawing>
      </w:r>
    </w:p>
    <w:p>
      <w:pPr>
        <w:pStyle w:val="Body"/>
        <w:spacing w:before="240" w:after="240"/>
        <w:jc w:val="center"/>
        <w:rPr>
          <w:b w:val="1"/>
          <w:bCs w:val="1"/>
          <w:sz w:val="26"/>
          <w:szCs w:val="26"/>
        </w:rPr>
      </w:pPr>
      <w:r>
        <w:rPr>
          <w:b w:val="1"/>
          <w:bCs w:val="1"/>
          <w:sz w:val="26"/>
          <w:szCs w:val="26"/>
          <w:rtl w:val="0"/>
          <w:lang w:val="en-US"/>
        </w:rPr>
        <w:t>Programme:MSc Public Health and Social Care in Practice</w:t>
      </w:r>
    </w:p>
    <w:p>
      <w:pPr>
        <w:pStyle w:val="Body"/>
        <w:spacing w:before="240" w:after="240"/>
        <w:jc w:val="center"/>
        <w:rPr>
          <w:b w:val="1"/>
          <w:bCs w:val="1"/>
          <w:sz w:val="26"/>
          <w:szCs w:val="26"/>
        </w:rPr>
      </w:pPr>
      <w:r>
        <w:rPr>
          <w:b w:val="1"/>
          <w:bCs w:val="1"/>
          <w:sz w:val="26"/>
          <w:szCs w:val="26"/>
          <w:rtl w:val="0"/>
          <w:lang w:val="en-US"/>
        </w:rPr>
        <w:t>Module: Quality Assurance and Service Improvements</w:t>
      </w:r>
    </w:p>
    <w:p>
      <w:pPr>
        <w:pStyle w:val="Body"/>
        <w:spacing w:before="240" w:after="240"/>
        <w:jc w:val="center"/>
        <w:rPr>
          <w:b w:val="1"/>
          <w:bCs w:val="1"/>
          <w:sz w:val="26"/>
          <w:szCs w:val="26"/>
        </w:rPr>
      </w:pPr>
      <w:r>
        <w:rPr>
          <w:b w:val="1"/>
          <w:bCs w:val="1"/>
          <w:sz w:val="26"/>
          <w:szCs w:val="26"/>
          <w:rtl w:val="0"/>
          <w:lang w:val="en-US"/>
        </w:rPr>
        <w:t>Module code: LCHS7006</w:t>
        <w:tab/>
      </w:r>
    </w:p>
    <w:p>
      <w:pPr>
        <w:pStyle w:val="Body"/>
        <w:spacing w:before="240" w:after="240"/>
        <w:jc w:val="center"/>
        <w:rPr>
          <w:b w:val="1"/>
          <w:bCs w:val="1"/>
          <w:sz w:val="26"/>
          <w:szCs w:val="26"/>
        </w:rPr>
      </w:pPr>
      <w:r>
        <w:rPr>
          <w:b w:val="1"/>
          <w:bCs w:val="1"/>
          <w:sz w:val="26"/>
          <w:szCs w:val="26"/>
          <w:rtl w:val="0"/>
          <w:lang w:val="en-US"/>
        </w:rPr>
        <w:t>Assignment Title: Component 2 Service Improvement Report</w:t>
      </w:r>
    </w:p>
    <w:p>
      <w:pPr>
        <w:pStyle w:val="Body"/>
        <w:spacing w:before="240" w:after="240"/>
        <w:jc w:val="center"/>
        <w:rPr>
          <w:b w:val="1"/>
          <w:bCs w:val="1"/>
          <w:sz w:val="26"/>
          <w:szCs w:val="26"/>
        </w:rPr>
      </w:pPr>
      <w:r>
        <w:rPr>
          <w:b w:val="1"/>
          <w:bCs w:val="1"/>
          <w:sz w:val="26"/>
          <w:szCs w:val="26"/>
          <w:rtl w:val="0"/>
          <w:lang w:val="en-US"/>
        </w:rPr>
        <w:t>Lecturer</w:t>
      </w:r>
      <w:r>
        <w:rPr>
          <w:b w:val="1"/>
          <w:bCs w:val="1"/>
          <w:sz w:val="26"/>
          <w:szCs w:val="26"/>
          <w:rtl w:val="0"/>
          <w:lang w:val="en-US"/>
        </w:rPr>
        <w:t>’</w:t>
      </w:r>
      <w:r>
        <w:rPr>
          <w:b w:val="1"/>
          <w:bCs w:val="1"/>
          <w:sz w:val="26"/>
          <w:szCs w:val="26"/>
          <w:rtl w:val="0"/>
          <w:lang w:val="en-US"/>
        </w:rPr>
        <w:t>s name : Christopher Mafuva</w:t>
      </w:r>
    </w:p>
    <w:p>
      <w:pPr>
        <w:pStyle w:val="Body"/>
        <w:spacing w:before="240" w:after="240"/>
        <w:jc w:val="center"/>
        <w:rPr>
          <w:b w:val="1"/>
          <w:bCs w:val="1"/>
          <w:sz w:val="26"/>
          <w:szCs w:val="26"/>
        </w:rPr>
      </w:pPr>
      <w:r>
        <w:rPr>
          <w:b w:val="1"/>
          <w:bCs w:val="1"/>
          <w:sz w:val="26"/>
          <w:szCs w:val="26"/>
          <w:rtl w:val="0"/>
          <w:lang w:val="de-DE"/>
        </w:rPr>
        <w:t>Student Name:</w:t>
      </w:r>
      <w:r>
        <w:rPr>
          <w:b w:val="1"/>
          <w:bCs w:val="1"/>
          <w:sz w:val="26"/>
          <w:szCs w:val="26"/>
          <w:rtl w:val="0"/>
          <w:lang w:val="en-US"/>
        </w:rPr>
        <w:t>Adnankhan Firojkhan Sindhi</w:t>
      </w:r>
    </w:p>
    <w:p>
      <w:pPr>
        <w:pStyle w:val="Body"/>
        <w:spacing w:line="259" w:lineRule="auto"/>
        <w:jc w:val="center"/>
        <w:rPr>
          <w:sz w:val="26"/>
          <w:szCs w:val="26"/>
        </w:rPr>
      </w:pPr>
      <w:r>
        <w:rPr>
          <w:b w:val="1"/>
          <w:bCs w:val="1"/>
          <w:sz w:val="26"/>
          <w:szCs w:val="26"/>
          <w:rtl w:val="0"/>
          <w:lang w:val="en-US"/>
        </w:rPr>
        <w:t>Student ID:</w:t>
      </w:r>
      <w:r>
        <w:rPr>
          <w:b w:val="1"/>
          <w:bCs w:val="1"/>
          <w:sz w:val="26"/>
          <w:szCs w:val="26"/>
          <w:rtl w:val="0"/>
          <w:lang w:val="en-US"/>
        </w:rPr>
        <w:t xml:space="preserve"> 2528923</w:t>
      </w: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jc w:val="center"/>
        <w:rPr>
          <w:lang w:val="en-US"/>
        </w:rPr>
      </w:pPr>
    </w:p>
    <w:p>
      <w:pPr>
        <w:pStyle w:val="Body"/>
        <w:spacing w:line="259" w:lineRule="auto"/>
      </w:pPr>
      <w:r>
        <w:rPr>
          <w:rFonts w:ascii="Arial Unicode MS" w:cs="Arial Unicode MS" w:hAnsi="Arial Unicode MS" w:eastAsia="Arial Unicode MS"/>
          <w:b w:val="0"/>
          <w:bCs w:val="0"/>
          <w:i w:val="0"/>
          <w:iCs w:val="0"/>
          <w:lang w:val="en-US"/>
        </w:rPr>
        <w:br w:type="page"/>
      </w:r>
    </w:p>
    <w:p>
      <w:pPr>
        <w:pStyle w:val="TOC Heading1"/>
        <w:spacing w:line="360" w:lineRule="auto"/>
        <w:jc w:val="center"/>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w:pPr>
        <w:pStyle w:val="Body"/>
      </w:pPr>
      <w:r>
        <w:rPr>
          <w:b w:val="1"/>
          <w:bCs w:val="1"/>
          <w:outline w:val="0"/>
          <w:color w:val="000000"/>
          <w:sz w:val="22"/>
          <w:szCs w:val="22"/>
          <w:u w:color="000000"/>
          <w14:textFill>
            <w14:solidFill>
              <w14:srgbClr w14:val="000000"/>
            </w14:solidFill>
          </w14:textFill>
        </w:rPr>
        <w:fldChar w:fldCharType="begin" w:fldLock="0"/>
      </w:r>
      <w:r>
        <w:rPr>
          <w:b w:val="1"/>
          <w:bCs w:val="1"/>
          <w:outline w:val="0"/>
          <w:color w:val="000000"/>
          <w:sz w:val="22"/>
          <w:szCs w:val="22"/>
          <w:u w:color="000000"/>
          <w14:textFill>
            <w14:solidFill>
              <w14:srgbClr w14:val="000000"/>
            </w14:solidFill>
          </w14:textFill>
        </w:rPr>
        <w:instrText xml:space="preserve"> TOC \o 1-2 </w:instrText>
      </w:r>
      <w:r>
        <w:rPr>
          <w:b w:val="1"/>
          <w:bCs w:val="1"/>
          <w:outline w:val="0"/>
          <w:color w:val="000000"/>
          <w:sz w:val="22"/>
          <w:szCs w:val="22"/>
          <w:u w:color="000000"/>
          <w14:textFill>
            <w14:solidFill>
              <w14:srgbClr w14:val="000000"/>
            </w14:solidFill>
          </w14:textFill>
        </w:rPr>
        <w:fldChar w:fldCharType="separate" w:fldLock="0"/>
      </w:r>
    </w:p>
    <w:p>
      <w:pPr>
        <w:pStyle w:val="TOC 1"/>
      </w:pPr>
      <w:r>
        <w:rPr>
          <w:rFonts w:cs="Arial Unicode MS" w:eastAsia="Arial Unicode MS"/>
          <w:rtl w:val="0"/>
        </w:rPr>
        <w:t>1.0 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2.0 Main Body: Critical Analysis of the Quality Concern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2.1 Nature and Scale of the Quality and Patient-Safety Failure</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2.2 Root-Cause Analysis: Fishbone Diagram and 5 Whys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2.3 Donabedian Model: Structure-Process-Outcome Analysis</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2.4 Strategic Analysis: SWOT</w:t>
        <w:tab/>
      </w:r>
      <w:r>
        <w:rPr/>
        <w:fldChar w:fldCharType="begin" w:fldLock="0"/>
      </w:r>
      <w:r>
        <w:instrText xml:space="preserve"> PAGEREF _Toc5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3. Evidence-Based Recommendations and Implementation Strategy</w:t>
        <w:tab/>
      </w:r>
      <w:r>
        <w:rPr/>
        <w:fldChar w:fldCharType="begin" w:fldLock="0"/>
      </w:r>
      <w:r>
        <w:instrText xml:space="preserve"> PAGEREF _Toc6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3.1 Establish a Standardised Neonatal Safety Escalation Pathway</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3.2 Strengthen Freedom to Speak Up and Psychological Safety</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3.3 Develop Integrated Safety Surveillance and Organisational Learning</w:t>
        <w:tab/>
      </w:r>
      <w:r>
        <w:rPr/>
        <w:fldChar w:fldCharType="begin" w:fldLock="0"/>
      </w:r>
      <w:r>
        <w:instrText xml:space="preserve"> PAGEREF _Toc9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3.4 Strengthen Leadership, Governance and Accountability</w:t>
        <w:tab/>
      </w:r>
      <w:r>
        <w:rPr/>
        <w:fldChar w:fldCharType="begin" w:fldLock="0"/>
      </w:r>
      <w:r>
        <w:instrText xml:space="preserve"> PAGEREF _Toc10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3.5 Implementation Through PDSA</w:t>
        <w:tab/>
      </w:r>
      <w:r>
        <w:rPr/>
        <w:fldChar w:fldCharType="begin" w:fldLock="0"/>
      </w:r>
      <w:r>
        <w:instrText xml:space="preserve"> PAGEREF _Toc11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3.6 Sustaining Organisational Change</w:t>
        <w:tab/>
      </w:r>
      <w:r>
        <w:rPr/>
        <w:fldChar w:fldCharType="begin" w:fldLock="0"/>
      </w:r>
      <w:r>
        <w:instrText xml:space="preserve"> PAGEREF _Toc12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3.7 Applying Lean for Process Improvement</w:t>
        <w:tab/>
      </w:r>
      <w:r>
        <w:rPr/>
        <w:fldChar w:fldCharType="begin" w:fldLock="0"/>
      </w:r>
      <w:r>
        <w:instrText xml:space="preserve"> PAGEREF _Toc13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4.0 Conclusion</w:t>
        <w:tab/>
      </w:r>
      <w:r>
        <w:rPr/>
        <w:fldChar w:fldCharType="begin" w:fldLock="0"/>
      </w:r>
      <w:r>
        <w:instrText xml:space="preserve"> PAGEREF _Toc14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References</w:t>
        <w:tab/>
      </w:r>
      <w:r>
        <w:rPr/>
        <w:fldChar w:fldCharType="begin" w:fldLock="0"/>
      </w:r>
      <w:r>
        <w:instrText xml:space="preserve"> PAGEREF _Toc15 \h </w:instrText>
      </w:r>
      <w:r>
        <w:rPr/>
        <w:fldChar w:fldCharType="separate" w:fldLock="0"/>
      </w:r>
      <w:r>
        <w:rPr>
          <w:rFonts w:cs="Arial Unicode MS" w:eastAsia="Arial Unicode MS"/>
          <w:rtl w:val="0"/>
        </w:rPr>
        <w:t>14</w:t>
      </w:r>
      <w:r>
        <w:rPr/>
        <w:fldChar w:fldCharType="end" w:fldLock="0"/>
      </w:r>
    </w:p>
    <w:p>
      <w:pPr>
        <w:pStyle w:val="Body"/>
      </w:pPr>
      <w:r>
        <w:rPr>
          <w:b w:val="1"/>
          <w:bCs w:val="1"/>
          <w:outline w:val="0"/>
          <w:color w:val="000000"/>
          <w:sz w:val="22"/>
          <w:szCs w:val="22"/>
          <w:u w:color="000000"/>
          <w14:textFill>
            <w14:solidFill>
              <w14:srgbClr w14:val="000000"/>
            </w14:solidFill>
          </w14:textFill>
        </w:rPr>
        <w:fldChar w:fldCharType="end" w:fldLock="0"/>
      </w:r>
    </w:p>
    <w:p>
      <w:pPr>
        <w:pStyle w:val="Body"/>
        <w:jc w:val="left"/>
      </w:pPr>
      <w:r>
        <w:rPr>
          <w:rFonts w:ascii="Arial Unicode MS" w:cs="Arial Unicode MS" w:hAnsi="Arial Unicode MS" w:eastAsia="Arial Unicode MS"/>
          <w:b w:val="0"/>
          <w:bCs w:val="0"/>
          <w:i w:val="0"/>
          <w:iCs w:val="0"/>
          <w:lang w:val="en-US"/>
        </w:rPr>
        <w:br w:type="page"/>
      </w:r>
    </w:p>
    <w:p>
      <w:pPr>
        <w:pStyle w:val="Heading"/>
        <w:rPr>
          <w:sz w:val="22"/>
          <w:szCs w:val="22"/>
        </w:rPr>
      </w:pPr>
      <w:bookmarkStart w:name="_Toc" w:id="0"/>
      <w:r>
        <w:rPr>
          <w:rFonts w:cs="Arial Unicode MS" w:eastAsia="Arial Unicode MS"/>
          <w:sz w:val="22"/>
          <w:szCs w:val="22"/>
          <w:rtl w:val="0"/>
          <w:lang w:val="en-US"/>
        </w:rPr>
        <w:t>1.0 Introduction</w:t>
      </w:r>
      <w:bookmarkEnd w:id="0"/>
    </w:p>
    <w:p>
      <w:pPr>
        <w:pStyle w:val="Body"/>
      </w:pPr>
      <w:r>
        <w:rPr>
          <w:rFonts w:cs="Arial Unicode MS" w:eastAsia="Arial Unicode MS"/>
          <w:rtl w:val="0"/>
          <w:lang w:val="en-US"/>
        </w:rPr>
        <w:t>Patient safety and quality assurance are integral to the role of healthcare organisations, as a failure to ensure these areas of governance, communication and organisational learning are robust can lead to incidental harm being inflicted on patients</w:t>
      </w:r>
      <w:r>
        <w:rPr>
          <w:rFonts w:cs="Arial Unicode MS" w:eastAsia="Arial Unicode MS"/>
          <w:rtl w:val="0"/>
          <w:lang w:val="en-US"/>
        </w:rPr>
        <w:t>. This case of Lucy Letby at the Countess of Chester Hospital NHS Foundation Trust highlights the importance of good recognition, escalation and investigation of emerging clinical concerns to avoid serious consequences. The Thirlwall Inquiry was formed to investigate when concerns were raised; the hospital's response; the effectiveness of the speaking-up processes in place; and how the hospital's culture helped or hindered these processes (Thirlwall Inquiry, 2025). Post-criminal trial, NHS England (2023) also identified the importance of the need for greater monitoring of patient safety, speaking up systems and robust board-level governance in NHS organisations.</w:t>
      </w:r>
    </w:p>
    <w:p>
      <w:pPr>
        <w:pStyle w:val="Body"/>
      </w:pPr>
      <w:r>
        <w:rPr>
          <w:rFonts w:cs="Arial Unicode MS" w:eastAsia="Arial Unicode MS"/>
          <w:rtl w:val="0"/>
          <w:lang w:val="en-US"/>
        </w:rPr>
        <w:t>The key quality concern that is explored in this report is when the neonatal service and governance system does not identify the pattern of potential harm and then takes timely and systematic action to address concerns that persist. The initial case analysis revealed interrelated leadership, staffing, communication, reporting, escalation and psychological safety weaknesses. Speaking up arrangements are not just about the formal arrangements, but also about staff confidence, responsive leadership and an organisation's culture that encourages challenge and learning (Delpino, Lees-Deutsch and Solanki, 2023). This reflects the principles of the Patient Safety Incident Response Framework of learning from incidents, meaningful involvement of those affected and systems-based approaches, rather than single cause explanations (NHS England, 2024).</w:t>
      </w:r>
    </w:p>
    <w:p>
      <w:pPr>
        <w:pStyle w:val="Body"/>
      </w:pPr>
      <w:r>
        <w:rPr>
          <w:rFonts w:cs="Arial Unicode MS" w:eastAsia="Arial Unicode MS"/>
          <w:rtl w:val="0"/>
          <w:lang w:val="en-US"/>
        </w:rPr>
        <w:t xml:space="preserve">This report analyses the organisational and systemic factors which have led to the quality failure identified in this report, in a critical manner. The fishbone analysis and the 5 Whys will uncover root causes, and Donabedian's Structure </w:t>
      </w:r>
      <w:r>
        <w:rPr>
          <w:rFonts w:cs="Arial Unicode MS" w:eastAsia="Arial Unicode MS" w:hint="default"/>
          <w:rtl w:val="0"/>
          <w:lang w:val="en-US"/>
        </w:rPr>
        <w:t xml:space="preserve">– </w:t>
      </w:r>
      <w:r>
        <w:rPr>
          <w:rFonts w:cs="Arial Unicode MS" w:eastAsia="Arial Unicode MS"/>
          <w:rtl w:val="0"/>
          <w:lang w:val="en-US"/>
        </w:rPr>
        <w:t xml:space="preserve">Process </w:t>
      </w:r>
      <w:r>
        <w:rPr>
          <w:rFonts w:cs="Arial Unicode MS" w:eastAsia="Arial Unicode MS" w:hint="default"/>
          <w:rtl w:val="0"/>
          <w:lang w:val="en-US"/>
        </w:rPr>
        <w:t xml:space="preserve">– </w:t>
      </w:r>
      <w:r>
        <w:rPr>
          <w:rFonts w:cs="Arial Unicode MS" w:eastAsia="Arial Unicode MS"/>
          <w:rtl w:val="0"/>
          <w:lang w:val="en-US"/>
        </w:rPr>
        <w:t>Outcome Model will be used to evaluate the relationships between the organisation's structure, the process of care and the outcomes of care. The Swiss Cheese Model and Systems Theory will offer additional insights into why things go wrong and the interdependency of organisations. SWOT analysis will be done to review the strategic improvement environment, and then evidence-based recommendations will be made using Plan-Do-Study-Act and change-management principles.</w:t>
      </w:r>
    </w:p>
    <w:p>
      <w:pPr>
        <w:pStyle w:val="Heading"/>
        <w:rPr>
          <w:sz w:val="22"/>
          <w:szCs w:val="22"/>
        </w:rPr>
      </w:pPr>
      <w:bookmarkStart w:name="_Toc1" w:id="1"/>
      <w:r>
        <w:rPr>
          <w:rFonts w:cs="Arial Unicode MS" w:eastAsia="Arial Unicode MS"/>
          <w:sz w:val="22"/>
          <w:szCs w:val="22"/>
          <w:rtl w:val="0"/>
          <w:lang w:val="en-US"/>
        </w:rPr>
        <w:t xml:space="preserve">2.0 </w:t>
      </w:r>
      <w:r>
        <w:rPr>
          <w:rFonts w:cs="Arial Unicode MS" w:eastAsia="Arial Unicode MS"/>
          <w:sz w:val="22"/>
          <w:szCs w:val="22"/>
          <w:rtl w:val="0"/>
          <w:lang w:val="en-US"/>
        </w:rPr>
        <w:t>Main Body: Critical Analysis of the Quality Concern</w:t>
      </w:r>
      <w:bookmarkEnd w:id="1"/>
    </w:p>
    <w:p>
      <w:pPr>
        <w:pStyle w:val="Heading 2"/>
      </w:pPr>
      <w:bookmarkStart w:name="_Toc2" w:id="2"/>
      <w:r>
        <w:rPr>
          <w:rFonts w:cs="Arial Unicode MS" w:eastAsia="Arial Unicode MS"/>
          <w:rtl w:val="0"/>
          <w:lang w:val="en-US"/>
        </w:rPr>
        <w:t>2.1 Nature and Scale of the Quality and Patient-Safety Failure</w:t>
      </w:r>
      <w:bookmarkEnd w:id="2"/>
    </w:p>
    <w:p>
      <w:pPr>
        <w:pStyle w:val="Body"/>
      </w:pPr>
      <w:r>
        <w:rPr>
          <w:rFonts w:cs="Arial Unicode MS" w:eastAsia="Arial Unicode MS"/>
          <w:rtl w:val="0"/>
          <w:lang w:val="en-US"/>
        </w:rPr>
        <w:t xml:space="preserve">The failure in quality was not due to the criminal actions of one individual but also due to the failure in organisational protections for abnormal clinical risks. The case study below highlights delayed recognition/escalation, fragmented reporting, staffing constraints, leadership vulnerabilities/lack of psychological safety as interrelated factors that contribute to ineffective organisational learning. The Thirlwall Inquiry also looks at responses to management, oversight by the board of management, escalation processes and the role played by the Trust culture and governance in failing to protect babies (Department of Health and Social Care, 2023). NHS England (2023) then emphasised the need for quick responses and effective board oversight of speaking up arrangements where staff concerns are raised. This is important because fear, hierarchy and leadership that fails to respond can have a negative impact on speaking up and weaken patient-safety surveillance (Delpino, Lees-Deutsch and Solanki, 2023). Research on systems-based safety reminds us that individual accountability is still critical, but that preventing serious incidents requires looking for vulnerabilities and interacting organisational controls to be continuously prevented </w:t>
      </w:r>
      <w:r>
        <w:rPr>
          <w:rFonts w:cs="Arial Unicode MS" w:eastAsia="Arial Unicode MS"/>
          <w:rtl w:val="0"/>
          <w:lang w:val="en-US"/>
        </w:rPr>
        <w:t xml:space="preserve">(Weaver, Stewart and Kay, 2021). </w:t>
      </w:r>
    </w:p>
    <w:p>
      <w:pPr>
        <w:pStyle w:val="Heading 2"/>
      </w:pPr>
      <w:bookmarkStart w:name="_Toc3" w:id="3"/>
      <w:r>
        <w:rPr>
          <w:rFonts w:cs="Arial Unicode MS" w:eastAsia="Arial Unicode MS"/>
          <w:rtl w:val="0"/>
          <w:lang w:val="en-US"/>
        </w:rPr>
        <w:t>2.2 Root-Cause Analysis: Fishbone Diagram and 5 Whys</w:t>
      </w:r>
      <w:bookmarkEnd w:id="3"/>
    </w:p>
    <w:p>
      <w:pPr>
        <w:pStyle w:val="Body"/>
      </w:pPr>
      <w:r>
        <w:rPr>
          <w:rFonts w:cs="Arial Unicode MS" w:eastAsia="Arial Unicode MS"/>
          <w:rtl w:val="0"/>
          <w:lang w:val="en-US"/>
        </w:rPr>
        <w:t xml:space="preserve">Root-cause analysis shows that this safety failure in the neonatal unit was not a single fault, but a combination of organisational weaknesses (Pietsch </w:t>
      </w:r>
      <w:r>
        <w:rPr>
          <w:rFonts w:cs="Arial Unicode MS" w:eastAsia="Arial Unicode MS"/>
          <w:i w:val="1"/>
          <w:iCs w:val="1"/>
          <w:rtl w:val="0"/>
          <w:lang w:val="nl-NL"/>
        </w:rPr>
        <w:t>et al</w:t>
      </w:r>
      <w:r>
        <w:rPr>
          <w:rFonts w:cs="Arial Unicode MS" w:eastAsia="Arial Unicode MS"/>
          <w:rtl w:val="0"/>
          <w:lang w:val="en-US"/>
        </w:rPr>
        <w:t xml:space="preserve">., 2024). The Fishbone (Ishikawa) analysis breaks up contributory factors into six areas: leadership and governance, systems/processes, communication, reporting and escalation, organisational culture and workforce (Glevitzky </w:t>
      </w:r>
      <w:r>
        <w:rPr>
          <w:rFonts w:cs="Arial Unicode MS" w:eastAsia="Arial Unicode MS"/>
          <w:i w:val="1"/>
          <w:iCs w:val="1"/>
          <w:rtl w:val="0"/>
          <w:lang w:val="nl-NL"/>
        </w:rPr>
        <w:t>et al</w:t>
      </w:r>
      <w:r>
        <w:rPr>
          <w:rFonts w:cs="Arial Unicode MS" w:eastAsia="Arial Unicode MS"/>
          <w:rtl w:val="0"/>
          <w:lang w:val="en-US"/>
        </w:rPr>
        <w:t>., 2025). The previous analysis pointed to the following areas of delayed escalation, staffing pressures, poor psychological safety, and disjointed organisational learning. Fishbone analysis is also shown to be useful in contemporary healthcare quality-improvement studies to detect a number of contributing factors before an intervention is designed (Bayisa et al., 2024). Mainly, however, Fishbone is diagnostic; it charts out likely causes without determining their causal power, and conclusions can be based on available evidence and stakeholder judgement</w:t>
      </w:r>
      <w:r>
        <w:rPr>
          <w:rFonts w:cs="Arial Unicode MS" w:eastAsia="Arial Unicode MS"/>
          <w:rtl w:val="0"/>
          <w:lang w:val="en-US"/>
        </w:rPr>
        <w:t>.</w:t>
      </w:r>
    </w:p>
    <w:p>
      <w:pPr>
        <w:pStyle w:val="Body"/>
        <w:jc w:val="center"/>
      </w:pPr>
      <w:r>
        <w:drawing xmlns:a="http://schemas.openxmlformats.org/drawingml/2006/main">
          <wp:inline distT="0" distB="0" distL="0" distR="0">
            <wp:extent cx="5159038" cy="289560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159038" cy="2895600"/>
                    </a:xfrm>
                    <a:prstGeom prst="rect">
                      <a:avLst/>
                    </a:prstGeom>
                    <a:ln w="12700" cap="flat">
                      <a:noFill/>
                      <a:miter lim="400000"/>
                    </a:ln>
                    <a:effectLst/>
                  </pic:spPr>
                </pic:pic>
              </a:graphicData>
            </a:graphic>
          </wp:inline>
        </w:drawing>
      </w:r>
    </w:p>
    <w:p>
      <w:pPr>
        <w:pStyle w:val="Body"/>
        <w:jc w:val="center"/>
        <w:rPr>
          <w:b w:val="1"/>
          <w:bCs w:val="1"/>
        </w:rPr>
      </w:pPr>
      <w:r>
        <w:rPr>
          <w:b w:val="1"/>
          <w:bCs w:val="1"/>
          <w:rtl w:val="0"/>
          <w:lang w:val="en-US"/>
        </w:rPr>
        <w:t>Figure 1: Root Cause Analysis</w:t>
      </w:r>
    </w:p>
    <w:p>
      <w:pPr>
        <w:pStyle w:val="Body"/>
        <w:jc w:val="center"/>
      </w:pPr>
      <w:r>
        <w:rPr>
          <w:rtl w:val="0"/>
          <w:lang w:val="en-US"/>
        </w:rPr>
        <w:t>(Source: Self-Developed)</w:t>
      </w:r>
    </w:p>
    <w:p>
      <w:pPr>
        <w:pStyle w:val="Body"/>
      </w:pPr>
      <w:r>
        <w:rPr>
          <w:rFonts w:cs="Arial Unicode MS" w:eastAsia="Arial Unicode MS"/>
          <w:rtl w:val="0"/>
          <w:lang w:val="en-US"/>
        </w:rPr>
        <w:t>The 5 Whys gives a deeper causal understanding as to why the concerns have not been addressed in a timely fashion when they recur. This was due to a lack of leadership urgency, governance structures that did not always provide challenge and independent review, as well as an organisational culture of hierarchy, weak psychological safety and learning that was fragmented. Patient-safety incidents are frequently found to be related to multiple communication, teamwork, information-flow and workload issues and not to single errors (Halinen et al., 2024). However, root cause analysis is not enough to ensure safer outcomes without finding improvement actions (Martin-Delgado et al., 2020). So, Fishbone sets the stage for causal breadth while 5 Whys looks at systemic depth</w:t>
      </w:r>
      <w:r>
        <w:rPr>
          <w:rFonts w:cs="Arial Unicode MS" w:eastAsia="Arial Unicode MS"/>
          <w:rtl w:val="0"/>
          <w:lang w:val="en-US"/>
        </w:rPr>
        <w:t>.</w:t>
      </w:r>
    </w:p>
    <w:p>
      <w:pPr>
        <w:pStyle w:val="Body"/>
      </w:pPr>
      <w:r>
        <w:rPr>
          <w:rFonts w:cs="Arial Unicode MS" w:eastAsia="Arial Unicode MS"/>
          <w:rtl w:val="0"/>
          <w:lang w:val="en-US"/>
        </w:rPr>
        <w:t>The analysis indicates that the root of the problem was a general lack of pattern recognition, communication of concerns, of raising risk escalation, and finally of effective organizational pattern investigation and learning. This offers a clear guide to leadership, governance, communication, incident investigation and patient safety culture recommendations.</w:t>
      </w:r>
    </w:p>
    <w:p>
      <w:pPr>
        <w:pStyle w:val="Heading 2"/>
      </w:pPr>
      <w:bookmarkStart w:name="_Toc4" w:id="4"/>
      <w:r>
        <w:rPr>
          <w:rFonts w:cs="Arial Unicode MS" w:eastAsia="Arial Unicode MS"/>
          <w:rtl w:val="0"/>
          <w:lang w:val="en-US"/>
        </w:rPr>
        <w:t>2.3 Donabedian Model: Structure-Process-Outcome Analysis</w:t>
      </w:r>
      <w:bookmarkEnd w:id="4"/>
    </w:p>
    <w:p>
      <w:pPr>
        <w:pStyle w:val="Body"/>
      </w:pPr>
      <w:r>
        <w:rPr>
          <w:rFonts w:cs="Arial Unicode MS" w:eastAsia="Arial Unicode MS"/>
          <w:rtl w:val="0"/>
          <w:lang w:val="en-US"/>
        </w:rPr>
        <w:t>The Structure</w:t>
      </w:r>
      <w:r>
        <w:rPr>
          <w:rFonts w:cs="Arial Unicode MS" w:eastAsia="Arial Unicode MS" w:hint="default"/>
          <w:rtl w:val="0"/>
          <w:lang w:val="en-US"/>
        </w:rPr>
        <w:t>–</w:t>
      </w:r>
      <w:r>
        <w:rPr>
          <w:rFonts w:cs="Arial Unicode MS" w:eastAsia="Arial Unicode MS"/>
          <w:rtl w:val="0"/>
          <w:lang w:val="en-US"/>
        </w:rPr>
        <w:t>Process</w:t>
      </w:r>
      <w:r>
        <w:rPr>
          <w:rFonts w:cs="Arial Unicode MS" w:eastAsia="Arial Unicode MS" w:hint="default"/>
          <w:rtl w:val="0"/>
          <w:lang w:val="en-US"/>
        </w:rPr>
        <w:t>–</w:t>
      </w:r>
      <w:r>
        <w:rPr>
          <w:rFonts w:cs="Arial Unicode MS" w:eastAsia="Arial Unicode MS"/>
          <w:rtl w:val="0"/>
          <w:lang w:val="en-US"/>
        </w:rPr>
        <w:t>Outcome (SPO) model of Donabedian is useful for analysing how the conditions of the organisation affect the delivery of care and the outcomes of care (</w:t>
      </w:r>
      <w:r>
        <w:rPr>
          <w:rFonts w:cs="Arial Unicode MS" w:eastAsia="Arial Unicode MS"/>
          <w:rtl w:val="0"/>
          <w:lang w:val="en-US"/>
        </w:rPr>
        <w:t>Kim, Kim and Kim, 2026)</w:t>
      </w:r>
      <w:r>
        <w:rPr>
          <w:rFonts w:cs="Arial Unicode MS" w:eastAsia="Arial Unicode MS"/>
          <w:rtl w:val="0"/>
          <w:lang w:val="en-US"/>
        </w:rPr>
        <w:t xml:space="preserve">. Resources and organisation around care are key factors in its structure; its process is what is undertaken, and its outcome is the consequences of the care (McCullough et al., 2023). The weaknesses that were identified in the Countess of Chester case were: staffing pressures, leadership and governance arrangements, reporting systems, board oversight, Freedom to Speak Up systems and access to effective external review. Delays in recognition and escalation of risk were similarly identified as linked to staffing, reporting, culture, communication and governance, in the initial case analysis. </w:t>
      </w:r>
    </w:p>
    <w:p>
      <w:pPr>
        <w:pStyle w:val="Body"/>
      </w:pPr>
      <w:r>
        <w:rPr>
          <w:rFonts w:cs="Arial Unicode MS" w:eastAsia="Arial Unicode MS"/>
          <w:rtl w:val="0"/>
          <w:lang w:val="en-US"/>
        </w:rPr>
        <w:t xml:space="preserve">Reliable implementation of policies was a concern at the process level, not just that they were in place. Some of the failures related to recognition of abnormal clinical patterns, review of deaths, escalation of concerns of consultants, communication across professional and managerial boundaries, initiating safeguarding responses and learning from repeated incidents. These are highlighted in the Thirlwall Inquiry's review of concerns raised, processes, management responses, the board's oversight and governance (Department of Health and Social Care, 2023). The outcomes were a delay in identifying risks, ongoing exposure of infants to hazards, parents losing faith and trust in the staff, regulatory reassessment and significant organisational and public relations issues. </w:t>
      </w:r>
    </w:p>
    <w:p>
      <w:pPr>
        <w:pStyle w:val="Body"/>
      </w:pPr>
      <w:r>
        <mc:AlternateContent>
          <mc:Choice Requires="wpg">
            <w:drawing xmlns:a="http://schemas.openxmlformats.org/drawingml/2006/main">
              <wp:inline distT="0" distB="0" distL="0" distR="0">
                <wp:extent cx="4394846" cy="3199091"/>
                <wp:effectExtent l="0" t="0" r="0" b="0"/>
                <wp:docPr id="1073741839" name="officeArt object" descr="Diagram 2"/>
                <wp:cNvGraphicFramePr/>
                <a:graphic xmlns:a="http://schemas.openxmlformats.org/drawingml/2006/main">
                  <a:graphicData uri="http://schemas.microsoft.com/office/word/2010/wordprocessingGroup">
                    <wpg:wgp>
                      <wpg:cNvGrpSpPr/>
                      <wpg:grpSpPr>
                        <a:xfrm>
                          <a:off x="0" y="0"/>
                          <a:ext cx="4394846" cy="3199091"/>
                          <a:chOff x="0" y="0"/>
                          <a:chExt cx="4394845" cy="3199089"/>
                        </a:xfrm>
                      </wpg:grpSpPr>
                      <wpg:grpSp>
                        <wpg:cNvPr id="1073741829" name="Group"/>
                        <wpg:cNvGrpSpPr/>
                        <wpg:grpSpPr>
                          <a:xfrm>
                            <a:off x="1368301" y="0"/>
                            <a:ext cx="1658243" cy="829121"/>
                            <a:chOff x="0" y="0"/>
                            <a:chExt cx="1658241" cy="829120"/>
                          </a:xfrm>
                        </wpg:grpSpPr>
                        <wps:wsp>
                          <wps:cNvPr id="1073741827" name="Rounded Rectangle"/>
                          <wps:cNvSpPr/>
                          <wps:spPr>
                            <a:xfrm>
                              <a:off x="0" y="0"/>
                              <a:ext cx="1658242" cy="829121"/>
                            </a:xfrm>
                            <a:prstGeom prst="roundRect">
                              <a:avLst>
                                <a:gd name="adj" fmla="val 10000"/>
                              </a:avLst>
                            </a:prstGeom>
                            <a:solidFill>
                              <a:srgbClr val="FFFFFF"/>
                            </a:solidFill>
                            <a:ln w="12700" cap="flat">
                              <a:solidFill>
                                <a:srgbClr val="000000"/>
                              </a:solidFill>
                              <a:prstDash val="solid"/>
                              <a:miter lim="800000"/>
                            </a:ln>
                            <a:effectLst/>
                          </wps:spPr>
                          <wps:bodyPr/>
                        </wps:wsp>
                        <wps:wsp>
                          <wps:cNvPr id="1073741828" name="Structure"/>
                          <wps:cNvSpPr txBox="1"/>
                          <wps:spPr>
                            <a:xfrm>
                              <a:off x="24283" y="24284"/>
                              <a:ext cx="1609676" cy="780553"/>
                            </a:xfrm>
                            <a:prstGeom prst="rect">
                              <a:avLst/>
                            </a:prstGeom>
                            <a:noFill/>
                            <a:ln w="12700" cap="flat">
                              <a:noFill/>
                              <a:miter lim="400000"/>
                            </a:ln>
                            <a:effectLst/>
                          </wps:spPr>
                          <wps:txb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Structure</w:t>
                                </w:r>
                              </w:p>
                            </w:txbxContent>
                          </wps:txbx>
                          <wps:bodyPr wrap="square" lIns="95250" tIns="95250" rIns="95250" bIns="95250" numCol="1" anchor="ctr">
                            <a:noAutofit/>
                          </wps:bodyPr>
                        </wps:wsp>
                      </wpg:grpSp>
                      <wps:wsp>
                        <wps:cNvPr id="1073741830" name="Double Arrow"/>
                        <wps:cNvSpPr/>
                        <wps:spPr>
                          <a:xfrm rot="3600000">
                            <a:off x="2450230" y="1454449"/>
                            <a:ext cx="862690" cy="290193"/>
                          </a:xfrm>
                          <a:prstGeom prst="leftRightArrow">
                            <a:avLst>
                              <a:gd name="adj1" fmla="val 60000"/>
                              <a:gd name="adj2" fmla="val 50000"/>
                            </a:avLst>
                          </a:prstGeom>
                          <a:solidFill>
                            <a:srgbClr val="A8A8A8"/>
                          </a:solidFill>
                          <a:ln w="12700" cap="flat">
                            <a:noFill/>
                            <a:miter lim="400000"/>
                          </a:ln>
                          <a:effectLst/>
                        </wps:spPr>
                        <wps:bodyPr/>
                      </wps:wsp>
                      <wpg:grpSp>
                        <wpg:cNvPr id="1073741833" name="Group"/>
                        <wpg:cNvGrpSpPr/>
                        <wpg:grpSpPr>
                          <a:xfrm>
                            <a:off x="2736603" y="2369968"/>
                            <a:ext cx="1658243" cy="829122"/>
                            <a:chOff x="0" y="0"/>
                            <a:chExt cx="1658241" cy="829120"/>
                          </a:xfrm>
                        </wpg:grpSpPr>
                        <wps:wsp>
                          <wps:cNvPr id="1073741831" name="Rounded Rectangle"/>
                          <wps:cNvSpPr/>
                          <wps:spPr>
                            <a:xfrm>
                              <a:off x="0" y="0"/>
                              <a:ext cx="1658242" cy="829121"/>
                            </a:xfrm>
                            <a:prstGeom prst="roundRect">
                              <a:avLst>
                                <a:gd name="adj" fmla="val 10000"/>
                              </a:avLst>
                            </a:prstGeom>
                            <a:solidFill>
                              <a:srgbClr val="FFFFFF"/>
                            </a:solidFill>
                            <a:ln w="12700" cap="flat">
                              <a:solidFill>
                                <a:srgbClr val="000000"/>
                              </a:solidFill>
                              <a:prstDash val="solid"/>
                              <a:miter lim="800000"/>
                            </a:ln>
                            <a:effectLst/>
                          </wps:spPr>
                          <wps:bodyPr/>
                        </wps:wsp>
                        <wps:wsp>
                          <wps:cNvPr id="1073741832" name="Process"/>
                          <wps:cNvSpPr txBox="1"/>
                          <wps:spPr>
                            <a:xfrm>
                              <a:off x="24284" y="24283"/>
                              <a:ext cx="1609675" cy="780554"/>
                            </a:xfrm>
                            <a:prstGeom prst="rect">
                              <a:avLst/>
                            </a:prstGeom>
                            <a:noFill/>
                            <a:ln w="12700" cap="flat">
                              <a:noFill/>
                              <a:miter lim="400000"/>
                            </a:ln>
                            <a:effectLst/>
                          </wps:spPr>
                          <wps:txb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Process</w:t>
                                </w:r>
                              </w:p>
                            </w:txbxContent>
                          </wps:txbx>
                          <wps:bodyPr wrap="square" lIns="95250" tIns="95250" rIns="95250" bIns="95250" numCol="1" anchor="ctr">
                            <a:noAutofit/>
                          </wps:bodyPr>
                        </wps:wsp>
                      </wpg:grpSp>
                      <wps:wsp>
                        <wps:cNvPr id="1073741834" name="Double Arrow"/>
                        <wps:cNvSpPr/>
                        <wps:spPr>
                          <a:xfrm rot="10800000">
                            <a:off x="1766079" y="2639434"/>
                            <a:ext cx="862690" cy="290193"/>
                          </a:xfrm>
                          <a:prstGeom prst="leftRightArrow">
                            <a:avLst>
                              <a:gd name="adj1" fmla="val 60000"/>
                              <a:gd name="adj2" fmla="val 50000"/>
                            </a:avLst>
                          </a:prstGeom>
                          <a:solidFill>
                            <a:srgbClr val="A8A8A8"/>
                          </a:solidFill>
                          <a:ln w="12700" cap="flat">
                            <a:noFill/>
                            <a:miter lim="400000"/>
                          </a:ln>
                          <a:effectLst/>
                        </wps:spPr>
                        <wps:bodyPr/>
                      </wps:wsp>
                      <wpg:grpSp>
                        <wpg:cNvPr id="1073741837" name="Group"/>
                        <wpg:cNvGrpSpPr/>
                        <wpg:grpSpPr>
                          <a:xfrm>
                            <a:off x="0" y="2369968"/>
                            <a:ext cx="1658242" cy="829122"/>
                            <a:chOff x="0" y="0"/>
                            <a:chExt cx="1658241" cy="829120"/>
                          </a:xfrm>
                        </wpg:grpSpPr>
                        <wps:wsp>
                          <wps:cNvPr id="1073741835" name="Rounded Rectangle"/>
                          <wps:cNvSpPr/>
                          <wps:spPr>
                            <a:xfrm>
                              <a:off x="0" y="0"/>
                              <a:ext cx="1658242" cy="829121"/>
                            </a:xfrm>
                            <a:prstGeom prst="roundRect">
                              <a:avLst>
                                <a:gd name="adj" fmla="val 10000"/>
                              </a:avLst>
                            </a:prstGeom>
                            <a:solidFill>
                              <a:srgbClr val="FFFFFF"/>
                            </a:solidFill>
                            <a:ln w="12700" cap="flat">
                              <a:solidFill>
                                <a:srgbClr val="000000"/>
                              </a:solidFill>
                              <a:prstDash val="solid"/>
                              <a:miter lim="800000"/>
                            </a:ln>
                            <a:effectLst/>
                          </wps:spPr>
                          <wps:bodyPr/>
                        </wps:wsp>
                        <wps:wsp>
                          <wps:cNvPr id="1073741836" name="Outcomes"/>
                          <wps:cNvSpPr txBox="1"/>
                          <wps:spPr>
                            <a:xfrm>
                              <a:off x="24284" y="24283"/>
                              <a:ext cx="1609675" cy="780554"/>
                            </a:xfrm>
                            <a:prstGeom prst="rect">
                              <a:avLst/>
                            </a:prstGeom>
                            <a:noFill/>
                            <a:ln w="12700" cap="flat">
                              <a:noFill/>
                              <a:miter lim="400000"/>
                            </a:ln>
                            <a:effectLst/>
                          </wps:spPr>
                          <wps:txb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Outcomes</w:t>
                                </w:r>
                                <w:r>
                                  <w:rPr>
                                    <w:rFonts w:ascii="Times New Roman" w:hAnsi="Times New Roman"/>
                                    <w:b w:val="0"/>
                                    <w:bCs w:val="0"/>
                                    <w:outline w:val="0"/>
                                    <w:color w:val="ffffff"/>
                                    <w:sz w:val="50"/>
                                    <w:szCs w:val="50"/>
                                    <w:rtl w:val="0"/>
                                    <w:lang w:val="en-US"/>
                                    <w14:textFill>
                                      <w14:solidFill>
                                        <w14:srgbClr w14:val="FFFFFF"/>
                                      </w14:solidFill>
                                    </w14:textFill>
                                  </w:rPr>
                                  <w:t xml:space="preserve"> </w:t>
                                </w:r>
                              </w:p>
                            </w:txbxContent>
                          </wps:txbx>
                          <wps:bodyPr wrap="square" lIns="95250" tIns="95250" rIns="95250" bIns="95250" numCol="1" anchor="ctr">
                            <a:noAutofit/>
                          </wps:bodyPr>
                        </wps:wsp>
                      </wpg:grpSp>
                      <wps:wsp>
                        <wps:cNvPr id="1073741838" name="Double Arrow"/>
                        <wps:cNvSpPr/>
                        <wps:spPr>
                          <a:xfrm rot="18000000">
                            <a:off x="1081927" y="1454449"/>
                            <a:ext cx="862690" cy="290193"/>
                          </a:xfrm>
                          <a:prstGeom prst="leftRightArrow">
                            <a:avLst>
                              <a:gd name="adj1" fmla="val 60000"/>
                              <a:gd name="adj2" fmla="val 50000"/>
                            </a:avLst>
                          </a:prstGeom>
                          <a:solidFill>
                            <a:srgbClr val="A8A8A8"/>
                          </a:solidFill>
                          <a:ln w="12700" cap="flat">
                            <a:noFill/>
                            <a:miter lim="400000"/>
                          </a:ln>
                          <a:effectLst/>
                        </wps:spPr>
                        <wps:bodyPr/>
                      </wps:wsp>
                    </wpg:wgp>
                  </a:graphicData>
                </a:graphic>
              </wp:inline>
            </w:drawing>
          </mc:Choice>
          <mc:Fallback>
            <w:pict>
              <v:group id="_x0000_s1026" style="visibility:visible;width:346.1pt;height:251.9pt;" coordorigin="0,0" coordsize="4394846,3199090">
                <v:group id="_x0000_s1027" style="position:absolute;left:1368302;top:0;width:1658242;height:829121;" coordorigin="0,0" coordsize="1658242,829121">
                  <v:roundrect id="_x0000_s1028" style="position:absolute;left:0;top:0;width:1658242;height:829121;" adj="2160">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roundrect>
                  <v:shape id="_x0000_s1029" type="#_x0000_t202" style="position:absolute;left:24284;top:24284;width:1609674;height:7805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Structure</w:t>
                          </w:r>
                        </w:p>
                      </w:txbxContent>
                    </v:textbox>
                  </v:shape>
                </v:group>
                <v:shape id="_x0000_s1030" type="#_x0000_t69" style="position:absolute;left:2450230;top:1454449;width:862689;height:290192;rotation:3932160fd;" adj="3633,4320">
                  <v:fill color="#A8A8A8" opacity="100.0%" type="solid"/>
                  <v:stroke on="f" weight="1.0pt" dashstyle="solid" endcap="flat" miterlimit="400.0%" joinstyle="miter" linestyle="single" startarrow="none" startarrowwidth="medium" startarrowlength="medium" endarrow="none" endarrowwidth="medium" endarrowlength="medium"/>
                </v:shape>
                <v:group id="_x0000_s1031" style="position:absolute;left:2736604;top:2369969;width:1658242;height:829121;" coordorigin="0,0" coordsize="1658242,829121">
                  <v:roundrect id="_x0000_s1032" style="position:absolute;left:0;top:0;width:1658242;height:829121;" adj="2160">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roundrect>
                  <v:shape id="_x0000_s1033" type="#_x0000_t202" style="position:absolute;left:24284;top:24284;width:1609674;height:7805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Process</w:t>
                          </w:r>
                        </w:p>
                      </w:txbxContent>
                    </v:textbox>
                  </v:shape>
                </v:group>
                <v:shape id="_x0000_s1034" type="#_x0000_t69" style="position:absolute;left:1766079;top:2639434;width:862689;height:290192;rotation:11796480fd;" adj="3633,4320">
                  <v:fill color="#A8A8A8" opacity="100.0%" type="solid"/>
                  <v:stroke on="f" weight="1.0pt" dashstyle="solid" endcap="flat" miterlimit="400.0%" joinstyle="miter" linestyle="single" startarrow="none" startarrowwidth="medium" startarrowlength="medium" endarrow="none" endarrowwidth="medium" endarrowlength="medium"/>
                </v:shape>
                <v:group id="_x0000_s1035" style="position:absolute;left:0;top:2369969;width:1658242;height:829121;" coordorigin="0,0" coordsize="1658242,829121">
                  <v:roundrect id="_x0000_s1036" style="position:absolute;left:0;top:0;width:1658242;height:829121;" adj="2160">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roundrect>
                  <v:shape id="_x0000_s1037" type="#_x0000_t202" style="position:absolute;left:24284;top:24284;width:1609674;height:7805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750"/>
                            </w:tabs>
                            <w:spacing w:after="210" w:line="216" w:lineRule="auto"/>
                            <w:jc w:val="center"/>
                          </w:pPr>
                          <w:r>
                            <w:rPr>
                              <w:rFonts w:ascii="Times New Roman" w:hAnsi="Times New Roman"/>
                              <w:b w:val="1"/>
                              <w:bCs w:val="1"/>
                              <w:outline w:val="0"/>
                              <w:color w:val="ffffff"/>
                              <w:sz w:val="50"/>
                              <w:szCs w:val="50"/>
                              <w:rtl w:val="0"/>
                              <w:lang w:val="en-US"/>
                              <w14:textFill>
                                <w14:solidFill>
                                  <w14:srgbClr w14:val="FFFFFF"/>
                                </w14:solidFill>
                              </w14:textFill>
                            </w:rPr>
                            <w:t>Outcomes</w:t>
                          </w:r>
                          <w:r>
                            <w:rPr>
                              <w:rFonts w:ascii="Times New Roman" w:hAnsi="Times New Roman"/>
                              <w:b w:val="0"/>
                              <w:bCs w:val="0"/>
                              <w:outline w:val="0"/>
                              <w:color w:val="ffffff"/>
                              <w:sz w:val="50"/>
                              <w:szCs w:val="50"/>
                              <w:rtl w:val="0"/>
                              <w:lang w:val="en-US"/>
                              <w14:textFill>
                                <w14:solidFill>
                                  <w14:srgbClr w14:val="FFFFFF"/>
                                </w14:solidFill>
                              </w14:textFill>
                            </w:rPr>
                            <w:t xml:space="preserve"> </w:t>
                          </w:r>
                        </w:p>
                      </w:txbxContent>
                    </v:textbox>
                  </v:shape>
                </v:group>
                <v:shape id="_x0000_s1038" type="#_x0000_t69" style="position:absolute;left:1081928;top:1454449;width:862689;height:290192;rotation:19660800fd;" adj="3633,4320">
                  <v:fill color="#A8A8A8" opacity="100.0%" type="solid"/>
                  <v:stroke on="f" weight="1.0pt" dashstyle="solid" endcap="flat" miterlimit="400.0%" joinstyle="miter" linestyle="single" startarrow="none" startarrowwidth="medium" startarrowlength="medium" endarrow="none" endarrowwidth="medium" endarrowlength="medium"/>
                </v:shape>
              </v:group>
            </w:pict>
          </mc:Fallback>
        </mc:AlternateContent>
      </w:r>
    </w:p>
    <w:p>
      <w:pPr>
        <w:pStyle w:val="Body"/>
        <w:jc w:val="center"/>
        <w:rPr>
          <w:b w:val="1"/>
          <w:bCs w:val="1"/>
        </w:rPr>
      </w:pPr>
      <w:r>
        <w:rPr>
          <w:b w:val="1"/>
          <w:bCs w:val="1"/>
          <w:rtl w:val="0"/>
          <w:lang w:val="en-US"/>
        </w:rPr>
        <w:t>Figure 2: Donabedian Model</w:t>
      </w:r>
    </w:p>
    <w:p>
      <w:pPr>
        <w:pStyle w:val="Body"/>
        <w:jc w:val="center"/>
      </w:pPr>
      <w:r>
        <w:rPr>
          <w:rtl w:val="0"/>
          <w:lang w:val="en-US"/>
        </w:rPr>
        <w:t>(Source: Self-Developed)</w:t>
      </w:r>
    </w:p>
    <w:p>
      <w:pPr>
        <w:pStyle w:val="Body"/>
      </w:pPr>
      <w:r>
        <w:rPr>
          <w:rFonts w:cs="Arial Unicode MS" w:eastAsia="Arial Unicode MS"/>
          <w:rtl w:val="0"/>
          <w:lang w:val="en-US"/>
        </w:rPr>
        <w:t>The model is useful in that it is able to transform a complex failure in safety into a relationship between organisational capability, practice and consequences that is analysable. But its seeming linearity is a downside as well. Findings from current applications show that structure, process and outcomes may go hand-in-hand (instead of in sequence) (Tossaint-Schoenmakers et al., 2021). Thus, Donabedian is used to pinpoint quality problems, and systems-based theories are needed to account for the interplay among the quality problems</w:t>
      </w:r>
      <w:r>
        <w:rPr>
          <w:rFonts w:cs="Arial Unicode MS" w:eastAsia="Arial Unicode MS"/>
          <w:rtl w:val="0"/>
          <w:lang w:val="en-US"/>
        </w:rPr>
        <w:t>.</w:t>
      </w:r>
    </w:p>
    <w:p>
      <w:pPr>
        <w:pStyle w:val="Body"/>
      </w:pPr>
      <w:r>
        <w:rPr>
          <w:rFonts w:cs="Arial Unicode MS" w:eastAsia="Arial Unicode MS"/>
          <w:rtl w:val="0"/>
          <w:lang w:val="en-US"/>
        </w:rPr>
        <w:t>It also highlights the importance of good communication amongst the front line staff, clinical leaders and senior management. Any concerns should be investigated as soon as possible, objectively and transparently and should have escalation processes where risks continue to be not resolved (</w:t>
      </w:r>
      <w:r>
        <w:rPr>
          <w:rFonts w:cs="Arial Unicode MS" w:eastAsia="Arial Unicode MS"/>
          <w:rtl w:val="0"/>
          <w:lang w:val="it-IT"/>
        </w:rPr>
        <w:t>Eloranta, Ketola and Ikonen, 2026)</w:t>
      </w:r>
      <w:r>
        <w:rPr>
          <w:rFonts w:cs="Arial Unicode MS" w:eastAsia="Arial Unicode MS"/>
          <w:rtl w:val="0"/>
          <w:lang w:val="en-US"/>
        </w:rPr>
        <w:t>. The prevention of emerging clinical concerns becoming major patient-safety failures therefore hinges on the accountability of the individuals meeting with questions of patient safety, on staff members' confidence about speaking up when they notice these matters, on the effectiveness of incident investigation, and on the learning which results from these investigations (McCullough et al., 2023).Seeking to prevent emerging clinical concerns from becoming serious patient-safety failures therefore depends on leadership accountability, staff members' confidence to speak up when they notice patient-safety matters.</w:t>
      </w:r>
    </w:p>
    <w:p>
      <w:pPr>
        <w:pStyle w:val="Heading 2"/>
      </w:pPr>
      <w:bookmarkStart w:name="_Toc5" w:id="5"/>
      <w:r>
        <w:rPr>
          <w:rFonts w:cs="Arial Unicode MS" w:eastAsia="Arial Unicode MS"/>
          <w:rtl w:val="0"/>
          <w:lang w:val="en-US"/>
        </w:rPr>
        <w:t>2.4 Strategic Analysis: SWOT</w:t>
      </w:r>
      <w:bookmarkEnd w:id="5"/>
    </w:p>
    <w:p>
      <w:pPr>
        <w:pStyle w:val="Body"/>
      </w:pPr>
      <w:r>
        <w:rPr>
          <w:rFonts w:cs="Arial Unicode MS" w:eastAsia="Arial Unicode MS"/>
          <w:rtl w:val="0"/>
          <w:lang w:val="en-US"/>
        </w:rPr>
        <w:t>The focused SWOT analysis presents the organisation's strengths to implement sustainable patient-safety improvement.</w:t>
      </w:r>
    </w:p>
    <w:p>
      <w:pPr>
        <w:pStyle w:val="Body"/>
      </w:pPr>
      <w:r>
        <w:rPr>
          <w:rFonts w:cs="Arial Unicode MS" w:eastAsia="Arial Unicode MS"/>
          <w:b w:val="1"/>
          <w:bCs w:val="1"/>
          <w:rtl w:val="0"/>
          <w:lang w:val="en-US"/>
        </w:rPr>
        <w:t>Strengths</w:t>
      </w:r>
      <w:r>
        <w:rPr>
          <w:rFonts w:cs="Arial Unicode MS" w:eastAsia="Arial Unicode MS"/>
          <w:rtl w:val="0"/>
          <w:lang w:val="en-US"/>
        </w:rPr>
        <w:t>: This SWOT analysis of the Countess of Chester Hospital NHS Foundation Trust focussed on the organisational factors which impacted on the identification, prioritisation and exploration of new clinical concerns. The strengths</w:t>
      </w:r>
      <w:r>
        <w:rPr>
          <w:rFonts w:cs="Arial Unicode MS" w:eastAsia="Arial Unicode MS"/>
          <w:rtl w:val="0"/>
          <w:lang w:val="en-US"/>
        </w:rPr>
        <w:t xml:space="preserve"> are</w:t>
      </w:r>
      <w:r>
        <w:rPr>
          <w:rFonts w:cs="Arial Unicode MS" w:eastAsia="Arial Unicode MS"/>
          <w:rtl w:val="0"/>
          <w:lang w:val="en-US"/>
        </w:rPr>
        <w:t xml:space="preserve"> the Trust had established mechanisms for identifying patient safety issues through clinical governance arrangements, through the use of incident reporting systems and by the use of multidisciplinary teams</w:t>
      </w:r>
      <w:r>
        <w:rPr>
          <w:rFonts w:cs="Arial Unicode MS" w:eastAsia="Arial Unicode MS"/>
          <w:rtl w:val="0"/>
          <w:lang w:val="en-US"/>
        </w:rPr>
        <w:t xml:space="preserve"> (Coch.nhs.uk, 2024)</w:t>
      </w:r>
      <w:r>
        <w:rPr>
          <w:rFonts w:cs="Arial Unicode MS" w:eastAsia="Arial Unicode MS"/>
          <w:rtl w:val="0"/>
          <w:lang w:val="en-US"/>
        </w:rPr>
        <w:t>. These facilities afforded the opportunity to record, review and escalate concerns as appropriate. There was also the provision of external regulatory framework that offered opportunities for organisation learning and accountability.</w:t>
      </w:r>
      <w:r>
        <w:rPr>
          <w:rFonts w:cs="Arial Unicode MS" w:eastAsia="Arial Unicode MS"/>
          <w:rtl w:val="0"/>
          <w:lang w:val="en-US"/>
        </w:rPr>
        <w:t xml:space="preserve"> </w:t>
      </w:r>
      <w:r>
        <w:rPr>
          <w:rFonts w:cs="Arial Unicode MS" w:eastAsia="Arial Unicode MS"/>
          <w:rtl w:val="0"/>
          <w:lang w:val="en-US"/>
        </w:rPr>
        <w:t xml:space="preserve">There are existing NHS governance frameworks in place, multi-professional clinical skills, incident reporting systems and national safety frameworks to underpin standardised escalation and learning (Eloranta, Ketola and Ikonen, 2026). </w:t>
      </w:r>
    </w:p>
    <w:p>
      <w:pPr>
        <w:pStyle w:val="Body"/>
      </w:pPr>
      <w:r>
        <w:rPr>
          <w:rFonts w:cs="Arial Unicode MS" w:eastAsia="Arial Unicode MS"/>
          <w:b w:val="1"/>
          <w:bCs w:val="1"/>
          <w:rtl w:val="0"/>
          <w:lang w:val="en-US"/>
        </w:rPr>
        <w:t>Weaknesses</w:t>
      </w:r>
      <w:r>
        <w:rPr>
          <w:rFonts w:cs="Arial Unicode MS" w:eastAsia="Arial Unicode MS"/>
          <w:rtl w:val="0"/>
          <w:lang w:val="en-US"/>
        </w:rPr>
        <w:t>: Weaknesses are still very strong, including failures to escalate, make decisions at the top, have a culture of psychological safety, and staffing pressures and lack of organisational learning.</w:t>
      </w:r>
      <w:r>
        <w:rPr>
          <w:rFonts w:cs="Arial Unicode MS" w:eastAsia="Arial Unicode MS"/>
          <w:rtl w:val="0"/>
          <w:lang w:val="en-US"/>
        </w:rPr>
        <w:t xml:space="preserve"> Notwithstanding, some of the shortcomings made the whole process of this trust ineffectual. The most serious issue was the failure to see various clinical incidents as part of a broader concern (Thirlwall Inquiry, 2025). When signs of a problem do not connect, chances of early intervention are missed. Poor communication between the medical staff, management and the senior management can further delay the situation from escalating (Department of Health and Social Care, 2023). Problems with incident investigation and learning from mistakes lead to repeated occurrences of the same serious issue in the future</w:t>
      </w:r>
    </w:p>
    <w:p>
      <w:pPr>
        <w:pStyle w:val="Body"/>
      </w:pPr>
      <w:r>
        <w:rPr>
          <w:rFonts w:cs="Arial Unicode MS" w:eastAsia="Arial Unicode MS"/>
          <w:b w:val="1"/>
          <w:bCs w:val="1"/>
          <w:rtl w:val="0"/>
          <w:lang w:val="en-US"/>
        </w:rPr>
        <w:t xml:space="preserve">Opportunities: </w:t>
      </w:r>
      <w:r>
        <w:rPr>
          <w:rFonts w:cs="Arial Unicode MS" w:eastAsia="Arial Unicode MS"/>
          <w:rtl w:val="0"/>
          <w:lang w:val="en-US"/>
        </w:rPr>
        <w:t xml:space="preserve">Improved implementation of PSIRF, arrangements for Freedom to Speak Up, and independent review procedures and digital safety surveillance systems that can detect patterns earlier (Newman </w:t>
      </w:r>
      <w:r>
        <w:rPr>
          <w:rFonts w:cs="Arial Unicode MS" w:eastAsia="Arial Unicode MS"/>
          <w:i w:val="1"/>
          <w:iCs w:val="1"/>
          <w:rtl w:val="0"/>
          <w:lang w:val="nl-NL"/>
        </w:rPr>
        <w:t>et al</w:t>
      </w:r>
      <w:r>
        <w:rPr>
          <w:rFonts w:cs="Arial Unicode MS" w:eastAsia="Arial Unicode MS"/>
          <w:rtl w:val="0"/>
          <w:lang w:val="en-US"/>
        </w:rPr>
        <w:t xml:space="preserve">., 2025). These opportunities are, however, contingent on responsive leadership, as technology and/or policy will not change culture. </w:t>
      </w:r>
      <w:r>
        <w:rPr>
          <w:rFonts w:cs="Arial Unicode MS" w:eastAsia="Arial Unicode MS"/>
          <w:rtl w:val="0"/>
          <w:lang w:val="en-US"/>
        </w:rPr>
        <w:t>Therefore</w:t>
      </w:r>
      <w:r>
        <w:rPr>
          <w:rFonts w:cs="Arial Unicode MS" w:eastAsia="Arial Unicode MS"/>
          <w:rtl w:val="0"/>
          <w:lang w:val="en-US"/>
        </w:rPr>
        <w:t>, there are many opportunities for improvement. The Trust can use early-warning systems to identify unusual clinical outcome patterns and conduct a series of meetings to review these problems. To create a culture of open communication and reporting, various training programmes can be implemented to improve the reporting process</w:t>
      </w:r>
      <w:r>
        <w:rPr>
          <w:rFonts w:cs="Arial Unicode MS" w:eastAsia="Arial Unicode MS"/>
          <w:rtl w:val="0"/>
          <w:lang w:val="en-US"/>
        </w:rPr>
        <w:t xml:space="preserve"> </w:t>
      </w:r>
      <w:r>
        <w:rPr>
          <w:rFonts w:cs="Arial Unicode MS" w:eastAsia="Arial Unicode MS"/>
          <w:rtl w:val="0"/>
          <w:lang w:val="en-US"/>
        </w:rPr>
        <w:t>(Martin-Delgado et al., 2020). Moreover, the Trust can also benefit from the experience of the other organizations.</w:t>
      </w:r>
    </w:p>
    <w:p>
      <w:pPr>
        <w:pStyle w:val="Body"/>
      </w:pPr>
      <w:r>
        <w:rPr>
          <w:rFonts w:cs="Arial Unicode MS" w:eastAsia="Arial Unicode MS"/>
          <w:b w:val="1"/>
          <w:bCs w:val="1"/>
          <w:rtl w:val="0"/>
          <w:lang w:val="en-US"/>
        </w:rPr>
        <w:t>Threats</w:t>
      </w:r>
      <w:r>
        <w:rPr>
          <w:rFonts w:cs="Arial Unicode MS" w:eastAsia="Arial Unicode MS"/>
          <w:rtl w:val="0"/>
          <w:lang w:val="en-US"/>
        </w:rPr>
        <w:t>: Staff shortages, fatigue to improve, lack of trust in the organisation's reputation, limited resources, and superficial adherence to safety procedures.</w:t>
      </w:r>
      <w:r>
        <w:rPr>
          <w:rFonts w:cs="Arial Unicode MS" w:eastAsia="Arial Unicode MS"/>
          <w:rtl w:val="0"/>
          <w:lang w:val="en-US"/>
        </w:rPr>
        <w:t xml:space="preserve"> In turn, threats to the system include lack of personnel, large workload, organisational structure, poor communication and resistance to change </w:t>
      </w:r>
      <w:r>
        <w:rPr>
          <w:rFonts w:cs="Arial Unicode MS" w:eastAsia="Arial Unicode MS"/>
          <w:rtl w:val="0"/>
        </w:rPr>
        <w:t>(Halinen et al., 2024)</w:t>
      </w:r>
      <w:r>
        <w:rPr>
          <w:rFonts w:cs="Arial Unicode MS" w:eastAsia="Arial Unicode MS"/>
          <w:rtl w:val="0"/>
          <w:lang w:val="en-US"/>
        </w:rPr>
        <w:t>. These factors can make employees reluctant to escalate the emergencies. If the threat signals are ignored, the consequence might be harmful to patients, attract the attention of the regulatory bodies and damage the organization</w:t>
      </w:r>
      <w:r>
        <w:rPr>
          <w:rFonts w:cs="Arial Unicode MS" w:eastAsia="Arial Unicode MS" w:hint="default"/>
          <w:rtl w:val="0"/>
          <w:lang w:val="en-US"/>
        </w:rPr>
        <w:t>’</w:t>
      </w:r>
      <w:r>
        <w:rPr>
          <w:rFonts w:cs="Arial Unicode MS" w:eastAsia="Arial Unicode MS"/>
          <w:rtl w:val="0"/>
          <w:lang w:val="en-US"/>
        </w:rPr>
        <w:t>s reputation.</w:t>
      </w:r>
    </w:p>
    <w:p>
      <w:pPr>
        <w:pStyle w:val="Body"/>
      </w:pPr>
      <w:r>
        <w:rPr>
          <w:rFonts w:cs="Arial Unicode MS" w:eastAsia="Arial Unicode MS"/>
          <w:rtl w:val="0"/>
          <w:lang w:val="en-US"/>
        </w:rPr>
        <w:t>It is therefore essential that the strategic priority is to build on the strengths of governance in the culture, accountability of leaders and effective escalation systems, with improvement systems holding real tangible impact on frontline safety practice.</w:t>
      </w:r>
    </w:p>
    <w:p>
      <w:pPr>
        <w:pStyle w:val="Heading"/>
        <w:rPr>
          <w:sz w:val="22"/>
          <w:szCs w:val="22"/>
        </w:rPr>
      </w:pPr>
      <w:bookmarkStart w:name="_Toc6" w:id="6"/>
      <w:r>
        <w:rPr>
          <w:rFonts w:cs="Arial Unicode MS" w:eastAsia="Arial Unicode MS"/>
          <w:sz w:val="22"/>
          <w:szCs w:val="22"/>
          <w:rtl w:val="0"/>
          <w:lang w:val="en-US"/>
        </w:rPr>
        <w:t>3. Evidence-Based Recommendations and Implementation Strategy</w:t>
      </w:r>
      <w:bookmarkEnd w:id="6"/>
    </w:p>
    <w:p>
      <w:pPr>
        <w:pStyle w:val="Heading 2"/>
      </w:pPr>
      <w:bookmarkStart w:name="_Toc7" w:id="7"/>
      <w:r>
        <w:rPr>
          <w:rFonts w:cs="Arial Unicode MS" w:eastAsia="Arial Unicode MS"/>
          <w:rtl w:val="0"/>
          <w:lang w:val="en-US"/>
        </w:rPr>
        <w:t>3.1 Establish a Standardised Neonatal Safety Escalation Pathway</w:t>
      </w:r>
      <w:bookmarkEnd w:id="7"/>
    </w:p>
    <w:p>
      <w:pPr>
        <w:pStyle w:val="Body"/>
      </w:pPr>
      <w:r>
        <w:rPr>
          <w:rFonts w:cs="Arial Unicode MS" w:eastAsia="Arial Unicode MS"/>
          <w:rtl w:val="0"/>
          <w:lang w:val="en-US"/>
        </w:rPr>
        <w:t xml:space="preserve">Delayed escalation, unclear accountability and poor coordination should be covered in a standardised neonatal safety escalation pathway. It should outline clinical triggers (such as unexplained deterioration or mortality clusters) that need to be reviewed at a high level, in a timely manner. A named executive patient-safety lead should be responsible for addressing unresolved and/or high-risk issues </w:t>
      </w:r>
      <w:r>
        <w:rPr>
          <w:rFonts w:cs="Arial Unicode MS" w:eastAsia="Arial Unicode MS" w:hint="default"/>
          <w:rtl w:val="0"/>
        </w:rPr>
        <w:t xml:space="preserve">– </w:t>
      </w:r>
      <w:r>
        <w:rPr>
          <w:rFonts w:cs="Arial Unicode MS" w:eastAsia="Arial Unicode MS"/>
          <w:rtl w:val="0"/>
          <w:lang w:val="en-US"/>
        </w:rPr>
        <w:t>with independent review and escalation to the board as appropriate. This corresponds to what PSIRF expects to see in effective incident-response systems (NHS England, 2026a). But there needs to be professional judgment. The performance should be monitored using review times, escalation compliance and independent scrutiny rates</w:t>
      </w:r>
      <w:r>
        <w:rPr>
          <w:rFonts w:cs="Arial Unicode MS" w:eastAsia="Arial Unicode MS"/>
          <w:rtl w:val="0"/>
          <w:lang w:val="en-US"/>
        </w:rPr>
        <w:t>.</w:t>
      </w:r>
    </w:p>
    <w:p>
      <w:pPr>
        <w:pStyle w:val="Heading 2"/>
      </w:pPr>
      <w:bookmarkStart w:name="_Toc8" w:id="8"/>
      <w:r>
        <w:rPr>
          <w:rFonts w:cs="Arial Unicode MS" w:eastAsia="Arial Unicode MS"/>
          <w:rtl w:val="0"/>
          <w:lang w:val="en-US"/>
        </w:rPr>
        <w:t>3.2 Strengthen Freedom to Speak Up and Psychological Safety</w:t>
      </w:r>
      <w:bookmarkEnd w:id="8"/>
    </w:p>
    <w:p>
      <w:pPr>
        <w:pStyle w:val="Body"/>
      </w:pPr>
      <w:r>
        <w:rPr>
          <w:rFonts w:cs="Arial Unicode MS" w:eastAsia="Arial Unicode MS"/>
          <w:rtl w:val="0"/>
          <w:lang w:val="en-US"/>
        </w:rPr>
        <w:t>Produce safe and secure speaking up options, Freedom to Speak Up support, clear protection against adverse treatment, executive response times, regular multidisciplinary safety huddles and feedback to staff who raise concerns. This directly tackles hierarchy and organisational silence or low psychological safety found in the root cause analysis. There is now more accountability for individual healthcare organisations to ensure effective Freedom to Speak Up arrangements are in place with a national policy and support functions (NHS England, 2026). But simply introducing a new reporting system is not enough to influence behaviour if leadership are not responsive to the report. Leadership receptiveness and a staff culture where concerns are treated seriously are cited as critical factors for the success of speaking-up systems (Delpino, Lees-Deutsch and Solanki, 2023). So, leadership accountability should be paired with confidential reporting, psychological-safety surveys, and tracking of response and closure rates</w:t>
      </w:r>
      <w:r>
        <w:rPr>
          <w:rFonts w:cs="Arial Unicode MS" w:eastAsia="Arial Unicode MS"/>
          <w:rtl w:val="0"/>
          <w:lang w:val="en-US"/>
        </w:rPr>
        <w:t>.</w:t>
      </w:r>
    </w:p>
    <w:p>
      <w:pPr>
        <w:pStyle w:val="Heading 2"/>
      </w:pPr>
      <w:bookmarkStart w:name="_Toc9" w:id="9"/>
      <w:r>
        <w:rPr>
          <w:rFonts w:cs="Arial Unicode MS" w:eastAsia="Arial Unicode MS"/>
          <w:rtl w:val="0"/>
          <w:lang w:val="en-US"/>
        </w:rPr>
        <w:t>3.3 Develop Integrated Safety Surveillance and Organisational Learning</w:t>
      </w:r>
      <w:bookmarkEnd w:id="9"/>
    </w:p>
    <w:p>
      <w:pPr>
        <w:pStyle w:val="Body"/>
      </w:pPr>
      <w:r>
        <w:rPr>
          <w:rFonts w:cs="Arial Unicode MS" w:eastAsia="Arial Unicode MS"/>
          <w:rtl w:val="0"/>
          <w:lang w:val="en-US"/>
        </w:rPr>
        <w:t>The general components of a neonatal safety intelligence dashboard should include mortality, unexpected deterioration, staffing and incidents, complaints, clinical concerns, and recurring trends, and should be reviewed by multiple people at a minimum monthly. NHS England's patient safety approach focuses on using a multitude of information sources to gain intelligence on emerging or under-recognised risks, and the national LFPSE system allows organisations to access and analyse locally captured data on safety events for improvement (NHS England, 2026; NHS England, 2026a). Predefined clinical triggers and actions/existence of evidence should be included in the board report as outstanding. However, dashboards should be used as a tool to complement, not supplant, clinical judgment: unreliable data or an overload of indicators could lead to a false sense of security. Thus, the completeness, timeliness, and closure of action on data should also be audited</w:t>
      </w:r>
      <w:r>
        <w:rPr>
          <w:rFonts w:cs="Arial Unicode MS" w:eastAsia="Arial Unicode MS"/>
          <w:rtl w:val="0"/>
          <w:lang w:val="en-US"/>
        </w:rPr>
        <w:t>.</w:t>
      </w:r>
    </w:p>
    <w:p>
      <w:pPr>
        <w:pStyle w:val="Heading 2"/>
      </w:pPr>
      <w:bookmarkStart w:name="_Toc10" w:id="10"/>
      <w:r>
        <w:rPr>
          <w:rFonts w:cs="Arial Unicode MS" w:eastAsia="Arial Unicode MS"/>
          <w:rtl w:val="0"/>
          <w:lang w:val="en-US"/>
        </w:rPr>
        <w:t>3.4 Strengthen Leadership, Governance and Accountability</w:t>
      </w:r>
      <w:bookmarkEnd w:id="10"/>
    </w:p>
    <w:p>
      <w:pPr>
        <w:pStyle w:val="Body"/>
      </w:pPr>
      <w:r>
        <w:rPr>
          <w:rFonts w:cs="Arial Unicode MS" w:eastAsia="Arial Unicode MS"/>
          <w:rtl w:val="0"/>
          <w:lang w:val="en-US"/>
        </w:rPr>
        <w:t>Patient safety should be clearly defined at executive and board level and backed by safety reviews, escalation audits, monitoring of Duty of Candour and external scrutiny. Transformational leadership can help improve trust, empowerment and safety culture and thus nurse safety and patient outcomes (Ystaas et al., 2023). In a similar study, Hamdan et al. (2024) connect transformational leadership with enhanced safety practices by way of patient-safety culture. But clear escalation responsibilities, audit requirements and responsibilities are still needed as transactional controls. Thus, good governance must be a combination of empowering staff while having enforceable leadership responsibility.</w:t>
      </w:r>
    </w:p>
    <w:p>
      <w:pPr>
        <w:pStyle w:val="Heading 2"/>
      </w:pPr>
      <w:bookmarkStart w:name="_Toc11" w:id="11"/>
      <w:r>
        <w:rPr>
          <w:rFonts w:cs="Arial Unicode MS" w:eastAsia="Arial Unicode MS"/>
          <w:rtl w:val="0"/>
          <w:lang w:val="en-US"/>
        </w:rPr>
        <w:t>3.5 Implementation Through PDSA</w:t>
      </w:r>
      <w:bookmarkEnd w:id="11"/>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88"/>
        <w:gridCol w:w="5965"/>
        <w:gridCol w:w="2063"/>
      </w:tblGrid>
      <w:tr>
        <w:tblPrEx>
          <w:shd w:val="clear" w:color="auto" w:fill="cdd4e9"/>
        </w:tblPrEx>
        <w:trPr>
          <w:trHeight w:val="956" w:hRule="atLeast"/>
        </w:trPr>
        <w:tc>
          <w:tcPr>
            <w:tcW w:type="dxa" w:w="9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jc w:val="center"/>
            </w:pPr>
            <w:r>
              <w:rPr>
                <w:b w:val="1"/>
                <w:bCs w:val="1"/>
                <w:shd w:val="nil" w:color="auto" w:fill="auto"/>
                <w:rtl w:val="0"/>
                <w:lang w:val="en-US"/>
              </w:rPr>
              <w:t>PDSA Stage</w:t>
            </w:r>
          </w:p>
        </w:tc>
        <w:tc>
          <w:tcPr>
            <w:tcW w:type="dxa" w:w="5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jc w:val="center"/>
            </w:pPr>
            <w:r>
              <w:rPr>
                <w:b w:val="1"/>
                <w:bCs w:val="1"/>
                <w:shd w:val="nil" w:color="auto" w:fill="auto"/>
                <w:rtl w:val="0"/>
                <w:lang w:val="en-US"/>
              </w:rPr>
              <w:t>Implementation Actions</w:t>
            </w:r>
          </w:p>
        </w:tc>
        <w:tc>
          <w:tcPr>
            <w:tcW w:type="dxa" w:w="20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jc w:val="center"/>
            </w:pPr>
            <w:r>
              <w:rPr>
                <w:b w:val="1"/>
                <w:bCs w:val="1"/>
                <w:shd w:val="nil" w:color="auto" w:fill="auto"/>
                <w:rtl w:val="0"/>
                <w:lang w:val="en-US"/>
              </w:rPr>
              <w:t>Measures / Expected Outcome</w:t>
            </w:r>
          </w:p>
        </w:tc>
      </w:tr>
      <w:tr>
        <w:tblPrEx>
          <w:shd w:val="clear" w:color="auto" w:fill="cdd4e9"/>
        </w:tblPrEx>
        <w:trPr>
          <w:trHeight w:val="3094" w:hRule="atLeast"/>
        </w:trPr>
        <w:tc>
          <w:tcPr>
            <w:tcW w:type="dxa" w:w="9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Plan</w:t>
            </w:r>
          </w:p>
        </w:tc>
        <w:tc>
          <w:tcPr>
            <w:tcW w:type="dxa" w:w="5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Record baseline information on escalation delays, incident reviews and staff speaking-up experiences. Identify the current escalation chain and discuss and agree new escalation rules and triggers with independent review (Rutherfoord, Jassal and Galloway, 2026). Establish the SMART Goal: 95% of neonatal safety concerns at escalation level will be reviewed with a documented senior review within 6 months and within 24 hours.</w:t>
            </w:r>
          </w:p>
        </w:tc>
        <w:tc>
          <w:tcPr>
            <w:tcW w:type="dxa" w:w="20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Baseline escalation time; current compliance rate; staff psychological-safety scores; number of unresolved concerns.</w:t>
            </w:r>
          </w:p>
        </w:tc>
      </w:tr>
      <w:tr>
        <w:tblPrEx>
          <w:shd w:val="clear" w:color="auto" w:fill="cdd4e9"/>
        </w:tblPrEx>
        <w:trPr>
          <w:trHeight w:val="2738" w:hRule="atLeast"/>
        </w:trPr>
        <w:tc>
          <w:tcPr>
            <w:tcW w:type="dxa" w:w="9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Do</w:t>
            </w:r>
          </w:p>
        </w:tc>
        <w:tc>
          <w:tcPr>
            <w:tcW w:type="dxa" w:w="5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 xml:space="preserve">Conduct a pilot run of the new pathway in the neonatal unit (Irimu </w:t>
            </w:r>
            <w:r>
              <w:rPr>
                <w:i w:val="1"/>
                <w:iCs w:val="1"/>
                <w:shd w:val="nil" w:color="auto" w:fill="auto"/>
                <w:rtl w:val="0"/>
                <w:lang w:val="en-US"/>
              </w:rPr>
              <w:t>et al</w:t>
            </w:r>
            <w:r>
              <w:rPr>
                <w:shd w:val="nil" w:color="auto" w:fill="auto"/>
                <w:rtl w:val="0"/>
                <w:lang w:val="en-US"/>
              </w:rPr>
              <w:t>., 2025). Start staff training, multi-disciplinary safety huddles, a safety-surveillance dashboard and staff-safe routes to speak up. Identify named clinical and executive leads.</w:t>
            </w:r>
          </w:p>
        </w:tc>
        <w:tc>
          <w:tcPr>
            <w:tcW w:type="dxa" w:w="20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Training completion; pathway utilisation; number of concerns escalated; dashboard completeness.</w:t>
            </w:r>
          </w:p>
        </w:tc>
      </w:tr>
      <w:tr>
        <w:tblPrEx>
          <w:shd w:val="clear" w:color="auto" w:fill="cdd4e9"/>
        </w:tblPrEx>
        <w:trPr>
          <w:trHeight w:val="2381" w:hRule="atLeast"/>
        </w:trPr>
        <w:tc>
          <w:tcPr>
            <w:tcW w:type="dxa" w:w="9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Study</w:t>
            </w:r>
          </w:p>
        </w:tc>
        <w:tc>
          <w:tcPr>
            <w:tcW w:type="dxa" w:w="5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 xml:space="preserve">Compare the pilot results to baseline data. Review process measures: escalation compliance rate, escalation investigation time (Yu </w:t>
            </w:r>
            <w:r>
              <w:rPr>
                <w:i w:val="1"/>
                <w:iCs w:val="1"/>
                <w:shd w:val="nil" w:color="auto" w:fill="auto"/>
                <w:rtl w:val="0"/>
                <w:lang w:val="en-US"/>
              </w:rPr>
              <w:t>et al</w:t>
            </w:r>
            <w:r>
              <w:rPr>
                <w:shd w:val="nil" w:color="auto" w:fill="auto"/>
                <w:rtl w:val="0"/>
                <w:lang w:val="en-US"/>
              </w:rPr>
              <w:t>., 2023). Outcome measures: unresolved safety concerns, staff's psychological safety, family's experience. Balancing measures: workload, unnecessary escalations.</w:t>
            </w:r>
          </w:p>
        </w:tc>
        <w:tc>
          <w:tcPr>
            <w:tcW w:type="dxa" w:w="20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Determine whether improvements are statistically and clinically meaningful and identify unintended consequences.</w:t>
            </w:r>
          </w:p>
        </w:tc>
      </w:tr>
      <w:tr>
        <w:tblPrEx>
          <w:shd w:val="clear" w:color="auto" w:fill="cdd4e9"/>
        </w:tblPrEx>
        <w:trPr>
          <w:trHeight w:val="2381" w:hRule="atLeast"/>
        </w:trPr>
        <w:tc>
          <w:tcPr>
            <w:tcW w:type="dxa" w:w="9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Act</w:t>
            </w:r>
          </w:p>
        </w:tc>
        <w:tc>
          <w:tcPr>
            <w:tcW w:type="dxa" w:w="59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 xml:space="preserve">Standardise good practices, make changes to ineffective practices, and conduct additional PDSA cycles prior to the broader implementation of practices in other high-risk services (Manandi </w:t>
            </w:r>
            <w:r>
              <w:rPr>
                <w:i w:val="1"/>
                <w:iCs w:val="1"/>
                <w:shd w:val="nil" w:color="auto" w:fill="auto"/>
                <w:rtl w:val="0"/>
                <w:lang w:val="en-US"/>
              </w:rPr>
              <w:t>et al</w:t>
            </w:r>
            <w:r>
              <w:rPr>
                <w:shd w:val="nil" w:color="auto" w:fill="auto"/>
                <w:rtl w:val="0"/>
                <w:lang w:val="en-US"/>
              </w:rPr>
              <w:t xml:space="preserve">., 2023). </w:t>
            </w:r>
          </w:p>
        </w:tc>
        <w:tc>
          <w:tcPr>
            <w:tcW w:type="dxa" w:w="20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pPr>
            <w:r>
              <w:rPr>
                <w:shd w:val="nil" w:color="auto" w:fill="auto"/>
                <w:rtl w:val="0"/>
                <w:lang w:val="en-US"/>
              </w:rPr>
              <w:t>Sustained compliance, reduced escalation delays and evidence of organisational learning.</w:t>
            </w:r>
          </w:p>
        </w:tc>
      </w:tr>
    </w:tbl>
    <w:p>
      <w:pPr>
        <w:pStyle w:val="Heading 2"/>
        <w:widowControl w:val="0"/>
        <w:spacing w:line="240" w:lineRule="auto"/>
      </w:pPr>
    </w:p>
    <w:p>
      <w:pPr>
        <w:pStyle w:val="Body"/>
        <w:jc w:val="center"/>
        <w:rPr>
          <w:b w:val="1"/>
          <w:bCs w:val="1"/>
        </w:rPr>
      </w:pPr>
      <w:r>
        <w:rPr>
          <w:b w:val="1"/>
          <w:bCs w:val="1"/>
          <w:rtl w:val="0"/>
          <w:lang w:val="en-US"/>
        </w:rPr>
        <w:t>Table 1: PDSA Implementation Plan</w:t>
      </w:r>
    </w:p>
    <w:p>
      <w:pPr>
        <w:pStyle w:val="Body"/>
        <w:jc w:val="center"/>
      </w:pPr>
      <w:r>
        <w:rPr>
          <w:rtl w:val="0"/>
          <w:lang w:val="en-US"/>
        </w:rPr>
        <w:t>(Source: Self-Developed)</w:t>
      </w:r>
    </w:p>
    <w:p>
      <w:pPr>
        <w:pStyle w:val="Heading 2"/>
      </w:pPr>
      <w:bookmarkStart w:name="_Toc12" w:id="12"/>
      <w:r>
        <w:rPr>
          <w:rFonts w:cs="Arial Unicode MS" w:eastAsia="Arial Unicode MS"/>
          <w:rtl w:val="0"/>
          <w:lang w:val="en-US"/>
        </w:rPr>
        <w:t xml:space="preserve">3.6 </w:t>
      </w:r>
      <w:r>
        <w:rPr>
          <w:rFonts w:cs="Arial Unicode MS" w:eastAsia="Arial Unicode MS"/>
          <w:rtl w:val="0"/>
          <w:lang w:val="en-US"/>
        </w:rPr>
        <w:t xml:space="preserve">Sustaining Organisational Change </w:t>
      </w:r>
      <w:bookmarkEnd w:id="12"/>
    </w:p>
    <w:p>
      <w:pPr>
        <w:pStyle w:val="Body"/>
      </w:pPr>
      <w:r>
        <w:rPr>
          <w:rFonts w:cs="Arial Unicode MS" w:eastAsia="Arial Unicode MS"/>
          <w:rtl w:val="0"/>
          <w:lang w:val="en-US"/>
        </w:rPr>
        <w:t>Lewin's Change Management Model can be used to help with the sustainability of the proposed improvements in the longer term (Pubodhya and Rajapakshe, 2025; Amina, Kassem and Sleem, 2022). In unfreezing, leaders should share some of the governance deficiencies and create a sense of an emergency and break the cycle of silence. The change stage should include new escalation plans, staff training, safety dashboards, independent review and multidisciplinary safety huddles. Successful practices need to be built into organisational policies, induction practices, audit processes, staff appraisal, board-level reporting and further PDSA cycles through refreezing. This is similar to the previous case study which focused on the application of Lewin's model to the redesign of governance, and highlighted the need for involvement, communication, training and ongoing review and monitoring for sustainability of healthcare changes.</w:t>
      </w:r>
    </w:p>
    <w:p>
      <w:pPr>
        <w:pStyle w:val="Heading 2"/>
      </w:pPr>
      <w:bookmarkStart w:name="_Toc13" w:id="13"/>
      <w:r>
        <w:rPr>
          <w:rFonts w:cs="Arial Unicode MS" w:eastAsia="Arial Unicode MS"/>
          <w:rtl w:val="0"/>
          <w:lang w:val="en-US"/>
        </w:rPr>
        <w:t>3.7 Applying Lean for Process Improvement</w:t>
      </w:r>
      <w:bookmarkEnd w:id="13"/>
    </w:p>
    <w:p>
      <w:pPr>
        <w:pStyle w:val="Body"/>
      </w:pPr>
      <w:r>
        <w:rPr>
          <w:rFonts w:cs="Arial Unicode MS" w:eastAsia="Arial Unicode MS"/>
          <w:rtl w:val="0"/>
          <w:lang w:val="en-US"/>
        </w:rPr>
        <w:t xml:space="preserve">Lean should be used in conjunction with PDSA to minimise non-value-added delays, duplication and other activities in neonatal escalation of safety events (Bradley </w:t>
      </w:r>
      <w:r>
        <w:rPr>
          <w:rFonts w:cs="Arial Unicode MS" w:eastAsia="Arial Unicode MS"/>
          <w:i w:val="1"/>
          <w:iCs w:val="1"/>
          <w:rtl w:val="0"/>
          <w:lang w:val="nl-NL"/>
        </w:rPr>
        <w:t>et al</w:t>
      </w:r>
      <w:r>
        <w:rPr>
          <w:rFonts w:cs="Arial Unicode MS" w:eastAsia="Arial Unicode MS"/>
          <w:rtl w:val="0"/>
          <w:lang w:val="en-US"/>
        </w:rPr>
        <w:t xml:space="preserve">., 2024). Lean is about optimising workflows, standardising processes and focusing on activities that contribute to patient safety (Barr and Brannan, 2024). A Value Stream Mapping exercise might illustrate the process of identifying a clinical concern, reporting it, having it reviewed by a senior, investigated, and reported to a board (Davies </w:t>
      </w:r>
      <w:r>
        <w:rPr>
          <w:rFonts w:cs="Arial Unicode MS" w:eastAsia="Arial Unicode MS"/>
          <w:i w:val="1"/>
          <w:iCs w:val="1"/>
          <w:rtl w:val="0"/>
          <w:lang w:val="nl-NL"/>
        </w:rPr>
        <w:t>et al</w:t>
      </w:r>
      <w:r>
        <w:rPr>
          <w:rFonts w:cs="Arial Unicode MS" w:eastAsia="Arial Unicode MS"/>
          <w:rtl w:val="0"/>
          <w:lang w:val="en-US"/>
        </w:rPr>
        <w:t>., 2023). This would assist in identifying delays in waiting times, unnecessary approval stages, unclear handovers and duplicated documentation that may result in a delay in action. Standard Operating Procedures would then identify what is expected of each person, what constitutes an escalation and the expected response time. Lean should not be used solely as a cost-cutting tool, as this may lead to placing too much pressure on over-extended employees. These are therefore the key factors that must be considered during its implementation: safety, reliability and staff involvement. In tandem with PDSA, Lean can reduce the escalation process and retesting redesigned workflows to make sure they stay effective and sustainable.</w:t>
      </w:r>
    </w:p>
    <w:p>
      <w:pPr>
        <w:pStyle w:val="Heading"/>
        <w:rPr>
          <w:sz w:val="22"/>
          <w:szCs w:val="22"/>
        </w:rPr>
      </w:pPr>
      <w:bookmarkStart w:name="_Toc14" w:id="14"/>
      <w:r>
        <w:rPr>
          <w:rFonts w:cs="Arial Unicode MS" w:eastAsia="Arial Unicode MS"/>
          <w:sz w:val="22"/>
          <w:szCs w:val="22"/>
          <w:rtl w:val="0"/>
          <w:lang w:val="it-IT"/>
        </w:rPr>
        <w:t>4.0 Conclusion</w:t>
      </w:r>
      <w:bookmarkEnd w:id="14"/>
    </w:p>
    <w:p>
      <w:pPr>
        <w:pStyle w:val="Body"/>
      </w:pPr>
      <w:r>
        <w:rPr>
          <w:rFonts w:cs="Arial Unicode MS" w:eastAsia="Arial Unicode MS"/>
          <w:rtl w:val="0"/>
          <w:lang w:val="en-US"/>
        </w:rPr>
        <w:t>The analysis highlights the interconnected nature of the failures in leadership, staffing, communication, escalation and reporting and organisational processes that led to the failure to keep the baby safe at birth, and shows that there is no single failure that is responsible. The fishbone and 5 Whys exercise helped uncover the underlying causes, and Donabedian</w:t>
      </w:r>
      <w:r>
        <w:rPr>
          <w:rFonts w:cs="Arial Unicode MS" w:eastAsia="Arial Unicode MS"/>
          <w:rtl w:val="0"/>
          <w:lang w:val="en-US"/>
        </w:rPr>
        <w:t xml:space="preserve"> </w:t>
      </w:r>
      <w:r>
        <w:rPr>
          <w:rFonts w:cs="Arial Unicode MS" w:eastAsia="Arial Unicode MS"/>
          <w:rtl w:val="0"/>
          <w:lang w:val="en-US"/>
        </w:rPr>
        <w:t>Model demonstrated how organisational environment and care processes led to adverse outcomes. Growth opportunities and hurdles in attaining sustainable change were identified through SWOT analysis too. A standardized hierarchy of escalation, better speaking up systems, and safety surveillance and accountability for leaders should be considered to make improvements. The use of PDSA would help you in the process of testing and improvement, while using the Lean method would allow you to get rid of waste, redundancy, and inefficiency.</w:t>
      </w:r>
    </w:p>
    <w:p>
      <w:pPr>
        <w:pStyle w:val="Body"/>
      </w:pPr>
      <w:r>
        <w:rPr>
          <w:rFonts w:ascii="Arial Unicode MS" w:cs="Arial Unicode MS" w:hAnsi="Arial Unicode MS" w:eastAsia="Arial Unicode MS"/>
          <w:b w:val="0"/>
          <w:bCs w:val="0"/>
          <w:i w:val="0"/>
          <w:iCs w:val="0"/>
          <w:lang w:val="en-US"/>
        </w:rPr>
        <w:br w:type="page"/>
      </w:r>
    </w:p>
    <w:p>
      <w:pPr>
        <w:pStyle w:val="Heading"/>
        <w:rPr>
          <w:sz w:val="22"/>
          <w:szCs w:val="22"/>
        </w:rPr>
      </w:pPr>
      <w:bookmarkStart w:name="_Toc15" w:id="15"/>
      <w:r>
        <w:rPr>
          <w:rFonts w:cs="Arial Unicode MS" w:eastAsia="Arial Unicode MS"/>
          <w:sz w:val="22"/>
          <w:szCs w:val="22"/>
          <w:rtl w:val="0"/>
          <w:lang w:val="en-US"/>
        </w:rPr>
        <w:t>References</w:t>
      </w:r>
      <w:bookmarkEnd w:id="15"/>
    </w:p>
    <w:p>
      <w:pPr>
        <w:pStyle w:val="Body"/>
      </w:pPr>
      <w:r>
        <w:rPr>
          <w:rFonts w:cs="Arial Unicode MS" w:eastAsia="Arial Unicode MS"/>
          <w:rtl w:val="0"/>
          <w:lang w:val="en-US"/>
        </w:rPr>
        <w:t>Amina, A., Kassem, A. and Sleem, W., 2022. Applying Lewin's change management theory to improve patient's discharge plan.</w:t>
      </w:r>
      <w:r>
        <w:rPr>
          <w:rFonts w:cs="Arial Unicode MS" w:eastAsia="Arial Unicode MS" w:hint="default"/>
          <w:rtl w:val="0"/>
        </w:rPr>
        <w:t> </w:t>
      </w:r>
      <w:r>
        <w:rPr>
          <w:rFonts w:cs="Arial Unicode MS" w:eastAsia="Arial Unicode MS"/>
          <w:i w:val="1"/>
          <w:iCs w:val="1"/>
          <w:rtl w:val="0"/>
          <w:lang w:val="en-US"/>
        </w:rPr>
        <w:t>Mansoura Nursing Journal</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9</w:t>
      </w:r>
      <w:r>
        <w:rPr>
          <w:rFonts w:cs="Arial Unicode MS" w:eastAsia="Arial Unicode MS"/>
          <w:rtl w:val="0"/>
        </w:rPr>
        <w:t xml:space="preserve">(2), pp.335-348. </w:t>
      </w:r>
      <w:r>
        <w:rPr>
          <w:rStyle w:val="Hyperlink.0"/>
        </w:rPr>
        <w:fldChar w:fldCharType="begin" w:fldLock="0"/>
      </w:r>
      <w:r>
        <w:rPr>
          <w:rStyle w:val="Hyperlink.0"/>
        </w:rPr>
        <w:instrText xml:space="preserve"> HYPERLINK "https://journals.ekb.eg/article_295591_2e01c440a7769101b9fd53066f06f65c.pdf"</w:instrText>
      </w:r>
      <w:r>
        <w:rPr>
          <w:rStyle w:val="Hyperlink.0"/>
        </w:rPr>
        <w:fldChar w:fldCharType="separate" w:fldLock="0"/>
      </w:r>
      <w:r>
        <w:rPr>
          <w:rStyle w:val="Hyperlink.0"/>
          <w:rFonts w:cs="Arial Unicode MS" w:eastAsia="Arial Unicode MS"/>
          <w:rtl w:val="0"/>
          <w:lang w:val="en-US"/>
        </w:rPr>
        <w:t>https://journals.ekb.eg/article_295591_2e01c440a7769101b9fd53066f06f65c.pdf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Barr, E. and Brannan, G.D., 2024. Quality improvement methods (lean, pdsa, six sigma). In</w:t>
      </w:r>
      <w:r>
        <w:rPr>
          <w:rFonts w:cs="Arial Unicode MS" w:eastAsia="Arial Unicode MS" w:hint="default"/>
          <w:rtl w:val="0"/>
        </w:rPr>
        <w:t> </w:t>
      </w:r>
      <w:r>
        <w:rPr>
          <w:rFonts w:cs="Arial Unicode MS" w:eastAsia="Arial Unicode MS"/>
          <w:i w:val="1"/>
          <w:iCs w:val="1"/>
          <w:rtl w:val="0"/>
          <w:lang w:val="en-US"/>
        </w:rPr>
        <w:t>StatPearls [Internet]</w:t>
      </w:r>
      <w:r>
        <w:rPr>
          <w:rFonts w:cs="Arial Unicode MS" w:eastAsia="Arial Unicode MS"/>
          <w:rtl w:val="0"/>
          <w:lang w:val="en-US"/>
        </w:rPr>
        <w:t xml:space="preserve">. StatPearls Publishing. </w:t>
      </w:r>
      <w:r>
        <w:rPr>
          <w:rStyle w:val="Hyperlink.0"/>
        </w:rPr>
        <w:fldChar w:fldCharType="begin" w:fldLock="0"/>
      </w:r>
      <w:r>
        <w:rPr>
          <w:rStyle w:val="Hyperlink.0"/>
        </w:rPr>
        <w:instrText xml:space="preserve"> HYPERLINK "https://www.ncbi.nlm.nih.gov/sites/books/n/statpearls/article-151565/"</w:instrText>
      </w:r>
      <w:r>
        <w:rPr>
          <w:rStyle w:val="Hyperlink.0"/>
        </w:rPr>
        <w:fldChar w:fldCharType="separate" w:fldLock="0"/>
      </w:r>
      <w:r>
        <w:rPr>
          <w:rStyle w:val="Hyperlink.0"/>
          <w:rFonts w:cs="Arial Unicode MS" w:eastAsia="Arial Unicode MS"/>
          <w:rtl w:val="0"/>
          <w:lang w:val="en-US"/>
        </w:rPr>
        <w:t>https://www.ncbi.nlm.nih.gov/sites/books/n/statpearls/article-151565/</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Bayisa, G., Gonfaa, L., Badasa, K., Dugasa, N., Abebe, M., Deressa, H., Teshoma Regassa, M., Takele, A. and Tilahun, T., 2024. Improving medical record completeness at Wallaga University Referral Hospital: a multidimensional quality improvement project.</w:t>
      </w:r>
      <w:r>
        <w:rPr>
          <w:rFonts w:cs="Arial Unicode MS" w:eastAsia="Arial Unicode MS" w:hint="default"/>
          <w:rtl w:val="0"/>
        </w:rPr>
        <w:t> </w:t>
      </w:r>
      <w:r>
        <w:rPr>
          <w:rFonts w:cs="Arial Unicode MS" w:eastAsia="Arial Unicode MS"/>
          <w:i w:val="1"/>
          <w:iCs w:val="1"/>
          <w:rtl w:val="0"/>
          <w:lang w:val="de-DE"/>
        </w:rPr>
        <w:t>BMJ Open Quality</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13</w:t>
      </w:r>
      <w:r>
        <w:rPr>
          <w:rFonts w:cs="Arial Unicode MS" w:eastAsia="Arial Unicode MS"/>
          <w:rtl w:val="0"/>
        </w:rPr>
        <w:t xml:space="preserve">(1), p.e002665. </w:t>
      </w:r>
      <w:r>
        <w:rPr>
          <w:rStyle w:val="Hyperlink.0"/>
        </w:rPr>
        <w:fldChar w:fldCharType="begin" w:fldLock="0"/>
      </w:r>
      <w:r>
        <w:rPr>
          <w:rStyle w:val="Hyperlink.0"/>
        </w:rPr>
        <w:instrText xml:space="preserve"> HYPERLINK "https://bmjopenquality.bmj.com/content/bmjqir/13/1/e002665.full.pdf"</w:instrText>
      </w:r>
      <w:r>
        <w:rPr>
          <w:rStyle w:val="Hyperlink.0"/>
        </w:rPr>
        <w:fldChar w:fldCharType="separate" w:fldLock="0"/>
      </w:r>
      <w:r>
        <w:rPr>
          <w:rStyle w:val="Hyperlink.0"/>
          <w:rFonts w:cs="Arial Unicode MS" w:eastAsia="Arial Unicode MS"/>
          <w:rtl w:val="0"/>
          <w:lang w:val="pt-PT"/>
        </w:rPr>
        <w:t>https://bmjopenquality.bmj.com/content/bmjqir/13/1/e002665.full.pdf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Bradley, C., Sumethasorn, M., Kim, J.S., Wang, S., Martinez, L., Chang, M., Lemus, L., Katebian, B., Bruce, D., Lee, A. and Baden, R., 2024. Plan-do-study-act (PDSA) interventions to improve real-world endoscopy unit productivity.</w:t>
      </w:r>
      <w:r>
        <w:rPr>
          <w:rFonts w:cs="Arial Unicode MS" w:eastAsia="Arial Unicode MS" w:hint="default"/>
          <w:rtl w:val="0"/>
        </w:rPr>
        <w:t> </w:t>
      </w:r>
      <w:r>
        <w:rPr>
          <w:rFonts w:cs="Arial Unicode MS" w:eastAsia="Arial Unicode MS"/>
          <w:i w:val="1"/>
          <w:iCs w:val="1"/>
          <w:rtl w:val="0"/>
          <w:lang w:val="en-US"/>
        </w:rPr>
        <w:t>Endoscopy international open</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12</w:t>
      </w:r>
      <w:r>
        <w:rPr>
          <w:rFonts w:cs="Arial Unicode MS" w:eastAsia="Arial Unicode MS"/>
          <w:rtl w:val="0"/>
        </w:rPr>
        <w:t xml:space="preserve">(05), pp.E642-E648. </w:t>
      </w:r>
      <w:r>
        <w:rPr>
          <w:rStyle w:val="Hyperlink.0"/>
        </w:rPr>
        <w:fldChar w:fldCharType="begin" w:fldLock="0"/>
      </w:r>
      <w:r>
        <w:rPr>
          <w:rStyle w:val="Hyperlink.0"/>
        </w:rPr>
        <w:instrText xml:space="preserve"> HYPERLINK "https://www.thieme-connect.com/products/ejournals/html/10.1055/a-2290-0263"</w:instrText>
      </w:r>
      <w:r>
        <w:rPr>
          <w:rStyle w:val="Hyperlink.0"/>
        </w:rPr>
        <w:fldChar w:fldCharType="separate" w:fldLock="0"/>
      </w:r>
      <w:r>
        <w:rPr>
          <w:rStyle w:val="Hyperlink.0"/>
          <w:rFonts w:cs="Arial Unicode MS" w:eastAsia="Arial Unicode MS"/>
          <w:rtl w:val="0"/>
          <w:lang w:val="en-US"/>
        </w:rPr>
        <w:t>https://www.thieme-connect.com/products/ejournals/html/10.1055/a-2290-0263</w:t>
      </w:r>
      <w:r>
        <w:rPr/>
        <w:fldChar w:fldCharType="end" w:fldLock="0"/>
      </w:r>
      <w:r>
        <w:rPr>
          <w:rFonts w:cs="Arial Unicode MS" w:eastAsia="Arial Unicode MS"/>
          <w:rtl w:val="0"/>
        </w:rPr>
        <w:t xml:space="preserve"> </w:t>
      </w:r>
    </w:p>
    <w:p>
      <w:pPr>
        <w:pStyle w:val="Body"/>
        <w:spacing w:after="210"/>
      </w:pPr>
      <w:r>
        <w:rPr>
          <w:rtl w:val="0"/>
          <w:lang w:val="en-US"/>
        </w:rPr>
        <w:t>Coch.nhs.uk. (2024).</w:t>
      </w:r>
      <w:r>
        <w:rPr>
          <w:rtl w:val="0"/>
          <w:lang w:val="en-US"/>
        </w:rPr>
        <w:t> </w:t>
      </w:r>
      <w:r>
        <w:rPr>
          <w:i w:val="1"/>
          <w:iCs w:val="1"/>
          <w:rtl w:val="0"/>
          <w:lang w:val="en-US"/>
        </w:rPr>
        <w:t>About us | Countess of Chester Hospital</w:t>
      </w:r>
      <w:r>
        <w:rPr>
          <w:rtl w:val="0"/>
          <w:lang w:val="en-US"/>
        </w:rPr>
        <w:t xml:space="preserve">.  Available at: </w:t>
      </w:r>
      <w:r>
        <w:rPr>
          <w:rStyle w:val="Hyperlink.1"/>
        </w:rPr>
        <w:fldChar w:fldCharType="begin" w:fldLock="0"/>
      </w:r>
      <w:r>
        <w:rPr>
          <w:rStyle w:val="Hyperlink.1"/>
        </w:rPr>
        <w:instrText xml:space="preserve"> HYPERLINK "https://www.coch.nhs.uk/corporate-information/about-us/.aspx"</w:instrText>
      </w:r>
      <w:r>
        <w:rPr>
          <w:rStyle w:val="Hyperlink.1"/>
        </w:rPr>
        <w:fldChar w:fldCharType="separate" w:fldLock="0"/>
      </w:r>
      <w:r>
        <w:rPr>
          <w:rStyle w:val="Hyperlink.1"/>
          <w:rtl w:val="0"/>
          <w:lang w:val="en-US"/>
        </w:rPr>
        <w:t>https://www.coch.nhs.uk/corporate-information/about-us/.aspx</w:t>
      </w:r>
      <w:r>
        <w:rPr/>
        <w:fldChar w:fldCharType="end" w:fldLock="0"/>
      </w:r>
      <w:r>
        <w:rPr>
          <w:rtl w:val="0"/>
          <w:lang w:val="en-US"/>
        </w:rPr>
        <w:t xml:space="preserve">  [Accessed 12 Aug. 2026].</w:t>
      </w:r>
    </w:p>
    <w:p>
      <w:pPr>
        <w:pStyle w:val="Body"/>
      </w:pPr>
      <w:r>
        <w:rPr>
          <w:rFonts w:cs="Arial Unicode MS" w:eastAsia="Arial Unicode MS"/>
          <w:rtl w:val="0"/>
          <w:lang w:val="en-US"/>
        </w:rPr>
        <w:t>Davies, E.L., Bulto, L.N., Walsh, A., Pollock, D., Langton, V.M., Laing, R.E., Graham, A., Arnold</w:t>
      </w:r>
      <w:r>
        <w:rPr>
          <w:rFonts w:cs="Arial Unicode MS" w:eastAsia="Arial Unicode MS" w:hint="default"/>
          <w:rtl w:val="0"/>
        </w:rPr>
        <w:t>‐</w:t>
      </w:r>
      <w:r>
        <w:rPr>
          <w:rFonts w:cs="Arial Unicode MS" w:eastAsia="Arial Unicode MS"/>
          <w:rtl w:val="0"/>
          <w:lang w:val="en-US"/>
        </w:rPr>
        <w:t>Chamney, M. and Kelly, J., 2023. Reporting and conducting patient journey mapping research in healthcare: a scoping review.</w:t>
      </w:r>
      <w:r>
        <w:rPr>
          <w:rFonts w:cs="Arial Unicode MS" w:eastAsia="Arial Unicode MS" w:hint="default"/>
          <w:rtl w:val="0"/>
        </w:rPr>
        <w:t> </w:t>
      </w:r>
      <w:r>
        <w:rPr>
          <w:rFonts w:cs="Arial Unicode MS" w:eastAsia="Arial Unicode MS"/>
          <w:i w:val="1"/>
          <w:iCs w:val="1"/>
          <w:rtl w:val="0"/>
          <w:lang w:val="en-US"/>
        </w:rPr>
        <w:t>Journal of advanced nursing</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79</w:t>
      </w:r>
      <w:r>
        <w:rPr>
          <w:rFonts w:cs="Arial Unicode MS" w:eastAsia="Arial Unicode MS"/>
          <w:rtl w:val="0"/>
        </w:rPr>
        <w:t xml:space="preserve">(1), pp.83-100. </w:t>
      </w:r>
      <w:r>
        <w:rPr>
          <w:rStyle w:val="Hyperlink.0"/>
        </w:rPr>
        <w:fldChar w:fldCharType="begin" w:fldLock="0"/>
      </w:r>
      <w:r>
        <w:rPr>
          <w:rStyle w:val="Hyperlink.0"/>
        </w:rPr>
        <w:instrText xml:space="preserve"> HYPERLINK "https://onlinelibrary.wiley.com/doi/pdfdirect/10.1111/jan.15479"</w:instrText>
      </w:r>
      <w:r>
        <w:rPr>
          <w:rStyle w:val="Hyperlink.0"/>
        </w:rPr>
        <w:fldChar w:fldCharType="separate" w:fldLock="0"/>
      </w:r>
      <w:r>
        <w:rPr>
          <w:rStyle w:val="Hyperlink.0"/>
          <w:rFonts w:cs="Arial Unicode MS" w:eastAsia="Arial Unicode MS"/>
          <w:rtl w:val="0"/>
          <w:lang w:val="en-US"/>
        </w:rPr>
        <w:t>https://onlinelibrary.wiley.com/doi/pdfdirect/10.1111/jan.15479</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 xml:space="preserve">Delpino, R., Lees-Deutsch, L. and Solanki, B. (2023). </w:t>
      </w:r>
      <w:r>
        <w:rPr>
          <w:rFonts w:cs="Arial Unicode MS" w:eastAsia="Arial Unicode MS" w:hint="default"/>
          <w:rtl w:val="0"/>
          <w:lang w:val="en-US"/>
        </w:rPr>
        <w:t>‘</w:t>
      </w:r>
      <w:r>
        <w:rPr>
          <w:rFonts w:cs="Arial Unicode MS" w:eastAsia="Arial Unicode MS"/>
          <w:rtl w:val="0"/>
          <w:lang w:val="en-US"/>
        </w:rPr>
        <w:t>Speaking up</w:t>
      </w:r>
      <w:r>
        <w:rPr>
          <w:rFonts w:cs="Arial Unicode MS" w:eastAsia="Arial Unicode MS" w:hint="default"/>
          <w:rtl w:val="0"/>
          <w:lang w:val="en-US"/>
        </w:rPr>
        <w:t xml:space="preserve">’ </w:t>
      </w:r>
      <w:r>
        <w:rPr>
          <w:rFonts w:cs="Arial Unicode MS" w:eastAsia="Arial Unicode MS"/>
          <w:rtl w:val="0"/>
          <w:lang w:val="en-US"/>
        </w:rPr>
        <w:t xml:space="preserve">for patient safety and staff well-being: A qualitative study. </w:t>
      </w:r>
      <w:r>
        <w:rPr>
          <w:rFonts w:cs="Arial Unicode MS" w:eastAsia="Arial Unicode MS"/>
          <w:i w:val="1"/>
          <w:iCs w:val="1"/>
          <w:rtl w:val="0"/>
          <w:lang w:val="en-US"/>
        </w:rPr>
        <w:t>BMJ Open Quality</w:t>
      </w:r>
      <w:r>
        <w:rPr>
          <w:rFonts w:cs="Arial Unicode MS" w:eastAsia="Arial Unicode MS"/>
          <w:rtl w:val="0"/>
          <w:lang w:val="en-US"/>
        </w:rPr>
        <w:t xml:space="preserve">, [online] 12(2), p.e002047. doi: </w:t>
      </w:r>
      <w:r>
        <w:rPr>
          <w:rStyle w:val="Hyperlink.1"/>
        </w:rPr>
        <w:fldChar w:fldCharType="begin" w:fldLock="0"/>
      </w:r>
      <w:r>
        <w:rPr>
          <w:rStyle w:val="Hyperlink.1"/>
        </w:rPr>
        <w:instrText xml:space="preserve"> HYPERLINK "https://www.doi.org/10.1136/bmjoq-2022-002047"</w:instrText>
      </w:r>
      <w:r>
        <w:rPr>
          <w:rStyle w:val="Hyperlink.1"/>
        </w:rPr>
        <w:fldChar w:fldCharType="separate" w:fldLock="0"/>
      </w:r>
      <w:r>
        <w:rPr>
          <w:rStyle w:val="Hyperlink.1"/>
          <w:rFonts w:cs="Arial Unicode MS" w:eastAsia="Arial Unicode MS"/>
          <w:rtl w:val="0"/>
          <w:lang w:val="en-US"/>
        </w:rPr>
        <w:t>https://www.doi.org/10.1136/bmjoq-2022-002047</w:t>
      </w:r>
      <w:r>
        <w:rPr/>
        <w:fldChar w:fldCharType="end" w:fldLock="0"/>
      </w:r>
      <w:r>
        <w:rPr>
          <w:rFonts w:cs="Arial Unicode MS" w:eastAsia="Arial Unicode MS"/>
          <w:rtl w:val="0"/>
          <w:lang w:val="en-US"/>
        </w:rPr>
        <w:t xml:space="preserve"> </w:t>
      </w:r>
    </w:p>
    <w:p>
      <w:pPr>
        <w:pStyle w:val="Body"/>
      </w:pPr>
      <w:r>
        <w:rPr>
          <w:rFonts w:cs="Arial Unicode MS" w:eastAsia="Arial Unicode MS"/>
          <w:rtl w:val="0"/>
          <w:lang w:val="en-US"/>
        </w:rPr>
        <w:t xml:space="preserve">Department of Health and Social Care (2023). </w:t>
      </w:r>
      <w:r>
        <w:rPr>
          <w:rFonts w:cs="Arial Unicode MS" w:eastAsia="Arial Unicode MS"/>
          <w:i w:val="1"/>
          <w:iCs w:val="1"/>
          <w:rtl w:val="0"/>
          <w:lang w:val="en-US"/>
        </w:rPr>
        <w:t>Thirlwall inquiry: Terms of reference</w:t>
      </w:r>
      <w:r>
        <w:rPr>
          <w:rFonts w:cs="Arial Unicode MS" w:eastAsia="Arial Unicode MS"/>
          <w:rtl w:val="0"/>
          <w:lang w:val="en-US"/>
        </w:rPr>
        <w:t xml:space="preserve">. [online] </w:t>
      </w:r>
      <w:r>
        <w:rPr>
          <w:rFonts w:cs="Arial Unicode MS" w:eastAsia="Arial Unicode MS"/>
          <w:i w:val="1"/>
          <w:iCs w:val="1"/>
          <w:rtl w:val="0"/>
          <w:lang w:val="en-US"/>
        </w:rPr>
        <w:t>GOV.UK</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"https://www.gov.uk/government/publications/thirlwall-inquiry-terms-of-reference"</w:instrText>
      </w:r>
      <w:r>
        <w:rPr>
          <w:rStyle w:val="Hyperlink.1"/>
        </w:rPr>
        <w:fldChar w:fldCharType="separate" w:fldLock="0"/>
      </w:r>
      <w:r>
        <w:rPr>
          <w:rStyle w:val="Hyperlink.1"/>
          <w:rFonts w:cs="Arial Unicode MS" w:eastAsia="Arial Unicode MS"/>
          <w:rtl w:val="0"/>
          <w:lang w:val="en-US"/>
        </w:rPr>
        <w:t>https://www.gov.uk/government/publications/thirlwall-inquiry-terms-of-reference</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Eloranta, S., Ketola, S. and Ikonen, T., 2026. Integration of patient safety into educational curricula and continuing professional training-comparison of patient safety competency models.</w:t>
      </w:r>
      <w:r>
        <w:rPr>
          <w:rFonts w:cs="Arial Unicode MS" w:eastAsia="Arial Unicode MS" w:hint="default"/>
          <w:rtl w:val="0"/>
        </w:rPr>
        <w:t> </w:t>
      </w:r>
      <w:r>
        <w:rPr>
          <w:rFonts w:cs="Arial Unicode MS" w:eastAsia="Arial Unicode MS"/>
          <w:i w:val="1"/>
          <w:iCs w:val="1"/>
          <w:rtl w:val="0"/>
          <w:lang w:val="en-US"/>
        </w:rPr>
        <w:t>Frontiers in Health Services</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6</w:t>
      </w:r>
      <w:r>
        <w:rPr>
          <w:rFonts w:cs="Arial Unicode MS" w:eastAsia="Arial Unicode MS"/>
          <w:rtl w:val="0"/>
        </w:rPr>
        <w:t xml:space="preserve">, p.1757601. </w:t>
      </w:r>
      <w:r>
        <w:rPr>
          <w:rStyle w:val="Hyperlink.0"/>
        </w:rPr>
        <w:fldChar w:fldCharType="begin" w:fldLock="0"/>
      </w:r>
      <w:r>
        <w:rPr>
          <w:rStyle w:val="Hyperlink.0"/>
        </w:rPr>
        <w:instrText xml:space="preserve"> HYPERLINK "https://www.frontiersin.org/journals/health-services/articles/10.3389/frhs.2026.1757601/pdf"</w:instrText>
      </w:r>
      <w:r>
        <w:rPr>
          <w:rStyle w:val="Hyperlink.0"/>
        </w:rPr>
        <w:fldChar w:fldCharType="separate" w:fldLock="0"/>
      </w:r>
      <w:r>
        <w:rPr>
          <w:rStyle w:val="Hyperlink.0"/>
          <w:rFonts w:cs="Arial Unicode MS" w:eastAsia="Arial Unicode MS"/>
          <w:rtl w:val="0"/>
          <w:lang w:val="en-US"/>
        </w:rPr>
        <w:t>https://www.frontiersin.org/journals/health-services/articles/10.3389/frhs.2026.1757601/pdf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Glevitzky, M., Glevitzky, I., Mucea-</w:t>
      </w:r>
      <w:r>
        <w:rPr>
          <w:rFonts w:cs="Arial Unicode MS" w:eastAsia="Arial Unicode MS" w:hint="default"/>
          <w:rtl w:val="0"/>
        </w:rPr>
        <w:t>Ș</w:t>
      </w:r>
      <w:r>
        <w:rPr>
          <w:rFonts w:cs="Arial Unicode MS" w:eastAsia="Arial Unicode MS"/>
          <w:rtl w:val="0"/>
        </w:rPr>
        <w:t>tef, P., Popa, M., Dumitrel, G.A. and Vic</w:t>
      </w:r>
      <w:r>
        <w:rPr>
          <w:rFonts w:cs="Arial Unicode MS" w:eastAsia="Arial Unicode MS" w:hint="default"/>
          <w:rtl w:val="0"/>
        </w:rPr>
        <w:t>ă</w:t>
      </w:r>
      <w:r>
        <w:rPr>
          <w:rFonts w:cs="Arial Unicode MS" w:eastAsia="Arial Unicode MS"/>
          <w:rtl w:val="0"/>
          <w:lang w:val="en-US"/>
        </w:rPr>
        <w:t>, M.L., 2025. Integrated Risk Framework (IRF)</w:t>
      </w:r>
      <w:r>
        <w:rPr>
          <w:rFonts w:cs="Arial Unicode MS" w:eastAsia="Arial Unicode MS" w:hint="default"/>
          <w:rtl w:val="0"/>
          <w:lang w:val="en-US"/>
        </w:rPr>
        <w:t>—</w:t>
      </w:r>
      <w:r>
        <w:rPr>
          <w:rFonts w:cs="Arial Unicode MS" w:eastAsia="Arial Unicode MS"/>
          <w:rtl w:val="0"/>
          <w:lang w:val="en-US"/>
        </w:rPr>
        <w:t>interconnection of the Ishikawa diagram with the enhanced HACCP system in risk assessment for the sustainable food industry.</w:t>
      </w:r>
      <w:r>
        <w:rPr>
          <w:rFonts w:cs="Arial Unicode MS" w:eastAsia="Arial Unicode MS" w:hint="default"/>
          <w:rtl w:val="0"/>
        </w:rPr>
        <w:t> </w:t>
      </w:r>
      <w:r>
        <w:rPr>
          <w:rFonts w:cs="Arial Unicode MS" w:eastAsia="Arial Unicode MS"/>
          <w:i w:val="1"/>
          <w:iCs w:val="1"/>
          <w:rtl w:val="0"/>
        </w:rPr>
        <w:t>Sustainability</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17</w:t>
      </w:r>
      <w:r>
        <w:rPr>
          <w:rFonts w:cs="Arial Unicode MS" w:eastAsia="Arial Unicode MS"/>
          <w:rtl w:val="0"/>
        </w:rPr>
        <w:t xml:space="preserve">(2), p.536. </w:t>
      </w:r>
      <w:r>
        <w:rPr>
          <w:rStyle w:val="Hyperlink.0"/>
        </w:rPr>
        <w:fldChar w:fldCharType="begin" w:fldLock="0"/>
      </w:r>
      <w:r>
        <w:rPr>
          <w:rStyle w:val="Hyperlink.0"/>
        </w:rPr>
        <w:instrText xml:space="preserve"> HYPERLINK "https://www.mdpi.com/2071-1050/17/2/536"</w:instrText>
      </w:r>
      <w:r>
        <w:rPr>
          <w:rStyle w:val="Hyperlink.0"/>
        </w:rPr>
        <w:fldChar w:fldCharType="separate" w:fldLock="0"/>
      </w:r>
      <w:r>
        <w:rPr>
          <w:rStyle w:val="Hyperlink.0"/>
          <w:rFonts w:cs="Arial Unicode MS" w:eastAsia="Arial Unicode MS"/>
          <w:rtl w:val="0"/>
          <w:lang w:val="en-US"/>
        </w:rPr>
        <w:t>https://www.mdpi.com/2071-1050/17/2/536</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Halinen, M., Tiirinki, H., Rauhala, A., Kiili, S. and Ikonen, T., 2024. Root causes behind patient safety incidents in the emergency department and suggestions for improving patient safety</w:t>
      </w:r>
      <w:r>
        <w:rPr>
          <w:rFonts w:cs="Arial Unicode MS" w:eastAsia="Arial Unicode MS" w:hint="default"/>
          <w:rtl w:val="0"/>
        </w:rPr>
        <w:t>–</w:t>
      </w:r>
      <w:r>
        <w:rPr>
          <w:rFonts w:cs="Arial Unicode MS" w:eastAsia="Arial Unicode MS"/>
          <w:rtl w:val="0"/>
          <w:lang w:val="en-US"/>
        </w:rPr>
        <w:t>an analysis in a Finnish teaching hospital.</w:t>
      </w:r>
      <w:r>
        <w:rPr>
          <w:rFonts w:cs="Arial Unicode MS" w:eastAsia="Arial Unicode MS" w:hint="default"/>
          <w:rtl w:val="0"/>
        </w:rPr>
        <w:t> </w:t>
      </w:r>
      <w:r>
        <w:rPr>
          <w:rFonts w:cs="Arial Unicode MS" w:eastAsia="Arial Unicode MS"/>
          <w:i w:val="1"/>
          <w:iCs w:val="1"/>
          <w:rtl w:val="0"/>
          <w:lang w:val="en-US"/>
        </w:rPr>
        <w:t>BMC Emergency Medicine</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24</w:t>
      </w:r>
      <w:r>
        <w:rPr>
          <w:rFonts w:cs="Arial Unicode MS" w:eastAsia="Arial Unicode MS"/>
          <w:rtl w:val="0"/>
        </w:rPr>
        <w:t xml:space="preserve">(1), p.209. </w:t>
      </w:r>
      <w:r>
        <w:rPr>
          <w:rStyle w:val="Hyperlink.0"/>
        </w:rPr>
        <w:fldChar w:fldCharType="begin" w:fldLock="0"/>
      </w:r>
      <w:r>
        <w:rPr>
          <w:rStyle w:val="Hyperlink.0"/>
        </w:rPr>
        <w:instrText xml:space="preserve"> HYPERLINK "https://link.springer.com/content/pdf/10.1186/s12873-024-01120-9.pdf"</w:instrText>
      </w:r>
      <w:r>
        <w:rPr>
          <w:rStyle w:val="Hyperlink.0"/>
        </w:rPr>
        <w:fldChar w:fldCharType="separate" w:fldLock="0"/>
      </w:r>
      <w:r>
        <w:rPr>
          <w:rStyle w:val="Hyperlink.0"/>
          <w:rFonts w:cs="Arial Unicode MS" w:eastAsia="Arial Unicode MS"/>
          <w:rtl w:val="0"/>
        </w:rPr>
        <w:t>https://link.springer.com/content/pdf/10.1186/s12873-024-01120-9.pdf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Hamdan, M., Jaaffar, A.H., Khraisat, O., Issa, M.R. and Jarrar, M.T., 2024. The association of transformational leadership on safety practices among nurses: the mediating role of patient safety culture.</w:t>
      </w:r>
      <w:r>
        <w:rPr>
          <w:rFonts w:cs="Arial Unicode MS" w:eastAsia="Arial Unicode MS" w:hint="default"/>
          <w:rtl w:val="0"/>
        </w:rPr>
        <w:t> </w:t>
      </w:r>
      <w:r>
        <w:rPr>
          <w:rFonts w:cs="Arial Unicode MS" w:eastAsia="Arial Unicode MS"/>
          <w:i w:val="1"/>
          <w:iCs w:val="1"/>
          <w:rtl w:val="0"/>
          <w:lang w:val="en-US"/>
        </w:rPr>
        <w:t>Risk Management and Healthcare Policy</w:t>
      </w:r>
      <w:r>
        <w:rPr>
          <w:rFonts w:cs="Arial Unicode MS" w:eastAsia="Arial Unicode MS"/>
          <w:rtl w:val="0"/>
        </w:rPr>
        <w:t xml:space="preserve">, pp.1687-1700. </w:t>
      </w:r>
      <w:r>
        <w:rPr>
          <w:rStyle w:val="Hyperlink.0"/>
        </w:rPr>
        <w:fldChar w:fldCharType="begin" w:fldLock="0"/>
      </w:r>
      <w:r>
        <w:rPr>
          <w:rStyle w:val="Hyperlink.0"/>
        </w:rPr>
        <w:instrText xml:space="preserve"> HYPERLINK "https://www.tandfonline.com/doi/pdf/10.2147/RMHP.S458505"</w:instrText>
      </w:r>
      <w:r>
        <w:rPr>
          <w:rStyle w:val="Hyperlink.0"/>
        </w:rPr>
        <w:fldChar w:fldCharType="separate" w:fldLock="0"/>
      </w:r>
      <w:r>
        <w:rPr>
          <w:rStyle w:val="Hyperlink.0"/>
          <w:rFonts w:cs="Arial Unicode MS" w:eastAsia="Arial Unicode MS"/>
          <w:rtl w:val="0"/>
          <w:lang w:val="en-US"/>
        </w:rPr>
        <w:t>https://www.tandfonline.com/doi/pdf/10.2147/RMHP.S458505</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Irimu, G., Gicheha, E., Musa, F., Waiyego, M., Mochache, D., Chepkemoi, A., Makokha, F., Kayiza, A., Chesang, J., Gathara, D. and Aluvaala, J., 2025. Developing context-sensitive, comprehensive newborn care protocols: integrating technologies with clinical care pathways for level 2 newborn units in Kenya.</w:t>
      </w:r>
      <w:r>
        <w:rPr>
          <w:rFonts w:cs="Arial Unicode MS" w:eastAsia="Arial Unicode MS" w:hint="default"/>
          <w:rtl w:val="0"/>
        </w:rPr>
        <w:t> </w:t>
      </w:r>
      <w:r>
        <w:rPr>
          <w:rFonts w:cs="Arial Unicode MS" w:eastAsia="Arial Unicode MS"/>
          <w:i w:val="1"/>
          <w:iCs w:val="1"/>
          <w:rtl w:val="0"/>
          <w:lang w:val="en-US"/>
        </w:rPr>
        <w:t>Journal of Global Health</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15</w:t>
      </w:r>
      <w:r>
        <w:rPr>
          <w:rFonts w:cs="Arial Unicode MS" w:eastAsia="Arial Unicode MS"/>
          <w:rtl w:val="0"/>
        </w:rPr>
        <w:t xml:space="preserve">, p.04271. </w:t>
      </w:r>
      <w:r>
        <w:rPr>
          <w:rStyle w:val="Hyperlink.0"/>
        </w:rPr>
        <w:fldChar w:fldCharType="begin" w:fldLock="0"/>
      </w:r>
      <w:r>
        <w:rPr>
          <w:rStyle w:val="Hyperlink.0"/>
        </w:rPr>
        <w:instrText xml:space="preserve"> HYPERLINK "https://pmc.ncbi.nlm.nih.gov/articles/PMC12512004/"</w:instrText>
      </w:r>
      <w:r>
        <w:rPr>
          <w:rStyle w:val="Hyperlink.0"/>
        </w:rPr>
        <w:fldChar w:fldCharType="separate" w:fldLock="0"/>
      </w:r>
      <w:r>
        <w:rPr>
          <w:rStyle w:val="Hyperlink.0"/>
          <w:rFonts w:cs="Arial Unicode MS" w:eastAsia="Arial Unicode MS"/>
          <w:rtl w:val="0"/>
          <w:lang w:val="en-US"/>
        </w:rPr>
        <w:t>https://pmc.ncbi.nlm.nih.gov/articles/PMC12512004/</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Kim, S., Kim, J. and Kim, K.J., 2026. Factors Influencing Nurses' Person</w:t>
      </w:r>
      <w:r>
        <w:rPr>
          <w:rFonts w:cs="Arial Unicode MS" w:eastAsia="Arial Unicode MS" w:hint="default"/>
          <w:rtl w:val="0"/>
        </w:rPr>
        <w:t>‐</w:t>
      </w:r>
      <w:r>
        <w:rPr>
          <w:rFonts w:cs="Arial Unicode MS" w:eastAsia="Arial Unicode MS"/>
          <w:rtl w:val="0"/>
          <w:lang w:val="en-US"/>
        </w:rPr>
        <w:t>Centred Care Practices in Dementia Care: A Scoping Review Based on the Donabedian Model.</w:t>
      </w:r>
      <w:r>
        <w:rPr>
          <w:rFonts w:cs="Arial Unicode MS" w:eastAsia="Arial Unicode MS" w:hint="default"/>
          <w:rtl w:val="0"/>
        </w:rPr>
        <w:t> </w:t>
      </w:r>
      <w:r>
        <w:rPr>
          <w:rFonts w:cs="Arial Unicode MS" w:eastAsia="Arial Unicode MS"/>
          <w:i w:val="1"/>
          <w:iCs w:val="1"/>
          <w:rtl w:val="0"/>
          <w:lang w:val="en-US"/>
        </w:rPr>
        <w:t>Scandinavian Journal of Caring Sciences</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40</w:t>
      </w:r>
      <w:r>
        <w:rPr>
          <w:rFonts w:cs="Arial Unicode MS" w:eastAsia="Arial Unicode MS"/>
          <w:rtl w:val="0"/>
        </w:rPr>
        <w:t xml:space="preserve">(2), p.e70259. </w:t>
      </w:r>
      <w:r>
        <w:rPr>
          <w:rStyle w:val="Hyperlink.0"/>
        </w:rPr>
        <w:fldChar w:fldCharType="begin" w:fldLock="0"/>
      </w:r>
      <w:r>
        <w:rPr>
          <w:rStyle w:val="Hyperlink.0"/>
        </w:rPr>
        <w:instrText xml:space="preserve"> HYPERLINK "https://onlinelibrary.wiley.com/doi/pdfdirect/10.1111/scs.70259"</w:instrText>
      </w:r>
      <w:r>
        <w:rPr>
          <w:rStyle w:val="Hyperlink.0"/>
        </w:rPr>
        <w:fldChar w:fldCharType="separate" w:fldLock="0"/>
      </w:r>
      <w:r>
        <w:rPr>
          <w:rStyle w:val="Hyperlink.0"/>
          <w:rFonts w:cs="Arial Unicode MS" w:eastAsia="Arial Unicode MS"/>
          <w:rtl w:val="0"/>
          <w:lang w:val="en-US"/>
        </w:rPr>
        <w:t>https://onlinelibrary.wiley.com/doi/pdfdirect/10.1111/scs.70259</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Manandi, D., Tu, Q., Hafiz, N., Raeside, R., Redfern, J. and Hyun, K., 2023. The evaluation of the Plan</w:t>
      </w:r>
      <w:r>
        <w:rPr>
          <w:rFonts w:cs="Arial Unicode MS" w:eastAsia="Arial Unicode MS" w:hint="default"/>
          <w:rtl w:val="0"/>
        </w:rPr>
        <w:t>–</w:t>
      </w:r>
      <w:r>
        <w:rPr>
          <w:rFonts w:cs="Arial Unicode MS" w:eastAsia="Arial Unicode MS"/>
          <w:rtl w:val="0"/>
        </w:rPr>
        <w:t>Do</w:t>
      </w:r>
      <w:r>
        <w:rPr>
          <w:rFonts w:cs="Arial Unicode MS" w:eastAsia="Arial Unicode MS" w:hint="default"/>
          <w:rtl w:val="0"/>
        </w:rPr>
        <w:t>–</w:t>
      </w:r>
      <w:r>
        <w:rPr>
          <w:rFonts w:cs="Arial Unicode MS" w:eastAsia="Arial Unicode MS"/>
          <w:rtl w:val="0"/>
          <w:lang w:val="en-US"/>
        </w:rPr>
        <w:t>Study</w:t>
      </w:r>
      <w:r>
        <w:rPr>
          <w:rFonts w:cs="Arial Unicode MS" w:eastAsia="Arial Unicode MS" w:hint="default"/>
          <w:rtl w:val="0"/>
        </w:rPr>
        <w:t>–</w:t>
      </w:r>
      <w:r>
        <w:rPr>
          <w:rFonts w:cs="Arial Unicode MS" w:eastAsia="Arial Unicode MS"/>
          <w:rtl w:val="0"/>
          <w:lang w:val="en-US"/>
        </w:rPr>
        <w:t>Act cycles for a healthcare quality improvement intervention in primary care.</w:t>
      </w:r>
      <w:r>
        <w:rPr>
          <w:rFonts w:cs="Arial Unicode MS" w:eastAsia="Arial Unicode MS" w:hint="default"/>
          <w:rtl w:val="0"/>
        </w:rPr>
        <w:t> </w:t>
      </w:r>
      <w:r>
        <w:rPr>
          <w:rFonts w:cs="Arial Unicode MS" w:eastAsia="Arial Unicode MS"/>
          <w:i w:val="1"/>
          <w:iCs w:val="1"/>
          <w:rtl w:val="0"/>
          <w:lang w:val="en-US"/>
        </w:rPr>
        <w:t>Australian Journal of Primary Health</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30</w:t>
      </w:r>
      <w:r>
        <w:rPr>
          <w:rFonts w:cs="Arial Unicode MS" w:eastAsia="Arial Unicode MS"/>
          <w:rtl w:val="0"/>
        </w:rPr>
        <w:t xml:space="preserve">(1), p.PY23123. </w:t>
      </w:r>
      <w:r>
        <w:rPr>
          <w:rStyle w:val="Hyperlink.0"/>
        </w:rPr>
        <w:fldChar w:fldCharType="begin" w:fldLock="0"/>
      </w:r>
      <w:r>
        <w:rPr>
          <w:rStyle w:val="Hyperlink.0"/>
        </w:rPr>
        <w:instrText xml:space="preserve"> HYPERLINK "https://connectsci.au/py/article-pdf/doi/10.1071/PY23123/586598/py23123.pdf"</w:instrText>
      </w:r>
      <w:r>
        <w:rPr>
          <w:rStyle w:val="Hyperlink.0"/>
        </w:rPr>
        <w:fldChar w:fldCharType="separate" w:fldLock="0"/>
      </w:r>
      <w:r>
        <w:rPr>
          <w:rStyle w:val="Hyperlink.0"/>
          <w:rFonts w:cs="Arial Unicode MS" w:eastAsia="Arial Unicode MS"/>
          <w:rtl w:val="0"/>
          <w:lang w:val="en-US"/>
        </w:rPr>
        <w:t>https://connectsci.au/py/article-pdf/doi/10.1071/PY23123/586598/py23123.pdf</w:t>
      </w:r>
      <w:r>
        <w:rPr/>
        <w:fldChar w:fldCharType="end" w:fldLock="0"/>
      </w:r>
      <w:r>
        <w:rPr>
          <w:rFonts w:cs="Arial Unicode MS" w:eastAsia="Arial Unicode MS"/>
          <w:rtl w:val="0"/>
        </w:rPr>
        <w:t xml:space="preserve"> </w:t>
      </w:r>
    </w:p>
    <w:p>
      <w:pPr>
        <w:pStyle w:val="Body"/>
      </w:pPr>
      <w:r>
        <w:rPr>
          <w:rFonts w:cs="Arial Unicode MS" w:eastAsia="Arial Unicode MS"/>
          <w:rtl w:val="0"/>
          <w:lang w:val="pt-PT"/>
        </w:rPr>
        <w:t>Martin-Delgado, J., Mart</w:t>
      </w:r>
      <w:r>
        <w:rPr>
          <w:rFonts w:cs="Arial Unicode MS" w:eastAsia="Arial Unicode MS" w:hint="default"/>
          <w:rtl w:val="0"/>
        </w:rPr>
        <w:t>í</w:t>
      </w:r>
      <w:r>
        <w:rPr>
          <w:rFonts w:cs="Arial Unicode MS" w:eastAsia="Arial Unicode MS"/>
          <w:rtl w:val="0"/>
          <w:lang w:val="fr-FR"/>
        </w:rPr>
        <w:t>nez-Garc</w:t>
      </w:r>
      <w:r>
        <w:rPr>
          <w:rFonts w:cs="Arial Unicode MS" w:eastAsia="Arial Unicode MS" w:hint="default"/>
          <w:rtl w:val="0"/>
        </w:rPr>
        <w:t>í</w:t>
      </w:r>
      <w:r>
        <w:rPr>
          <w:rFonts w:cs="Arial Unicode MS" w:eastAsia="Arial Unicode MS"/>
          <w:rtl w:val="0"/>
          <w:lang w:val="es-ES_tradnl"/>
        </w:rPr>
        <w:t>a, A., Aranaz, J.M., Valencia-Mart</w:t>
      </w:r>
      <w:r>
        <w:rPr>
          <w:rFonts w:cs="Arial Unicode MS" w:eastAsia="Arial Unicode MS" w:hint="default"/>
          <w:rtl w:val="0"/>
        </w:rPr>
        <w:t>í</w:t>
      </w:r>
      <w:r>
        <w:rPr>
          <w:rFonts w:cs="Arial Unicode MS" w:eastAsia="Arial Unicode MS"/>
          <w:rtl w:val="0"/>
          <w:lang w:val="en-US"/>
        </w:rPr>
        <w:t>n, J.L. and Mira, J.J., 2020. How much of root cause analysis translates into improved patient safety: a systematic review.</w:t>
      </w:r>
      <w:r>
        <w:rPr>
          <w:rFonts w:cs="Arial Unicode MS" w:eastAsia="Arial Unicode MS" w:hint="default"/>
          <w:rtl w:val="0"/>
        </w:rPr>
        <w:t> </w:t>
      </w:r>
      <w:r>
        <w:rPr>
          <w:rFonts w:cs="Arial Unicode MS" w:eastAsia="Arial Unicode MS"/>
          <w:i w:val="1"/>
          <w:iCs w:val="1"/>
          <w:rtl w:val="0"/>
          <w:lang w:val="en-US"/>
        </w:rPr>
        <w:t>Medical Principles and Practice</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29</w:t>
      </w:r>
      <w:r>
        <w:rPr>
          <w:rFonts w:cs="Arial Unicode MS" w:eastAsia="Arial Unicode MS"/>
          <w:rtl w:val="0"/>
        </w:rPr>
        <w:t xml:space="preserve">(6), pp.524-531. </w:t>
      </w:r>
      <w:r>
        <w:rPr>
          <w:rStyle w:val="Hyperlink.0"/>
        </w:rPr>
        <w:fldChar w:fldCharType="begin" w:fldLock="0"/>
      </w:r>
      <w:r>
        <w:rPr>
          <w:rStyle w:val="Hyperlink.0"/>
        </w:rPr>
        <w:instrText xml:space="preserve"> HYPERLINK "https://karger.com/mpp/article-pdf/29/6/524/3128116/000508677.pdf"</w:instrText>
      </w:r>
      <w:r>
        <w:rPr>
          <w:rStyle w:val="Hyperlink.0"/>
        </w:rPr>
        <w:fldChar w:fldCharType="separate" w:fldLock="0"/>
      </w:r>
      <w:r>
        <w:rPr>
          <w:rStyle w:val="Hyperlink.0"/>
          <w:rFonts w:cs="Arial Unicode MS" w:eastAsia="Arial Unicode MS"/>
          <w:rtl w:val="0"/>
          <w:lang w:val="en-US"/>
        </w:rPr>
        <w:t>https://karger.com/mpp/article-pdf/29/6/524/3128116/000508677.pdf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McCullough, K., Andrew, L., Genoni, A., Dunham, M., Whitehead, L. and Porock, D., 2023. An examination of primary health care nursing service evaluation using the Donabedian model: A systematic review.</w:t>
      </w:r>
      <w:r>
        <w:rPr>
          <w:rFonts w:cs="Arial Unicode MS" w:eastAsia="Arial Unicode MS" w:hint="default"/>
          <w:rtl w:val="0"/>
        </w:rPr>
        <w:t> </w:t>
      </w:r>
      <w:r>
        <w:rPr>
          <w:rFonts w:cs="Arial Unicode MS" w:eastAsia="Arial Unicode MS"/>
          <w:i w:val="1"/>
          <w:iCs w:val="1"/>
          <w:rtl w:val="0"/>
          <w:lang w:val="en-US"/>
        </w:rPr>
        <w:t>Research in nursing &amp; health</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46</w:t>
      </w:r>
      <w:r>
        <w:rPr>
          <w:rFonts w:cs="Arial Unicode MS" w:eastAsia="Arial Unicode MS"/>
          <w:rtl w:val="0"/>
        </w:rPr>
        <w:t xml:space="preserve">(1), pp.159-176. </w:t>
      </w:r>
      <w:r>
        <w:rPr>
          <w:rStyle w:val="Hyperlink.0"/>
        </w:rPr>
        <w:fldChar w:fldCharType="begin" w:fldLock="0"/>
      </w:r>
      <w:r>
        <w:rPr>
          <w:rStyle w:val="Hyperlink.0"/>
        </w:rPr>
        <w:instrText xml:space="preserve"> HYPERLINK "https://onlinelibrary.wiley.com/doi/pdfdirect/10.1002/nur.22291"</w:instrText>
      </w:r>
      <w:r>
        <w:rPr>
          <w:rStyle w:val="Hyperlink.0"/>
        </w:rPr>
        <w:fldChar w:fldCharType="separate" w:fldLock="0"/>
      </w:r>
      <w:r>
        <w:rPr>
          <w:rStyle w:val="Hyperlink.0"/>
          <w:rFonts w:cs="Arial Unicode MS" w:eastAsia="Arial Unicode MS"/>
          <w:rtl w:val="0"/>
          <w:lang w:val="en-US"/>
        </w:rPr>
        <w:t>https://onlinelibrary.wiley.com/doi/pdfdirect/10.1002/nur.22291</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Newman, C., Mason, C., Brittain, K., Dawson, P., Spencer, M., Sykes, K., Waring, J., Young-Murphy, L. and Scott, J., 2025. Patient Safety Incident Reporting Framework (PSIRF) standards: co-production of adaptations for the care home sector to improve cross-system integration.</w:t>
      </w:r>
      <w:r>
        <w:rPr>
          <w:rFonts w:cs="Arial Unicode MS" w:eastAsia="Arial Unicode MS" w:hint="default"/>
          <w:rtl w:val="0"/>
        </w:rPr>
        <w:t> </w:t>
      </w:r>
      <w:r>
        <w:rPr>
          <w:rFonts w:cs="Arial Unicode MS" w:eastAsia="Arial Unicode MS"/>
          <w:i w:val="1"/>
          <w:iCs w:val="1"/>
          <w:rtl w:val="0"/>
          <w:lang w:val="en-US"/>
        </w:rPr>
        <w:t>Journal of Long Term Care</w:t>
      </w:r>
      <w:r>
        <w:rPr>
          <w:rFonts w:cs="Arial Unicode MS" w:eastAsia="Arial Unicode MS"/>
          <w:rtl w:val="0"/>
        </w:rPr>
        <w:t xml:space="preserve">, pp.66-80. </w:t>
      </w:r>
      <w:r>
        <w:rPr>
          <w:rStyle w:val="Hyperlink.0"/>
        </w:rPr>
        <w:fldChar w:fldCharType="begin" w:fldLock="0"/>
      </w:r>
      <w:r>
        <w:rPr>
          <w:rStyle w:val="Hyperlink.0"/>
        </w:rPr>
        <w:instrText xml:space="preserve"> HYPERLINK "https://marjon.repository.guildhe.ac.uk/id/eprint/17974/1/Patient%2520Safety%2520Incident%2520Reporting%2520Framework%2520(PSIRF)%2520Standards%2520CoProduction%2520of%2520Adaptations%2520for%2520the%2520Care%2520Home%2520Sector%2520to%2520Improve%2520Cross-System%2520Integration.pdf"</w:instrText>
      </w:r>
      <w:r>
        <w:rPr>
          <w:rStyle w:val="Hyperlink.0"/>
        </w:rPr>
        <w:fldChar w:fldCharType="separate" w:fldLock="0"/>
      </w:r>
      <w:r>
        <w:rPr>
          <w:rStyle w:val="Hyperlink.0"/>
          <w:rFonts w:cs="Arial Unicode MS" w:eastAsia="Arial Unicode MS"/>
          <w:rtl w:val="0"/>
          <w:lang w:val="en-US"/>
        </w:rPr>
        <w:t>https://marjon.repository.guildhe.ac.uk/id/eprint/17974/1/Patient%20Safety%20Incident%20Reporting%20Framework%20%28PSIRF%29%20Standards%20CoProduction%20of%20Adaptations%20for%20the%20Care%20Home%20Sector%20to%20Improve%20Cross-System%20Integration.pdf</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 xml:space="preserve">NHS England (2023). </w:t>
      </w:r>
      <w:r>
        <w:rPr>
          <w:rFonts w:cs="Arial Unicode MS" w:eastAsia="Arial Unicode MS"/>
          <w:i w:val="1"/>
          <w:iCs w:val="1"/>
          <w:rtl w:val="0"/>
          <w:lang w:val="en-US"/>
        </w:rPr>
        <w:t>NHS England</w:t>
      </w:r>
      <w:r>
        <w:rPr>
          <w:rFonts w:cs="Arial Unicode MS" w:eastAsia="Arial Unicode MS" w:hint="default"/>
          <w:i w:val="1"/>
          <w:iCs w:val="1"/>
          <w:rtl w:val="0"/>
          <w:lang w:val="en-US"/>
        </w:rPr>
        <w:t xml:space="preserve"> » </w:t>
      </w:r>
      <w:r>
        <w:rPr>
          <w:rFonts w:cs="Arial Unicode MS" w:eastAsia="Arial Unicode MS"/>
          <w:i w:val="1"/>
          <w:iCs w:val="1"/>
          <w:rtl w:val="0"/>
          <w:lang w:val="en-US"/>
        </w:rPr>
        <w:t>Verdict in the trial of Lucy Letby</w:t>
      </w:r>
      <w:r>
        <w:rPr>
          <w:rFonts w:cs="Arial Unicode MS" w:eastAsia="Arial Unicode MS"/>
          <w:rtl w:val="0"/>
          <w:lang w:val="en-US"/>
        </w:rPr>
        <w:t xml:space="preserve">. [online] </w:t>
      </w:r>
      <w:r>
        <w:rPr>
          <w:rFonts w:cs="Arial Unicode MS" w:eastAsia="Arial Unicode MS"/>
          <w:i w:val="1"/>
          <w:iCs w:val="1"/>
          <w:rtl w:val="0"/>
          <w:lang w:val="en-US"/>
        </w:rPr>
        <w:t>www.england.nhs.uk</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"https://www.england.nhs.uk/long-read/verdict-in-the-trial-of-lucy-letby/"</w:instrText>
      </w:r>
      <w:r>
        <w:rPr>
          <w:rStyle w:val="Hyperlink.1"/>
        </w:rPr>
        <w:fldChar w:fldCharType="separate" w:fldLock="0"/>
      </w:r>
      <w:r>
        <w:rPr>
          <w:rStyle w:val="Hyperlink.1"/>
          <w:rFonts w:cs="Arial Unicode MS" w:eastAsia="Arial Unicode MS"/>
          <w:rtl w:val="0"/>
          <w:lang w:val="en-US"/>
        </w:rPr>
        <w:t>https://www.england.nhs.uk/long-read/verdict-in-the-trial-of-lucy-letby/</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 xml:space="preserve">NHS England (2024). </w:t>
      </w:r>
      <w:r>
        <w:rPr>
          <w:rFonts w:cs="Arial Unicode MS" w:eastAsia="Arial Unicode MS"/>
          <w:i w:val="1"/>
          <w:iCs w:val="1"/>
          <w:rtl w:val="0"/>
          <w:lang w:val="en-US"/>
        </w:rPr>
        <w:t>Patient safety incident response framework</w:t>
      </w:r>
      <w:r>
        <w:rPr>
          <w:rFonts w:cs="Arial Unicode MS" w:eastAsia="Arial Unicode MS"/>
          <w:rtl w:val="0"/>
          <w:lang w:val="en-US"/>
        </w:rPr>
        <w:t xml:space="preserve">. [online] </w:t>
      </w:r>
      <w:r>
        <w:rPr>
          <w:rFonts w:cs="Arial Unicode MS" w:eastAsia="Arial Unicode MS"/>
          <w:i w:val="1"/>
          <w:iCs w:val="1"/>
          <w:rtl w:val="0"/>
          <w:lang w:val="en-US"/>
        </w:rPr>
        <w:t>www.england.nhs.uk</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"https://www.england.nhs.uk/long-read/patient-safety-incident-response-framework/"</w:instrText>
      </w:r>
      <w:r>
        <w:rPr>
          <w:rStyle w:val="Hyperlink.1"/>
        </w:rPr>
        <w:fldChar w:fldCharType="separate" w:fldLock="0"/>
      </w:r>
      <w:r>
        <w:rPr>
          <w:rStyle w:val="Hyperlink.1"/>
          <w:rFonts w:cs="Arial Unicode MS" w:eastAsia="Arial Unicode MS"/>
          <w:rtl w:val="0"/>
          <w:lang w:val="en-US"/>
        </w:rPr>
        <w:t>https://www.england.nhs.uk/long-read/patient-safety-incident-response-framework/</w:t>
      </w:r>
      <w:r>
        <w:rPr/>
        <w:fldChar w:fldCharType="end" w:fldLock="0"/>
      </w:r>
      <w:r>
        <w:rPr>
          <w:rFonts w:cs="Arial Unicode MS" w:eastAsia="Arial Unicode MS"/>
          <w:rtl w:val="0"/>
          <w:lang w:val="en-US"/>
        </w:rPr>
        <w:t xml:space="preserve"> [Accessed 11 Aug. 2026]. </w:t>
      </w:r>
    </w:p>
    <w:p>
      <w:pPr>
        <w:pStyle w:val="Body"/>
      </w:pPr>
      <w:r>
        <w:rPr>
          <w:rFonts w:cs="Arial Unicode MS" w:eastAsia="Arial Unicode MS"/>
          <w:rtl w:val="0"/>
          <w:lang w:val="en-US"/>
        </w:rPr>
        <w:t xml:space="preserve">NHS England (2026). </w:t>
      </w:r>
      <w:r>
        <w:rPr>
          <w:rFonts w:cs="Arial Unicode MS" w:eastAsia="Arial Unicode MS"/>
          <w:i w:val="1"/>
          <w:iCs w:val="1"/>
          <w:rtl w:val="0"/>
          <w:lang w:val="en-US"/>
        </w:rPr>
        <w:t>NHS England</w:t>
      </w:r>
      <w:r>
        <w:rPr>
          <w:rFonts w:cs="Arial Unicode MS" w:eastAsia="Arial Unicode MS" w:hint="default"/>
          <w:i w:val="1"/>
          <w:iCs w:val="1"/>
          <w:rtl w:val="0"/>
          <w:lang w:val="en-US"/>
        </w:rPr>
        <w:t xml:space="preserve"> » </w:t>
      </w:r>
      <w:r>
        <w:rPr>
          <w:rFonts w:cs="Arial Unicode MS" w:eastAsia="Arial Unicode MS"/>
          <w:i w:val="1"/>
          <w:iCs w:val="1"/>
          <w:rtl w:val="0"/>
          <w:lang w:val="en-US"/>
        </w:rPr>
        <w:t>the future of freedom to speak up</w:t>
      </w:r>
      <w:r>
        <w:rPr>
          <w:rFonts w:cs="Arial Unicode MS" w:eastAsia="Arial Unicode MS"/>
          <w:rtl w:val="0"/>
          <w:lang w:val="en-US"/>
        </w:rPr>
        <w:t xml:space="preserve">. [online] </w:t>
      </w:r>
      <w:r>
        <w:rPr>
          <w:rFonts w:cs="Arial Unicode MS" w:eastAsia="Arial Unicode MS"/>
          <w:i w:val="1"/>
          <w:iCs w:val="1"/>
          <w:rtl w:val="0"/>
          <w:lang w:val="en-US"/>
        </w:rPr>
        <w:t>England.nhs.uk</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"https://www.england.nhs.uk/long-read/the-future-of-freedom-to-speak-up/"</w:instrText>
      </w:r>
      <w:r>
        <w:rPr>
          <w:rStyle w:val="Hyperlink.1"/>
        </w:rPr>
        <w:fldChar w:fldCharType="separate" w:fldLock="0"/>
      </w:r>
      <w:r>
        <w:rPr>
          <w:rStyle w:val="Hyperlink.1"/>
          <w:rFonts w:cs="Arial Unicode MS" w:eastAsia="Arial Unicode MS"/>
          <w:rtl w:val="0"/>
          <w:lang w:val="en-US"/>
        </w:rPr>
        <w:t>https://www.england.nhs.uk/long-read/the-future-of-freedom-to-speak-up/</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 xml:space="preserve">NHS England (2026a). </w:t>
      </w:r>
      <w:r>
        <w:rPr>
          <w:rFonts w:cs="Arial Unicode MS" w:eastAsia="Arial Unicode MS"/>
          <w:i w:val="1"/>
          <w:iCs w:val="1"/>
          <w:rtl w:val="0"/>
          <w:lang w:val="en-US"/>
        </w:rPr>
        <w:t>NHS England</w:t>
      </w:r>
      <w:r>
        <w:rPr>
          <w:rFonts w:cs="Arial Unicode MS" w:eastAsia="Arial Unicode MS" w:hint="default"/>
          <w:i w:val="1"/>
          <w:iCs w:val="1"/>
          <w:rtl w:val="0"/>
          <w:lang w:val="en-US"/>
        </w:rPr>
        <w:t xml:space="preserve"> » </w:t>
      </w:r>
      <w:r>
        <w:rPr>
          <w:rFonts w:cs="Arial Unicode MS" w:eastAsia="Arial Unicode MS"/>
          <w:i w:val="1"/>
          <w:iCs w:val="1"/>
          <w:rtl w:val="0"/>
          <w:lang w:val="en-US"/>
        </w:rPr>
        <w:t>Patient safety incident response framework and supporting guidance</w:t>
      </w:r>
      <w:r>
        <w:rPr>
          <w:rFonts w:cs="Arial Unicode MS" w:eastAsia="Arial Unicode MS"/>
          <w:rtl w:val="0"/>
          <w:lang w:val="en-US"/>
        </w:rPr>
        <w:t xml:space="preserve">. [online] England.nhs.uk. Available at: </w:t>
      </w:r>
      <w:r>
        <w:rPr>
          <w:rStyle w:val="Hyperlink.1"/>
        </w:rPr>
        <w:fldChar w:fldCharType="begin" w:fldLock="0"/>
      </w:r>
      <w:r>
        <w:rPr>
          <w:rStyle w:val="Hyperlink.1"/>
        </w:rPr>
        <w:instrText xml:space="preserve"> HYPERLINK "https://www.england.nhs.uk/publication/patient-safety-incident-response-framework-and-%2520supporting-guidance/"</w:instrText>
      </w:r>
      <w:r>
        <w:rPr>
          <w:rStyle w:val="Hyperlink.1"/>
        </w:rPr>
        <w:fldChar w:fldCharType="separate" w:fldLock="0"/>
      </w:r>
      <w:r>
        <w:rPr>
          <w:rStyle w:val="Hyperlink.1"/>
          <w:rFonts w:cs="Arial Unicode MS" w:eastAsia="Arial Unicode MS"/>
          <w:rtl w:val="0"/>
          <w:lang w:val="en-US"/>
        </w:rPr>
        <w:t>https://www.england.nhs.uk/publication/patient-safety-incident-response-framework-and-%20supporting-guidance/</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Pietsch, D., Matthes, M., Wieland, U., Ihlenfeldt, S. and Munkelt, T., 2024. Root cause analysis in industrial manufacturing: A scoping review of current research, challenges and the promises of AI-driven approaches.</w:t>
      </w:r>
      <w:r>
        <w:rPr>
          <w:rFonts w:cs="Arial Unicode MS" w:eastAsia="Arial Unicode MS" w:hint="default"/>
          <w:rtl w:val="0"/>
        </w:rPr>
        <w:t> </w:t>
      </w:r>
      <w:r>
        <w:rPr>
          <w:rFonts w:cs="Arial Unicode MS" w:eastAsia="Arial Unicode MS"/>
          <w:i w:val="1"/>
          <w:iCs w:val="1"/>
          <w:rtl w:val="0"/>
          <w:lang w:val="en-US"/>
        </w:rPr>
        <w:t>Journal of Manufacturing and Materials Processing</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8</w:t>
      </w:r>
      <w:r>
        <w:rPr>
          <w:rFonts w:cs="Arial Unicode MS" w:eastAsia="Arial Unicode MS"/>
          <w:rtl w:val="0"/>
        </w:rPr>
        <w:t xml:space="preserve">(6), p.277. </w:t>
      </w:r>
      <w:r>
        <w:rPr>
          <w:rStyle w:val="Hyperlink.0"/>
        </w:rPr>
        <w:fldChar w:fldCharType="begin" w:fldLock="0"/>
      </w:r>
      <w:r>
        <w:rPr>
          <w:rStyle w:val="Hyperlink.0"/>
        </w:rPr>
        <w:instrText xml:space="preserve"> HYPERLINK "https://www.mdpi.com/2504-4494/8/6/277"</w:instrText>
      </w:r>
      <w:r>
        <w:rPr>
          <w:rStyle w:val="Hyperlink.0"/>
        </w:rPr>
        <w:fldChar w:fldCharType="separate" w:fldLock="0"/>
      </w:r>
      <w:r>
        <w:rPr>
          <w:rStyle w:val="Hyperlink.0"/>
          <w:rFonts w:cs="Arial Unicode MS" w:eastAsia="Arial Unicode MS"/>
          <w:rtl w:val="0"/>
          <w:lang w:val="en-US"/>
        </w:rPr>
        <w:t>https://www.mdpi.com/2504-4494/8/6/277</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Pubodhya, S.H.N. and Rajapakshe, W., 2025. Enhancing Mergers and Acquisitions (M&amp;A) performance: Analyzing the role of human resource practices in Sri Lanka</w:t>
      </w:r>
      <w:r>
        <w:rPr>
          <w:rFonts w:cs="Arial Unicode MS" w:eastAsia="Arial Unicode MS" w:hint="default"/>
          <w:rtl w:val="1"/>
        </w:rPr>
        <w:t>’</w:t>
      </w:r>
      <w:r>
        <w:rPr>
          <w:rFonts w:cs="Arial Unicode MS" w:eastAsia="Arial Unicode MS"/>
          <w:rtl w:val="0"/>
          <w:lang w:val="en-US"/>
        </w:rPr>
        <w:t>s telecommunication industry through Lewin</w:t>
      </w:r>
      <w:r>
        <w:rPr>
          <w:rFonts w:cs="Arial Unicode MS" w:eastAsia="Arial Unicode MS" w:hint="default"/>
          <w:rtl w:val="1"/>
        </w:rPr>
        <w:t>’</w:t>
      </w:r>
      <w:r>
        <w:rPr>
          <w:rFonts w:cs="Arial Unicode MS" w:eastAsia="Arial Unicode MS"/>
          <w:rtl w:val="0"/>
          <w:lang w:val="fr-FR"/>
        </w:rPr>
        <w:t>s change management model.</w:t>
      </w:r>
      <w:r>
        <w:rPr>
          <w:rFonts w:cs="Arial Unicode MS" w:eastAsia="Arial Unicode MS" w:hint="default"/>
          <w:rtl w:val="0"/>
        </w:rPr>
        <w:t> </w:t>
      </w:r>
      <w:r>
        <w:rPr>
          <w:rFonts w:cs="Arial Unicode MS" w:eastAsia="Arial Unicode MS"/>
          <w:i w:val="1"/>
          <w:iCs w:val="1"/>
          <w:rtl w:val="0"/>
          <w:lang w:val="en-US"/>
        </w:rPr>
        <w:t>PloS one</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20</w:t>
      </w:r>
      <w:r>
        <w:rPr>
          <w:rFonts w:cs="Arial Unicode MS" w:eastAsia="Arial Unicode MS"/>
          <w:rtl w:val="0"/>
        </w:rPr>
        <w:t xml:space="preserve">(1), p.e0317117. </w:t>
      </w:r>
      <w:r>
        <w:rPr>
          <w:rStyle w:val="Hyperlink.0"/>
        </w:rPr>
        <w:fldChar w:fldCharType="begin" w:fldLock="0"/>
      </w:r>
      <w:r>
        <w:rPr>
          <w:rStyle w:val="Hyperlink.0"/>
        </w:rPr>
        <w:instrText xml:space="preserve"> HYPERLINK "https://journals.plos.org/plosone/article/file?id=10.1371/journal.pone.0317117&amp;type=printable"</w:instrText>
      </w:r>
      <w:r>
        <w:rPr>
          <w:rStyle w:val="Hyperlink.0"/>
        </w:rPr>
        <w:fldChar w:fldCharType="separate" w:fldLock="0"/>
      </w:r>
      <w:r>
        <w:rPr>
          <w:rStyle w:val="Hyperlink.0"/>
          <w:rFonts w:cs="Arial Unicode MS" w:eastAsia="Arial Unicode MS"/>
          <w:rtl w:val="0"/>
          <w:lang w:val="en-US"/>
        </w:rPr>
        <w:t>https://journals.plos.org/plosone/article/file?id=10.1371/journal.pone.0317117&amp;type=printable</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Rutherfoord, C., Jassal, C. and Galloway, R., 2026. Human Factors and Deterioration: What Success Factors Facilitate Escalation of Care and How Can These Be Applied More Reliably?.</w:t>
      </w:r>
      <w:r>
        <w:rPr>
          <w:rFonts w:cs="Arial Unicode MS" w:eastAsia="Arial Unicode MS" w:hint="default"/>
          <w:rtl w:val="0"/>
        </w:rPr>
        <w:t> </w:t>
      </w:r>
      <w:r>
        <w:rPr>
          <w:rFonts w:cs="Arial Unicode MS" w:eastAsia="Arial Unicode MS"/>
          <w:i w:val="1"/>
          <w:iCs w:val="1"/>
          <w:rtl w:val="0"/>
          <w:lang w:val="en-US"/>
        </w:rPr>
        <w:t>British Journal of Hospital Medicine</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87</w:t>
      </w:r>
      <w:r>
        <w:rPr>
          <w:rFonts w:cs="Arial Unicode MS" w:eastAsia="Arial Unicode MS"/>
          <w:rtl w:val="0"/>
        </w:rPr>
        <w:t xml:space="preserve">(5). </w:t>
      </w:r>
      <w:r>
        <w:rPr>
          <w:rStyle w:val="Hyperlink.0"/>
        </w:rPr>
        <w:fldChar w:fldCharType="begin" w:fldLock="0"/>
      </w:r>
      <w:r>
        <w:rPr>
          <w:rStyle w:val="Hyperlink.0"/>
        </w:rPr>
        <w:instrText xml:space="preserve"> HYPERLINK "https://www.imrpress.com/journal/BJHM/87/5/10.31083/BJHM53978"</w:instrText>
      </w:r>
      <w:r>
        <w:rPr>
          <w:rStyle w:val="Hyperlink.0"/>
        </w:rPr>
        <w:fldChar w:fldCharType="separate" w:fldLock="0"/>
      </w:r>
      <w:r>
        <w:rPr>
          <w:rStyle w:val="Hyperlink.0"/>
          <w:rFonts w:cs="Arial Unicode MS" w:eastAsia="Arial Unicode MS"/>
          <w:rtl w:val="0"/>
          <w:lang w:val="en-US"/>
        </w:rPr>
        <w:t>https://www.imrpress.com/journal/BJHM/87/5/10.31083/BJHM53978</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 xml:space="preserve">Safeche (2025). </w:t>
      </w:r>
      <w:r>
        <w:rPr>
          <w:rFonts w:cs="Arial Unicode MS" w:eastAsia="Arial Unicode MS"/>
          <w:i w:val="1"/>
          <w:iCs w:val="1"/>
          <w:rtl w:val="0"/>
          <w:lang w:val="en-US"/>
        </w:rPr>
        <w:t xml:space="preserve">Swiss cheese model </w:t>
      </w:r>
      <w:r>
        <w:rPr>
          <w:rFonts w:cs="Arial Unicode MS" w:eastAsia="Arial Unicode MS" w:hint="default"/>
          <w:i w:val="1"/>
          <w:iCs w:val="1"/>
          <w:rtl w:val="0"/>
          <w:lang w:val="en-US"/>
        </w:rPr>
        <w:t xml:space="preserve">– </w:t>
      </w:r>
      <w:r>
        <w:rPr>
          <w:rFonts w:cs="Arial Unicode MS" w:eastAsia="Arial Unicode MS"/>
          <w:i w:val="1"/>
          <w:iCs w:val="1"/>
          <w:rtl w:val="0"/>
          <w:lang w:val="en-US"/>
        </w:rPr>
        <w:t>SAFEChE: Process safety</w:t>
      </w:r>
      <w:r>
        <w:rPr>
          <w:rFonts w:cs="Arial Unicode MS" w:eastAsia="Arial Unicode MS"/>
          <w:rtl w:val="0"/>
          <w:lang w:val="en-US"/>
        </w:rPr>
        <w:t xml:space="preserve">. [online] </w:t>
      </w:r>
      <w:r>
        <w:rPr>
          <w:rFonts w:cs="Arial Unicode MS" w:eastAsia="Arial Unicode MS"/>
          <w:i w:val="1"/>
          <w:iCs w:val="1"/>
          <w:rtl w:val="0"/>
          <w:lang w:val="en-US"/>
        </w:rPr>
        <w:t>Umich.edu</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"https://safeche.engin.umich.edu/tutorials/swiss-cheese-model/"</w:instrText>
      </w:r>
      <w:r>
        <w:rPr>
          <w:rStyle w:val="Hyperlink.1"/>
        </w:rPr>
        <w:fldChar w:fldCharType="separate" w:fldLock="0"/>
      </w:r>
      <w:r>
        <w:rPr>
          <w:rStyle w:val="Hyperlink.1"/>
          <w:rFonts w:cs="Arial Unicode MS" w:eastAsia="Arial Unicode MS"/>
          <w:rtl w:val="0"/>
          <w:lang w:val="en-US"/>
        </w:rPr>
        <w:t>https://safeche.engin.umich.edu/tutorials/swiss-cheese-model/</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 xml:space="preserve">Thirlwall Inquiry (2025). </w:t>
      </w:r>
      <w:r>
        <w:rPr>
          <w:rFonts w:cs="Arial Unicode MS" w:eastAsia="Arial Unicode MS"/>
          <w:i w:val="1"/>
          <w:iCs w:val="1"/>
          <w:rtl w:val="0"/>
          <w:lang w:val="en-US"/>
        </w:rPr>
        <w:t>Terms of reference | the thirlwall inquiry</w:t>
      </w:r>
      <w:r>
        <w:rPr>
          <w:rFonts w:cs="Arial Unicode MS" w:eastAsia="Arial Unicode MS"/>
          <w:rtl w:val="0"/>
          <w:lang w:val="en-US"/>
        </w:rPr>
        <w:t xml:space="preserve">. [online] </w:t>
      </w:r>
      <w:r>
        <w:rPr>
          <w:rFonts w:cs="Arial Unicode MS" w:eastAsia="Arial Unicode MS"/>
          <w:i w:val="1"/>
          <w:iCs w:val="1"/>
          <w:rtl w:val="0"/>
          <w:lang w:val="en-US"/>
        </w:rPr>
        <w:t>Public-inquiry.uk</w:t>
      </w:r>
      <w:r>
        <w:rPr>
          <w:rFonts w:cs="Arial Unicode MS" w:eastAsia="Arial Unicode MS"/>
          <w:rtl w:val="0"/>
          <w:lang w:val="en-US"/>
        </w:rPr>
        <w:t xml:space="preserve">. Available at: </w:t>
      </w:r>
      <w:r>
        <w:rPr>
          <w:rStyle w:val="Hyperlink.1"/>
        </w:rPr>
        <w:fldChar w:fldCharType="begin" w:fldLock="0"/>
      </w:r>
      <w:r>
        <w:rPr>
          <w:rStyle w:val="Hyperlink.1"/>
        </w:rPr>
        <w:instrText xml:space="preserve"> HYPERLINK "https://thirlwall.public-inquiry.uk/about/terms-of-reference/?d102_cookies_enabled=essential"</w:instrText>
      </w:r>
      <w:r>
        <w:rPr>
          <w:rStyle w:val="Hyperlink.1"/>
        </w:rPr>
        <w:fldChar w:fldCharType="separate" w:fldLock="0"/>
      </w:r>
      <w:r>
        <w:rPr>
          <w:rStyle w:val="Hyperlink.1"/>
          <w:rFonts w:cs="Arial Unicode MS" w:eastAsia="Arial Unicode MS"/>
          <w:rtl w:val="0"/>
          <w:lang w:val="en-US"/>
        </w:rPr>
        <w:t>https://thirlwall.public-inquiry.uk/about/terms-of-reference/?d102_cookies_enabled=essential</w:t>
      </w:r>
      <w:r>
        <w:rPr/>
        <w:fldChar w:fldCharType="end" w:fldLock="0"/>
      </w:r>
      <w:r>
        <w:rPr>
          <w:rFonts w:cs="Arial Unicode MS" w:eastAsia="Arial Unicode MS"/>
          <w:rtl w:val="0"/>
          <w:lang w:val="en-US"/>
        </w:rPr>
        <w:t xml:space="preserve"> [Accessed 11 Aug. 2026].</w:t>
      </w:r>
    </w:p>
    <w:p>
      <w:pPr>
        <w:pStyle w:val="Body"/>
      </w:pPr>
      <w:r>
        <w:rPr>
          <w:rFonts w:cs="Arial Unicode MS" w:eastAsia="Arial Unicode MS"/>
          <w:rtl w:val="0"/>
          <w:lang w:val="en-US"/>
        </w:rPr>
        <w:t>Tossaint-Schoenmakers, R., Versluis, A., Chavannes, N., Talboom-Kamp, E. and Kasteleyn, M., 2021. The challenge of integrating eHealth into health care: systematic literature review of the Donabedian model of structure, process, and outcome.</w:t>
      </w:r>
      <w:r>
        <w:rPr>
          <w:rFonts w:cs="Arial Unicode MS" w:eastAsia="Arial Unicode MS" w:hint="default"/>
          <w:rtl w:val="0"/>
        </w:rPr>
        <w:t> </w:t>
      </w:r>
      <w:r>
        <w:rPr>
          <w:rFonts w:cs="Arial Unicode MS" w:eastAsia="Arial Unicode MS"/>
          <w:i w:val="1"/>
          <w:iCs w:val="1"/>
          <w:rtl w:val="0"/>
          <w:lang w:val="en-US"/>
        </w:rPr>
        <w:t>Journal of medical Internet research</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23</w:t>
      </w:r>
      <w:r>
        <w:rPr>
          <w:rFonts w:cs="Arial Unicode MS" w:eastAsia="Arial Unicode MS"/>
          <w:rtl w:val="0"/>
        </w:rPr>
        <w:t xml:space="preserve">(5), p.e27180. </w:t>
      </w:r>
      <w:r>
        <w:rPr>
          <w:rStyle w:val="Hyperlink.0"/>
        </w:rPr>
        <w:fldChar w:fldCharType="begin" w:fldLock="0"/>
      </w:r>
      <w:r>
        <w:rPr>
          <w:rStyle w:val="Hyperlink.0"/>
        </w:rPr>
        <w:instrText xml:space="preserve"> HYPERLINK "https://www.jmir.org/2021/5/e27180/"</w:instrText>
      </w:r>
      <w:r>
        <w:rPr>
          <w:rStyle w:val="Hyperlink.0"/>
        </w:rPr>
        <w:fldChar w:fldCharType="separate" w:fldLock="0"/>
      </w:r>
      <w:r>
        <w:rPr>
          <w:rStyle w:val="Hyperlink.0"/>
          <w:rFonts w:cs="Arial Unicode MS" w:eastAsia="Arial Unicode MS"/>
          <w:rtl w:val="0"/>
        </w:rPr>
        <w:t>https://www.jmir.org/2021/5/e27180/</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Weaver, S., Stewart, K. and Kay, L., 2021. Systems-based investigation of patient safety incidents.</w:t>
      </w:r>
      <w:r>
        <w:rPr>
          <w:rFonts w:cs="Arial Unicode MS" w:eastAsia="Arial Unicode MS" w:hint="default"/>
          <w:rtl w:val="0"/>
        </w:rPr>
        <w:t> </w:t>
      </w:r>
      <w:r>
        <w:rPr>
          <w:rFonts w:cs="Arial Unicode MS" w:eastAsia="Arial Unicode MS"/>
          <w:i w:val="1"/>
          <w:iCs w:val="1"/>
          <w:rtl w:val="0"/>
          <w:lang w:val="en-US"/>
        </w:rPr>
        <w:t>Future healthcare journal</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8</w:t>
      </w:r>
      <w:r>
        <w:rPr>
          <w:rFonts w:cs="Arial Unicode MS" w:eastAsia="Arial Unicode MS"/>
          <w:rtl w:val="0"/>
        </w:rPr>
        <w:t xml:space="preserve">(3), pp.e593-e597. </w:t>
      </w:r>
      <w:r>
        <w:rPr>
          <w:rStyle w:val="Hyperlink.0"/>
        </w:rPr>
        <w:fldChar w:fldCharType="begin" w:fldLock="0"/>
      </w:r>
      <w:r>
        <w:rPr>
          <w:rStyle w:val="Hyperlink.0"/>
        </w:rPr>
        <w:instrText xml:space="preserve"> HYPERLINK "https://www.sciencedirect.com/science/article/pii/S2514664524001103"</w:instrText>
      </w:r>
      <w:r>
        <w:rPr>
          <w:rStyle w:val="Hyperlink.0"/>
        </w:rPr>
        <w:fldChar w:fldCharType="separate" w:fldLock="0"/>
      </w:r>
      <w:r>
        <w:rPr>
          <w:rStyle w:val="Hyperlink.0"/>
          <w:rFonts w:cs="Arial Unicode MS" w:eastAsia="Arial Unicode MS"/>
          <w:rtl w:val="0"/>
          <w:lang w:val="en-US"/>
        </w:rPr>
        <w:t>https://www.sciencedirect.com/science/article/pii/S2514664524001103</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Ystaas, L.M.K., Nikitara, M., Ghobrial, S., Latzourakis, E., Polychronis, G. and Constantinou, C.S., 2023. The impact of transformational leadership in the nursing work environment and patients</w:t>
      </w:r>
      <w:r>
        <w:rPr>
          <w:rFonts w:cs="Arial Unicode MS" w:eastAsia="Arial Unicode MS" w:hint="default"/>
          <w:rtl w:val="1"/>
        </w:rPr>
        <w:t xml:space="preserve">’ </w:t>
      </w:r>
      <w:r>
        <w:rPr>
          <w:rFonts w:cs="Arial Unicode MS" w:eastAsia="Arial Unicode MS"/>
          <w:rtl w:val="0"/>
          <w:lang w:val="en-US"/>
        </w:rPr>
        <w:t>outcomes: a systematic review.</w:t>
      </w:r>
      <w:r>
        <w:rPr>
          <w:rFonts w:cs="Arial Unicode MS" w:eastAsia="Arial Unicode MS" w:hint="default"/>
          <w:rtl w:val="0"/>
        </w:rPr>
        <w:t> </w:t>
      </w:r>
      <w:r>
        <w:rPr>
          <w:rFonts w:cs="Arial Unicode MS" w:eastAsia="Arial Unicode MS"/>
          <w:i w:val="1"/>
          <w:iCs w:val="1"/>
          <w:rtl w:val="0"/>
          <w:lang w:val="en-US"/>
        </w:rPr>
        <w:t>Nursing Reports</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13</w:t>
      </w:r>
      <w:r>
        <w:rPr>
          <w:rFonts w:cs="Arial Unicode MS" w:eastAsia="Arial Unicode MS"/>
          <w:rtl w:val="0"/>
        </w:rPr>
        <w:t xml:space="preserve">(3), pp.1271-1290. </w:t>
      </w:r>
      <w:r>
        <w:rPr>
          <w:rStyle w:val="Hyperlink.0"/>
        </w:rPr>
        <w:fldChar w:fldCharType="begin" w:fldLock="0"/>
      </w:r>
      <w:r>
        <w:rPr>
          <w:rStyle w:val="Hyperlink.0"/>
        </w:rPr>
        <w:instrText xml:space="preserve"> HYPERLINK "https://www.mdpi.com/2039-4403/13/3/108"</w:instrText>
      </w:r>
      <w:r>
        <w:rPr>
          <w:rStyle w:val="Hyperlink.0"/>
        </w:rPr>
        <w:fldChar w:fldCharType="separate" w:fldLock="0"/>
      </w:r>
      <w:r>
        <w:rPr>
          <w:rStyle w:val="Hyperlink.0"/>
          <w:rFonts w:cs="Arial Unicode MS" w:eastAsia="Arial Unicode MS"/>
          <w:rtl w:val="0"/>
          <w:lang w:val="en-US"/>
        </w:rPr>
        <w:t>https://www.mdpi.com/2039-4403/13/3/108</w:t>
      </w:r>
      <w:r>
        <w:rPr/>
        <w:fldChar w:fldCharType="end" w:fldLock="0"/>
      </w:r>
      <w:r>
        <w:rPr>
          <w:rFonts w:cs="Arial Unicode MS" w:eastAsia="Arial Unicode MS"/>
          <w:rtl w:val="0"/>
        </w:rPr>
        <w:t xml:space="preserve"> </w:t>
      </w:r>
    </w:p>
    <w:p>
      <w:pPr>
        <w:pStyle w:val="Body"/>
      </w:pPr>
      <w:r>
        <w:rPr>
          <w:rFonts w:cs="Arial Unicode MS" w:eastAsia="Arial Unicode MS"/>
          <w:rtl w:val="0"/>
          <w:lang w:val="en-US"/>
        </w:rPr>
        <w:t>Yu, D.J., Yu, A.P., Leung, C.K., Chin, E.C., Fong, D.Y., Cheng, C.P., Yau, S.Y. and Siu, P.M., 2023. Comparison of moderate and vigorous walking exercise on reducing depression in middle</w:t>
      </w:r>
      <w:r>
        <w:rPr>
          <w:rFonts w:cs="Arial Unicode MS" w:eastAsia="Arial Unicode MS" w:hint="default"/>
          <w:rtl w:val="0"/>
        </w:rPr>
        <w:t>‐</w:t>
      </w:r>
      <w:r>
        <w:rPr>
          <w:rFonts w:cs="Arial Unicode MS" w:eastAsia="Arial Unicode MS"/>
          <w:rtl w:val="0"/>
          <w:lang w:val="en-US"/>
        </w:rPr>
        <w:t>aged and older adults: A pilot randomized controlled trial.</w:t>
      </w:r>
      <w:r>
        <w:rPr>
          <w:rFonts w:cs="Arial Unicode MS" w:eastAsia="Arial Unicode MS" w:hint="default"/>
          <w:rtl w:val="0"/>
        </w:rPr>
        <w:t> </w:t>
      </w:r>
      <w:r>
        <w:rPr>
          <w:rFonts w:cs="Arial Unicode MS" w:eastAsia="Arial Unicode MS"/>
          <w:i w:val="1"/>
          <w:iCs w:val="1"/>
          <w:rtl w:val="0"/>
          <w:lang w:val="en-US"/>
        </w:rPr>
        <w:t>European journal of sport science</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rPr>
        <w:t>23</w:t>
      </w:r>
      <w:r>
        <w:rPr>
          <w:rFonts w:cs="Arial Unicode MS" w:eastAsia="Arial Unicode MS"/>
          <w:rtl w:val="0"/>
        </w:rPr>
        <w:t xml:space="preserve">(6), pp.1018-1027. </w:t>
      </w:r>
      <w:r>
        <w:rPr>
          <w:rStyle w:val="Hyperlink.0"/>
        </w:rPr>
        <w:fldChar w:fldCharType="begin" w:fldLock="0"/>
      </w:r>
      <w:r>
        <w:rPr>
          <w:rStyle w:val="Hyperlink.0"/>
        </w:rPr>
        <w:instrText xml:space="preserve"> HYPERLINK "https://www.researchgate.net/profile/Danny-Yu-5/publication/360665961_Comparison_of_moderate_and_vigorous_walking_exercise_on_reducing_depression_in_middle-aged_and_older_adults_A_pilot_randomized_controlled_trial/links/63510f826e0d367d91ae044b/Comparison-of-moderate-and-vigorous-walking-exercise-on-reducing-depression-in-middle-aged-and-older-adults-A-pilot-randomized-controlled-trial.pdf"</w:instrText>
      </w:r>
      <w:r>
        <w:rPr>
          <w:rStyle w:val="Hyperlink.0"/>
        </w:rPr>
        <w:fldChar w:fldCharType="separate" w:fldLock="0"/>
      </w:r>
      <w:r>
        <w:rPr>
          <w:rStyle w:val="Hyperlink.0"/>
          <w:rFonts w:cs="Arial Unicode MS" w:eastAsia="Arial Unicode MS"/>
          <w:rtl w:val="0"/>
          <w:lang w:val="en-US"/>
        </w:rPr>
        <w:t>https://www.researchgate.net/profile/Danny-Yu-5/publication/360665961_Comparison_of_moderate_and_vigorous_walking_exercise_on_reducing_depression_in_middle-aged_and_older_adults_A_pilot_randomized_controlled_trial/links/63510f826e0d367d91ae044b/Comparison-of-moderate-and-vigorous-walking-exercise-on-reducing-depression-in-middle-aged-and-older-adults-A-pilot-randomized-controlled-trial.pdf</w:t>
      </w:r>
      <w:r>
        <w:rPr/>
        <w:fldChar w:fldCharType="end" w:fldLock="0"/>
      </w:r>
      <w:r>
        <w:rPr>
          <w:rFonts w:cs="Arial Unicode MS" w:eastAsia="Arial Unicode MS"/>
          <w:rtl w:val="0"/>
        </w:rPr>
        <w:t xml:space="preserve"> </w:t>
      </w:r>
      <w:r>
        <w:rPr>
          <w:rFonts w:cs="Arial Unicode MS" w:eastAsia="Arial Unicode MS" w:hint="default"/>
          <w:outline w:val="0"/>
          <w:color w:val="000000"/>
          <w:u w:color="000000"/>
          <w:rtl w:val="1"/>
          <w14:textFill>
            <w14:solidFill>
              <w14:srgbClr w14:val="000000"/>
            </w14:solidFill>
          </w14:textFill>
        </w:rPr>
        <w:t>‌</w:t>
      </w:r>
    </w:p>
    <w:sectPr>
      <w:headerReference w:type="default" r:id="rId6"/>
      <w:headerReference w:type="first" r:id="rId7"/>
      <w:footerReference w:type="default" r:id="rId8"/>
      <w:footerReference w:type="first" r:id="rId9"/>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rtl w:val="0"/>
        <w:lang w:val="en-US"/>
      </w:rPr>
      <w:t xml:space="preserve"> </w:t>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1">
    <w:name w:val="TOC Heading1"/>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80" w:after="0" w:line="360"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2"/>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4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36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2"/>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Arial Unicode MS" w:hAnsi="Calibri"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 w:type="character" w:styleId="Hyperlink.1">
    <w:name w:val="Hyperlink.1"/>
    <w:basedOn w:val="Hyperlink.0"/>
    <w:next w:val="Hyperlink.1"/>
    <w:rPr>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