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af"/>
        <w:tblW w:w="0" w:type="auto"/>
        <w:tblInd w:w="137" w:type="dxa"/>
        <w:tblLook w:val="04A0" w:firstRow="1" w:lastRow="0" w:firstColumn="1" w:lastColumn="0" w:noHBand="0" w:noVBand="1"/>
      </w:tblPr>
      <w:tblGrid>
        <w:gridCol w:w="8159"/>
      </w:tblGrid>
      <w:tr w:rsidR="00F21622" w14:paraId="5584BA74" w14:textId="77777777" w:rsidTr="00F21622">
        <w:tc>
          <w:tcPr>
            <w:tcW w:w="8159" w:type="dxa"/>
            <w:shd w:val="clear" w:color="auto" w:fill="D1D1D1" w:themeFill="background2" w:themeFillShade="E6"/>
          </w:tcPr>
          <w:p w14:paraId="15255D9B" w14:textId="2BEE2B58" w:rsidR="00F21622" w:rsidRPr="00F21622" w:rsidRDefault="00F21622" w:rsidP="00F21622">
            <w:pPr>
              <w:widowControl/>
              <w:spacing w:before="100" w:beforeAutospacing="1" w:after="100" w:afterAutospacing="1"/>
              <w:ind w:firstLineChars="300" w:firstLine="964"/>
              <w:rPr>
                <w:rFonts w:ascii="Arial" w:eastAsia="宋体" w:hAnsi="Arial" w:cs="Arial"/>
                <w:b/>
                <w:bCs/>
                <w:kern w:val="0"/>
                <w:sz w:val="32"/>
                <w:szCs w:val="32"/>
              </w:rPr>
            </w:pPr>
            <w:r w:rsidRPr="00F21622">
              <w:rPr>
                <w:rFonts w:ascii="Arial" w:eastAsia="宋体" w:hAnsi="Arial" w:cs="Arial"/>
                <w:b/>
                <w:bCs/>
                <w:kern w:val="0"/>
                <w:sz w:val="32"/>
                <w:szCs w:val="32"/>
              </w:rPr>
              <w:t>LEVEL 6 ASSESSMENT SPECIFICATION</w:t>
            </w:r>
          </w:p>
        </w:tc>
      </w:tr>
    </w:tbl>
    <w:p w14:paraId="10EC08F9" w14:textId="6B88BF8B" w:rsidR="00F21622" w:rsidRDefault="00F21622" w:rsidP="00D87BF8">
      <w:pPr>
        <w:widowControl/>
        <w:spacing w:before="100" w:beforeAutospacing="1" w:after="100" w:afterAutospacing="1"/>
        <w:rPr>
          <w:rFonts w:ascii="Times New Roman" w:eastAsia="宋体" w:hAnsi="Times New Roman" w:cs="Times New Roman" w:hint="eastAsia"/>
          <w:b/>
          <w:bCs/>
          <w:kern w:val="0"/>
          <w:sz w:val="28"/>
          <w:szCs w:val="28"/>
        </w:rPr>
      </w:pPr>
    </w:p>
    <w:tbl>
      <w:tblPr>
        <w:tblW w:w="850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39"/>
        <w:gridCol w:w="2426"/>
        <w:gridCol w:w="2193"/>
        <w:gridCol w:w="205"/>
        <w:gridCol w:w="1844"/>
      </w:tblGrid>
      <w:tr w:rsidR="00F21622" w:rsidRPr="00F21622" w14:paraId="48FC9248" w14:textId="336EC7C5" w:rsidTr="00401E33">
        <w:tblPrEx>
          <w:tblCellMar>
            <w:top w:w="0" w:type="dxa"/>
            <w:bottom w:w="0" w:type="dxa"/>
          </w:tblCellMar>
        </w:tblPrEx>
        <w:trPr>
          <w:trHeight w:val="426"/>
        </w:trPr>
        <w:tc>
          <w:tcPr>
            <w:tcW w:w="1839" w:type="dxa"/>
            <w:shd w:val="clear" w:color="auto" w:fill="D1D1D1" w:themeFill="background2" w:themeFillShade="E6"/>
          </w:tcPr>
          <w:p w14:paraId="6D49F302" w14:textId="792D02DF" w:rsidR="00F21622" w:rsidRPr="00F21622" w:rsidRDefault="00F21622" w:rsidP="00F21622">
            <w:pPr>
              <w:widowControl/>
              <w:spacing w:before="100" w:beforeAutospacing="1" w:after="100" w:afterAutospacing="1"/>
              <w:rPr>
                <w:rFonts w:ascii="Arial" w:eastAsia="宋体" w:hAnsi="Arial" w:cs="Arial"/>
                <w:b/>
                <w:bCs/>
                <w:kern w:val="0"/>
                <w:sz w:val="22"/>
              </w:rPr>
            </w:pPr>
            <w:r w:rsidRPr="00F21622">
              <w:rPr>
                <w:rFonts w:ascii="Arial" w:eastAsia="宋体" w:hAnsi="Arial" w:cs="Arial"/>
                <w:b/>
                <w:bCs/>
                <w:kern w:val="0"/>
                <w:sz w:val="22"/>
              </w:rPr>
              <w:t>Student name:</w:t>
            </w:r>
          </w:p>
        </w:tc>
        <w:tc>
          <w:tcPr>
            <w:tcW w:w="2426" w:type="dxa"/>
          </w:tcPr>
          <w:p w14:paraId="27E32F05" w14:textId="6F9A0E08" w:rsidR="00F21622" w:rsidRPr="00F21622" w:rsidRDefault="00F21622" w:rsidP="00F21622">
            <w:pPr>
              <w:widowControl/>
              <w:jc w:val="left"/>
              <w:rPr>
                <w:rFonts w:ascii="Arial" w:eastAsia="宋体" w:hAnsi="Arial" w:cs="Arial"/>
                <w:b/>
                <w:bCs/>
                <w:kern w:val="0"/>
                <w:sz w:val="22"/>
              </w:rPr>
            </w:pPr>
            <w:r w:rsidRPr="00F21622">
              <w:rPr>
                <w:rFonts w:ascii="Arial" w:eastAsia="宋体" w:hAnsi="Arial" w:cs="Arial"/>
                <w:b/>
                <w:bCs/>
                <w:kern w:val="0"/>
                <w:sz w:val="22"/>
              </w:rPr>
              <w:t>Yuze Tang</w:t>
            </w:r>
          </w:p>
        </w:tc>
        <w:tc>
          <w:tcPr>
            <w:tcW w:w="2398" w:type="dxa"/>
            <w:gridSpan w:val="2"/>
            <w:shd w:val="clear" w:color="auto" w:fill="D1D1D1" w:themeFill="background2" w:themeFillShade="E6"/>
          </w:tcPr>
          <w:p w14:paraId="0C47A417" w14:textId="0372BC35" w:rsidR="00F21622" w:rsidRPr="00F21622" w:rsidRDefault="00F21622" w:rsidP="00F21622">
            <w:pPr>
              <w:widowControl/>
              <w:jc w:val="left"/>
              <w:rPr>
                <w:rFonts w:ascii="Arial" w:eastAsia="宋体" w:hAnsi="Arial" w:cs="Arial"/>
                <w:b/>
                <w:bCs/>
                <w:kern w:val="0"/>
                <w:sz w:val="22"/>
              </w:rPr>
            </w:pPr>
            <w:r w:rsidRPr="00F21622">
              <w:rPr>
                <w:rFonts w:ascii="Arial" w:eastAsia="宋体" w:hAnsi="Arial" w:cs="Arial"/>
                <w:b/>
                <w:bCs/>
                <w:kern w:val="0"/>
                <w:sz w:val="22"/>
              </w:rPr>
              <w:t>Student ID number:</w:t>
            </w:r>
          </w:p>
        </w:tc>
        <w:tc>
          <w:tcPr>
            <w:tcW w:w="1844" w:type="dxa"/>
          </w:tcPr>
          <w:p w14:paraId="3BF299FF" w14:textId="1AA56090" w:rsidR="00F21622" w:rsidRPr="00F21622" w:rsidRDefault="00F21622" w:rsidP="00F21622">
            <w:pPr>
              <w:widowControl/>
              <w:jc w:val="left"/>
              <w:rPr>
                <w:rFonts w:ascii="Arial" w:eastAsia="宋体" w:hAnsi="Arial" w:cs="Arial"/>
                <w:b/>
                <w:bCs/>
                <w:kern w:val="0"/>
                <w:sz w:val="22"/>
              </w:rPr>
            </w:pPr>
            <w:r w:rsidRPr="00F21622">
              <w:rPr>
                <w:rFonts w:ascii="Arial" w:eastAsia="宋体" w:hAnsi="Arial" w:cs="Arial"/>
                <w:b/>
                <w:bCs/>
                <w:kern w:val="0"/>
                <w:sz w:val="22"/>
              </w:rPr>
              <w:t>2500218</w:t>
            </w:r>
          </w:p>
        </w:tc>
      </w:tr>
      <w:tr w:rsidR="00F21622" w14:paraId="41431D52" w14:textId="46C897A6" w:rsidTr="00401E33">
        <w:tblPrEx>
          <w:tblBorders>
            <w:left w:val="none" w:sz="0" w:space="0" w:color="auto"/>
            <w:bottom w:val="none" w:sz="0" w:space="0" w:color="auto"/>
            <w:right w:val="none" w:sz="0" w:space="0" w:color="auto"/>
            <w:insideH w:val="none" w:sz="0" w:space="0" w:color="auto"/>
            <w:insideV w:val="none" w:sz="0" w:space="0" w:color="auto"/>
          </w:tblBorders>
          <w:tblCellMar>
            <w:top w:w="0" w:type="dxa"/>
            <w:bottom w:w="0" w:type="dxa"/>
          </w:tblCellMar>
        </w:tblPrEx>
        <w:trPr>
          <w:trHeight w:val="419"/>
        </w:trPr>
        <w:tc>
          <w:tcPr>
            <w:tcW w:w="1839" w:type="dxa"/>
            <w:tcBorders>
              <w:left w:val="single" w:sz="4" w:space="0" w:color="auto"/>
              <w:right w:val="single" w:sz="4" w:space="0" w:color="auto"/>
            </w:tcBorders>
            <w:shd w:val="clear" w:color="auto" w:fill="D1D1D1" w:themeFill="background2" w:themeFillShade="E6"/>
          </w:tcPr>
          <w:p w14:paraId="1D46D416" w14:textId="1CDC3F1D" w:rsidR="00F21622" w:rsidRPr="00401E33" w:rsidRDefault="00F21622" w:rsidP="00F21622">
            <w:pPr>
              <w:widowControl/>
              <w:spacing w:before="100" w:beforeAutospacing="1" w:after="100" w:afterAutospacing="1"/>
              <w:rPr>
                <w:rFonts w:ascii="Arial" w:eastAsia="宋体" w:hAnsi="Arial" w:cs="Arial"/>
                <w:b/>
                <w:bCs/>
                <w:kern w:val="0"/>
                <w:sz w:val="28"/>
                <w:szCs w:val="28"/>
              </w:rPr>
            </w:pPr>
            <w:proofErr w:type="spellStart"/>
            <w:r w:rsidRPr="00401E33">
              <w:rPr>
                <w:rFonts w:ascii="Arial" w:hAnsi="Arial" w:cs="Arial"/>
                <w:b/>
                <w:bCs/>
              </w:rPr>
              <w:t>Programme</w:t>
            </w:r>
            <w:proofErr w:type="spellEnd"/>
            <w:r w:rsidRPr="00401E33">
              <w:rPr>
                <w:rFonts w:ascii="Arial" w:hAnsi="Arial" w:cs="Arial"/>
                <w:b/>
                <w:bCs/>
              </w:rPr>
              <w:t>:</w:t>
            </w:r>
          </w:p>
        </w:tc>
        <w:tc>
          <w:tcPr>
            <w:tcW w:w="6668" w:type="dxa"/>
            <w:gridSpan w:val="4"/>
            <w:tcBorders>
              <w:top w:val="single" w:sz="4" w:space="0" w:color="auto"/>
              <w:left w:val="single" w:sz="4" w:space="0" w:color="auto"/>
              <w:bottom w:val="single" w:sz="4" w:space="0" w:color="auto"/>
              <w:right w:val="single" w:sz="4" w:space="0" w:color="auto"/>
            </w:tcBorders>
          </w:tcPr>
          <w:p w14:paraId="186E9260" w14:textId="4B5984D2" w:rsidR="00401E33" w:rsidRPr="00401E33" w:rsidRDefault="00F21622" w:rsidP="00F21622">
            <w:pPr>
              <w:widowControl/>
              <w:jc w:val="left"/>
              <w:rPr>
                <w:rFonts w:ascii="Arial" w:hAnsi="Arial" w:cs="Arial" w:hint="eastAsia"/>
              </w:rPr>
            </w:pPr>
            <w:r w:rsidRPr="00401E33">
              <w:rPr>
                <w:rFonts w:ascii="Arial" w:hAnsi="Arial" w:cs="Arial"/>
              </w:rPr>
              <w:t>Undergraduate Business Management</w:t>
            </w:r>
          </w:p>
        </w:tc>
      </w:tr>
      <w:tr w:rsidR="00F21622" w14:paraId="68DD922C" w14:textId="173D9228" w:rsidTr="00401E33">
        <w:tblPrEx>
          <w:tblCellMar>
            <w:top w:w="0" w:type="dxa"/>
            <w:bottom w:w="0" w:type="dxa"/>
          </w:tblCellMar>
        </w:tblPrEx>
        <w:trPr>
          <w:trHeight w:val="454"/>
        </w:trPr>
        <w:tc>
          <w:tcPr>
            <w:tcW w:w="1839" w:type="dxa"/>
            <w:shd w:val="clear" w:color="auto" w:fill="D1D1D1" w:themeFill="background2" w:themeFillShade="E6"/>
          </w:tcPr>
          <w:p w14:paraId="2144D64A" w14:textId="7C11AC0A" w:rsidR="00F21622" w:rsidRPr="00401E33" w:rsidRDefault="00F21622" w:rsidP="00F21622">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Module:</w:t>
            </w:r>
          </w:p>
        </w:tc>
        <w:tc>
          <w:tcPr>
            <w:tcW w:w="6668" w:type="dxa"/>
            <w:gridSpan w:val="4"/>
          </w:tcPr>
          <w:p w14:paraId="301CB8C9" w14:textId="27FEE7B5" w:rsidR="00F21622" w:rsidRPr="00401E33" w:rsidRDefault="00401E33" w:rsidP="00401E33">
            <w:pPr>
              <w:widowControl/>
              <w:jc w:val="left"/>
              <w:rPr>
                <w:rFonts w:ascii="Arial" w:eastAsia="宋体" w:hAnsi="Arial" w:cs="Arial"/>
                <w:b/>
                <w:bCs/>
                <w:kern w:val="0"/>
                <w:sz w:val="28"/>
                <w:szCs w:val="28"/>
              </w:rPr>
            </w:pPr>
            <w:r w:rsidRPr="00401E33">
              <w:rPr>
                <w:rFonts w:ascii="Arial" w:hAnsi="Arial" w:cs="Arial"/>
              </w:rPr>
              <w:t>Strategic Management and Sustainability</w:t>
            </w:r>
          </w:p>
        </w:tc>
      </w:tr>
      <w:tr w:rsidR="00F21622" w14:paraId="3972FEEC" w14:textId="1E6F6157" w:rsidTr="00401E33">
        <w:tblPrEx>
          <w:tblBorders>
            <w:left w:val="none" w:sz="0" w:space="0" w:color="auto"/>
            <w:bottom w:val="none" w:sz="0" w:space="0" w:color="auto"/>
            <w:right w:val="none" w:sz="0" w:space="0" w:color="auto"/>
            <w:insideH w:val="none" w:sz="0" w:space="0" w:color="auto"/>
            <w:insideV w:val="none" w:sz="0" w:space="0" w:color="auto"/>
          </w:tblBorders>
          <w:tblCellMar>
            <w:top w:w="0" w:type="dxa"/>
            <w:bottom w:w="0" w:type="dxa"/>
          </w:tblCellMar>
        </w:tblPrEx>
        <w:trPr>
          <w:trHeight w:val="517"/>
        </w:trPr>
        <w:tc>
          <w:tcPr>
            <w:tcW w:w="1839" w:type="dxa"/>
            <w:tcBorders>
              <w:left w:val="single" w:sz="4" w:space="0" w:color="auto"/>
              <w:bottom w:val="single" w:sz="4" w:space="0" w:color="auto"/>
              <w:right w:val="single" w:sz="4" w:space="0" w:color="auto"/>
            </w:tcBorders>
            <w:shd w:val="clear" w:color="auto" w:fill="D1D1D1" w:themeFill="background2" w:themeFillShade="E6"/>
          </w:tcPr>
          <w:p w14:paraId="1CDBDB26" w14:textId="18407EA0" w:rsidR="00F21622" w:rsidRPr="00401E33" w:rsidRDefault="00401E33" w:rsidP="00F21622">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Module code:</w:t>
            </w:r>
          </w:p>
        </w:tc>
        <w:tc>
          <w:tcPr>
            <w:tcW w:w="2426" w:type="dxa"/>
            <w:tcBorders>
              <w:top w:val="single" w:sz="4" w:space="0" w:color="auto"/>
              <w:left w:val="single" w:sz="4" w:space="0" w:color="auto"/>
              <w:bottom w:val="single" w:sz="4" w:space="0" w:color="auto"/>
              <w:right w:val="single" w:sz="4" w:space="0" w:color="auto"/>
            </w:tcBorders>
          </w:tcPr>
          <w:p w14:paraId="4BF37FBB" w14:textId="15C8469B" w:rsidR="00F21622" w:rsidRPr="00401E33" w:rsidRDefault="00401E33">
            <w:pPr>
              <w:widowControl/>
              <w:jc w:val="left"/>
              <w:rPr>
                <w:rFonts w:ascii="Arial" w:eastAsia="宋体" w:hAnsi="Arial" w:cs="Arial"/>
                <w:b/>
                <w:bCs/>
                <w:kern w:val="0"/>
                <w:sz w:val="28"/>
                <w:szCs w:val="28"/>
              </w:rPr>
            </w:pPr>
            <w:r w:rsidRPr="00401E33">
              <w:rPr>
                <w:rFonts w:ascii="Arial" w:hAnsi="Arial" w:cs="Arial"/>
              </w:rPr>
              <w:t>BMBM6024</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32C72F53" w14:textId="5048A063" w:rsidR="00F21622" w:rsidRPr="00401E33" w:rsidRDefault="00401E33">
            <w:pPr>
              <w:widowControl/>
              <w:jc w:val="left"/>
              <w:rPr>
                <w:rFonts w:ascii="Arial" w:eastAsia="宋体" w:hAnsi="Arial" w:cs="Arial"/>
                <w:b/>
                <w:bCs/>
                <w:kern w:val="0"/>
                <w:sz w:val="28"/>
                <w:szCs w:val="28"/>
              </w:rPr>
            </w:pPr>
            <w:r w:rsidRPr="00401E33">
              <w:rPr>
                <w:rFonts w:ascii="Arial" w:hAnsi="Arial" w:cs="Arial"/>
                <w:b/>
                <w:bCs/>
              </w:rPr>
              <w:t>Contribution to Overall Module Assessment (%):</w:t>
            </w:r>
          </w:p>
        </w:tc>
        <w:tc>
          <w:tcPr>
            <w:tcW w:w="2049" w:type="dxa"/>
            <w:gridSpan w:val="2"/>
            <w:tcBorders>
              <w:top w:val="single" w:sz="4" w:space="0" w:color="auto"/>
              <w:bottom w:val="single" w:sz="4" w:space="0" w:color="auto"/>
              <w:right w:val="single" w:sz="4" w:space="0" w:color="auto"/>
            </w:tcBorders>
          </w:tcPr>
          <w:p w14:paraId="31F60672" w14:textId="0510CDA0" w:rsidR="00F21622" w:rsidRPr="00401E33" w:rsidRDefault="00401E33">
            <w:pPr>
              <w:widowControl/>
              <w:jc w:val="left"/>
              <w:rPr>
                <w:rFonts w:ascii="Arial" w:eastAsia="宋体" w:hAnsi="Arial" w:cs="Arial"/>
                <w:b/>
                <w:bCs/>
                <w:kern w:val="0"/>
                <w:sz w:val="28"/>
                <w:szCs w:val="28"/>
              </w:rPr>
            </w:pPr>
            <w:r w:rsidRPr="00401E33">
              <w:rPr>
                <w:rFonts w:ascii="Arial" w:hAnsi="Arial" w:cs="Arial"/>
              </w:rPr>
              <w:t>50%</w:t>
            </w:r>
          </w:p>
        </w:tc>
      </w:tr>
      <w:tr w:rsidR="00F21622" w14:paraId="33339EB7" w14:textId="288726BC" w:rsidTr="00401E33">
        <w:tblPrEx>
          <w:tblBorders>
            <w:left w:val="none" w:sz="0" w:space="0" w:color="auto"/>
            <w:bottom w:val="none" w:sz="0" w:space="0" w:color="auto"/>
            <w:right w:val="none" w:sz="0" w:space="0" w:color="auto"/>
            <w:insideH w:val="none" w:sz="0" w:space="0" w:color="auto"/>
            <w:insideV w:val="none" w:sz="0" w:space="0" w:color="auto"/>
          </w:tblBorders>
          <w:tblCellMar>
            <w:top w:w="0" w:type="dxa"/>
            <w:bottom w:w="0" w:type="dxa"/>
          </w:tblCellMar>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2D3707D1" w14:textId="50F2D68F" w:rsidR="00F21622" w:rsidRPr="00401E33" w:rsidRDefault="00401E33" w:rsidP="00F21622">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Lecturer:</w:t>
            </w:r>
          </w:p>
        </w:tc>
        <w:tc>
          <w:tcPr>
            <w:tcW w:w="2426" w:type="dxa"/>
            <w:tcBorders>
              <w:top w:val="single" w:sz="4" w:space="0" w:color="auto"/>
              <w:left w:val="single" w:sz="4" w:space="0" w:color="auto"/>
              <w:bottom w:val="single" w:sz="4" w:space="0" w:color="auto"/>
              <w:right w:val="single" w:sz="4" w:space="0" w:color="auto"/>
            </w:tcBorders>
          </w:tcPr>
          <w:p w14:paraId="3BA4A852" w14:textId="4BBA61AF" w:rsidR="00F21622" w:rsidRPr="00401E33" w:rsidRDefault="00401E33">
            <w:pPr>
              <w:widowControl/>
              <w:jc w:val="left"/>
              <w:rPr>
                <w:rFonts w:ascii="Arial" w:eastAsia="宋体" w:hAnsi="Arial" w:cs="Arial"/>
                <w:b/>
                <w:bCs/>
                <w:kern w:val="0"/>
                <w:sz w:val="28"/>
                <w:szCs w:val="28"/>
              </w:rPr>
            </w:pPr>
            <w:r w:rsidRPr="00401E33">
              <w:rPr>
                <w:rFonts w:ascii="Arial" w:hAnsi="Arial" w:cs="Arial"/>
              </w:rPr>
              <w:t>Robyn Griffiths</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6193B4B9" w14:textId="7FBA597A" w:rsidR="00F21622" w:rsidRPr="00401E33" w:rsidRDefault="00401E33">
            <w:pPr>
              <w:widowControl/>
              <w:jc w:val="left"/>
              <w:rPr>
                <w:rFonts w:ascii="Arial" w:eastAsia="宋体" w:hAnsi="Arial" w:cs="Arial"/>
                <w:b/>
                <w:bCs/>
                <w:kern w:val="0"/>
                <w:sz w:val="28"/>
                <w:szCs w:val="28"/>
              </w:rPr>
            </w:pPr>
            <w:r w:rsidRPr="00401E33">
              <w:rPr>
                <w:rFonts w:ascii="Arial" w:hAnsi="Arial" w:cs="Arial"/>
                <w:b/>
                <w:bCs/>
              </w:rPr>
              <w:t>Internal Verifier:</w:t>
            </w:r>
          </w:p>
        </w:tc>
        <w:tc>
          <w:tcPr>
            <w:tcW w:w="2049" w:type="dxa"/>
            <w:gridSpan w:val="2"/>
            <w:tcBorders>
              <w:top w:val="single" w:sz="4" w:space="0" w:color="auto"/>
              <w:bottom w:val="single" w:sz="4" w:space="0" w:color="auto"/>
              <w:right w:val="single" w:sz="4" w:space="0" w:color="auto"/>
            </w:tcBorders>
          </w:tcPr>
          <w:p w14:paraId="63E5CBD1" w14:textId="571144F9" w:rsidR="00F21622" w:rsidRPr="00401E33" w:rsidRDefault="00401E33" w:rsidP="00401E33">
            <w:pPr>
              <w:widowControl/>
              <w:jc w:val="left"/>
              <w:rPr>
                <w:rFonts w:ascii="Arial" w:eastAsia="宋体" w:hAnsi="Arial" w:cs="Arial"/>
                <w:b/>
                <w:bCs/>
                <w:kern w:val="0"/>
                <w:sz w:val="28"/>
                <w:szCs w:val="28"/>
              </w:rPr>
            </w:pPr>
            <w:r w:rsidRPr="00401E33">
              <w:rPr>
                <w:rFonts w:ascii="Arial" w:hAnsi="Arial" w:cs="Arial"/>
              </w:rPr>
              <w:t>Gareth Hughes</w:t>
            </w:r>
          </w:p>
        </w:tc>
      </w:tr>
      <w:tr w:rsidR="00F21622" w14:paraId="6DD45C56" w14:textId="3F372DDB" w:rsidTr="00401E33">
        <w:tblPrEx>
          <w:tblBorders>
            <w:left w:val="none" w:sz="0" w:space="0" w:color="auto"/>
            <w:bottom w:val="none" w:sz="0" w:space="0" w:color="auto"/>
            <w:right w:val="none" w:sz="0" w:space="0" w:color="auto"/>
            <w:insideH w:val="none" w:sz="0" w:space="0" w:color="auto"/>
            <w:insideV w:val="none" w:sz="0" w:space="0" w:color="auto"/>
          </w:tblBorders>
          <w:tblCellMar>
            <w:top w:w="0" w:type="dxa"/>
            <w:bottom w:w="0" w:type="dxa"/>
          </w:tblCellMar>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214EF9DD" w14:textId="065D3D5F" w:rsidR="00F21622" w:rsidRPr="00401E33" w:rsidRDefault="00401E33" w:rsidP="00F21622">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Assignment Title:</w:t>
            </w:r>
          </w:p>
        </w:tc>
        <w:tc>
          <w:tcPr>
            <w:tcW w:w="2426" w:type="dxa"/>
            <w:tcBorders>
              <w:top w:val="single" w:sz="4" w:space="0" w:color="auto"/>
              <w:left w:val="single" w:sz="4" w:space="0" w:color="auto"/>
              <w:bottom w:val="single" w:sz="4" w:space="0" w:color="auto"/>
              <w:right w:val="single" w:sz="4" w:space="0" w:color="auto"/>
            </w:tcBorders>
          </w:tcPr>
          <w:p w14:paraId="61D62B05" w14:textId="3669B6F1" w:rsidR="00F21622" w:rsidRPr="00401E33" w:rsidRDefault="00401E33" w:rsidP="00401E33">
            <w:pPr>
              <w:widowControl/>
              <w:jc w:val="left"/>
              <w:rPr>
                <w:rFonts w:ascii="Arial" w:eastAsia="宋体" w:hAnsi="Arial" w:cs="Arial"/>
                <w:b/>
                <w:bCs/>
                <w:kern w:val="0"/>
                <w:sz w:val="28"/>
                <w:szCs w:val="28"/>
              </w:rPr>
            </w:pPr>
            <w:r w:rsidRPr="00401E33">
              <w:rPr>
                <w:rFonts w:ascii="Arial" w:hAnsi="Arial" w:cs="Arial"/>
              </w:rPr>
              <w:t>1. Strategic</w:t>
            </w:r>
            <w:r>
              <w:rPr>
                <w:rFonts w:ascii="Arial" w:hAnsi="Arial" w:cs="Arial" w:hint="eastAsia"/>
              </w:rPr>
              <w:t xml:space="preserve"> </w:t>
            </w:r>
            <w:r w:rsidRPr="00401E33">
              <w:rPr>
                <w:rFonts w:ascii="Arial" w:hAnsi="Arial" w:cs="Arial"/>
              </w:rPr>
              <w:t>Management Evaluation</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7BE94634" w14:textId="2D8B5327" w:rsidR="00F21622" w:rsidRPr="00401E33" w:rsidRDefault="00401E33" w:rsidP="00401E33">
            <w:pPr>
              <w:widowControl/>
              <w:rPr>
                <w:rFonts w:ascii="Arial" w:eastAsia="宋体" w:hAnsi="Arial" w:cs="Arial"/>
                <w:b/>
                <w:bCs/>
                <w:kern w:val="0"/>
                <w:sz w:val="28"/>
                <w:szCs w:val="28"/>
              </w:rPr>
            </w:pPr>
            <w:r w:rsidRPr="00401E33">
              <w:rPr>
                <w:rFonts w:ascii="Arial" w:hAnsi="Arial" w:cs="Arial"/>
                <w:b/>
                <w:bCs/>
              </w:rPr>
              <w:t>Word count (or equivalent):</w:t>
            </w:r>
          </w:p>
        </w:tc>
        <w:tc>
          <w:tcPr>
            <w:tcW w:w="2049" w:type="dxa"/>
            <w:gridSpan w:val="2"/>
            <w:tcBorders>
              <w:top w:val="single" w:sz="4" w:space="0" w:color="auto"/>
              <w:bottom w:val="single" w:sz="4" w:space="0" w:color="auto"/>
              <w:right w:val="single" w:sz="4" w:space="0" w:color="auto"/>
            </w:tcBorders>
          </w:tcPr>
          <w:p w14:paraId="42E6F2DD" w14:textId="5289B82E" w:rsidR="00F21622" w:rsidRPr="00401E33" w:rsidRDefault="00401E33">
            <w:pPr>
              <w:widowControl/>
              <w:jc w:val="left"/>
              <w:rPr>
                <w:rFonts w:ascii="Arial" w:eastAsia="宋体" w:hAnsi="Arial" w:cs="Arial"/>
                <w:b/>
                <w:bCs/>
                <w:kern w:val="0"/>
                <w:sz w:val="28"/>
                <w:szCs w:val="28"/>
              </w:rPr>
            </w:pPr>
            <w:r w:rsidRPr="00401E33">
              <w:rPr>
                <w:rFonts w:ascii="Arial" w:hAnsi="Arial" w:cs="Arial"/>
              </w:rPr>
              <w:t>2,000</w:t>
            </w:r>
          </w:p>
        </w:tc>
      </w:tr>
      <w:tr w:rsidR="00F21622" w14:paraId="286FC28A" w14:textId="24BE6305" w:rsidTr="00401E33">
        <w:tblPrEx>
          <w:tblBorders>
            <w:left w:val="none" w:sz="0" w:space="0" w:color="auto"/>
            <w:bottom w:val="none" w:sz="0" w:space="0" w:color="auto"/>
            <w:right w:val="none" w:sz="0" w:space="0" w:color="auto"/>
            <w:insideH w:val="none" w:sz="0" w:space="0" w:color="auto"/>
            <w:insideV w:val="none" w:sz="0" w:space="0" w:color="auto"/>
          </w:tblBorders>
          <w:tblCellMar>
            <w:top w:w="0" w:type="dxa"/>
            <w:bottom w:w="0" w:type="dxa"/>
          </w:tblCellMar>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13C284DD" w14:textId="3436F429" w:rsidR="00F21622" w:rsidRPr="00401E33" w:rsidRDefault="00401E33" w:rsidP="00401E33">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Submission deadline:</w:t>
            </w:r>
          </w:p>
        </w:tc>
        <w:tc>
          <w:tcPr>
            <w:tcW w:w="2426" w:type="dxa"/>
            <w:tcBorders>
              <w:top w:val="single" w:sz="4" w:space="0" w:color="auto"/>
              <w:left w:val="single" w:sz="4" w:space="0" w:color="auto"/>
              <w:bottom w:val="single" w:sz="4" w:space="0" w:color="auto"/>
              <w:right w:val="single" w:sz="4" w:space="0" w:color="auto"/>
            </w:tcBorders>
          </w:tcPr>
          <w:p w14:paraId="6533848B" w14:textId="5EB8A3E4" w:rsidR="00F21622" w:rsidRPr="00401E33" w:rsidRDefault="00401E33" w:rsidP="00401E33">
            <w:pPr>
              <w:widowControl/>
              <w:jc w:val="left"/>
              <w:rPr>
                <w:rFonts w:ascii="Arial" w:eastAsia="宋体" w:hAnsi="Arial" w:cs="Arial"/>
                <w:b/>
                <w:bCs/>
                <w:kern w:val="0"/>
                <w:sz w:val="28"/>
                <w:szCs w:val="28"/>
              </w:rPr>
            </w:pPr>
            <w:r w:rsidRPr="00401E33">
              <w:rPr>
                <w:rFonts w:ascii="Arial" w:hAnsi="Arial" w:cs="Arial"/>
              </w:rPr>
              <w:t>27th March 2026 at 11.59pm</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6F86E2F9" w14:textId="1EBFA26E" w:rsidR="00F21622" w:rsidRPr="00401E33" w:rsidRDefault="00401E33">
            <w:pPr>
              <w:widowControl/>
              <w:jc w:val="left"/>
              <w:rPr>
                <w:rFonts w:ascii="Arial" w:eastAsia="宋体" w:hAnsi="Arial" w:cs="Arial"/>
                <w:b/>
                <w:bCs/>
                <w:kern w:val="0"/>
                <w:sz w:val="28"/>
                <w:szCs w:val="28"/>
              </w:rPr>
            </w:pPr>
            <w:r w:rsidRPr="00401E33">
              <w:rPr>
                <w:rFonts w:ascii="Arial" w:hAnsi="Arial" w:cs="Arial"/>
                <w:b/>
                <w:bCs/>
              </w:rPr>
              <w:t>Return date of provisional marks &amp; written feedback:</w:t>
            </w:r>
          </w:p>
        </w:tc>
        <w:tc>
          <w:tcPr>
            <w:tcW w:w="2049" w:type="dxa"/>
            <w:gridSpan w:val="2"/>
            <w:tcBorders>
              <w:top w:val="single" w:sz="4" w:space="0" w:color="auto"/>
              <w:bottom w:val="single" w:sz="4" w:space="0" w:color="auto"/>
              <w:right w:val="single" w:sz="4" w:space="0" w:color="auto"/>
            </w:tcBorders>
          </w:tcPr>
          <w:p w14:paraId="36E97455" w14:textId="6D8595E6" w:rsidR="00F21622" w:rsidRPr="00401E33" w:rsidRDefault="00401E33">
            <w:pPr>
              <w:widowControl/>
              <w:jc w:val="left"/>
              <w:rPr>
                <w:rFonts w:ascii="Arial" w:eastAsia="宋体" w:hAnsi="Arial" w:cs="Arial"/>
                <w:b/>
                <w:bCs/>
                <w:kern w:val="0"/>
                <w:sz w:val="28"/>
                <w:szCs w:val="28"/>
              </w:rPr>
            </w:pPr>
            <w:r w:rsidRPr="00401E33">
              <w:rPr>
                <w:rFonts w:ascii="Arial" w:hAnsi="Arial" w:cs="Arial"/>
              </w:rPr>
              <w:t>24th April 2026 at 11.59pm</w:t>
            </w:r>
          </w:p>
        </w:tc>
      </w:tr>
      <w:tr w:rsidR="00F21622" w14:paraId="08C3F7B2" w14:textId="7C0794F8" w:rsidTr="00401E33">
        <w:tblPrEx>
          <w:tblBorders>
            <w:left w:val="none" w:sz="0" w:space="0" w:color="auto"/>
            <w:bottom w:val="none" w:sz="0" w:space="0" w:color="auto"/>
            <w:right w:val="none" w:sz="0" w:space="0" w:color="auto"/>
            <w:insideH w:val="none" w:sz="0" w:space="0" w:color="auto"/>
            <w:insideV w:val="none" w:sz="0" w:space="0" w:color="auto"/>
          </w:tblBorders>
          <w:tblCellMar>
            <w:top w:w="0" w:type="dxa"/>
            <w:bottom w:w="0" w:type="dxa"/>
          </w:tblCellMar>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704100AE" w14:textId="66FE75A1" w:rsidR="00F21622" w:rsidRPr="00401E33" w:rsidRDefault="00401E33" w:rsidP="00F21622">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Submission method:</w:t>
            </w:r>
          </w:p>
        </w:tc>
        <w:tc>
          <w:tcPr>
            <w:tcW w:w="6668" w:type="dxa"/>
            <w:gridSpan w:val="4"/>
            <w:tcBorders>
              <w:top w:val="single" w:sz="4" w:space="0" w:color="auto"/>
              <w:left w:val="single" w:sz="4" w:space="0" w:color="auto"/>
              <w:bottom w:val="single" w:sz="4" w:space="0" w:color="auto"/>
              <w:right w:val="single" w:sz="4" w:space="0" w:color="auto"/>
            </w:tcBorders>
          </w:tcPr>
          <w:p w14:paraId="607C9F7A" w14:textId="77777777" w:rsidR="00401E33" w:rsidRDefault="00401E33">
            <w:pPr>
              <w:widowControl/>
              <w:jc w:val="left"/>
              <w:rPr>
                <w:rFonts w:ascii="Arial" w:hAnsi="Arial" w:cs="Arial"/>
                <w:b/>
                <w:bCs/>
              </w:rPr>
            </w:pPr>
            <w:r w:rsidRPr="00401E33">
              <w:rPr>
                <w:rFonts w:ascii="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r w:rsidRPr="00401E33">
              <w:rPr>
                <w:rFonts w:ascii="Arial" w:hAnsi="Arial" w:cs="Arial"/>
                <w:b/>
                <w:bCs/>
              </w:rPr>
              <w:t xml:space="preserve">Alternative submission method (if applicable): </w:t>
            </w:r>
          </w:p>
          <w:p w14:paraId="49EAE980" w14:textId="2346717D" w:rsidR="00F21622" w:rsidRPr="00401E33" w:rsidRDefault="00401E33">
            <w:pPr>
              <w:widowControl/>
              <w:jc w:val="left"/>
              <w:rPr>
                <w:rFonts w:ascii="Arial" w:eastAsia="宋体" w:hAnsi="Arial" w:cs="Arial"/>
                <w:b/>
                <w:bCs/>
                <w:kern w:val="0"/>
                <w:sz w:val="28"/>
                <w:szCs w:val="28"/>
              </w:rPr>
            </w:pPr>
            <w:r w:rsidRPr="00401E33">
              <w:rPr>
                <w:rFonts w:ascii="Arial" w:hAnsi="Arial" w:cs="Arial"/>
                <w:b/>
                <w:bCs/>
              </w:rPr>
              <w:t xml:space="preserve">Late submission of the assessment will result in a late penalty mark. </w:t>
            </w:r>
            <w:r w:rsidRPr="00401E33">
              <w:rPr>
                <w:rFonts w:ascii="Arial" w:hAnsi="Arial" w:cs="Arial"/>
              </w:rPr>
              <w:t>Penalties for late submission: Up to one week late, maximum mark of 40%. Over one week late, 0%. Only the Extenuating Circumstances Panel may approve a change to submission dates.</w:t>
            </w:r>
          </w:p>
        </w:tc>
      </w:tr>
    </w:tbl>
    <w:p w14:paraId="141608B5" w14:textId="77777777" w:rsidR="00401E33" w:rsidRDefault="00401E33" w:rsidP="00F21622">
      <w:pPr>
        <w:widowControl/>
        <w:spacing w:before="100" w:beforeAutospacing="1" w:after="100" w:afterAutospacing="1"/>
        <w:rPr>
          <w:rFonts w:ascii="Times New Roman" w:eastAsia="宋体" w:hAnsi="Times New Roman" w:cs="Times New Roman" w:hint="eastAsia"/>
          <w:b/>
          <w:bCs/>
          <w:kern w:val="0"/>
          <w:sz w:val="28"/>
          <w:szCs w:val="28"/>
        </w:rPr>
      </w:pPr>
    </w:p>
    <w:tbl>
      <w:tblPr>
        <w:tblW w:w="8241" w:type="dxa"/>
        <w:tblInd w:w="227" w:type="dxa"/>
        <w:tblBorders>
          <w:top w:val="single" w:sz="4" w:space="0" w:color="auto"/>
        </w:tblBorders>
        <w:tblLook w:val="0000" w:firstRow="0" w:lastRow="0" w:firstColumn="0" w:lastColumn="0" w:noHBand="0" w:noVBand="0"/>
      </w:tblPr>
      <w:tblGrid>
        <w:gridCol w:w="8241"/>
      </w:tblGrid>
      <w:tr w:rsidR="00401E33" w14:paraId="3F03E436" w14:textId="77777777" w:rsidTr="00733FC6">
        <w:tblPrEx>
          <w:tblCellMar>
            <w:top w:w="0" w:type="dxa"/>
            <w:bottom w:w="0" w:type="dxa"/>
          </w:tblCellMar>
        </w:tblPrEx>
        <w:trPr>
          <w:trHeight w:val="100"/>
        </w:trPr>
        <w:tc>
          <w:tcPr>
            <w:tcW w:w="8241" w:type="dxa"/>
            <w:tcBorders>
              <w:left w:val="single" w:sz="4" w:space="0" w:color="auto"/>
            </w:tcBorders>
            <w:shd w:val="clear" w:color="auto" w:fill="D1D1D1" w:themeFill="background2" w:themeFillShade="E6"/>
          </w:tcPr>
          <w:p w14:paraId="61BD877E" w14:textId="58797AE1" w:rsidR="00401E33" w:rsidRPr="00733FC6" w:rsidRDefault="00733FC6" w:rsidP="00401E33">
            <w:pPr>
              <w:widowControl/>
              <w:spacing w:before="100" w:beforeAutospacing="1" w:after="100" w:afterAutospacing="1"/>
              <w:rPr>
                <w:rFonts w:ascii="Arial" w:eastAsia="宋体" w:hAnsi="Arial" w:cs="Arial"/>
                <w:b/>
                <w:bCs/>
                <w:kern w:val="0"/>
                <w:sz w:val="28"/>
                <w:szCs w:val="28"/>
              </w:rPr>
            </w:pPr>
            <w:r w:rsidRPr="00733FC6">
              <w:rPr>
                <w:rFonts w:ascii="Arial" w:hAnsi="Arial" w:cs="Arial"/>
                <w:b/>
                <w:bCs/>
              </w:rPr>
              <w:t>Module Learning Outcomes (from module syllabus)</w:t>
            </w:r>
          </w:p>
        </w:tc>
      </w:tr>
      <w:tr w:rsidR="00401E33" w14:paraId="2A9184C3" w14:textId="77777777" w:rsidTr="00401E33">
        <w:tblPrEx>
          <w:tblBorders>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PrEx>
        <w:trPr>
          <w:trHeight w:val="2171"/>
        </w:trPr>
        <w:tc>
          <w:tcPr>
            <w:tcW w:w="8241" w:type="dxa"/>
          </w:tcPr>
          <w:p w14:paraId="4C40BCDA" w14:textId="77777777" w:rsidR="00733FC6" w:rsidRPr="00733FC6" w:rsidRDefault="00733FC6" w:rsidP="00401E33">
            <w:pPr>
              <w:widowControl/>
              <w:spacing w:before="100" w:beforeAutospacing="1" w:after="100" w:afterAutospacing="1"/>
              <w:rPr>
                <w:rFonts w:ascii="Arial" w:hAnsi="Arial" w:cs="Arial"/>
              </w:rPr>
            </w:pPr>
            <w:r w:rsidRPr="00733FC6">
              <w:rPr>
                <w:rFonts w:ascii="Arial" w:hAnsi="Arial" w:cs="Arial"/>
              </w:rPr>
              <w:t xml:space="preserve">Upon successful completion of this module the student should be able to: </w:t>
            </w:r>
          </w:p>
          <w:p w14:paraId="2D6D4FFB" w14:textId="7A8FA2AC" w:rsidR="00733FC6" w:rsidRPr="00733FC6" w:rsidRDefault="00733FC6" w:rsidP="00401E33">
            <w:pPr>
              <w:widowControl/>
              <w:spacing w:before="100" w:beforeAutospacing="1" w:after="100" w:afterAutospacing="1"/>
              <w:rPr>
                <w:rFonts w:ascii="Arial" w:hAnsi="Arial" w:cs="Arial"/>
              </w:rPr>
            </w:pPr>
            <w:r w:rsidRPr="00733FC6">
              <w:rPr>
                <w:rFonts w:ascii="Arial" w:hAnsi="Arial" w:cs="Arial"/>
              </w:rPr>
              <w:t xml:space="preserve">• Apply relevant strategic and economic models in order to assess the impact of current economic conditions and </w:t>
            </w:r>
            <w:proofErr w:type="spellStart"/>
            <w:r w:rsidRPr="00733FC6">
              <w:rPr>
                <w:rFonts w:ascii="Arial" w:hAnsi="Arial" w:cs="Arial"/>
              </w:rPr>
              <w:t>organisations</w:t>
            </w:r>
            <w:proofErr w:type="spellEnd"/>
            <w:r w:rsidRPr="00733FC6">
              <w:rPr>
                <w:rFonts w:ascii="Arial" w:hAnsi="Arial" w:cs="Arial"/>
              </w:rPr>
              <w:t xml:space="preserve"> strategic approach. </w:t>
            </w:r>
          </w:p>
          <w:p w14:paraId="4805276E" w14:textId="2B56ACAA" w:rsidR="00733FC6" w:rsidRPr="00733FC6" w:rsidRDefault="00733FC6" w:rsidP="00401E33">
            <w:pPr>
              <w:widowControl/>
              <w:spacing w:before="100" w:beforeAutospacing="1" w:after="100" w:afterAutospacing="1"/>
              <w:rPr>
                <w:rFonts w:ascii="Arial" w:hAnsi="Arial" w:cs="Arial"/>
              </w:rPr>
            </w:pPr>
            <w:r w:rsidRPr="00733FC6">
              <w:rPr>
                <w:rFonts w:ascii="Arial" w:hAnsi="Arial" w:cs="Arial"/>
              </w:rPr>
              <w:t xml:space="preserve">• </w:t>
            </w:r>
            <w:proofErr w:type="spellStart"/>
            <w:r w:rsidRPr="00733FC6">
              <w:rPr>
                <w:rFonts w:ascii="Arial" w:hAnsi="Arial" w:cs="Arial"/>
              </w:rPr>
              <w:t>Analyse</w:t>
            </w:r>
            <w:proofErr w:type="spellEnd"/>
            <w:r w:rsidRPr="00733FC6">
              <w:rPr>
                <w:rFonts w:ascii="Arial" w:hAnsi="Arial" w:cs="Arial"/>
              </w:rPr>
              <w:t xml:space="preserve"> the major forces shaping the current business environment and critically assess their impacts on the development of corporate and business level strategy. </w:t>
            </w:r>
          </w:p>
          <w:p w14:paraId="0035C9F6" w14:textId="0FF45467" w:rsidR="00401E33" w:rsidRPr="00733FC6" w:rsidRDefault="00733FC6" w:rsidP="00401E33">
            <w:pPr>
              <w:widowControl/>
              <w:spacing w:before="100" w:beforeAutospacing="1" w:after="100" w:afterAutospacing="1"/>
              <w:rPr>
                <w:rFonts w:ascii="Arial" w:eastAsia="宋体" w:hAnsi="Arial" w:cs="Arial"/>
                <w:b/>
                <w:bCs/>
                <w:kern w:val="0"/>
                <w:sz w:val="28"/>
                <w:szCs w:val="28"/>
              </w:rPr>
            </w:pPr>
            <w:r w:rsidRPr="00733FC6">
              <w:rPr>
                <w:rFonts w:ascii="Arial" w:hAnsi="Arial" w:cs="Arial"/>
              </w:rPr>
              <w:t>• Assess markets in action based on micro-economic and macro-economic foundations, including different market structures and their influence on strategy.</w:t>
            </w:r>
          </w:p>
        </w:tc>
      </w:tr>
    </w:tbl>
    <w:p w14:paraId="502EF4F1" w14:textId="1E92C567" w:rsidR="00D87BF8" w:rsidRPr="00D87BF8" w:rsidRDefault="00733FC6" w:rsidP="00D87BF8">
      <w:pPr>
        <w:widowControl/>
        <w:spacing w:before="100" w:beforeAutospacing="1" w:after="100" w:afterAutospacing="1"/>
        <w:rPr>
          <w:rFonts w:ascii="Times New Roman" w:eastAsia="宋体" w:hAnsi="Times New Roman" w:cs="Times New Roman"/>
          <w:b/>
          <w:bCs/>
          <w:kern w:val="0"/>
          <w:sz w:val="28"/>
          <w:szCs w:val="28"/>
        </w:rPr>
      </w:pPr>
      <w:r>
        <w:rPr>
          <w:rFonts w:ascii="Times New Roman" w:eastAsia="宋体" w:hAnsi="Times New Roman" w:cs="Times New Roman"/>
          <w:b/>
          <w:bCs/>
          <w:kern w:val="0"/>
          <w:sz w:val="28"/>
          <w:szCs w:val="28"/>
        </w:rPr>
        <w:lastRenderedPageBreak/>
        <w:t>Title</w:t>
      </w:r>
      <w:r>
        <w:rPr>
          <w:rFonts w:ascii="Times New Roman" w:eastAsia="宋体" w:hAnsi="Times New Roman" w:cs="Times New Roman" w:hint="eastAsia"/>
          <w:b/>
          <w:bCs/>
          <w:kern w:val="0"/>
          <w:sz w:val="28"/>
          <w:szCs w:val="28"/>
        </w:rPr>
        <w:t xml:space="preserve">: </w:t>
      </w:r>
      <w:r w:rsidR="00D87BF8" w:rsidRPr="00D87BF8">
        <w:rPr>
          <w:rFonts w:ascii="Times New Roman" w:eastAsia="宋体" w:hAnsi="Times New Roman" w:cs="Times New Roman"/>
          <w:b/>
          <w:bCs/>
          <w:kern w:val="0"/>
          <w:sz w:val="28"/>
          <w:szCs w:val="28"/>
        </w:rPr>
        <w:t>Strategic Analysis and Sustainable Development Strategy Formulation</w:t>
      </w:r>
    </w:p>
    <w:p w14:paraId="3477AD4C" w14:textId="77777777" w:rsidR="00D87BF8" w:rsidRPr="00733FC6" w:rsidRDefault="00D87BF8" w:rsidP="00D87BF8">
      <w:pPr>
        <w:widowControl/>
        <w:spacing w:before="100" w:beforeAutospacing="1" w:after="100" w:afterAutospacing="1"/>
        <w:rPr>
          <w:rFonts w:ascii="Times New Roman" w:eastAsia="宋体" w:hAnsi="Times New Roman" w:cs="Times New Roman"/>
          <w:kern w:val="0"/>
          <w:sz w:val="24"/>
          <w:szCs w:val="24"/>
        </w:rPr>
      </w:pPr>
    </w:p>
    <w:p w14:paraId="11CBE736"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63B6E4A3"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72159FF2"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76439D74"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5ECED63D"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03B7C276"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4AFA5019"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428B5577"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0D837B20"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7D2AE349"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4CBB4198"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3CFDE1BA"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34A57944"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262EBE4E"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563F2259"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07EF90D5"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23E2C65A"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2BB2BB7C"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63E51217" w14:textId="77777777" w:rsid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4C2E109B" w14:textId="77777777" w:rsidR="00D87BF8" w:rsidRPr="00D87BF8" w:rsidRDefault="00D87BF8" w:rsidP="00D87BF8">
      <w:pPr>
        <w:widowControl/>
        <w:spacing w:before="100" w:beforeAutospacing="1" w:after="100" w:afterAutospacing="1"/>
        <w:rPr>
          <w:rFonts w:ascii="Times New Roman" w:eastAsia="宋体" w:hAnsi="Times New Roman" w:cs="Times New Roman" w:hint="eastAsia"/>
          <w:kern w:val="0"/>
          <w:sz w:val="24"/>
          <w:szCs w:val="24"/>
        </w:rPr>
      </w:pPr>
    </w:p>
    <w:p w14:paraId="2CCF3E42" w14:textId="68F8417E" w:rsidR="00D87BF8" w:rsidRPr="00D87BF8" w:rsidRDefault="00D87BF8" w:rsidP="00D87BF8">
      <w:pPr>
        <w:widowControl/>
        <w:spacing w:before="100" w:beforeAutospacing="1" w:after="100" w:afterAutospacing="1"/>
        <w:rPr>
          <w:rFonts w:ascii="Times New Roman" w:eastAsia="宋体" w:hAnsi="Times New Roman" w:cs="Times New Roman" w:hint="eastAsia"/>
          <w:b/>
          <w:bCs/>
          <w:kern w:val="0"/>
          <w:sz w:val="28"/>
          <w:szCs w:val="28"/>
        </w:rPr>
      </w:pPr>
      <w:r w:rsidRPr="00D87BF8">
        <w:rPr>
          <w:rFonts w:ascii="Times New Roman" w:eastAsia="宋体" w:hAnsi="Times New Roman" w:cs="Times New Roman"/>
          <w:b/>
          <w:bCs/>
          <w:kern w:val="0"/>
          <w:sz w:val="28"/>
          <w:szCs w:val="28"/>
        </w:rPr>
        <w:lastRenderedPageBreak/>
        <w:t>Executive Summary</w:t>
      </w:r>
    </w:p>
    <w:p w14:paraId="25944504" w14:textId="77777777" w:rsidR="00D87BF8" w:rsidRPr="00D87BF8" w:rsidRDefault="00D87BF8" w:rsidP="00D87BF8">
      <w:pPr>
        <w:widowControl/>
        <w:spacing w:before="100" w:beforeAutospacing="1" w:after="100" w:afterAutospacing="1"/>
        <w:rPr>
          <w:rFonts w:ascii="Times New Roman" w:eastAsia="宋体" w:hAnsi="Times New Roman" w:cs="Times New Roman"/>
          <w:kern w:val="0"/>
          <w:sz w:val="24"/>
          <w:szCs w:val="24"/>
        </w:rPr>
      </w:pPr>
      <w:r w:rsidRPr="00D87BF8">
        <w:rPr>
          <w:rFonts w:ascii="Times New Roman" w:eastAsia="宋体" w:hAnsi="Times New Roman" w:cs="Times New Roman"/>
          <w:kern w:val="0"/>
          <w:sz w:val="24"/>
          <w:szCs w:val="24"/>
        </w:rPr>
        <w:t>This report examines Microsoft’s strategic position within the rapidly evolving technology industry. Microsoft faces multiple complex challenges, including the rapid rise of artificial intelligence, intensifying competition in the cloud computing sector, and increasingly stringent regulatory scrutiny worldwide. Through external and internal strategic analysis, the report finds that Microsoft has built significant competitive advantages through its vast ecosystem, robust financial resources, and successful cloud transformation. However, these strengths also harbor underlying risks: the rapid development of artificial intelligence is accompanied by ethical controversies and regulatory uncertainty, while large-scale merger and acquisition activities may trigger antitrust scrutiny. Based on this analysis, the report recommends integrating sustainability more deeply into Microsoft’s core business operations and proactively managing these strategic risks while pursuing growth.</w:t>
      </w:r>
    </w:p>
    <w:p w14:paraId="4D15D9ED" w14:textId="6AD7AF9B" w:rsidR="00D87BF8" w:rsidRPr="00D87BF8" w:rsidRDefault="00D87BF8" w:rsidP="00D87BF8">
      <w:pPr>
        <w:widowControl/>
        <w:spacing w:before="100" w:beforeAutospacing="1" w:after="100" w:afterAutospacing="1"/>
        <w:rPr>
          <w:rFonts w:ascii="Times New Roman" w:eastAsia="宋体" w:hAnsi="Times New Roman" w:cs="Times New Roman"/>
          <w:kern w:val="0"/>
          <w:sz w:val="24"/>
          <w:szCs w:val="24"/>
        </w:rPr>
      </w:pPr>
    </w:p>
    <w:p w14:paraId="1A775D31" w14:textId="265FBB29" w:rsidR="00D87BF8" w:rsidRPr="00D87BF8" w:rsidRDefault="00D87BF8" w:rsidP="00D87BF8">
      <w:pPr>
        <w:rPr>
          <w:rFonts w:ascii="Times New Roman" w:hAnsi="Times New Roman" w:cs="Times New Roman"/>
          <w:sz w:val="24"/>
          <w:szCs w:val="24"/>
        </w:rPr>
      </w:pPr>
    </w:p>
    <w:p w14:paraId="703EE342" w14:textId="77777777" w:rsidR="00D87BF8" w:rsidRPr="00D87BF8" w:rsidRDefault="00D87BF8" w:rsidP="00D87BF8">
      <w:pPr>
        <w:rPr>
          <w:rFonts w:ascii="Times New Roman" w:hAnsi="Times New Roman" w:cs="Times New Roman"/>
          <w:sz w:val="24"/>
          <w:szCs w:val="24"/>
        </w:rPr>
      </w:pPr>
    </w:p>
    <w:p w14:paraId="01ADE884" w14:textId="77777777" w:rsidR="00D87BF8" w:rsidRPr="00D87BF8" w:rsidRDefault="00D87BF8" w:rsidP="00D87BF8">
      <w:pPr>
        <w:pStyle w:val="ae"/>
        <w:jc w:val="both"/>
        <w:rPr>
          <w:rFonts w:ascii="Times New Roman" w:hAnsi="Times New Roman" w:cs="Times New Roman"/>
        </w:rPr>
      </w:pPr>
    </w:p>
    <w:p w14:paraId="16807ED1" w14:textId="77777777" w:rsidR="00D87BF8" w:rsidRPr="00D87BF8" w:rsidRDefault="00D87BF8" w:rsidP="00D87BF8">
      <w:pPr>
        <w:pStyle w:val="ae"/>
        <w:jc w:val="both"/>
        <w:rPr>
          <w:rFonts w:ascii="Times New Roman" w:hAnsi="Times New Roman" w:cs="Times New Roman"/>
        </w:rPr>
      </w:pPr>
    </w:p>
    <w:p w14:paraId="11163233" w14:textId="77777777" w:rsidR="00D87BF8" w:rsidRPr="00D87BF8" w:rsidRDefault="00D87BF8" w:rsidP="00D87BF8">
      <w:pPr>
        <w:pStyle w:val="ae"/>
        <w:jc w:val="both"/>
        <w:rPr>
          <w:rFonts w:ascii="Times New Roman" w:hAnsi="Times New Roman" w:cs="Times New Roman"/>
        </w:rPr>
      </w:pPr>
    </w:p>
    <w:p w14:paraId="12314E07" w14:textId="77777777" w:rsidR="00D87BF8" w:rsidRPr="00D87BF8" w:rsidRDefault="00D87BF8" w:rsidP="00D87BF8">
      <w:pPr>
        <w:pStyle w:val="ae"/>
        <w:jc w:val="both"/>
        <w:rPr>
          <w:rFonts w:ascii="Times New Roman" w:hAnsi="Times New Roman" w:cs="Times New Roman"/>
        </w:rPr>
      </w:pPr>
    </w:p>
    <w:p w14:paraId="5EA143E7" w14:textId="77777777" w:rsidR="00D87BF8" w:rsidRPr="00D87BF8" w:rsidRDefault="00D87BF8" w:rsidP="00D87BF8">
      <w:pPr>
        <w:pStyle w:val="ae"/>
        <w:jc w:val="both"/>
        <w:rPr>
          <w:rFonts w:ascii="Times New Roman" w:hAnsi="Times New Roman" w:cs="Times New Roman"/>
        </w:rPr>
      </w:pPr>
    </w:p>
    <w:p w14:paraId="63AD2607" w14:textId="77777777" w:rsidR="00D87BF8" w:rsidRPr="00D87BF8" w:rsidRDefault="00D87BF8" w:rsidP="00D87BF8">
      <w:pPr>
        <w:pStyle w:val="ae"/>
        <w:jc w:val="both"/>
        <w:rPr>
          <w:rFonts w:ascii="Times New Roman" w:hAnsi="Times New Roman" w:cs="Times New Roman"/>
        </w:rPr>
      </w:pPr>
    </w:p>
    <w:p w14:paraId="7551F6F9" w14:textId="77777777" w:rsidR="00D87BF8" w:rsidRPr="00D87BF8" w:rsidRDefault="00D87BF8" w:rsidP="00D87BF8">
      <w:pPr>
        <w:pStyle w:val="ae"/>
        <w:jc w:val="both"/>
        <w:rPr>
          <w:rFonts w:ascii="Times New Roman" w:hAnsi="Times New Roman" w:cs="Times New Roman"/>
        </w:rPr>
      </w:pPr>
    </w:p>
    <w:p w14:paraId="1B937A2F" w14:textId="77777777" w:rsidR="00D87BF8" w:rsidRDefault="00D87BF8" w:rsidP="00D87BF8">
      <w:pPr>
        <w:pStyle w:val="ae"/>
        <w:jc w:val="both"/>
        <w:rPr>
          <w:rFonts w:ascii="Times New Roman" w:hAnsi="Times New Roman" w:cs="Times New Roman"/>
        </w:rPr>
      </w:pPr>
    </w:p>
    <w:p w14:paraId="5E69444A" w14:textId="77777777" w:rsidR="00D87BF8" w:rsidRDefault="00D87BF8" w:rsidP="00D87BF8">
      <w:pPr>
        <w:pStyle w:val="ae"/>
        <w:jc w:val="both"/>
        <w:rPr>
          <w:rFonts w:ascii="Times New Roman" w:hAnsi="Times New Roman" w:cs="Times New Roman"/>
        </w:rPr>
      </w:pPr>
    </w:p>
    <w:p w14:paraId="1837B223" w14:textId="77777777" w:rsidR="00D87BF8" w:rsidRDefault="00D87BF8" w:rsidP="00D87BF8">
      <w:pPr>
        <w:pStyle w:val="ae"/>
        <w:jc w:val="both"/>
        <w:rPr>
          <w:rFonts w:ascii="Times New Roman" w:hAnsi="Times New Roman" w:cs="Times New Roman"/>
        </w:rPr>
      </w:pPr>
    </w:p>
    <w:p w14:paraId="09A16160" w14:textId="77777777" w:rsidR="00D87BF8" w:rsidRDefault="00D87BF8" w:rsidP="00D87BF8">
      <w:pPr>
        <w:pStyle w:val="ae"/>
        <w:jc w:val="both"/>
        <w:rPr>
          <w:rFonts w:ascii="Times New Roman" w:hAnsi="Times New Roman" w:cs="Times New Roman"/>
        </w:rPr>
      </w:pPr>
    </w:p>
    <w:p w14:paraId="0BC9BDE8" w14:textId="77777777" w:rsidR="00D87BF8" w:rsidRDefault="00D87BF8" w:rsidP="00D87BF8">
      <w:pPr>
        <w:pStyle w:val="ae"/>
        <w:jc w:val="both"/>
        <w:rPr>
          <w:rFonts w:ascii="Times New Roman" w:hAnsi="Times New Roman" w:cs="Times New Roman"/>
        </w:rPr>
      </w:pPr>
    </w:p>
    <w:p w14:paraId="3C737EFA" w14:textId="77777777" w:rsidR="00D87BF8" w:rsidRPr="00D87BF8" w:rsidRDefault="00D87BF8" w:rsidP="00D87BF8">
      <w:pPr>
        <w:pStyle w:val="ae"/>
        <w:jc w:val="both"/>
        <w:rPr>
          <w:rFonts w:ascii="Times New Roman" w:hAnsi="Times New Roman" w:cs="Times New Roman" w:hint="eastAsia"/>
        </w:rPr>
      </w:pPr>
    </w:p>
    <w:p w14:paraId="6D0ECF60" w14:textId="6FB710FA" w:rsidR="00733FC6" w:rsidRDefault="00733FC6" w:rsidP="00D87BF8">
      <w:pPr>
        <w:pStyle w:val="ae"/>
        <w:jc w:val="both"/>
        <w:rPr>
          <w:rFonts w:ascii="Times New Roman" w:hAnsi="Times New Roman" w:cs="Times New Roman"/>
          <w:b/>
          <w:bCs/>
          <w:sz w:val="28"/>
          <w:szCs w:val="28"/>
        </w:rPr>
      </w:pPr>
      <w:r>
        <w:rPr>
          <w:rFonts w:ascii="Times New Roman" w:hAnsi="Times New Roman" w:cs="Times New Roman" w:hint="eastAsia"/>
          <w:b/>
          <w:bCs/>
          <w:sz w:val="28"/>
          <w:szCs w:val="28"/>
        </w:rPr>
        <w:lastRenderedPageBreak/>
        <w:t xml:space="preserve">                          Contents</w:t>
      </w:r>
    </w:p>
    <w:p w14:paraId="435FB38E" w14:textId="3027E2F8" w:rsidR="00733FC6" w:rsidRPr="001E5CA8" w:rsidRDefault="00733FC6" w:rsidP="00733FC6">
      <w:pPr>
        <w:pStyle w:val="ae"/>
        <w:numPr>
          <w:ilvl w:val="0"/>
          <w:numId w:val="1"/>
        </w:numPr>
        <w:jc w:val="both"/>
        <w:rPr>
          <w:rFonts w:ascii="Times New Roman" w:hAnsi="Times New Roman" w:cs="Times New Roman"/>
          <w:sz w:val="28"/>
          <w:szCs w:val="28"/>
        </w:rPr>
      </w:pPr>
      <w:r w:rsidRPr="001E5CA8">
        <w:rPr>
          <w:rFonts w:ascii="Times New Roman" w:hAnsi="Times New Roman" w:cs="Times New Roman" w:hint="eastAsia"/>
          <w:sz w:val="28"/>
          <w:szCs w:val="28"/>
        </w:rPr>
        <w:t>Introduction</w:t>
      </w:r>
      <w:r w:rsidRPr="001E5CA8">
        <w:rPr>
          <w:rFonts w:ascii="Times New Roman" w:hAnsi="Times New Roman" w:cs="Times New Roman"/>
          <w:sz w:val="28"/>
          <w:szCs w:val="28"/>
        </w:rPr>
        <w:t>…………………………………………………………</w:t>
      </w:r>
      <w:r w:rsidRPr="001E5CA8">
        <w:rPr>
          <w:rFonts w:ascii="Times New Roman" w:hAnsi="Times New Roman" w:cs="Times New Roman" w:hint="eastAsia"/>
          <w:sz w:val="28"/>
          <w:szCs w:val="28"/>
        </w:rPr>
        <w:t>5</w:t>
      </w:r>
    </w:p>
    <w:p w14:paraId="21B04EED" w14:textId="214C8A44" w:rsidR="00733FC6" w:rsidRPr="001E5CA8" w:rsidRDefault="00733FC6" w:rsidP="00733FC6">
      <w:pPr>
        <w:pStyle w:val="ae"/>
        <w:numPr>
          <w:ilvl w:val="0"/>
          <w:numId w:val="1"/>
        </w:numPr>
        <w:jc w:val="both"/>
        <w:rPr>
          <w:rFonts w:ascii="Times New Roman" w:hAnsi="Times New Roman" w:cs="Times New Roman" w:hint="eastAsia"/>
          <w:sz w:val="28"/>
          <w:szCs w:val="28"/>
        </w:rPr>
      </w:pPr>
      <w:r w:rsidRPr="001E5CA8">
        <w:rPr>
          <w:rFonts w:ascii="Times New Roman" w:hAnsi="Times New Roman" w:cs="Times New Roman"/>
          <w:sz w:val="28"/>
          <w:szCs w:val="28"/>
        </w:rPr>
        <w:t>Analysis of the External Environment</w:t>
      </w:r>
      <w:r w:rsidRPr="001E5CA8">
        <w:rPr>
          <w:rFonts w:ascii="Times New Roman" w:hAnsi="Times New Roman" w:cs="Times New Roman"/>
          <w:sz w:val="28"/>
          <w:szCs w:val="28"/>
        </w:rPr>
        <w:t>……………………………</w:t>
      </w:r>
      <w:r w:rsidRPr="001E5CA8">
        <w:rPr>
          <w:rFonts w:ascii="Times New Roman" w:hAnsi="Times New Roman" w:cs="Times New Roman" w:hint="eastAsia"/>
          <w:sz w:val="28"/>
          <w:szCs w:val="28"/>
        </w:rPr>
        <w:t>...6</w:t>
      </w:r>
    </w:p>
    <w:p w14:paraId="7918C45B" w14:textId="14363C52" w:rsidR="00733FC6" w:rsidRPr="001E5CA8" w:rsidRDefault="00733FC6" w:rsidP="00733FC6">
      <w:pPr>
        <w:pStyle w:val="ae"/>
        <w:numPr>
          <w:ilvl w:val="0"/>
          <w:numId w:val="1"/>
        </w:numPr>
        <w:jc w:val="both"/>
        <w:rPr>
          <w:rFonts w:ascii="Times New Roman" w:hAnsi="Times New Roman" w:cs="Times New Roman" w:hint="eastAsia"/>
          <w:sz w:val="28"/>
          <w:szCs w:val="28"/>
        </w:rPr>
      </w:pPr>
      <w:r w:rsidRPr="001E5CA8">
        <w:rPr>
          <w:rFonts w:ascii="Times New Roman" w:hAnsi="Times New Roman" w:cs="Times New Roman"/>
          <w:sz w:val="28"/>
          <w:szCs w:val="28"/>
        </w:rPr>
        <w:t>Analysis of Internal Resources and Capabilities</w:t>
      </w:r>
      <w:r w:rsidRPr="001E5CA8">
        <w:rPr>
          <w:rFonts w:ascii="Times New Roman" w:hAnsi="Times New Roman" w:cs="Times New Roman"/>
          <w:sz w:val="28"/>
          <w:szCs w:val="28"/>
        </w:rPr>
        <w:t>………………</w:t>
      </w:r>
      <w:r w:rsidRPr="001E5CA8">
        <w:rPr>
          <w:rFonts w:ascii="Times New Roman" w:hAnsi="Times New Roman" w:cs="Times New Roman" w:hint="eastAsia"/>
          <w:sz w:val="28"/>
          <w:szCs w:val="28"/>
        </w:rPr>
        <w:t>...</w:t>
      </w:r>
      <w:r w:rsidRPr="001E5CA8">
        <w:rPr>
          <w:rFonts w:ascii="Times New Roman" w:hAnsi="Times New Roman" w:cs="Times New Roman"/>
          <w:sz w:val="28"/>
          <w:szCs w:val="28"/>
        </w:rPr>
        <w:t>…</w:t>
      </w:r>
      <w:r w:rsidRPr="001E5CA8">
        <w:rPr>
          <w:rFonts w:ascii="Times New Roman" w:hAnsi="Times New Roman" w:cs="Times New Roman" w:hint="eastAsia"/>
          <w:sz w:val="28"/>
          <w:szCs w:val="28"/>
        </w:rPr>
        <w:t>.7</w:t>
      </w:r>
    </w:p>
    <w:p w14:paraId="2108ABAB" w14:textId="5FC66B8A" w:rsidR="00733FC6" w:rsidRPr="001E5CA8" w:rsidRDefault="00733FC6" w:rsidP="00733FC6">
      <w:pPr>
        <w:pStyle w:val="ae"/>
        <w:numPr>
          <w:ilvl w:val="0"/>
          <w:numId w:val="1"/>
        </w:numPr>
        <w:jc w:val="both"/>
        <w:rPr>
          <w:rFonts w:ascii="Times New Roman" w:hAnsi="Times New Roman" w:cs="Times New Roman" w:hint="eastAsia"/>
          <w:sz w:val="28"/>
          <w:szCs w:val="28"/>
        </w:rPr>
      </w:pPr>
      <w:r w:rsidRPr="001E5CA8">
        <w:rPr>
          <w:rFonts w:ascii="Times New Roman" w:hAnsi="Times New Roman" w:cs="Times New Roman"/>
          <w:sz w:val="28"/>
          <w:szCs w:val="28"/>
        </w:rPr>
        <w:t>Strategy Formulation and Competitive Positioning</w:t>
      </w:r>
      <w:r w:rsidRPr="001E5CA8">
        <w:rPr>
          <w:rFonts w:ascii="Times New Roman" w:hAnsi="Times New Roman" w:cs="Times New Roman"/>
          <w:sz w:val="28"/>
          <w:szCs w:val="28"/>
        </w:rPr>
        <w:t>…………………</w:t>
      </w:r>
      <w:r w:rsidRPr="001E5CA8">
        <w:rPr>
          <w:rFonts w:ascii="Times New Roman" w:hAnsi="Times New Roman" w:cs="Times New Roman" w:hint="eastAsia"/>
          <w:sz w:val="28"/>
          <w:szCs w:val="28"/>
        </w:rPr>
        <w:t>8</w:t>
      </w:r>
    </w:p>
    <w:p w14:paraId="1B8FB6A7" w14:textId="550A641E" w:rsidR="00733FC6" w:rsidRPr="001E5CA8" w:rsidRDefault="00733FC6" w:rsidP="00733FC6">
      <w:pPr>
        <w:pStyle w:val="ae"/>
        <w:numPr>
          <w:ilvl w:val="0"/>
          <w:numId w:val="1"/>
        </w:numPr>
        <w:jc w:val="both"/>
        <w:rPr>
          <w:rFonts w:ascii="Times New Roman" w:hAnsi="Times New Roman" w:cs="Times New Roman" w:hint="eastAsia"/>
          <w:sz w:val="28"/>
          <w:szCs w:val="28"/>
        </w:rPr>
      </w:pPr>
      <w:r w:rsidRPr="001E5CA8">
        <w:rPr>
          <w:rFonts w:ascii="Times New Roman" w:hAnsi="Times New Roman" w:cs="Times New Roman"/>
          <w:sz w:val="28"/>
          <w:szCs w:val="28"/>
        </w:rPr>
        <w:t>Sustainability and Strategic Recommendations</w:t>
      </w:r>
      <w:r w:rsidRPr="001E5CA8">
        <w:rPr>
          <w:rFonts w:ascii="Times New Roman" w:hAnsi="Times New Roman" w:cs="Times New Roman"/>
          <w:sz w:val="28"/>
          <w:szCs w:val="28"/>
        </w:rPr>
        <w:t>…………………</w:t>
      </w:r>
      <w:proofErr w:type="gramStart"/>
      <w:r w:rsidRPr="001E5CA8">
        <w:rPr>
          <w:rFonts w:ascii="Times New Roman" w:hAnsi="Times New Roman" w:cs="Times New Roman"/>
          <w:sz w:val="28"/>
          <w:szCs w:val="28"/>
        </w:rPr>
        <w:t>…</w:t>
      </w:r>
      <w:r w:rsidRPr="001E5CA8">
        <w:rPr>
          <w:rFonts w:ascii="Times New Roman" w:hAnsi="Times New Roman" w:cs="Times New Roman" w:hint="eastAsia"/>
          <w:sz w:val="28"/>
          <w:szCs w:val="28"/>
        </w:rPr>
        <w:t>..</w:t>
      </w:r>
      <w:proofErr w:type="gramEnd"/>
      <w:r w:rsidRPr="001E5CA8">
        <w:rPr>
          <w:rFonts w:ascii="Times New Roman" w:hAnsi="Times New Roman" w:cs="Times New Roman" w:hint="eastAsia"/>
          <w:sz w:val="28"/>
          <w:szCs w:val="28"/>
        </w:rPr>
        <w:t>9</w:t>
      </w:r>
    </w:p>
    <w:p w14:paraId="413877F0" w14:textId="0AAFC89D" w:rsidR="00733FC6" w:rsidRPr="001E5CA8" w:rsidRDefault="00733FC6" w:rsidP="00733FC6">
      <w:pPr>
        <w:pStyle w:val="ae"/>
        <w:numPr>
          <w:ilvl w:val="0"/>
          <w:numId w:val="1"/>
        </w:numPr>
        <w:jc w:val="both"/>
        <w:rPr>
          <w:rFonts w:ascii="Times New Roman" w:hAnsi="Times New Roman" w:cs="Times New Roman" w:hint="eastAsia"/>
          <w:sz w:val="28"/>
          <w:szCs w:val="28"/>
        </w:rPr>
      </w:pPr>
      <w:r w:rsidRPr="001E5CA8">
        <w:rPr>
          <w:rFonts w:ascii="Times New Roman" w:hAnsi="Times New Roman" w:cs="Times New Roman"/>
          <w:sz w:val="28"/>
          <w:szCs w:val="28"/>
        </w:rPr>
        <w:t>Conclusion</w:t>
      </w:r>
      <w:r w:rsidRPr="001E5CA8">
        <w:rPr>
          <w:rFonts w:ascii="Times New Roman" w:hAnsi="Times New Roman" w:cs="Times New Roman"/>
          <w:sz w:val="28"/>
          <w:szCs w:val="28"/>
        </w:rPr>
        <w:t>…………………………………………………</w:t>
      </w:r>
      <w:r w:rsidRPr="001E5CA8">
        <w:rPr>
          <w:rFonts w:ascii="Times New Roman" w:hAnsi="Times New Roman" w:cs="Times New Roman" w:hint="eastAsia"/>
          <w:sz w:val="28"/>
          <w:szCs w:val="28"/>
        </w:rPr>
        <w:t>.</w:t>
      </w:r>
      <w:r w:rsidRPr="001E5CA8">
        <w:rPr>
          <w:rFonts w:ascii="Times New Roman" w:hAnsi="Times New Roman" w:cs="Times New Roman"/>
          <w:sz w:val="28"/>
          <w:szCs w:val="28"/>
        </w:rPr>
        <w:t>………</w:t>
      </w:r>
      <w:r w:rsidRPr="001E5CA8">
        <w:rPr>
          <w:rFonts w:ascii="Times New Roman" w:hAnsi="Times New Roman" w:cs="Times New Roman" w:hint="eastAsia"/>
          <w:sz w:val="28"/>
          <w:szCs w:val="28"/>
        </w:rPr>
        <w:t>.11</w:t>
      </w:r>
    </w:p>
    <w:p w14:paraId="7678708C" w14:textId="2F4C3E32" w:rsidR="00733FC6" w:rsidRPr="001E5CA8" w:rsidRDefault="00733FC6" w:rsidP="00733FC6">
      <w:pPr>
        <w:pStyle w:val="ae"/>
        <w:numPr>
          <w:ilvl w:val="0"/>
          <w:numId w:val="1"/>
        </w:numPr>
        <w:jc w:val="both"/>
        <w:rPr>
          <w:rFonts w:ascii="Times New Roman" w:hAnsi="Times New Roman" w:cs="Times New Roman" w:hint="eastAsia"/>
          <w:sz w:val="28"/>
          <w:szCs w:val="28"/>
        </w:rPr>
      </w:pPr>
      <w:r w:rsidRPr="001E5CA8">
        <w:rPr>
          <w:rFonts w:ascii="Times New Roman" w:hAnsi="Times New Roman" w:cs="Times New Roman" w:hint="eastAsia"/>
          <w:sz w:val="28"/>
          <w:szCs w:val="28"/>
        </w:rPr>
        <w:t>References</w:t>
      </w:r>
      <w:r w:rsidRPr="001E5CA8">
        <w:rPr>
          <w:rFonts w:ascii="Times New Roman" w:hAnsi="Times New Roman" w:cs="Times New Roman"/>
          <w:sz w:val="28"/>
          <w:szCs w:val="28"/>
        </w:rPr>
        <w:t>………………………………………………………</w:t>
      </w:r>
      <w:proofErr w:type="gramStart"/>
      <w:r w:rsidRPr="001E5CA8">
        <w:rPr>
          <w:rFonts w:ascii="Times New Roman" w:hAnsi="Times New Roman" w:cs="Times New Roman"/>
          <w:sz w:val="28"/>
          <w:szCs w:val="28"/>
        </w:rPr>
        <w:t>…</w:t>
      </w:r>
      <w:r w:rsidRPr="001E5CA8">
        <w:rPr>
          <w:rFonts w:ascii="Times New Roman" w:hAnsi="Times New Roman" w:cs="Times New Roman" w:hint="eastAsia"/>
          <w:sz w:val="28"/>
          <w:szCs w:val="28"/>
        </w:rPr>
        <w:t>..</w:t>
      </w:r>
      <w:proofErr w:type="gramEnd"/>
      <w:r w:rsidRPr="001E5CA8">
        <w:rPr>
          <w:rFonts w:ascii="Times New Roman" w:hAnsi="Times New Roman" w:cs="Times New Roman" w:hint="eastAsia"/>
          <w:sz w:val="28"/>
          <w:szCs w:val="28"/>
        </w:rPr>
        <w:t>12</w:t>
      </w:r>
    </w:p>
    <w:p w14:paraId="024E2FDE" w14:textId="77777777" w:rsidR="00733FC6" w:rsidRDefault="00733FC6" w:rsidP="00D87BF8">
      <w:pPr>
        <w:pStyle w:val="ae"/>
        <w:jc w:val="both"/>
        <w:rPr>
          <w:rFonts w:ascii="Times New Roman" w:hAnsi="Times New Roman" w:cs="Times New Roman"/>
          <w:b/>
          <w:bCs/>
          <w:sz w:val="28"/>
          <w:szCs w:val="28"/>
        </w:rPr>
      </w:pPr>
    </w:p>
    <w:p w14:paraId="638B8040" w14:textId="77777777" w:rsidR="00733FC6" w:rsidRDefault="00733FC6" w:rsidP="00D87BF8">
      <w:pPr>
        <w:pStyle w:val="ae"/>
        <w:jc w:val="both"/>
        <w:rPr>
          <w:rFonts w:ascii="Times New Roman" w:hAnsi="Times New Roman" w:cs="Times New Roman"/>
          <w:b/>
          <w:bCs/>
          <w:sz w:val="28"/>
          <w:szCs w:val="28"/>
        </w:rPr>
      </w:pPr>
    </w:p>
    <w:p w14:paraId="6F9C7723" w14:textId="77777777" w:rsidR="00733FC6" w:rsidRDefault="00733FC6" w:rsidP="00D87BF8">
      <w:pPr>
        <w:pStyle w:val="ae"/>
        <w:jc w:val="both"/>
        <w:rPr>
          <w:rFonts w:ascii="Times New Roman" w:hAnsi="Times New Roman" w:cs="Times New Roman"/>
          <w:b/>
          <w:bCs/>
          <w:sz w:val="28"/>
          <w:szCs w:val="28"/>
        </w:rPr>
      </w:pPr>
    </w:p>
    <w:p w14:paraId="156B361A" w14:textId="77777777" w:rsidR="00733FC6" w:rsidRDefault="00733FC6" w:rsidP="00D87BF8">
      <w:pPr>
        <w:pStyle w:val="ae"/>
        <w:jc w:val="both"/>
        <w:rPr>
          <w:rFonts w:ascii="Times New Roman" w:hAnsi="Times New Roman" w:cs="Times New Roman"/>
          <w:b/>
          <w:bCs/>
          <w:sz w:val="28"/>
          <w:szCs w:val="28"/>
        </w:rPr>
      </w:pPr>
    </w:p>
    <w:p w14:paraId="2BC10BA7" w14:textId="77777777" w:rsidR="00733FC6" w:rsidRDefault="00733FC6" w:rsidP="00D87BF8">
      <w:pPr>
        <w:pStyle w:val="ae"/>
        <w:jc w:val="both"/>
        <w:rPr>
          <w:rFonts w:ascii="Times New Roman" w:hAnsi="Times New Roman" w:cs="Times New Roman"/>
          <w:b/>
          <w:bCs/>
          <w:sz w:val="28"/>
          <w:szCs w:val="28"/>
        </w:rPr>
      </w:pPr>
    </w:p>
    <w:p w14:paraId="2B8B7322" w14:textId="77777777" w:rsidR="00733FC6" w:rsidRDefault="00733FC6" w:rsidP="00D87BF8">
      <w:pPr>
        <w:pStyle w:val="ae"/>
        <w:jc w:val="both"/>
        <w:rPr>
          <w:rFonts w:ascii="Times New Roman" w:hAnsi="Times New Roman" w:cs="Times New Roman"/>
          <w:b/>
          <w:bCs/>
          <w:sz w:val="28"/>
          <w:szCs w:val="28"/>
        </w:rPr>
      </w:pPr>
    </w:p>
    <w:p w14:paraId="0A095413" w14:textId="77777777" w:rsidR="00733FC6" w:rsidRDefault="00733FC6" w:rsidP="00D87BF8">
      <w:pPr>
        <w:pStyle w:val="ae"/>
        <w:jc w:val="both"/>
        <w:rPr>
          <w:rFonts w:ascii="Times New Roman" w:hAnsi="Times New Roman" w:cs="Times New Roman"/>
          <w:b/>
          <w:bCs/>
          <w:sz w:val="28"/>
          <w:szCs w:val="28"/>
        </w:rPr>
      </w:pPr>
    </w:p>
    <w:p w14:paraId="2E75CFB2" w14:textId="77777777" w:rsidR="00733FC6" w:rsidRDefault="00733FC6" w:rsidP="00D87BF8">
      <w:pPr>
        <w:pStyle w:val="ae"/>
        <w:jc w:val="both"/>
        <w:rPr>
          <w:rFonts w:ascii="Times New Roman" w:hAnsi="Times New Roman" w:cs="Times New Roman"/>
          <w:b/>
          <w:bCs/>
          <w:sz w:val="28"/>
          <w:szCs w:val="28"/>
        </w:rPr>
      </w:pPr>
    </w:p>
    <w:p w14:paraId="09259356" w14:textId="77777777" w:rsidR="00733FC6" w:rsidRDefault="00733FC6" w:rsidP="00D87BF8">
      <w:pPr>
        <w:pStyle w:val="ae"/>
        <w:jc w:val="both"/>
        <w:rPr>
          <w:rFonts w:ascii="Times New Roman" w:hAnsi="Times New Roman" w:cs="Times New Roman" w:hint="eastAsia"/>
          <w:b/>
          <w:bCs/>
          <w:sz w:val="28"/>
          <w:szCs w:val="28"/>
        </w:rPr>
      </w:pPr>
    </w:p>
    <w:p w14:paraId="3B2AA6D6" w14:textId="01920909" w:rsidR="00D87BF8" w:rsidRPr="00D87BF8" w:rsidRDefault="00D87BF8" w:rsidP="00D87BF8">
      <w:pPr>
        <w:pStyle w:val="ae"/>
        <w:jc w:val="both"/>
        <w:rPr>
          <w:rFonts w:ascii="Times New Roman" w:hAnsi="Times New Roman" w:cs="Times New Roman" w:hint="eastAsia"/>
          <w:b/>
          <w:bCs/>
          <w:sz w:val="28"/>
          <w:szCs w:val="28"/>
        </w:rPr>
      </w:pPr>
      <w:r w:rsidRPr="00D87BF8">
        <w:rPr>
          <w:rFonts w:ascii="Times New Roman" w:hAnsi="Times New Roman" w:cs="Times New Roman"/>
          <w:b/>
          <w:bCs/>
          <w:sz w:val="28"/>
          <w:szCs w:val="28"/>
        </w:rPr>
        <w:lastRenderedPageBreak/>
        <w:t>1.0 Introduction</w:t>
      </w:r>
    </w:p>
    <w:p w14:paraId="718BCD59" w14:textId="127266F8"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This report selects Microsoft as the subject of strategic analysis. Microsoft is a global leader in the technology sector, with business operations spanning multiple core areas including operating systems, office software, cloud computing, and artificial intelligence. The company serves as an excellent case study because it has successfully transformed itself from a traditional software licensing company into a modern enterprise driven by cloud services and artificial intelligence (Nadella, 2017). This transformation involved a series of complex strategic decisions and offers valuable insights into how the technology industry can maintain competitiveness in a rapidly changing environment.</w:t>
      </w:r>
    </w:p>
    <w:p w14:paraId="1B51C8A5" w14:textId="77777777" w:rsidR="00D87BF8" w:rsidRPr="00D87BF8" w:rsidRDefault="00D87BF8" w:rsidP="00D87BF8">
      <w:pPr>
        <w:pStyle w:val="ae"/>
        <w:jc w:val="both"/>
        <w:rPr>
          <w:rFonts w:ascii="Times New Roman" w:hAnsi="Times New Roman" w:cs="Times New Roman"/>
        </w:rPr>
      </w:pPr>
      <w:r w:rsidRPr="00D87BF8">
        <w:rPr>
          <w:rFonts w:ascii="Times New Roman" w:hAnsi="Times New Roman" w:cs="Times New Roman"/>
        </w:rPr>
        <w:t>Microsoft is currently at a critical turning point. The rapid development of artificial intelligence presents both opportunities and risks. The company must commercialize AI technology in a safe and responsible manner while simultaneously addressing intense competition from firms such as Google and Amazon in the cloud and AI sectors (Vance, 2023). At the same time, governments worldwide are imposing stricter regulations on large technology companies, particularly regarding antitrust and data privacy (European Commission, 2022). These regulatory pressures have introduced uncertainty into Microsoft’s global operations and forced the company to exercise greater caution in its pursuit of market share. Furthermore, the market is placing increasingly higher demands on corporate environmental, social, and governance (ESG) performance (Eccles, Ioannou &amp; Serafeim, 2014). Microsoft must demonstrate that its growth is not only financially successful but also sustainable in the long term.</w:t>
      </w:r>
    </w:p>
    <w:p w14:paraId="186B888F" w14:textId="1035E622" w:rsidR="00D87BF8" w:rsidRPr="00D87BF8" w:rsidRDefault="00D87BF8" w:rsidP="00D87BF8">
      <w:pPr>
        <w:rPr>
          <w:rFonts w:ascii="Times New Roman" w:hAnsi="Times New Roman" w:cs="Times New Roman" w:hint="eastAsia"/>
          <w:sz w:val="24"/>
          <w:szCs w:val="24"/>
        </w:rPr>
      </w:pPr>
    </w:p>
    <w:p w14:paraId="70628527" w14:textId="77777777" w:rsidR="00D87BF8" w:rsidRPr="00D87BF8" w:rsidRDefault="00D87BF8" w:rsidP="00D87BF8">
      <w:pPr>
        <w:rPr>
          <w:rFonts w:ascii="Times New Roman" w:hAnsi="Times New Roman" w:cs="Times New Roman"/>
          <w:sz w:val="24"/>
          <w:szCs w:val="24"/>
        </w:rPr>
      </w:pPr>
    </w:p>
    <w:p w14:paraId="6D16E620" w14:textId="77777777" w:rsidR="00D87BF8" w:rsidRPr="00D87BF8" w:rsidRDefault="00D87BF8" w:rsidP="00D87BF8">
      <w:pPr>
        <w:rPr>
          <w:rFonts w:ascii="Times New Roman" w:hAnsi="Times New Roman" w:cs="Times New Roman"/>
          <w:sz w:val="24"/>
          <w:szCs w:val="24"/>
        </w:rPr>
      </w:pPr>
    </w:p>
    <w:p w14:paraId="3BADE149" w14:textId="77777777" w:rsidR="00D87BF8" w:rsidRPr="00D87BF8" w:rsidRDefault="00D87BF8" w:rsidP="00D87BF8">
      <w:pPr>
        <w:rPr>
          <w:rFonts w:ascii="Times New Roman" w:hAnsi="Times New Roman" w:cs="Times New Roman"/>
          <w:sz w:val="24"/>
          <w:szCs w:val="24"/>
        </w:rPr>
      </w:pPr>
    </w:p>
    <w:p w14:paraId="13F34AE2" w14:textId="77777777" w:rsidR="00D87BF8" w:rsidRPr="00D87BF8" w:rsidRDefault="00D87BF8" w:rsidP="00D87BF8">
      <w:pPr>
        <w:rPr>
          <w:rFonts w:ascii="Times New Roman" w:hAnsi="Times New Roman" w:cs="Times New Roman"/>
          <w:sz w:val="24"/>
          <w:szCs w:val="24"/>
        </w:rPr>
      </w:pPr>
    </w:p>
    <w:p w14:paraId="620428E5" w14:textId="77777777" w:rsidR="00D87BF8" w:rsidRPr="00D87BF8" w:rsidRDefault="00D87BF8" w:rsidP="00D87BF8">
      <w:pPr>
        <w:rPr>
          <w:rFonts w:ascii="Times New Roman" w:hAnsi="Times New Roman" w:cs="Times New Roman"/>
          <w:sz w:val="24"/>
          <w:szCs w:val="24"/>
        </w:rPr>
      </w:pPr>
    </w:p>
    <w:p w14:paraId="5A8C0982" w14:textId="77777777" w:rsidR="00D87BF8" w:rsidRDefault="00D87BF8" w:rsidP="00D87BF8">
      <w:pPr>
        <w:rPr>
          <w:rFonts w:ascii="Times New Roman" w:hAnsi="Times New Roman" w:cs="Times New Roman"/>
          <w:sz w:val="24"/>
          <w:szCs w:val="24"/>
        </w:rPr>
      </w:pPr>
    </w:p>
    <w:p w14:paraId="32F9364B" w14:textId="77777777" w:rsidR="00D87BF8" w:rsidRDefault="00D87BF8" w:rsidP="00D87BF8">
      <w:pPr>
        <w:rPr>
          <w:rFonts w:ascii="Times New Roman" w:hAnsi="Times New Roman" w:cs="Times New Roman"/>
          <w:sz w:val="24"/>
          <w:szCs w:val="24"/>
        </w:rPr>
      </w:pPr>
    </w:p>
    <w:p w14:paraId="5198EC1D" w14:textId="77777777" w:rsidR="00D87BF8" w:rsidRDefault="00D87BF8" w:rsidP="00D87BF8">
      <w:pPr>
        <w:rPr>
          <w:rFonts w:ascii="Times New Roman" w:hAnsi="Times New Roman" w:cs="Times New Roman"/>
          <w:sz w:val="24"/>
          <w:szCs w:val="24"/>
        </w:rPr>
      </w:pPr>
    </w:p>
    <w:p w14:paraId="09FF5FF2" w14:textId="77777777" w:rsidR="00D87BF8" w:rsidRDefault="00D87BF8" w:rsidP="00D87BF8">
      <w:pPr>
        <w:rPr>
          <w:rFonts w:ascii="Times New Roman" w:hAnsi="Times New Roman" w:cs="Times New Roman"/>
          <w:sz w:val="24"/>
          <w:szCs w:val="24"/>
        </w:rPr>
      </w:pPr>
    </w:p>
    <w:p w14:paraId="053C941B" w14:textId="77777777" w:rsidR="00D87BF8" w:rsidRDefault="00D87BF8" w:rsidP="00D87BF8">
      <w:pPr>
        <w:rPr>
          <w:rFonts w:ascii="Times New Roman" w:hAnsi="Times New Roman" w:cs="Times New Roman"/>
          <w:sz w:val="24"/>
          <w:szCs w:val="24"/>
        </w:rPr>
      </w:pPr>
    </w:p>
    <w:p w14:paraId="2EF69236" w14:textId="77777777" w:rsidR="00D87BF8" w:rsidRDefault="00D87BF8" w:rsidP="00D87BF8">
      <w:pPr>
        <w:rPr>
          <w:rFonts w:ascii="Times New Roman" w:hAnsi="Times New Roman" w:cs="Times New Roman"/>
          <w:sz w:val="24"/>
          <w:szCs w:val="24"/>
        </w:rPr>
      </w:pPr>
    </w:p>
    <w:p w14:paraId="6036CC9C" w14:textId="77777777" w:rsidR="00D87BF8" w:rsidRDefault="00D87BF8" w:rsidP="00D87BF8">
      <w:pPr>
        <w:rPr>
          <w:rFonts w:ascii="Times New Roman" w:hAnsi="Times New Roman" w:cs="Times New Roman"/>
          <w:sz w:val="24"/>
          <w:szCs w:val="24"/>
        </w:rPr>
      </w:pPr>
    </w:p>
    <w:p w14:paraId="0FC080A3" w14:textId="77777777" w:rsidR="00D87BF8" w:rsidRDefault="00D87BF8" w:rsidP="00D87BF8">
      <w:pPr>
        <w:rPr>
          <w:rFonts w:ascii="Times New Roman" w:hAnsi="Times New Roman" w:cs="Times New Roman"/>
          <w:sz w:val="24"/>
          <w:szCs w:val="24"/>
        </w:rPr>
      </w:pPr>
    </w:p>
    <w:p w14:paraId="7A781065" w14:textId="77777777" w:rsidR="00D87BF8" w:rsidRDefault="00D87BF8" w:rsidP="00D87BF8">
      <w:pPr>
        <w:rPr>
          <w:rFonts w:ascii="Times New Roman" w:hAnsi="Times New Roman" w:cs="Times New Roman"/>
          <w:sz w:val="24"/>
          <w:szCs w:val="24"/>
        </w:rPr>
      </w:pPr>
    </w:p>
    <w:p w14:paraId="5E34852D" w14:textId="77777777" w:rsidR="00D87BF8" w:rsidRDefault="00D87BF8" w:rsidP="00D87BF8">
      <w:pPr>
        <w:rPr>
          <w:rFonts w:ascii="Times New Roman" w:hAnsi="Times New Roman" w:cs="Times New Roman"/>
          <w:sz w:val="24"/>
          <w:szCs w:val="24"/>
        </w:rPr>
      </w:pPr>
    </w:p>
    <w:p w14:paraId="565CF800" w14:textId="77777777" w:rsidR="00D87BF8" w:rsidRDefault="00D87BF8" w:rsidP="00D87BF8">
      <w:pPr>
        <w:rPr>
          <w:rFonts w:ascii="Times New Roman" w:hAnsi="Times New Roman" w:cs="Times New Roman"/>
          <w:sz w:val="24"/>
          <w:szCs w:val="24"/>
        </w:rPr>
      </w:pPr>
    </w:p>
    <w:p w14:paraId="458965BD" w14:textId="45436AAA" w:rsidR="00D87BF8" w:rsidRPr="00D87BF8" w:rsidRDefault="00D87BF8" w:rsidP="00733FC6">
      <w:pPr>
        <w:tabs>
          <w:tab w:val="left" w:pos="1916"/>
        </w:tabs>
        <w:rPr>
          <w:rFonts w:ascii="Times New Roman" w:hAnsi="Times New Roman" w:cs="Times New Roman" w:hint="eastAsia"/>
          <w:sz w:val="24"/>
          <w:szCs w:val="24"/>
        </w:rPr>
      </w:pPr>
    </w:p>
    <w:p w14:paraId="35C25126" w14:textId="11333968" w:rsidR="00D87BF8" w:rsidRPr="00D87BF8" w:rsidRDefault="00D87BF8" w:rsidP="00D87BF8">
      <w:pPr>
        <w:pStyle w:val="ae"/>
        <w:jc w:val="both"/>
        <w:rPr>
          <w:rFonts w:ascii="Times New Roman" w:hAnsi="Times New Roman" w:cs="Times New Roman" w:hint="eastAsia"/>
          <w:b/>
          <w:bCs/>
          <w:sz w:val="28"/>
          <w:szCs w:val="28"/>
        </w:rPr>
      </w:pPr>
      <w:r w:rsidRPr="00D87BF8">
        <w:rPr>
          <w:rFonts w:ascii="Times New Roman" w:hAnsi="Times New Roman" w:cs="Times New Roman"/>
          <w:b/>
          <w:bCs/>
          <w:sz w:val="28"/>
          <w:szCs w:val="28"/>
        </w:rPr>
        <w:lastRenderedPageBreak/>
        <w:t>2.0 Analysis of the External Environment</w:t>
      </w:r>
    </w:p>
    <w:p w14:paraId="4C6F7D47" w14:textId="752E1854"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To understand Microsoft’s strategic choices, it is necessary to examine its broader macroenvironment and competitive landscape. An analysis using the PESTEL model reveals that political factors profoundly influence the technology industry. Governments around the world are enacting legislation to regulate tech giants. The European Union’s Digital Markets Act imposes strict interoperability requirements on “gatekeeper” platforms like Microsoft, which may limit its ability to bundle operating systems with cloud services (European Commission, 2022). This political pressure suggests that Microsoft’s past strategy of relying on ecosystem lock-in to maintain a competitive advantage may face legal challenges in the future. The economic environment is equally significant. The global economic slowdown has made enterprise customers more cost-conscious, and Microsoft must clearly demonstrate the value and cost-saving potential of its cloud services (Molla, 2023).</w:t>
      </w:r>
    </w:p>
    <w:p w14:paraId="037B38A2" w14:textId="04684EA6"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Sociocultural trends are equally critical. Public concern over AI ethics has reached an unprecedented level. From algorithmic bias to deepfakes, people are demanding greater transparency and accountability from tech companies in AI development (</w:t>
      </w:r>
      <w:proofErr w:type="spellStart"/>
      <w:r w:rsidRPr="00D87BF8">
        <w:rPr>
          <w:rFonts w:ascii="Times New Roman" w:hAnsi="Times New Roman" w:cs="Times New Roman"/>
        </w:rPr>
        <w:t>Floridi</w:t>
      </w:r>
      <w:proofErr w:type="spellEnd"/>
      <w:r w:rsidRPr="00D87BF8">
        <w:rPr>
          <w:rFonts w:ascii="Times New Roman" w:hAnsi="Times New Roman" w:cs="Times New Roman"/>
        </w:rPr>
        <w:t xml:space="preserve"> &amp; Cowls, 2019). This shift in societal expectations means that Microsoft’s brand reputation faces significant risk if it mishandles AI ethics. Technological factors are the driving force behind the current landscape. The explosive growth of AI has made specialized chips—such as NVIDIA’s graphics processing units—a scarce resource. This scarcity directly impacts Microsoft’s ability to build large-scale AI computing clusters, yet it also creates massive demand for its Azure cloud services.</w:t>
      </w:r>
    </w:p>
    <w:p w14:paraId="70E9301E" w14:textId="309DDACC"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Applying Porter’s Five Forces model provides a clearer picture of the competitive landscape (Porter, 2008). Competition among existing players is exceptionally fierce. In the cloud computing sector, Microsoft competes directly with Amazon Web Services and Google Cloud; in the productivity software sector, it faces challenges from Google Workspace. This competitive landscape compels Microsoft to continuously invest massive amounts in R&amp;D to maintain its technological lead. Although the threat of new entrants exists, the barriers to entry into the cloud and enterprise software markets are extremely high, requiring massive capital and years of technological accumulation. However, in the realm of AI applications, innovative startups are constantly emerging, posing a potential threat to Microsoft. Although these startups are small in scale, their flexibility and focus enable them to rapidly capture market share in specific niche areas.</w:t>
      </w:r>
    </w:p>
    <w:p w14:paraId="481307A7" w14:textId="7547FDDF" w:rsidR="00D87BF8" w:rsidRPr="00D87BF8" w:rsidRDefault="00D87BF8" w:rsidP="00733FC6">
      <w:pPr>
        <w:pStyle w:val="ae"/>
        <w:jc w:val="both"/>
        <w:rPr>
          <w:rFonts w:ascii="Times New Roman" w:hAnsi="Times New Roman" w:cs="Times New Roman" w:hint="eastAsia"/>
        </w:rPr>
      </w:pPr>
      <w:r w:rsidRPr="00D87BF8">
        <w:rPr>
          <w:rFonts w:ascii="Times New Roman" w:hAnsi="Times New Roman" w:cs="Times New Roman"/>
        </w:rPr>
        <w:t xml:space="preserve">Furthermore, the threat of substitutes should not be underestimated. Open-source software, free or low-cost alternative applications, and in-house IT systems built by enterprises could all weaken demand for Microsoft’s products. This means Microsoft cannot rely solely on its existing user base but must continuously innovate to demonstrate the unique value of its products. Suppliers’ bargaining power is increasing. NVIDIA’s AI chips determine the pace at which Microsoft can expand its AI services; this dependency grants a single supplier significant bargaining power (Satariano &amp; </w:t>
      </w:r>
      <w:r w:rsidRPr="00D87BF8">
        <w:rPr>
          <w:rFonts w:ascii="Times New Roman" w:hAnsi="Times New Roman" w:cs="Times New Roman"/>
        </w:rPr>
        <w:lastRenderedPageBreak/>
        <w:t>Metz, 2023</w:t>
      </w:r>
      <w:proofErr w:type="gramStart"/>
      <w:r w:rsidRPr="00D87BF8">
        <w:rPr>
          <w:rFonts w:ascii="Times New Roman" w:hAnsi="Times New Roman" w:cs="Times New Roman"/>
        </w:rPr>
        <w:t>) .</w:t>
      </w:r>
      <w:proofErr w:type="gramEnd"/>
      <w:r w:rsidRPr="00D87BF8">
        <w:rPr>
          <w:rFonts w:ascii="Times New Roman" w:hAnsi="Times New Roman" w:cs="Times New Roman"/>
        </w:rPr>
        <w:t xml:space="preserve"> This concentration in the supply chain poses an operational risk to Microsoft; should a supplier encounter issues, Microsoft’s entire AI strategy could be compromised. Finally, buyers also possess significant bargaining power. Large enterprise customers, particularly those adopting multi-cloud strategies, can leverage their purchasing scale to negotiate with Microsoft for more favorable pricing and service terms. This forces Microsoft to adopt more flexible pricing strategies while also requiring it to offer more differentiated services to maintain customer loyalty.</w:t>
      </w:r>
    </w:p>
    <w:p w14:paraId="33FA9885" w14:textId="65E33DE2" w:rsidR="00D87BF8" w:rsidRPr="00D87BF8" w:rsidRDefault="00D87BF8" w:rsidP="00D87BF8">
      <w:pPr>
        <w:pStyle w:val="ae"/>
        <w:jc w:val="both"/>
        <w:rPr>
          <w:rFonts w:ascii="Times New Roman" w:hAnsi="Times New Roman" w:cs="Times New Roman" w:hint="eastAsia"/>
          <w:b/>
          <w:bCs/>
          <w:sz w:val="28"/>
          <w:szCs w:val="28"/>
        </w:rPr>
      </w:pPr>
      <w:r w:rsidRPr="00D87BF8">
        <w:rPr>
          <w:rFonts w:ascii="Times New Roman" w:hAnsi="Times New Roman" w:cs="Times New Roman"/>
          <w:b/>
          <w:bCs/>
          <w:sz w:val="28"/>
          <w:szCs w:val="28"/>
        </w:rPr>
        <w:t>3.0 Analysis of Internal Resources and Capabilities</w:t>
      </w:r>
    </w:p>
    <w:p w14:paraId="0CE438DF" w14:textId="4C3A7E57"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Faced with such a complex external environment, Microsoft relies on its unique internal resources and capabilities to maintain its competitive edge. From a resource-based view, Microsoft’s most valuable resources are its intangible assets. Products such as Windows and Office have billions of users worldwide, creating strong user loyalty and ecosystem lock-in effects (Barney &amp; Hesterly, 2019). This user base not only generates a stable revenue stream but also provides a natural channel for Microsoft to promote new services, such as Teams and Copilot. At the same time, Microsoft possesses top-tier R&amp;D talent, a vast patent portfolio, and long-standing relationships of trust with global enterprises. These resources are difficult for competitors to replicate and form the cornerstone of Microsoft’s sustainable competitive advantage.</w:t>
      </w:r>
    </w:p>
    <w:p w14:paraId="38ED7ECC" w14:textId="7B0DA326"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Value chain analysis reveals how Microsoft transforms these resources into value. In the R&amp;D phase, through continuous investment, Microsoft seamlessly integrates AI capabilities into its core products, such as Microsoft 365 Copilot. This significantly enhances product value and user productivity, making it difficult for competitors to achieve the same level of functional integration. In the marketing phase, Microsoft has successfully rebranded itself from a “traditional software company” to an “innovator in cloud and AI,” a transformation that has substantially increased brand value (Hoffman &amp; Yeh, 2018). In the after-sales service segment, Microsoft has built a robust barrier to entry through its extensive partner network, providing deployment, training, and support services to enterprise customers worldwide. These value-driven activities reinforce one another, forming an integrated system that is difficult for competitors to replicate.</w:t>
      </w:r>
    </w:p>
    <w:p w14:paraId="7517F74D" w14:textId="5538D6F3"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By combining internal and external factors, a SWOT analysis can provide a clearer picture of Microsoft’s strategic landscape. Microsoft’s strengths lie in its robust financial position, diversified business portfolio, and a solid ecosystem comprising Azure, Windows, and Office. However, weaknesses also exist, primarily in the form of over-reliance on hardware supply chains (such as AI chips) and a failure to achieve the same level of success in the consumer hardware sector (such as Surface devices) as in its software business. This implies that Microsoft’s core competitiveness remains concentrated in software and services, while the expansion of its hardware business has not yet established a sufficient moat.</w:t>
      </w:r>
    </w:p>
    <w:p w14:paraId="542553F0" w14:textId="009B02B8"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lastRenderedPageBreak/>
        <w:t>External opportunities are evident, including the wave of digital transformation across global industries, the potential for AI applications in vertical sectors such as healthcare and finance, and the demand for green computing driven by governments’ efforts to achieve carbon neutrality goals (Gates, 2021). These opportunities provide Microsoft with vast room for growth. However, threats are equally prominent. Antitrust investigations may force Microsoft to alter its business model, limiting its ability to bundle different products for sale. More importantly, if AI ethical issues are mishandled, they will severely damage the brand’s reputation and may trigger a user boycott of Microsoft products (</w:t>
      </w:r>
      <w:proofErr w:type="spellStart"/>
      <w:r w:rsidRPr="00D87BF8">
        <w:rPr>
          <w:rFonts w:ascii="Times New Roman" w:hAnsi="Times New Roman" w:cs="Times New Roman"/>
        </w:rPr>
        <w:t>Floridi</w:t>
      </w:r>
      <w:proofErr w:type="spellEnd"/>
      <w:r w:rsidRPr="00D87BF8">
        <w:rPr>
          <w:rFonts w:ascii="Times New Roman" w:hAnsi="Times New Roman" w:cs="Times New Roman"/>
        </w:rPr>
        <w:t xml:space="preserve"> &amp; Cowls, 2019). This threat creates an inherent tension with Microsoft’s deep investment in the AI sector.</w:t>
      </w:r>
    </w:p>
    <w:p w14:paraId="7665E3A1" w14:textId="15228824" w:rsidR="00D87BF8" w:rsidRPr="00D87BF8" w:rsidRDefault="00D87BF8" w:rsidP="00D87BF8">
      <w:pPr>
        <w:pStyle w:val="ae"/>
        <w:jc w:val="both"/>
        <w:rPr>
          <w:rFonts w:ascii="Times New Roman" w:hAnsi="Times New Roman" w:cs="Times New Roman" w:hint="eastAsia"/>
          <w:b/>
          <w:bCs/>
          <w:sz w:val="28"/>
          <w:szCs w:val="28"/>
        </w:rPr>
      </w:pPr>
      <w:r w:rsidRPr="00D87BF8">
        <w:rPr>
          <w:rFonts w:ascii="Times New Roman" w:hAnsi="Times New Roman" w:cs="Times New Roman"/>
          <w:b/>
          <w:bCs/>
          <w:sz w:val="28"/>
          <w:szCs w:val="28"/>
        </w:rPr>
        <w:t>4.0 Strategy Formulation and Competitive Positioning</w:t>
      </w:r>
    </w:p>
    <w:p w14:paraId="05AF766A" w14:textId="68CD98AE"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Linking the analysis of the external environment with an assessment of internal resources provides a clearer understanding of Microsoft’s strategic choices. Faced with intense competition in the cloud services market, Microsoft adopted a differentiation strategy (Porter, 2008). In the cloud services sector, Microsoft emphasizes the concept of the “Intelligent Cloud,” highlighting the deep integration of its artificial intelligence capabilities with its existing enterprise software ecosystem. The direct response to this strategic positioning is that while Amazon Web Services captures market share through scale and cost advantages, Microsoft has chosen to build its moat through integration depth and intelligence. In the personal computing sector, Microsoft integrates Surface hardware with Windows software to provide users with a seamless, high-quality experience, which is another manifestation of differentiation. However, this strategy also carries risks. A high degree of reliance on artificial intelligence and hardware means that supply chain disruptions or technological missteps could have a significant impact on the overall strategy.</w:t>
      </w:r>
    </w:p>
    <w:p w14:paraId="3D5DBEAD" w14:textId="32672F9E"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The Ansoff Matrix illustrates Microsoft’s growth strategy. At the market penetration level, Microsoft continues to promote value-added services for products like Microsoft 365 and Azure to existing customers, encouraging users to upgrade and utilize more features. This strategy leverages Microsoft’s vast existing user base and carries relatively low risk. At the product development level, Microsoft is investing heavily in developing new AI-driven products like Copilot and rolling them out to its existing massive user base. This strategy fully leverages Microsoft’s R&amp;D capabilities but also entails the uncertainty of market acceptance for new technologies. At the market development level, Microsoft is actively expanding into emerging markets, attracting new customers by establishing local data centers and partnerships. This strategy helps diversify geographic risk but also faces the complexity of varying regulatory environments across different countries.</w:t>
      </w:r>
    </w:p>
    <w:p w14:paraId="54219C69" w14:textId="3B9A8329"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 xml:space="preserve">Microsoft’s past and present M&amp;A activities can be viewed as a strategy of related diversification. The acquisitions of LinkedIn, GitHub, and, most recently, Activision Blizzard have all brought new users and data into Microsoft’s ecosystem (Wingfield, </w:t>
      </w:r>
      <w:r w:rsidRPr="00D87BF8">
        <w:rPr>
          <w:rFonts w:ascii="Times New Roman" w:hAnsi="Times New Roman" w:cs="Times New Roman"/>
        </w:rPr>
        <w:lastRenderedPageBreak/>
        <w:t>2023). These acquisitions have strengthened Microsoft’s overall competitiveness in social networking, developer communities, and the gaming sector. However, every large-scale merger and acquisition comes with integration risks. Whether the corporate culture of the acquired company is compatible with Microsoft’s, whether post-merger synergies can be realized, and whether antitrust regulators will approve the transaction are all strategic challenges Microsoft must address. For example, the acquisition of Activision Blizzard underwent years of regulatory scrutiny, highlighting the complexity of large-scale M&amp;A in today’s regulatory environment.</w:t>
      </w:r>
    </w:p>
    <w:p w14:paraId="674D9B81" w14:textId="0D486486" w:rsidR="00D87BF8" w:rsidRPr="00D87BF8" w:rsidRDefault="00D87BF8" w:rsidP="00D87BF8">
      <w:pPr>
        <w:pStyle w:val="ae"/>
        <w:jc w:val="both"/>
        <w:rPr>
          <w:rFonts w:ascii="Times New Roman" w:hAnsi="Times New Roman" w:cs="Times New Roman" w:hint="eastAsia"/>
          <w:b/>
          <w:bCs/>
          <w:sz w:val="28"/>
          <w:szCs w:val="28"/>
        </w:rPr>
      </w:pPr>
      <w:r w:rsidRPr="00D87BF8">
        <w:rPr>
          <w:rFonts w:ascii="Times New Roman" w:hAnsi="Times New Roman" w:cs="Times New Roman"/>
          <w:b/>
          <w:bCs/>
          <w:sz w:val="28"/>
          <w:szCs w:val="28"/>
        </w:rPr>
        <w:t>5.0 Sustainability and Strategic Recommendations</w:t>
      </w:r>
    </w:p>
    <w:p w14:paraId="4935521F" w14:textId="2D45224D"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Microsoft has made ambitious public commitments to sustainability. The company has pledged to achieve negative carbon emissions, positive water emissions, and zero waste by 2030 (Microsoft, 2023). These goals are not merely expressions of corporate social responsibility; they are increasingly becoming an integral part of Microsoft’s core strategy. For example, Microsoft now requires its major suppliers to report carbon emissions data, a practice that is reshaping its entire supply chain. From a strategic perspective, these sustainability initiatives not only address the expectations of external stakeholders but also provide Microsoft with a competitive advantage when bidding for large enterprise contracts. Many large enterprise customers face their own pressure to reduce emissions, and choosing a “green” supplier like Microsoft helps them achieve their own sustainability goals.</w:t>
      </w:r>
    </w:p>
    <w:p w14:paraId="11D80329" w14:textId="5041B199"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However, Microsoft’s sustainability strategy also faces internal tensions. The rapid development of artificial intelligence places enormous demands on energy consumption. Training large language models requires massive amounts of electricity, which directly conflicts with carbon reduction goals. How to drive AI innovation while controlling its environmental footprint is a strategic challenge Microsoft must address.</w:t>
      </w:r>
    </w:p>
    <w:p w14:paraId="784D703D" w14:textId="03471B52"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Based on the above analysis, the following recommendations can be made to Microsoft.</w:t>
      </w:r>
    </w:p>
    <w:p w14:paraId="6B7F2B04" w14:textId="60DBE000"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First, deeply integrate sustainability into its AI strategy. Microsoft can develop and promote “low-carbon AI” services. When providing AI computing power to customers, Microsoft can clearly demonstrate the differences in carbon emissions generated by running AI models at different times and in different data centers. It can also provide tools to help customers optimize their models for greater energy efficiency. Such services not only help customers achieve their own environmental, social, and governance (ESG) goals but also reinforce Microsoft’s image as a leader in responsible AI (Gates, 2021). More importantly, this would transform sustainability from a cost center into a value-creating asset.</w:t>
      </w:r>
    </w:p>
    <w:p w14:paraId="502290D9" w14:textId="59EFB902"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 xml:space="preserve">Second, build a more resilient and ethically sound AI supply chain. Microsoft should leverage its procurement power to require chip suppliers (such as NVIDIA) and server manufacturers to improve energy efficiency in their production processes and increase </w:t>
      </w:r>
      <w:r w:rsidRPr="00D87BF8">
        <w:rPr>
          <w:rFonts w:ascii="Times New Roman" w:hAnsi="Times New Roman" w:cs="Times New Roman"/>
        </w:rPr>
        <w:lastRenderedPageBreak/>
        <w:t>the use of recycled materials. Additionally, Microsoft could establish an independent AI ethics committee and grant it the authority to conduct substantive reviews prior to product launch. Proactively preventing ethical risks is always better than remedying them after the fact. This recommendation addresses the two major threats identified in the external environmental analysis: supplier dependency and ethical risks.</w:t>
      </w:r>
    </w:p>
    <w:p w14:paraId="591BAC7F" w14:textId="77777777" w:rsidR="00D87BF8" w:rsidRPr="00D87BF8" w:rsidRDefault="00D87BF8" w:rsidP="00D87BF8">
      <w:pPr>
        <w:pStyle w:val="ae"/>
        <w:jc w:val="both"/>
        <w:rPr>
          <w:rFonts w:ascii="Times New Roman" w:hAnsi="Times New Roman" w:cs="Times New Roman"/>
        </w:rPr>
      </w:pPr>
      <w:r w:rsidRPr="00D87BF8">
        <w:rPr>
          <w:rFonts w:ascii="Times New Roman" w:hAnsi="Times New Roman" w:cs="Times New Roman"/>
        </w:rPr>
        <w:t>Finally, strengthen the sustainable technology portfolio through mergers and acquisitions. Microsoft could acquire innovative technology companies specializing in green software engineering, carbon-capture computing, or sustainable materials. Such acquisitions would rapidly bring key technologies in-house while sending a clear signal to the market that Microsoft is committed to long-term sustainability, thereby attracting investors focused on environmental, social, and governance (ESG) performance (Hoffman &amp; Yeh, 2018). This recommendation combines M&amp;A—a growth tool Microsoft frequently employs—with its sustainability strategy to create synergies.</w:t>
      </w:r>
    </w:p>
    <w:p w14:paraId="15B571E9" w14:textId="77777777" w:rsidR="00D87BF8" w:rsidRPr="00D87BF8" w:rsidRDefault="00D87BF8" w:rsidP="00D87BF8">
      <w:pPr>
        <w:pStyle w:val="ae"/>
        <w:jc w:val="both"/>
        <w:rPr>
          <w:rFonts w:ascii="Times New Roman" w:hAnsi="Times New Roman" w:cs="Times New Roman"/>
        </w:rPr>
      </w:pPr>
    </w:p>
    <w:p w14:paraId="206C0B97" w14:textId="77777777" w:rsidR="00D87BF8" w:rsidRPr="00D87BF8" w:rsidRDefault="00D87BF8" w:rsidP="00D87BF8">
      <w:pPr>
        <w:rPr>
          <w:rFonts w:ascii="Times New Roman" w:hAnsi="Times New Roman" w:cs="Times New Roman"/>
          <w:sz w:val="24"/>
          <w:szCs w:val="24"/>
        </w:rPr>
      </w:pPr>
    </w:p>
    <w:p w14:paraId="27FB0045" w14:textId="77777777" w:rsidR="00D87BF8" w:rsidRPr="00D87BF8" w:rsidRDefault="00D87BF8" w:rsidP="00D87BF8">
      <w:pPr>
        <w:rPr>
          <w:rFonts w:ascii="Times New Roman" w:hAnsi="Times New Roman" w:cs="Times New Roman"/>
          <w:sz w:val="24"/>
          <w:szCs w:val="24"/>
        </w:rPr>
      </w:pPr>
    </w:p>
    <w:p w14:paraId="287A59E3" w14:textId="77777777" w:rsidR="00D87BF8" w:rsidRPr="00D87BF8" w:rsidRDefault="00D87BF8" w:rsidP="00D87BF8">
      <w:pPr>
        <w:rPr>
          <w:rFonts w:ascii="Times New Roman" w:hAnsi="Times New Roman" w:cs="Times New Roman"/>
          <w:sz w:val="24"/>
          <w:szCs w:val="24"/>
        </w:rPr>
      </w:pPr>
    </w:p>
    <w:p w14:paraId="619845D2" w14:textId="77777777" w:rsidR="00D87BF8" w:rsidRPr="00D87BF8" w:rsidRDefault="00D87BF8" w:rsidP="00D87BF8">
      <w:pPr>
        <w:rPr>
          <w:rFonts w:ascii="Times New Roman" w:hAnsi="Times New Roman" w:cs="Times New Roman"/>
          <w:sz w:val="24"/>
          <w:szCs w:val="24"/>
        </w:rPr>
      </w:pPr>
    </w:p>
    <w:p w14:paraId="18A24EF3" w14:textId="77777777" w:rsidR="00D87BF8" w:rsidRPr="00D87BF8" w:rsidRDefault="00D87BF8" w:rsidP="00D87BF8">
      <w:pPr>
        <w:rPr>
          <w:rFonts w:ascii="Times New Roman" w:hAnsi="Times New Roman" w:cs="Times New Roman"/>
          <w:sz w:val="24"/>
          <w:szCs w:val="24"/>
        </w:rPr>
      </w:pPr>
    </w:p>
    <w:p w14:paraId="273CD7C8" w14:textId="77777777" w:rsidR="00D87BF8" w:rsidRPr="00D87BF8" w:rsidRDefault="00D87BF8" w:rsidP="00D87BF8">
      <w:pPr>
        <w:rPr>
          <w:rFonts w:ascii="Times New Roman" w:hAnsi="Times New Roman" w:cs="Times New Roman"/>
          <w:sz w:val="24"/>
          <w:szCs w:val="24"/>
        </w:rPr>
      </w:pPr>
    </w:p>
    <w:p w14:paraId="75154CEE" w14:textId="77777777" w:rsidR="00D87BF8" w:rsidRPr="00D87BF8" w:rsidRDefault="00D87BF8" w:rsidP="00D87BF8">
      <w:pPr>
        <w:rPr>
          <w:rFonts w:ascii="Times New Roman" w:hAnsi="Times New Roman" w:cs="Times New Roman"/>
          <w:sz w:val="24"/>
          <w:szCs w:val="24"/>
        </w:rPr>
      </w:pPr>
    </w:p>
    <w:p w14:paraId="0E18CE33" w14:textId="77777777" w:rsidR="00D87BF8" w:rsidRPr="00D87BF8" w:rsidRDefault="00D87BF8" w:rsidP="00D87BF8">
      <w:pPr>
        <w:rPr>
          <w:rFonts w:ascii="Times New Roman" w:hAnsi="Times New Roman" w:cs="Times New Roman"/>
          <w:sz w:val="24"/>
          <w:szCs w:val="24"/>
        </w:rPr>
      </w:pPr>
    </w:p>
    <w:p w14:paraId="0C1EB65F" w14:textId="77777777" w:rsidR="00D87BF8" w:rsidRPr="00D87BF8" w:rsidRDefault="00D87BF8" w:rsidP="00D87BF8">
      <w:pPr>
        <w:rPr>
          <w:rFonts w:ascii="Times New Roman" w:hAnsi="Times New Roman" w:cs="Times New Roman"/>
          <w:sz w:val="24"/>
          <w:szCs w:val="24"/>
        </w:rPr>
      </w:pPr>
    </w:p>
    <w:p w14:paraId="6FD63EB9" w14:textId="77777777" w:rsidR="00D87BF8" w:rsidRPr="00D87BF8" w:rsidRDefault="00D87BF8" w:rsidP="00D87BF8">
      <w:pPr>
        <w:rPr>
          <w:rFonts w:ascii="Times New Roman" w:hAnsi="Times New Roman" w:cs="Times New Roman"/>
          <w:sz w:val="24"/>
          <w:szCs w:val="24"/>
        </w:rPr>
      </w:pPr>
    </w:p>
    <w:p w14:paraId="40661BF6" w14:textId="77777777" w:rsidR="00D87BF8" w:rsidRPr="00D87BF8" w:rsidRDefault="00D87BF8" w:rsidP="00D87BF8">
      <w:pPr>
        <w:rPr>
          <w:rFonts w:ascii="Times New Roman" w:hAnsi="Times New Roman" w:cs="Times New Roman"/>
          <w:sz w:val="24"/>
          <w:szCs w:val="24"/>
        </w:rPr>
      </w:pPr>
    </w:p>
    <w:p w14:paraId="6523D566" w14:textId="77777777" w:rsidR="00D87BF8" w:rsidRDefault="00D87BF8" w:rsidP="00D87BF8">
      <w:pPr>
        <w:rPr>
          <w:rFonts w:ascii="Times New Roman" w:hAnsi="Times New Roman" w:cs="Times New Roman"/>
          <w:sz w:val="24"/>
          <w:szCs w:val="24"/>
        </w:rPr>
      </w:pPr>
    </w:p>
    <w:p w14:paraId="02F5EB5F" w14:textId="77777777" w:rsidR="00D87BF8" w:rsidRDefault="00D87BF8" w:rsidP="00D87BF8">
      <w:pPr>
        <w:rPr>
          <w:rFonts w:ascii="Times New Roman" w:hAnsi="Times New Roman" w:cs="Times New Roman"/>
          <w:sz w:val="24"/>
          <w:szCs w:val="24"/>
        </w:rPr>
      </w:pPr>
    </w:p>
    <w:p w14:paraId="29C234D2" w14:textId="77777777" w:rsidR="00D87BF8" w:rsidRDefault="00D87BF8" w:rsidP="00D87BF8">
      <w:pPr>
        <w:rPr>
          <w:rFonts w:ascii="Times New Roman" w:hAnsi="Times New Roman" w:cs="Times New Roman"/>
          <w:sz w:val="24"/>
          <w:szCs w:val="24"/>
        </w:rPr>
      </w:pPr>
    </w:p>
    <w:p w14:paraId="000911C6" w14:textId="77777777" w:rsidR="00D87BF8" w:rsidRDefault="00D87BF8" w:rsidP="00D87BF8">
      <w:pPr>
        <w:rPr>
          <w:rFonts w:ascii="Times New Roman" w:hAnsi="Times New Roman" w:cs="Times New Roman"/>
          <w:sz w:val="24"/>
          <w:szCs w:val="24"/>
        </w:rPr>
      </w:pPr>
    </w:p>
    <w:p w14:paraId="2AFB86D2" w14:textId="77777777" w:rsidR="00D87BF8" w:rsidRDefault="00D87BF8" w:rsidP="00D87BF8">
      <w:pPr>
        <w:rPr>
          <w:rFonts w:ascii="Times New Roman" w:hAnsi="Times New Roman" w:cs="Times New Roman"/>
          <w:sz w:val="24"/>
          <w:szCs w:val="24"/>
        </w:rPr>
      </w:pPr>
    </w:p>
    <w:p w14:paraId="74D0FC90" w14:textId="77777777" w:rsidR="00D87BF8" w:rsidRDefault="00D87BF8" w:rsidP="00D87BF8">
      <w:pPr>
        <w:rPr>
          <w:rFonts w:ascii="Times New Roman" w:hAnsi="Times New Roman" w:cs="Times New Roman"/>
          <w:sz w:val="24"/>
          <w:szCs w:val="24"/>
        </w:rPr>
      </w:pPr>
    </w:p>
    <w:p w14:paraId="1A802B1B" w14:textId="77777777" w:rsidR="00D87BF8" w:rsidRDefault="00D87BF8" w:rsidP="00D87BF8">
      <w:pPr>
        <w:rPr>
          <w:rFonts w:ascii="Times New Roman" w:hAnsi="Times New Roman" w:cs="Times New Roman"/>
          <w:sz w:val="24"/>
          <w:szCs w:val="24"/>
        </w:rPr>
      </w:pPr>
    </w:p>
    <w:p w14:paraId="7115BA9C" w14:textId="77777777" w:rsidR="00D87BF8" w:rsidRDefault="00D87BF8" w:rsidP="00D87BF8">
      <w:pPr>
        <w:rPr>
          <w:rFonts w:ascii="Times New Roman" w:hAnsi="Times New Roman" w:cs="Times New Roman"/>
          <w:sz w:val="24"/>
          <w:szCs w:val="24"/>
        </w:rPr>
      </w:pPr>
    </w:p>
    <w:p w14:paraId="765A0077" w14:textId="77777777" w:rsidR="00D87BF8" w:rsidRDefault="00D87BF8" w:rsidP="00D87BF8">
      <w:pPr>
        <w:rPr>
          <w:rFonts w:ascii="Times New Roman" w:hAnsi="Times New Roman" w:cs="Times New Roman"/>
          <w:sz w:val="24"/>
          <w:szCs w:val="24"/>
        </w:rPr>
      </w:pPr>
    </w:p>
    <w:p w14:paraId="63E71FB1" w14:textId="77777777" w:rsidR="00D87BF8" w:rsidRDefault="00D87BF8" w:rsidP="00D87BF8">
      <w:pPr>
        <w:rPr>
          <w:rFonts w:ascii="Times New Roman" w:hAnsi="Times New Roman" w:cs="Times New Roman"/>
          <w:sz w:val="24"/>
          <w:szCs w:val="24"/>
        </w:rPr>
      </w:pPr>
    </w:p>
    <w:p w14:paraId="07F9BFB7" w14:textId="77777777" w:rsidR="00D87BF8" w:rsidRDefault="00D87BF8" w:rsidP="00D87BF8">
      <w:pPr>
        <w:rPr>
          <w:rFonts w:ascii="Times New Roman" w:hAnsi="Times New Roman" w:cs="Times New Roman"/>
          <w:sz w:val="24"/>
          <w:szCs w:val="24"/>
        </w:rPr>
      </w:pPr>
    </w:p>
    <w:p w14:paraId="1203137E" w14:textId="77777777" w:rsidR="00D87BF8" w:rsidRDefault="00D87BF8" w:rsidP="00D87BF8">
      <w:pPr>
        <w:rPr>
          <w:rFonts w:ascii="Times New Roman" w:hAnsi="Times New Roman" w:cs="Times New Roman"/>
          <w:sz w:val="24"/>
          <w:szCs w:val="24"/>
        </w:rPr>
      </w:pPr>
    </w:p>
    <w:p w14:paraId="3BD97807" w14:textId="77777777" w:rsidR="00D87BF8" w:rsidRDefault="00D87BF8" w:rsidP="00D87BF8">
      <w:pPr>
        <w:rPr>
          <w:rFonts w:ascii="Times New Roman" w:hAnsi="Times New Roman" w:cs="Times New Roman"/>
          <w:sz w:val="24"/>
          <w:szCs w:val="24"/>
        </w:rPr>
      </w:pPr>
    </w:p>
    <w:p w14:paraId="33DAB680" w14:textId="77777777" w:rsidR="00D87BF8" w:rsidRDefault="00D87BF8" w:rsidP="00D87BF8">
      <w:pPr>
        <w:rPr>
          <w:rFonts w:ascii="Times New Roman" w:hAnsi="Times New Roman" w:cs="Times New Roman"/>
          <w:sz w:val="24"/>
          <w:szCs w:val="24"/>
        </w:rPr>
      </w:pPr>
    </w:p>
    <w:p w14:paraId="58C5D6A1" w14:textId="77777777" w:rsidR="001E5CA8" w:rsidRPr="00D87BF8" w:rsidRDefault="001E5CA8" w:rsidP="00D87BF8">
      <w:pPr>
        <w:rPr>
          <w:rFonts w:ascii="Times New Roman" w:hAnsi="Times New Roman" w:cs="Times New Roman" w:hint="eastAsia"/>
          <w:sz w:val="24"/>
          <w:szCs w:val="24"/>
        </w:rPr>
      </w:pPr>
    </w:p>
    <w:p w14:paraId="0068B7FD" w14:textId="6B971957" w:rsidR="00D87BF8" w:rsidRPr="00D87BF8" w:rsidRDefault="00D87BF8" w:rsidP="00D87BF8">
      <w:pPr>
        <w:pStyle w:val="ae"/>
        <w:jc w:val="both"/>
        <w:rPr>
          <w:rFonts w:ascii="Times New Roman" w:hAnsi="Times New Roman" w:cs="Times New Roman" w:hint="eastAsia"/>
          <w:b/>
          <w:bCs/>
          <w:sz w:val="28"/>
          <w:szCs w:val="28"/>
        </w:rPr>
      </w:pPr>
      <w:r>
        <w:rPr>
          <w:rFonts w:ascii="Times New Roman" w:hAnsi="Times New Roman" w:cs="Times New Roman" w:hint="eastAsia"/>
          <w:b/>
          <w:bCs/>
          <w:sz w:val="28"/>
          <w:szCs w:val="28"/>
        </w:rPr>
        <w:lastRenderedPageBreak/>
        <w:t xml:space="preserve">6.0 </w:t>
      </w:r>
      <w:r w:rsidRPr="00D87BF8">
        <w:rPr>
          <w:rFonts w:ascii="Times New Roman" w:hAnsi="Times New Roman" w:cs="Times New Roman"/>
          <w:b/>
          <w:bCs/>
          <w:sz w:val="28"/>
          <w:szCs w:val="28"/>
        </w:rPr>
        <w:t>Conclusion</w:t>
      </w:r>
    </w:p>
    <w:p w14:paraId="2A223F83" w14:textId="1EB409E8" w:rsidR="00D87BF8" w:rsidRPr="00D87BF8" w:rsidRDefault="00D87BF8" w:rsidP="00D87BF8">
      <w:pPr>
        <w:pStyle w:val="ae"/>
        <w:jc w:val="both"/>
        <w:rPr>
          <w:rFonts w:ascii="Times New Roman" w:hAnsi="Times New Roman" w:cs="Times New Roman" w:hint="eastAsia"/>
        </w:rPr>
      </w:pPr>
      <w:r w:rsidRPr="00D87BF8">
        <w:rPr>
          <w:rFonts w:ascii="Times New Roman" w:hAnsi="Times New Roman" w:cs="Times New Roman"/>
        </w:rPr>
        <w:t>This strategic analysis reveals that Microsoft’s success stems from its effective utilization of core internal resources and its keen responsiveness to macro trends and competitive pressures (Nadella, 2017). Externally, Microsoft faces profound changes at the political, social, and technological levels; internally, its vast ecosystem and robust R&amp;D capabilities form the cornerstone of its competitive advantage. Microsoft’s transformation journey demonstrates that even in highly uncertain environments, a clear and coherent strategic positioning remains crucial.</w:t>
      </w:r>
    </w:p>
    <w:p w14:paraId="7EEB41E1" w14:textId="77777777" w:rsidR="00D87BF8" w:rsidRPr="00D87BF8" w:rsidRDefault="00D87BF8" w:rsidP="00D87BF8">
      <w:pPr>
        <w:pStyle w:val="ae"/>
        <w:jc w:val="both"/>
        <w:rPr>
          <w:rFonts w:ascii="Times New Roman" w:hAnsi="Times New Roman" w:cs="Times New Roman"/>
        </w:rPr>
      </w:pPr>
      <w:r w:rsidRPr="00D87BF8">
        <w:rPr>
          <w:rFonts w:ascii="Times New Roman" w:hAnsi="Times New Roman" w:cs="Times New Roman"/>
        </w:rPr>
        <w:t>However, strategic management today has moved beyond mere financial and market metrics. Environmental and social responsibility are increasingly becoming core components of corporate competitiveness (Eccles, Ioannou &amp; Serafeim, 2014). For Microsoft, the strategic challenges of the future extend far beyond simply “growing bigger.” The company must drive innovation in artificial intelligence while proactively managing the accompanying ethical risks and environmental impacts. Its long-term leadership will depend on its ability to align corporate growth with broader environmental and social well-being.</w:t>
      </w:r>
    </w:p>
    <w:p w14:paraId="224B44E8" w14:textId="77777777" w:rsidR="00D87BF8" w:rsidRPr="00D87BF8" w:rsidRDefault="00D87BF8" w:rsidP="00D87BF8">
      <w:pPr>
        <w:pStyle w:val="ae"/>
        <w:jc w:val="both"/>
        <w:rPr>
          <w:rFonts w:ascii="Times New Roman" w:hAnsi="Times New Roman" w:cs="Times New Roman"/>
        </w:rPr>
      </w:pPr>
    </w:p>
    <w:p w14:paraId="532CCEE1" w14:textId="77777777" w:rsidR="00D87BF8" w:rsidRPr="00D87BF8" w:rsidRDefault="00D87BF8" w:rsidP="00D87BF8">
      <w:pPr>
        <w:rPr>
          <w:rFonts w:ascii="Times New Roman" w:hAnsi="Times New Roman" w:cs="Times New Roman"/>
          <w:sz w:val="24"/>
          <w:szCs w:val="24"/>
        </w:rPr>
      </w:pPr>
    </w:p>
    <w:p w14:paraId="1679E5B1" w14:textId="77777777" w:rsidR="00D87BF8" w:rsidRPr="00D87BF8" w:rsidRDefault="00D87BF8" w:rsidP="00D87BF8">
      <w:pPr>
        <w:rPr>
          <w:rFonts w:ascii="Times New Roman" w:hAnsi="Times New Roman" w:cs="Times New Roman"/>
          <w:sz w:val="24"/>
          <w:szCs w:val="24"/>
        </w:rPr>
      </w:pPr>
    </w:p>
    <w:p w14:paraId="4C74C5A2" w14:textId="77777777" w:rsidR="00D87BF8" w:rsidRPr="00D87BF8" w:rsidRDefault="00D87BF8" w:rsidP="00D87BF8">
      <w:pPr>
        <w:rPr>
          <w:rFonts w:ascii="Times New Roman" w:hAnsi="Times New Roman" w:cs="Times New Roman"/>
          <w:sz w:val="24"/>
          <w:szCs w:val="24"/>
        </w:rPr>
      </w:pPr>
    </w:p>
    <w:p w14:paraId="33471C2E" w14:textId="77777777" w:rsidR="00D87BF8" w:rsidRPr="00D87BF8" w:rsidRDefault="00D87BF8" w:rsidP="00D87BF8">
      <w:pPr>
        <w:rPr>
          <w:rFonts w:ascii="Times New Roman" w:hAnsi="Times New Roman" w:cs="Times New Roman"/>
          <w:sz w:val="24"/>
          <w:szCs w:val="24"/>
        </w:rPr>
      </w:pPr>
    </w:p>
    <w:p w14:paraId="043149D9" w14:textId="77777777" w:rsidR="00D87BF8" w:rsidRPr="00D87BF8" w:rsidRDefault="00D87BF8" w:rsidP="00D87BF8">
      <w:pPr>
        <w:rPr>
          <w:rFonts w:ascii="Times New Roman" w:hAnsi="Times New Roman" w:cs="Times New Roman"/>
          <w:sz w:val="24"/>
          <w:szCs w:val="24"/>
        </w:rPr>
      </w:pPr>
    </w:p>
    <w:p w14:paraId="57AC3781" w14:textId="77777777" w:rsidR="00D87BF8" w:rsidRPr="00D87BF8" w:rsidRDefault="00D87BF8" w:rsidP="00D87BF8">
      <w:pPr>
        <w:rPr>
          <w:rFonts w:ascii="Times New Roman" w:hAnsi="Times New Roman" w:cs="Times New Roman"/>
          <w:sz w:val="24"/>
          <w:szCs w:val="24"/>
        </w:rPr>
      </w:pPr>
    </w:p>
    <w:p w14:paraId="436A0E70" w14:textId="77777777" w:rsidR="00D87BF8" w:rsidRPr="00D87BF8" w:rsidRDefault="00D87BF8" w:rsidP="00D87BF8">
      <w:pPr>
        <w:rPr>
          <w:rFonts w:ascii="Times New Roman" w:hAnsi="Times New Roman" w:cs="Times New Roman"/>
          <w:sz w:val="24"/>
          <w:szCs w:val="24"/>
        </w:rPr>
      </w:pPr>
    </w:p>
    <w:p w14:paraId="07E220D7" w14:textId="77777777" w:rsidR="00D87BF8" w:rsidRPr="00D87BF8" w:rsidRDefault="00D87BF8" w:rsidP="00D87BF8">
      <w:pPr>
        <w:rPr>
          <w:rFonts w:ascii="Times New Roman" w:hAnsi="Times New Roman" w:cs="Times New Roman"/>
          <w:sz w:val="24"/>
          <w:szCs w:val="24"/>
        </w:rPr>
      </w:pPr>
    </w:p>
    <w:p w14:paraId="2628B452" w14:textId="77777777" w:rsidR="00D87BF8" w:rsidRPr="00D87BF8" w:rsidRDefault="00D87BF8" w:rsidP="00D87BF8">
      <w:pPr>
        <w:rPr>
          <w:rFonts w:ascii="Times New Roman" w:hAnsi="Times New Roman" w:cs="Times New Roman"/>
          <w:sz w:val="24"/>
          <w:szCs w:val="24"/>
        </w:rPr>
      </w:pPr>
    </w:p>
    <w:p w14:paraId="7C9FC52D" w14:textId="77777777" w:rsidR="00D87BF8" w:rsidRPr="00D87BF8" w:rsidRDefault="00D87BF8" w:rsidP="00D87BF8">
      <w:pPr>
        <w:rPr>
          <w:rFonts w:ascii="Times New Roman" w:hAnsi="Times New Roman" w:cs="Times New Roman"/>
          <w:sz w:val="24"/>
          <w:szCs w:val="24"/>
        </w:rPr>
      </w:pPr>
    </w:p>
    <w:p w14:paraId="265F542E" w14:textId="77777777" w:rsidR="00D87BF8" w:rsidRPr="00D87BF8" w:rsidRDefault="00D87BF8" w:rsidP="00D87BF8">
      <w:pPr>
        <w:rPr>
          <w:rFonts w:ascii="Times New Roman" w:hAnsi="Times New Roman" w:cs="Times New Roman"/>
          <w:sz w:val="24"/>
          <w:szCs w:val="24"/>
        </w:rPr>
      </w:pPr>
    </w:p>
    <w:p w14:paraId="0820894B" w14:textId="77777777" w:rsidR="00D87BF8" w:rsidRPr="00D87BF8" w:rsidRDefault="00D87BF8" w:rsidP="00D87BF8">
      <w:pPr>
        <w:rPr>
          <w:rFonts w:ascii="Times New Roman" w:hAnsi="Times New Roman" w:cs="Times New Roman"/>
          <w:sz w:val="24"/>
          <w:szCs w:val="24"/>
        </w:rPr>
      </w:pPr>
    </w:p>
    <w:p w14:paraId="1F0E61AA" w14:textId="77777777" w:rsidR="00D87BF8" w:rsidRPr="00D87BF8" w:rsidRDefault="00D87BF8" w:rsidP="00D87BF8">
      <w:pPr>
        <w:rPr>
          <w:rFonts w:ascii="Times New Roman" w:hAnsi="Times New Roman" w:cs="Times New Roman"/>
          <w:sz w:val="24"/>
          <w:szCs w:val="24"/>
        </w:rPr>
      </w:pPr>
    </w:p>
    <w:p w14:paraId="046C103C" w14:textId="77777777" w:rsidR="00D87BF8" w:rsidRPr="00D87BF8" w:rsidRDefault="00D87BF8" w:rsidP="00D87BF8">
      <w:pPr>
        <w:rPr>
          <w:rFonts w:ascii="Times New Roman" w:hAnsi="Times New Roman" w:cs="Times New Roman"/>
          <w:sz w:val="24"/>
          <w:szCs w:val="24"/>
        </w:rPr>
      </w:pPr>
    </w:p>
    <w:p w14:paraId="5D17B2E2" w14:textId="77777777" w:rsidR="00D87BF8" w:rsidRPr="00D87BF8" w:rsidRDefault="00D87BF8" w:rsidP="00D87BF8">
      <w:pPr>
        <w:rPr>
          <w:rFonts w:ascii="Times New Roman" w:hAnsi="Times New Roman" w:cs="Times New Roman"/>
          <w:sz w:val="24"/>
          <w:szCs w:val="24"/>
        </w:rPr>
      </w:pPr>
    </w:p>
    <w:p w14:paraId="4E948982" w14:textId="77777777" w:rsidR="00D87BF8" w:rsidRPr="00D87BF8" w:rsidRDefault="00D87BF8" w:rsidP="00D87BF8">
      <w:pPr>
        <w:rPr>
          <w:rFonts w:ascii="Times New Roman" w:hAnsi="Times New Roman" w:cs="Times New Roman"/>
          <w:sz w:val="24"/>
          <w:szCs w:val="24"/>
        </w:rPr>
      </w:pPr>
    </w:p>
    <w:p w14:paraId="53A9E16F" w14:textId="77777777" w:rsidR="00D87BF8" w:rsidRDefault="00D87BF8" w:rsidP="00D87BF8">
      <w:pPr>
        <w:rPr>
          <w:rFonts w:ascii="Times New Roman" w:hAnsi="Times New Roman" w:cs="Times New Roman"/>
          <w:sz w:val="24"/>
          <w:szCs w:val="24"/>
        </w:rPr>
      </w:pPr>
    </w:p>
    <w:p w14:paraId="44B328E8" w14:textId="77777777" w:rsidR="00D87BF8" w:rsidRDefault="00D87BF8" w:rsidP="00D87BF8">
      <w:pPr>
        <w:rPr>
          <w:rFonts w:ascii="Times New Roman" w:hAnsi="Times New Roman" w:cs="Times New Roman"/>
          <w:sz w:val="24"/>
          <w:szCs w:val="24"/>
        </w:rPr>
      </w:pPr>
    </w:p>
    <w:p w14:paraId="19E1C67D" w14:textId="77777777" w:rsidR="00D87BF8" w:rsidRDefault="00D87BF8" w:rsidP="00D87BF8">
      <w:pPr>
        <w:rPr>
          <w:rFonts w:ascii="Times New Roman" w:hAnsi="Times New Roman" w:cs="Times New Roman"/>
          <w:sz w:val="24"/>
          <w:szCs w:val="24"/>
        </w:rPr>
      </w:pPr>
    </w:p>
    <w:p w14:paraId="5CF86FC5" w14:textId="77777777" w:rsidR="00D87BF8" w:rsidRDefault="00D87BF8" w:rsidP="00D87BF8">
      <w:pPr>
        <w:rPr>
          <w:rFonts w:ascii="Times New Roman" w:hAnsi="Times New Roman" w:cs="Times New Roman"/>
          <w:sz w:val="24"/>
          <w:szCs w:val="24"/>
        </w:rPr>
      </w:pPr>
    </w:p>
    <w:p w14:paraId="01D5E0D5" w14:textId="77777777" w:rsidR="00D87BF8" w:rsidRDefault="00D87BF8" w:rsidP="00D87BF8">
      <w:pPr>
        <w:rPr>
          <w:rFonts w:ascii="Times New Roman" w:hAnsi="Times New Roman" w:cs="Times New Roman"/>
          <w:sz w:val="24"/>
          <w:szCs w:val="24"/>
        </w:rPr>
      </w:pPr>
    </w:p>
    <w:p w14:paraId="0ED3C3E1" w14:textId="77777777" w:rsidR="00D87BF8" w:rsidRPr="00D87BF8" w:rsidRDefault="00D87BF8" w:rsidP="00D87BF8">
      <w:pPr>
        <w:rPr>
          <w:rFonts w:ascii="Times New Roman" w:hAnsi="Times New Roman" w:cs="Times New Roman" w:hint="eastAsia"/>
          <w:sz w:val="24"/>
          <w:szCs w:val="24"/>
        </w:rPr>
      </w:pPr>
    </w:p>
    <w:p w14:paraId="78225295" w14:textId="5F51A3C3" w:rsidR="00D87BF8" w:rsidRPr="00D87BF8" w:rsidRDefault="00D87BF8" w:rsidP="00D87BF8">
      <w:pPr>
        <w:pStyle w:val="ae"/>
        <w:jc w:val="both"/>
        <w:rPr>
          <w:rFonts w:ascii="Times New Roman" w:hAnsi="Times New Roman" w:cs="Times New Roman" w:hint="eastAsia"/>
          <w:b/>
          <w:bCs/>
          <w:sz w:val="28"/>
          <w:szCs w:val="28"/>
        </w:rPr>
      </w:pPr>
      <w:r w:rsidRPr="00D87BF8">
        <w:rPr>
          <w:rFonts w:ascii="Times New Roman" w:hAnsi="Times New Roman" w:cs="Times New Roman" w:hint="eastAsia"/>
          <w:b/>
          <w:bCs/>
          <w:sz w:val="28"/>
          <w:szCs w:val="28"/>
        </w:rPr>
        <w:lastRenderedPageBreak/>
        <w:t xml:space="preserve">7.0 </w:t>
      </w:r>
      <w:r w:rsidRPr="00D87BF8">
        <w:rPr>
          <w:rFonts w:ascii="Times New Roman" w:hAnsi="Times New Roman" w:cs="Times New Roman"/>
          <w:b/>
          <w:bCs/>
          <w:sz w:val="28"/>
          <w:szCs w:val="28"/>
        </w:rPr>
        <w:t>References</w:t>
      </w:r>
    </w:p>
    <w:p w14:paraId="57C7150A" w14:textId="6303C9DD"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1. </w:t>
      </w:r>
      <w:r w:rsidRPr="00D87BF8">
        <w:rPr>
          <w:rFonts w:ascii="Times New Roman" w:hAnsi="Times New Roman" w:cs="Times New Roman"/>
          <w:sz w:val="24"/>
          <w:szCs w:val="24"/>
        </w:rPr>
        <w:t>Barney, Jay B., and William S. Hesterly.</w:t>
      </w:r>
      <w:r w:rsidRPr="00D87BF8">
        <w:rPr>
          <w:rFonts w:ascii="Times New Roman" w:hAnsi="Times New Roman" w:cs="Times New Roman"/>
          <w:i/>
          <w:iCs/>
          <w:sz w:val="24"/>
          <w:szCs w:val="24"/>
        </w:rPr>
        <w:t xml:space="preserve"> Strategic Management and Competitive Advantage: Concepts and Cases</w:t>
      </w:r>
      <w:r w:rsidRPr="00D87BF8">
        <w:rPr>
          <w:rFonts w:ascii="Times New Roman" w:hAnsi="Times New Roman" w:cs="Times New Roman"/>
          <w:sz w:val="24"/>
          <w:szCs w:val="24"/>
        </w:rPr>
        <w:t>. 6th ed., Pearson, 2019.</w:t>
      </w:r>
    </w:p>
    <w:p w14:paraId="0B7F04AA" w14:textId="77777777" w:rsidR="00D87BF8" w:rsidRPr="00D87BF8" w:rsidRDefault="00D87BF8" w:rsidP="00D87BF8">
      <w:pPr>
        <w:rPr>
          <w:rFonts w:ascii="Times New Roman" w:hAnsi="Times New Roman" w:cs="Times New Roman"/>
          <w:sz w:val="24"/>
          <w:szCs w:val="24"/>
        </w:rPr>
      </w:pPr>
    </w:p>
    <w:p w14:paraId="22E2B40B" w14:textId="5390A2BC"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2. </w:t>
      </w:r>
      <w:r w:rsidRPr="00D87BF8">
        <w:rPr>
          <w:rFonts w:ascii="Times New Roman" w:hAnsi="Times New Roman" w:cs="Times New Roman"/>
          <w:sz w:val="24"/>
          <w:szCs w:val="24"/>
        </w:rPr>
        <w:t xml:space="preserve">Eccles, Robert G., Ioannis Ioannou, and George Serafeim. </w:t>
      </w:r>
      <w:r w:rsidRPr="00D87BF8">
        <w:rPr>
          <w:rFonts w:ascii="Times New Roman" w:hAnsi="Times New Roman" w:cs="Times New Roman"/>
          <w:i/>
          <w:iCs/>
          <w:sz w:val="24"/>
          <w:szCs w:val="24"/>
        </w:rPr>
        <w:t xml:space="preserve">“The Impact of Corporate Sustainability on Organizational Processes and Performance.” </w:t>
      </w:r>
      <w:r w:rsidRPr="00D87BF8">
        <w:rPr>
          <w:rFonts w:ascii="Times New Roman" w:hAnsi="Times New Roman" w:cs="Times New Roman"/>
          <w:sz w:val="24"/>
          <w:szCs w:val="24"/>
        </w:rPr>
        <w:t>Management Science, vol. 60, no. 11, 2014, pp. 2835–2857.</w:t>
      </w:r>
    </w:p>
    <w:p w14:paraId="6E21CC01" w14:textId="77777777" w:rsidR="00D87BF8" w:rsidRPr="00D87BF8" w:rsidRDefault="00D87BF8" w:rsidP="00D87BF8">
      <w:pPr>
        <w:rPr>
          <w:rFonts w:ascii="Times New Roman" w:hAnsi="Times New Roman" w:cs="Times New Roman"/>
          <w:sz w:val="24"/>
          <w:szCs w:val="24"/>
        </w:rPr>
      </w:pPr>
    </w:p>
    <w:p w14:paraId="219C438B" w14:textId="6981B8FB"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3. </w:t>
      </w:r>
      <w:r w:rsidRPr="00D87BF8">
        <w:rPr>
          <w:rFonts w:ascii="Times New Roman" w:hAnsi="Times New Roman" w:cs="Times New Roman"/>
          <w:sz w:val="24"/>
          <w:szCs w:val="24"/>
        </w:rPr>
        <w:t xml:space="preserve">European Commission. </w:t>
      </w:r>
      <w:r w:rsidRPr="00D87BF8">
        <w:rPr>
          <w:rFonts w:ascii="Times New Roman" w:hAnsi="Times New Roman" w:cs="Times New Roman"/>
          <w:i/>
          <w:iCs/>
          <w:sz w:val="24"/>
          <w:szCs w:val="24"/>
        </w:rPr>
        <w:t xml:space="preserve">Digital Markets Act. </w:t>
      </w:r>
      <w:r w:rsidRPr="00D87BF8">
        <w:rPr>
          <w:rFonts w:ascii="Times New Roman" w:hAnsi="Times New Roman" w:cs="Times New Roman"/>
          <w:sz w:val="24"/>
          <w:szCs w:val="24"/>
        </w:rPr>
        <w:t>2022.</w:t>
      </w:r>
    </w:p>
    <w:p w14:paraId="02D7E4AC" w14:textId="77777777" w:rsidR="00D87BF8" w:rsidRPr="00D87BF8" w:rsidRDefault="00D87BF8" w:rsidP="00D87BF8">
      <w:pPr>
        <w:rPr>
          <w:rFonts w:ascii="Times New Roman" w:hAnsi="Times New Roman" w:cs="Times New Roman"/>
          <w:sz w:val="24"/>
          <w:szCs w:val="24"/>
        </w:rPr>
      </w:pPr>
    </w:p>
    <w:p w14:paraId="2F6C3E4D" w14:textId="6E61591D"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4. </w:t>
      </w:r>
      <w:proofErr w:type="spellStart"/>
      <w:r w:rsidRPr="00D87BF8">
        <w:rPr>
          <w:rFonts w:ascii="Times New Roman" w:hAnsi="Times New Roman" w:cs="Times New Roman"/>
          <w:sz w:val="24"/>
          <w:szCs w:val="24"/>
        </w:rPr>
        <w:t>Floridi</w:t>
      </w:r>
      <w:proofErr w:type="spellEnd"/>
      <w:r w:rsidRPr="00D87BF8">
        <w:rPr>
          <w:rFonts w:ascii="Times New Roman" w:hAnsi="Times New Roman" w:cs="Times New Roman"/>
          <w:sz w:val="24"/>
          <w:szCs w:val="24"/>
        </w:rPr>
        <w:t xml:space="preserve">, Luciano, and Josh Cowls. </w:t>
      </w:r>
      <w:r w:rsidRPr="00D87BF8">
        <w:rPr>
          <w:rFonts w:ascii="Times New Roman" w:hAnsi="Times New Roman" w:cs="Times New Roman"/>
          <w:i/>
          <w:iCs/>
          <w:sz w:val="24"/>
          <w:szCs w:val="24"/>
        </w:rPr>
        <w:t xml:space="preserve">“A Unified Framework of Five Principles for AI in Society.” </w:t>
      </w:r>
      <w:r w:rsidRPr="00D87BF8">
        <w:rPr>
          <w:rFonts w:ascii="Times New Roman" w:hAnsi="Times New Roman" w:cs="Times New Roman"/>
          <w:sz w:val="24"/>
          <w:szCs w:val="24"/>
        </w:rPr>
        <w:t>Harvard Data Science Review, vol. 1, no. 1, 2019.</w:t>
      </w:r>
    </w:p>
    <w:p w14:paraId="669EE312" w14:textId="77777777" w:rsidR="00D87BF8" w:rsidRPr="00D87BF8" w:rsidRDefault="00D87BF8" w:rsidP="00D87BF8">
      <w:pPr>
        <w:rPr>
          <w:rFonts w:ascii="Times New Roman" w:hAnsi="Times New Roman" w:cs="Times New Roman"/>
          <w:sz w:val="24"/>
          <w:szCs w:val="24"/>
        </w:rPr>
      </w:pPr>
    </w:p>
    <w:p w14:paraId="787A04E0" w14:textId="69F2BEA7"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5. </w:t>
      </w:r>
      <w:r w:rsidRPr="00D87BF8">
        <w:rPr>
          <w:rFonts w:ascii="Times New Roman" w:hAnsi="Times New Roman" w:cs="Times New Roman"/>
          <w:sz w:val="24"/>
          <w:szCs w:val="24"/>
        </w:rPr>
        <w:t xml:space="preserve">Gates, Bill. </w:t>
      </w:r>
      <w:r w:rsidRPr="00D87BF8">
        <w:rPr>
          <w:rFonts w:ascii="Times New Roman" w:hAnsi="Times New Roman" w:cs="Times New Roman"/>
          <w:i/>
          <w:iCs/>
          <w:sz w:val="24"/>
          <w:szCs w:val="24"/>
        </w:rPr>
        <w:t>How to Avoid a Climate Disaster.</w:t>
      </w:r>
      <w:r w:rsidRPr="00D87BF8">
        <w:rPr>
          <w:rFonts w:ascii="Times New Roman" w:hAnsi="Times New Roman" w:cs="Times New Roman"/>
          <w:sz w:val="24"/>
          <w:szCs w:val="24"/>
        </w:rPr>
        <w:t xml:space="preserve"> Knopf, 2021.</w:t>
      </w:r>
    </w:p>
    <w:p w14:paraId="7C19EF52" w14:textId="77777777" w:rsidR="00D87BF8" w:rsidRPr="00D87BF8" w:rsidRDefault="00D87BF8" w:rsidP="00D87BF8">
      <w:pPr>
        <w:rPr>
          <w:rFonts w:ascii="Times New Roman" w:hAnsi="Times New Roman" w:cs="Times New Roman"/>
          <w:sz w:val="24"/>
          <w:szCs w:val="24"/>
        </w:rPr>
      </w:pPr>
    </w:p>
    <w:p w14:paraId="09FF1700" w14:textId="0B826B96"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6. </w:t>
      </w:r>
      <w:r w:rsidRPr="00D87BF8">
        <w:rPr>
          <w:rFonts w:ascii="Times New Roman" w:hAnsi="Times New Roman" w:cs="Times New Roman"/>
          <w:sz w:val="24"/>
          <w:szCs w:val="24"/>
        </w:rPr>
        <w:t xml:space="preserve">Hoffman, Reid, and Chris Yeh. </w:t>
      </w:r>
      <w:proofErr w:type="spellStart"/>
      <w:r w:rsidRPr="00D87BF8">
        <w:rPr>
          <w:rFonts w:ascii="Times New Roman" w:hAnsi="Times New Roman" w:cs="Times New Roman"/>
          <w:i/>
          <w:iCs/>
          <w:sz w:val="24"/>
          <w:szCs w:val="24"/>
        </w:rPr>
        <w:t>Blitzscaling</w:t>
      </w:r>
      <w:proofErr w:type="spellEnd"/>
      <w:r w:rsidRPr="00D87BF8">
        <w:rPr>
          <w:rFonts w:ascii="Times New Roman" w:hAnsi="Times New Roman" w:cs="Times New Roman"/>
          <w:sz w:val="24"/>
          <w:szCs w:val="24"/>
        </w:rPr>
        <w:t>. Currency, 2018.</w:t>
      </w:r>
    </w:p>
    <w:p w14:paraId="1A22185E" w14:textId="77777777" w:rsidR="00D87BF8" w:rsidRPr="00D87BF8" w:rsidRDefault="00D87BF8" w:rsidP="00D87BF8">
      <w:pPr>
        <w:rPr>
          <w:rFonts w:ascii="Times New Roman" w:hAnsi="Times New Roman" w:cs="Times New Roman"/>
          <w:sz w:val="24"/>
          <w:szCs w:val="24"/>
        </w:rPr>
      </w:pPr>
    </w:p>
    <w:p w14:paraId="290D9EEC" w14:textId="65586063"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7. </w:t>
      </w:r>
      <w:r w:rsidRPr="00D87BF8">
        <w:rPr>
          <w:rFonts w:ascii="Times New Roman" w:hAnsi="Times New Roman" w:cs="Times New Roman"/>
          <w:sz w:val="24"/>
          <w:szCs w:val="24"/>
        </w:rPr>
        <w:t xml:space="preserve">Microsoft Corporation. </w:t>
      </w:r>
      <w:r w:rsidRPr="00D87BF8">
        <w:rPr>
          <w:rFonts w:ascii="Times New Roman" w:hAnsi="Times New Roman" w:cs="Times New Roman"/>
          <w:i/>
          <w:iCs/>
          <w:sz w:val="24"/>
          <w:szCs w:val="24"/>
        </w:rPr>
        <w:t>2023 Environmental Sustainability Report</w:t>
      </w:r>
      <w:r w:rsidRPr="00D87BF8">
        <w:rPr>
          <w:rFonts w:ascii="Times New Roman" w:hAnsi="Times New Roman" w:cs="Times New Roman"/>
          <w:sz w:val="24"/>
          <w:szCs w:val="24"/>
        </w:rPr>
        <w:t>. 2023.</w:t>
      </w:r>
    </w:p>
    <w:p w14:paraId="0A96963C" w14:textId="77777777" w:rsidR="00D87BF8" w:rsidRPr="00D87BF8" w:rsidRDefault="00D87BF8" w:rsidP="00D87BF8">
      <w:pPr>
        <w:rPr>
          <w:rFonts w:ascii="Times New Roman" w:hAnsi="Times New Roman" w:cs="Times New Roman"/>
          <w:sz w:val="24"/>
          <w:szCs w:val="24"/>
        </w:rPr>
      </w:pPr>
    </w:p>
    <w:p w14:paraId="4E0E2EBF" w14:textId="166EDEAB"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8. </w:t>
      </w:r>
      <w:r w:rsidRPr="00D87BF8">
        <w:rPr>
          <w:rFonts w:ascii="Times New Roman" w:hAnsi="Times New Roman" w:cs="Times New Roman"/>
          <w:sz w:val="24"/>
          <w:szCs w:val="24"/>
        </w:rPr>
        <w:t xml:space="preserve">Molla, Rani. </w:t>
      </w:r>
      <w:r w:rsidRPr="00D87BF8">
        <w:rPr>
          <w:rFonts w:ascii="Times New Roman" w:hAnsi="Times New Roman" w:cs="Times New Roman"/>
          <w:i/>
          <w:iCs/>
          <w:sz w:val="24"/>
          <w:szCs w:val="24"/>
        </w:rPr>
        <w:t>“Why Microsoft and Google Are Suddenly Laying Off Thousands of Workers.”</w:t>
      </w:r>
      <w:r w:rsidRPr="00D87BF8">
        <w:rPr>
          <w:rFonts w:ascii="Times New Roman" w:hAnsi="Times New Roman" w:cs="Times New Roman"/>
          <w:sz w:val="24"/>
          <w:szCs w:val="24"/>
        </w:rPr>
        <w:t xml:space="preserve"> Vox, 25 Jan. 2023.</w:t>
      </w:r>
    </w:p>
    <w:p w14:paraId="11244303" w14:textId="77777777" w:rsidR="00D87BF8" w:rsidRPr="00D87BF8" w:rsidRDefault="00D87BF8" w:rsidP="00D87BF8">
      <w:pPr>
        <w:rPr>
          <w:rFonts w:ascii="Times New Roman" w:hAnsi="Times New Roman" w:cs="Times New Roman"/>
          <w:sz w:val="24"/>
          <w:szCs w:val="24"/>
        </w:rPr>
      </w:pPr>
    </w:p>
    <w:p w14:paraId="372B739A" w14:textId="343FA8CE"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9. </w:t>
      </w:r>
      <w:r w:rsidRPr="00D87BF8">
        <w:rPr>
          <w:rFonts w:ascii="Times New Roman" w:hAnsi="Times New Roman" w:cs="Times New Roman"/>
          <w:sz w:val="24"/>
          <w:szCs w:val="24"/>
        </w:rPr>
        <w:t xml:space="preserve">Nadella, Satya. </w:t>
      </w:r>
      <w:r w:rsidRPr="00D87BF8">
        <w:rPr>
          <w:rFonts w:ascii="Times New Roman" w:hAnsi="Times New Roman" w:cs="Times New Roman"/>
          <w:i/>
          <w:iCs/>
          <w:sz w:val="24"/>
          <w:szCs w:val="24"/>
        </w:rPr>
        <w:t>Hit Refresh</w:t>
      </w:r>
      <w:r w:rsidRPr="00D87BF8">
        <w:rPr>
          <w:rFonts w:ascii="Times New Roman" w:hAnsi="Times New Roman" w:cs="Times New Roman"/>
          <w:sz w:val="24"/>
          <w:szCs w:val="24"/>
        </w:rPr>
        <w:t>. HarperCollins, 2017.</w:t>
      </w:r>
    </w:p>
    <w:p w14:paraId="18FEA68D" w14:textId="77777777" w:rsidR="00D87BF8" w:rsidRPr="00D87BF8" w:rsidRDefault="00D87BF8" w:rsidP="00D87BF8">
      <w:pPr>
        <w:rPr>
          <w:rFonts w:ascii="Times New Roman" w:hAnsi="Times New Roman" w:cs="Times New Roman"/>
          <w:sz w:val="24"/>
          <w:szCs w:val="24"/>
        </w:rPr>
      </w:pPr>
    </w:p>
    <w:p w14:paraId="7C482D43" w14:textId="58FF034A"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10. </w:t>
      </w:r>
      <w:r w:rsidRPr="00D87BF8">
        <w:rPr>
          <w:rFonts w:ascii="Times New Roman" w:hAnsi="Times New Roman" w:cs="Times New Roman"/>
          <w:sz w:val="24"/>
          <w:szCs w:val="24"/>
        </w:rPr>
        <w:t xml:space="preserve">Porter, Michael E. </w:t>
      </w:r>
      <w:r w:rsidRPr="00D87BF8">
        <w:rPr>
          <w:rFonts w:ascii="Times New Roman" w:hAnsi="Times New Roman" w:cs="Times New Roman"/>
          <w:i/>
          <w:iCs/>
          <w:sz w:val="24"/>
          <w:szCs w:val="24"/>
        </w:rPr>
        <w:t>“The Five Competitive Forces That Shape Strategy.”</w:t>
      </w:r>
      <w:r w:rsidRPr="00D87BF8">
        <w:rPr>
          <w:rFonts w:ascii="Times New Roman" w:hAnsi="Times New Roman" w:cs="Times New Roman"/>
          <w:sz w:val="24"/>
          <w:szCs w:val="24"/>
        </w:rPr>
        <w:t xml:space="preserve"> Harvard Business Review, Jan. 2008.</w:t>
      </w:r>
    </w:p>
    <w:p w14:paraId="77FD4C76" w14:textId="77777777" w:rsidR="00D87BF8" w:rsidRPr="00D87BF8" w:rsidRDefault="00D87BF8" w:rsidP="00D87BF8">
      <w:pPr>
        <w:rPr>
          <w:rFonts w:ascii="Times New Roman" w:hAnsi="Times New Roman" w:cs="Times New Roman"/>
          <w:sz w:val="24"/>
          <w:szCs w:val="24"/>
        </w:rPr>
      </w:pPr>
    </w:p>
    <w:p w14:paraId="4B6B4513" w14:textId="7D057C21"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11. </w:t>
      </w:r>
      <w:r w:rsidRPr="00D87BF8">
        <w:rPr>
          <w:rFonts w:ascii="Times New Roman" w:hAnsi="Times New Roman" w:cs="Times New Roman"/>
          <w:sz w:val="24"/>
          <w:szCs w:val="24"/>
        </w:rPr>
        <w:t>Satariano, Adam, and Cade Metz.</w:t>
      </w:r>
      <w:r w:rsidRPr="00D87BF8">
        <w:rPr>
          <w:rFonts w:ascii="Times New Roman" w:hAnsi="Times New Roman" w:cs="Times New Roman"/>
          <w:i/>
          <w:iCs/>
          <w:sz w:val="24"/>
          <w:szCs w:val="24"/>
        </w:rPr>
        <w:t xml:space="preserve"> “Nvidia’s A.I. Chips Are in Demand, but There’</w:t>
      </w:r>
      <w:proofErr w:type="spellStart"/>
      <w:r w:rsidRPr="00D87BF8">
        <w:rPr>
          <w:rFonts w:ascii="Times New Roman" w:hAnsi="Times New Roman" w:cs="Times New Roman"/>
          <w:i/>
          <w:iCs/>
          <w:sz w:val="24"/>
          <w:szCs w:val="24"/>
        </w:rPr>
        <w:t>s</w:t>
      </w:r>
      <w:proofErr w:type="spellEnd"/>
      <w:r w:rsidRPr="00D87BF8">
        <w:rPr>
          <w:rFonts w:ascii="Times New Roman" w:hAnsi="Times New Roman" w:cs="Times New Roman"/>
          <w:i/>
          <w:iCs/>
          <w:sz w:val="24"/>
          <w:szCs w:val="24"/>
        </w:rPr>
        <w:t xml:space="preserve"> a Shortage.”</w:t>
      </w:r>
      <w:r w:rsidRPr="00D87BF8">
        <w:rPr>
          <w:rFonts w:ascii="Times New Roman" w:hAnsi="Times New Roman" w:cs="Times New Roman"/>
          <w:sz w:val="24"/>
          <w:szCs w:val="24"/>
        </w:rPr>
        <w:t xml:space="preserve"> The New York Times, 23 Aug. 2023.</w:t>
      </w:r>
    </w:p>
    <w:p w14:paraId="6D45CDA1" w14:textId="77777777" w:rsidR="00D87BF8" w:rsidRPr="00D87BF8" w:rsidRDefault="00D87BF8" w:rsidP="00D87BF8">
      <w:pPr>
        <w:rPr>
          <w:rFonts w:ascii="Times New Roman" w:hAnsi="Times New Roman" w:cs="Times New Roman"/>
          <w:sz w:val="24"/>
          <w:szCs w:val="24"/>
        </w:rPr>
      </w:pPr>
    </w:p>
    <w:p w14:paraId="29EE90A0" w14:textId="049C3569"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12. </w:t>
      </w:r>
      <w:r w:rsidRPr="00D87BF8">
        <w:rPr>
          <w:rFonts w:ascii="Times New Roman" w:hAnsi="Times New Roman" w:cs="Times New Roman"/>
          <w:sz w:val="24"/>
          <w:szCs w:val="24"/>
        </w:rPr>
        <w:t xml:space="preserve">Vance, Ashlee. </w:t>
      </w:r>
      <w:r w:rsidRPr="00D87BF8">
        <w:rPr>
          <w:rFonts w:ascii="Times New Roman" w:hAnsi="Times New Roman" w:cs="Times New Roman"/>
          <w:i/>
          <w:iCs/>
          <w:sz w:val="24"/>
          <w:szCs w:val="24"/>
        </w:rPr>
        <w:t xml:space="preserve">“The Secret History of Elon Musk, Sam Altman, and the A.I. Boom.” </w:t>
      </w:r>
      <w:r w:rsidRPr="00D87BF8">
        <w:rPr>
          <w:rFonts w:ascii="Times New Roman" w:hAnsi="Times New Roman" w:cs="Times New Roman"/>
          <w:sz w:val="24"/>
          <w:szCs w:val="24"/>
        </w:rPr>
        <w:t>Bloomberg Businessweek, 30 May 2023.</w:t>
      </w:r>
    </w:p>
    <w:p w14:paraId="402F1CC5" w14:textId="77777777" w:rsidR="00D87BF8" w:rsidRPr="00D87BF8" w:rsidRDefault="00D87BF8" w:rsidP="00D87BF8">
      <w:pPr>
        <w:rPr>
          <w:rFonts w:ascii="Times New Roman" w:hAnsi="Times New Roman" w:cs="Times New Roman"/>
          <w:sz w:val="24"/>
          <w:szCs w:val="24"/>
        </w:rPr>
      </w:pPr>
    </w:p>
    <w:p w14:paraId="6A6F98D1" w14:textId="62E5809F" w:rsidR="00D87BF8" w:rsidRPr="00D87BF8" w:rsidRDefault="00D87BF8" w:rsidP="00D87BF8">
      <w:pPr>
        <w:rPr>
          <w:rFonts w:ascii="Times New Roman" w:hAnsi="Times New Roman" w:cs="Times New Roman"/>
          <w:sz w:val="24"/>
          <w:szCs w:val="24"/>
        </w:rPr>
      </w:pPr>
      <w:r>
        <w:rPr>
          <w:rFonts w:ascii="Times New Roman" w:hAnsi="Times New Roman" w:cs="Times New Roman" w:hint="eastAsia"/>
          <w:sz w:val="24"/>
          <w:szCs w:val="24"/>
        </w:rPr>
        <w:t xml:space="preserve">13. </w:t>
      </w:r>
      <w:r w:rsidRPr="00D87BF8">
        <w:rPr>
          <w:rFonts w:ascii="Times New Roman" w:hAnsi="Times New Roman" w:cs="Times New Roman"/>
          <w:sz w:val="24"/>
          <w:szCs w:val="24"/>
        </w:rPr>
        <w:t xml:space="preserve">Wingfield, Nick. </w:t>
      </w:r>
      <w:r w:rsidRPr="00D87BF8">
        <w:rPr>
          <w:rFonts w:ascii="Times New Roman" w:hAnsi="Times New Roman" w:cs="Times New Roman"/>
          <w:i/>
          <w:iCs/>
          <w:sz w:val="24"/>
          <w:szCs w:val="24"/>
        </w:rPr>
        <w:t xml:space="preserve">“Microsoft’s Activision Deal: What’s Next for the Gaming Industry.” </w:t>
      </w:r>
      <w:r w:rsidRPr="00D87BF8">
        <w:rPr>
          <w:rFonts w:ascii="Times New Roman" w:hAnsi="Times New Roman" w:cs="Times New Roman"/>
          <w:sz w:val="24"/>
          <w:szCs w:val="24"/>
        </w:rPr>
        <w:t>The New York Times, 18 July 2023.</w:t>
      </w:r>
    </w:p>
    <w:p w14:paraId="318626C6" w14:textId="77777777" w:rsidR="00484654" w:rsidRPr="00D87BF8" w:rsidRDefault="00484654" w:rsidP="00D87BF8">
      <w:pPr>
        <w:rPr>
          <w:rFonts w:ascii="Times New Roman" w:hAnsi="Times New Roman" w:cs="Times New Roman"/>
          <w:sz w:val="24"/>
          <w:szCs w:val="24"/>
        </w:rPr>
      </w:pPr>
    </w:p>
    <w:sectPr w:rsidR="00484654" w:rsidRPr="00D87BF8">
      <w:headerReference w:type="even" r:id="rId8"/>
      <w:headerReference w:type="default" r:id="rId9"/>
      <w:footerReference w:type="even" r:id="rId10"/>
      <w:footerReference w:type="default" r:id="rId11"/>
      <w:headerReference w:type="first" r:id="rId12"/>
      <w:footerReference w:type="firs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AE86C8" w14:textId="77777777" w:rsidR="00C141DB" w:rsidRDefault="00C141DB" w:rsidP="00733FC6">
      <w:pPr>
        <w:rPr>
          <w:rFonts w:hint="eastAsia"/>
        </w:rPr>
      </w:pPr>
      <w:r>
        <w:separator/>
      </w:r>
    </w:p>
  </w:endnote>
  <w:endnote w:type="continuationSeparator" w:id="0">
    <w:p w14:paraId="04546D6A" w14:textId="77777777" w:rsidR="00C141DB" w:rsidRDefault="00C141DB" w:rsidP="00733FC6">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DCEE81" w14:textId="77777777" w:rsidR="00733FC6" w:rsidRDefault="00733FC6">
    <w:pPr>
      <w:pStyle w:val="af5"/>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7234881"/>
      <w:docPartObj>
        <w:docPartGallery w:val="Page Numbers (Bottom of Page)"/>
        <w:docPartUnique/>
      </w:docPartObj>
    </w:sdtPr>
    <w:sdtContent>
      <w:p w14:paraId="02DA488F" w14:textId="2DDEC41F" w:rsidR="00733FC6" w:rsidRDefault="00733FC6">
        <w:pPr>
          <w:pStyle w:val="af5"/>
          <w:jc w:val="center"/>
          <w:rPr>
            <w:rFonts w:hint="eastAsia"/>
          </w:rPr>
        </w:pPr>
        <w:r>
          <w:fldChar w:fldCharType="begin"/>
        </w:r>
        <w:r>
          <w:instrText>PAGE   \* MERGEFORMAT</w:instrText>
        </w:r>
        <w:r>
          <w:fldChar w:fldCharType="separate"/>
        </w:r>
        <w:r>
          <w:rPr>
            <w:lang w:val="zh-CN"/>
          </w:rPr>
          <w:t>2</w:t>
        </w:r>
        <w:r>
          <w:fldChar w:fldCharType="end"/>
        </w:r>
      </w:p>
    </w:sdtContent>
  </w:sdt>
  <w:p w14:paraId="7D6C7AFE" w14:textId="3BFA0D3A" w:rsidR="00733FC6" w:rsidRDefault="00733FC6">
    <w:pPr>
      <w:pStyle w:val="af5"/>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BC95C0" w14:textId="77777777" w:rsidR="00733FC6" w:rsidRDefault="00733FC6">
    <w:pPr>
      <w:pStyle w:val="af5"/>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5FE16" w14:textId="77777777" w:rsidR="00C141DB" w:rsidRDefault="00C141DB" w:rsidP="00733FC6">
      <w:pPr>
        <w:rPr>
          <w:rFonts w:hint="eastAsia"/>
        </w:rPr>
      </w:pPr>
      <w:r>
        <w:separator/>
      </w:r>
    </w:p>
  </w:footnote>
  <w:footnote w:type="continuationSeparator" w:id="0">
    <w:p w14:paraId="061629F7" w14:textId="77777777" w:rsidR="00C141DB" w:rsidRDefault="00C141DB" w:rsidP="00733FC6">
      <w:pPr>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11103" w14:textId="77777777" w:rsidR="00733FC6" w:rsidRDefault="00733FC6">
    <w:pPr>
      <w:pStyle w:val="af3"/>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97DBED" w14:textId="77777777" w:rsidR="00733FC6" w:rsidRDefault="00733FC6">
    <w:pPr>
      <w:pStyle w:val="af3"/>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636765" w14:textId="77777777" w:rsidR="00733FC6" w:rsidRDefault="00733FC6">
    <w:pPr>
      <w:pStyle w:val="af3"/>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31CA9"/>
    <w:multiLevelType w:val="multilevel"/>
    <w:tmpl w:val="57F81BBC"/>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num w:numId="1" w16cid:durableId="714230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BF8"/>
    <w:rsid w:val="001E5CA8"/>
    <w:rsid w:val="003E3206"/>
    <w:rsid w:val="00401E33"/>
    <w:rsid w:val="00484654"/>
    <w:rsid w:val="00733FC6"/>
    <w:rsid w:val="00C141DB"/>
    <w:rsid w:val="00D87BF8"/>
    <w:rsid w:val="00F216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741DF"/>
  <w15:chartTrackingRefBased/>
  <w15:docId w15:val="{01B9CEDF-FB26-465F-BBB6-F50CF6D59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87BF8"/>
    <w:pPr>
      <w:widowControl w:val="0"/>
      <w:jc w:val="both"/>
    </w:pPr>
  </w:style>
  <w:style w:type="paragraph" w:styleId="1">
    <w:name w:val="heading 1"/>
    <w:basedOn w:val="a"/>
    <w:next w:val="a"/>
    <w:link w:val="10"/>
    <w:uiPriority w:val="9"/>
    <w:qFormat/>
    <w:rsid w:val="00D87BF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D87BF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D87BF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D87BF8"/>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D87BF8"/>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D87BF8"/>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D87BF8"/>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87BF8"/>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D87BF8"/>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87BF8"/>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D87BF8"/>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D87BF8"/>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D87BF8"/>
    <w:rPr>
      <w:rFonts w:cstheme="majorBidi"/>
      <w:color w:val="0F4761" w:themeColor="accent1" w:themeShade="BF"/>
      <w:sz w:val="28"/>
      <w:szCs w:val="28"/>
    </w:rPr>
  </w:style>
  <w:style w:type="character" w:customStyle="1" w:styleId="50">
    <w:name w:val="标题 5 字符"/>
    <w:basedOn w:val="a0"/>
    <w:link w:val="5"/>
    <w:uiPriority w:val="9"/>
    <w:semiHidden/>
    <w:rsid w:val="00D87BF8"/>
    <w:rPr>
      <w:rFonts w:cstheme="majorBidi"/>
      <w:color w:val="0F4761" w:themeColor="accent1" w:themeShade="BF"/>
      <w:sz w:val="24"/>
      <w:szCs w:val="24"/>
    </w:rPr>
  </w:style>
  <w:style w:type="character" w:customStyle="1" w:styleId="60">
    <w:name w:val="标题 6 字符"/>
    <w:basedOn w:val="a0"/>
    <w:link w:val="6"/>
    <w:uiPriority w:val="9"/>
    <w:semiHidden/>
    <w:rsid w:val="00D87BF8"/>
    <w:rPr>
      <w:rFonts w:cstheme="majorBidi"/>
      <w:b/>
      <w:bCs/>
      <w:color w:val="0F4761" w:themeColor="accent1" w:themeShade="BF"/>
    </w:rPr>
  </w:style>
  <w:style w:type="character" w:customStyle="1" w:styleId="70">
    <w:name w:val="标题 7 字符"/>
    <w:basedOn w:val="a0"/>
    <w:link w:val="7"/>
    <w:uiPriority w:val="9"/>
    <w:semiHidden/>
    <w:rsid w:val="00D87BF8"/>
    <w:rPr>
      <w:rFonts w:cstheme="majorBidi"/>
      <w:b/>
      <w:bCs/>
      <w:color w:val="595959" w:themeColor="text1" w:themeTint="A6"/>
    </w:rPr>
  </w:style>
  <w:style w:type="character" w:customStyle="1" w:styleId="80">
    <w:name w:val="标题 8 字符"/>
    <w:basedOn w:val="a0"/>
    <w:link w:val="8"/>
    <w:uiPriority w:val="9"/>
    <w:semiHidden/>
    <w:rsid w:val="00D87BF8"/>
    <w:rPr>
      <w:rFonts w:cstheme="majorBidi"/>
      <w:color w:val="595959" w:themeColor="text1" w:themeTint="A6"/>
    </w:rPr>
  </w:style>
  <w:style w:type="character" w:customStyle="1" w:styleId="90">
    <w:name w:val="标题 9 字符"/>
    <w:basedOn w:val="a0"/>
    <w:link w:val="9"/>
    <w:uiPriority w:val="9"/>
    <w:semiHidden/>
    <w:rsid w:val="00D87BF8"/>
    <w:rPr>
      <w:rFonts w:eastAsiaTheme="majorEastAsia" w:cstheme="majorBidi"/>
      <w:color w:val="595959" w:themeColor="text1" w:themeTint="A6"/>
    </w:rPr>
  </w:style>
  <w:style w:type="paragraph" w:styleId="a3">
    <w:name w:val="Title"/>
    <w:basedOn w:val="a"/>
    <w:next w:val="a"/>
    <w:link w:val="a4"/>
    <w:uiPriority w:val="10"/>
    <w:qFormat/>
    <w:rsid w:val="00D87BF8"/>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87BF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87BF8"/>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87BF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87BF8"/>
    <w:pPr>
      <w:spacing w:before="160" w:after="160"/>
      <w:jc w:val="center"/>
    </w:pPr>
    <w:rPr>
      <w:i/>
      <w:iCs/>
      <w:color w:val="404040" w:themeColor="text1" w:themeTint="BF"/>
    </w:rPr>
  </w:style>
  <w:style w:type="character" w:customStyle="1" w:styleId="a8">
    <w:name w:val="引用 字符"/>
    <w:basedOn w:val="a0"/>
    <w:link w:val="a7"/>
    <w:uiPriority w:val="29"/>
    <w:rsid w:val="00D87BF8"/>
    <w:rPr>
      <w:i/>
      <w:iCs/>
      <w:color w:val="404040" w:themeColor="text1" w:themeTint="BF"/>
    </w:rPr>
  </w:style>
  <w:style w:type="paragraph" w:styleId="a9">
    <w:name w:val="List Paragraph"/>
    <w:basedOn w:val="a"/>
    <w:uiPriority w:val="34"/>
    <w:qFormat/>
    <w:rsid w:val="00D87BF8"/>
    <w:pPr>
      <w:ind w:left="720"/>
      <w:contextualSpacing/>
    </w:pPr>
  </w:style>
  <w:style w:type="character" w:styleId="aa">
    <w:name w:val="Intense Emphasis"/>
    <w:basedOn w:val="a0"/>
    <w:uiPriority w:val="21"/>
    <w:qFormat/>
    <w:rsid w:val="00D87BF8"/>
    <w:rPr>
      <w:i/>
      <w:iCs/>
      <w:color w:val="0F4761" w:themeColor="accent1" w:themeShade="BF"/>
    </w:rPr>
  </w:style>
  <w:style w:type="paragraph" w:styleId="ab">
    <w:name w:val="Intense Quote"/>
    <w:basedOn w:val="a"/>
    <w:next w:val="a"/>
    <w:link w:val="ac"/>
    <w:uiPriority w:val="30"/>
    <w:qFormat/>
    <w:rsid w:val="00D87B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87BF8"/>
    <w:rPr>
      <w:i/>
      <w:iCs/>
      <w:color w:val="0F4761" w:themeColor="accent1" w:themeShade="BF"/>
    </w:rPr>
  </w:style>
  <w:style w:type="character" w:styleId="ad">
    <w:name w:val="Intense Reference"/>
    <w:basedOn w:val="a0"/>
    <w:uiPriority w:val="32"/>
    <w:qFormat/>
    <w:rsid w:val="00D87BF8"/>
    <w:rPr>
      <w:b/>
      <w:bCs/>
      <w:smallCaps/>
      <w:color w:val="0F4761" w:themeColor="accent1" w:themeShade="BF"/>
      <w:spacing w:val="5"/>
    </w:rPr>
  </w:style>
  <w:style w:type="paragraph" w:styleId="ae">
    <w:name w:val="Normal (Web)"/>
    <w:basedOn w:val="a"/>
    <w:uiPriority w:val="99"/>
    <w:unhideWhenUsed/>
    <w:rsid w:val="00D87BF8"/>
    <w:pPr>
      <w:widowControl/>
      <w:spacing w:before="100" w:beforeAutospacing="1" w:after="100" w:afterAutospacing="1"/>
      <w:jc w:val="left"/>
    </w:pPr>
    <w:rPr>
      <w:rFonts w:ascii="宋体" w:eastAsia="宋体" w:hAnsi="宋体" w:cs="宋体"/>
      <w:kern w:val="0"/>
      <w:sz w:val="24"/>
      <w:szCs w:val="24"/>
    </w:rPr>
  </w:style>
  <w:style w:type="table" w:styleId="af">
    <w:name w:val="Table Grid"/>
    <w:basedOn w:val="a1"/>
    <w:uiPriority w:val="39"/>
    <w:rsid w:val="00F216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a"/>
    <w:uiPriority w:val="40"/>
    <w:qFormat/>
    <w:rsid w:val="00F21622"/>
    <w:pPr>
      <w:widowControl/>
      <w:tabs>
        <w:tab w:val="decimal" w:pos="360"/>
      </w:tabs>
      <w:spacing w:after="200" w:line="276" w:lineRule="auto"/>
      <w:jc w:val="left"/>
    </w:pPr>
    <w:rPr>
      <w:rFonts w:cs="Times New Roman"/>
      <w:kern w:val="0"/>
      <w:sz w:val="22"/>
    </w:rPr>
  </w:style>
  <w:style w:type="paragraph" w:styleId="af0">
    <w:name w:val="footnote text"/>
    <w:basedOn w:val="a"/>
    <w:link w:val="af1"/>
    <w:uiPriority w:val="99"/>
    <w:unhideWhenUsed/>
    <w:rsid w:val="00F21622"/>
    <w:pPr>
      <w:widowControl/>
      <w:jc w:val="left"/>
    </w:pPr>
    <w:rPr>
      <w:rFonts w:cs="Times New Roman"/>
      <w:kern w:val="0"/>
      <w:sz w:val="20"/>
      <w:szCs w:val="20"/>
    </w:rPr>
  </w:style>
  <w:style w:type="character" w:customStyle="1" w:styleId="af1">
    <w:name w:val="脚注文本 字符"/>
    <w:basedOn w:val="a0"/>
    <w:link w:val="af0"/>
    <w:uiPriority w:val="99"/>
    <w:rsid w:val="00F21622"/>
    <w:rPr>
      <w:rFonts w:cs="Times New Roman"/>
      <w:kern w:val="0"/>
      <w:sz w:val="20"/>
      <w:szCs w:val="20"/>
    </w:rPr>
  </w:style>
  <w:style w:type="character" w:styleId="af2">
    <w:name w:val="Subtle Emphasis"/>
    <w:basedOn w:val="a0"/>
    <w:uiPriority w:val="19"/>
    <w:qFormat/>
    <w:rsid w:val="00F21622"/>
    <w:rPr>
      <w:i/>
      <w:iCs/>
    </w:rPr>
  </w:style>
  <w:style w:type="table" w:styleId="-1">
    <w:name w:val="Light Shading Accent 1"/>
    <w:basedOn w:val="a1"/>
    <w:uiPriority w:val="60"/>
    <w:rsid w:val="00F21622"/>
    <w:rPr>
      <w:color w:val="0F4761" w:themeColor="accent1" w:themeShade="BF"/>
      <w:kern w:val="0"/>
      <w:sz w:val="22"/>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paragraph" w:styleId="TOC1">
    <w:name w:val="toc 1"/>
    <w:basedOn w:val="a"/>
    <w:next w:val="a"/>
    <w:autoRedefine/>
    <w:uiPriority w:val="39"/>
    <w:semiHidden/>
    <w:unhideWhenUsed/>
    <w:rsid w:val="00733FC6"/>
  </w:style>
  <w:style w:type="paragraph" w:styleId="af3">
    <w:name w:val="header"/>
    <w:basedOn w:val="a"/>
    <w:link w:val="af4"/>
    <w:uiPriority w:val="99"/>
    <w:unhideWhenUsed/>
    <w:rsid w:val="00733FC6"/>
    <w:pPr>
      <w:tabs>
        <w:tab w:val="center" w:pos="4153"/>
        <w:tab w:val="right" w:pos="8306"/>
      </w:tabs>
      <w:snapToGrid w:val="0"/>
      <w:jc w:val="center"/>
    </w:pPr>
    <w:rPr>
      <w:sz w:val="18"/>
      <w:szCs w:val="18"/>
    </w:rPr>
  </w:style>
  <w:style w:type="character" w:customStyle="1" w:styleId="af4">
    <w:name w:val="页眉 字符"/>
    <w:basedOn w:val="a0"/>
    <w:link w:val="af3"/>
    <w:uiPriority w:val="99"/>
    <w:rsid w:val="00733FC6"/>
    <w:rPr>
      <w:sz w:val="18"/>
      <w:szCs w:val="18"/>
    </w:rPr>
  </w:style>
  <w:style w:type="paragraph" w:styleId="af5">
    <w:name w:val="footer"/>
    <w:basedOn w:val="a"/>
    <w:link w:val="af6"/>
    <w:uiPriority w:val="99"/>
    <w:unhideWhenUsed/>
    <w:rsid w:val="00733FC6"/>
    <w:pPr>
      <w:tabs>
        <w:tab w:val="center" w:pos="4153"/>
        <w:tab w:val="right" w:pos="8306"/>
      </w:tabs>
      <w:snapToGrid w:val="0"/>
      <w:jc w:val="left"/>
    </w:pPr>
    <w:rPr>
      <w:sz w:val="18"/>
      <w:szCs w:val="18"/>
    </w:rPr>
  </w:style>
  <w:style w:type="character" w:customStyle="1" w:styleId="af6">
    <w:name w:val="页脚 字符"/>
    <w:basedOn w:val="a0"/>
    <w:link w:val="af5"/>
    <w:uiPriority w:val="99"/>
    <w:rsid w:val="00733FC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A969B-60F1-4FF6-834C-663C1B594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12</Pages>
  <Words>9508</Words>
  <Characters>11886</Characters>
  <Application>Microsoft Office Word</Application>
  <DocSecurity>0</DocSecurity>
  <Lines>495</Lines>
  <Paragraphs>245</Paragraphs>
  <ScaleCrop>false</ScaleCrop>
  <Company/>
  <LinksUpToDate>false</LinksUpToDate>
  <CharactersWithSpaces>21149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yuze Tang</dc:creator>
  <cp:keywords/>
  <dc:description/>
  <cp:lastModifiedBy>yuze Tang</cp:lastModifiedBy>
  <cp:revision>1</cp:revision>
  <dcterms:created xsi:type="dcterms:W3CDTF">2026-03-26T19:16:00Z</dcterms:created>
  <dcterms:modified xsi:type="dcterms:W3CDTF">2026-03-26T20:34:00Z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59bfd321-1335-4a52-96d8-0f278b7ec4c2</vt:lpwstr>
  </property>
</Properties>
</file>