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FF556B" w:rsidRDefault="00603B98">
      <w:pPr>
        <w:pStyle w:val="Title"/>
      </w:pPr>
      <w:r>
        <w:t>Academic Skills for the Digital Era</w:t>
      </w:r>
    </w:p>
    <w:p w:rsidR="00FF556B" w:rsidRDefault="00603B98">
      <w:pPr>
        <w:jc w:val="center"/>
        <w:rPr>
          <w:b/>
          <w:sz w:val="28"/>
          <w:szCs w:val="28"/>
        </w:rPr>
      </w:pPr>
      <w:r>
        <w:rPr>
          <w:b/>
          <w:sz w:val="28"/>
          <w:szCs w:val="28"/>
        </w:rPr>
        <w:t>Assessment 1 Portfolio</w:t>
      </w:r>
    </w:p>
    <w:p w:rsidR="00FF556B" w:rsidRDefault="00FF556B"/>
    <w:p w:rsidR="00FF556B" w:rsidRDefault="00FF556B"/>
    <w:p w:rsidR="00FF556B" w:rsidRDefault="00FF556B"/>
    <w:p w:rsidR="00FF556B" w:rsidRDefault="00FF556B"/>
    <w:p w:rsidR="00FF556B" w:rsidRDefault="00FF556B"/>
    <w:p w:rsidR="00FF556B" w:rsidRDefault="00FF556B"/>
    <w:p w:rsidR="00FF556B" w:rsidRDefault="00FF556B"/>
    <w:p w:rsidR="00FF556B" w:rsidRDefault="00FF556B"/>
    <w:p w:rsidR="00FF556B" w:rsidRDefault="00FF556B"/>
    <w:p w:rsidR="00FF556B" w:rsidRDefault="00603B98">
      <w:pPr>
        <w:jc w:val="center"/>
        <w:rPr>
          <w:b/>
        </w:rPr>
      </w:pPr>
      <w:r>
        <w:rPr>
          <w:b/>
        </w:rPr>
        <w:t xml:space="preserve">Student </w:t>
      </w:r>
      <w:proofErr w:type="spellStart"/>
      <w:r>
        <w:rPr>
          <w:b/>
        </w:rPr>
        <w:t>Name:</w:t>
      </w:r>
      <w:r w:rsidR="00F56972">
        <w:rPr>
          <w:b/>
        </w:rPr>
        <w:t>LYUBOMIR</w:t>
      </w:r>
      <w:proofErr w:type="spellEnd"/>
      <w:r w:rsidR="00F56972">
        <w:rPr>
          <w:b/>
        </w:rPr>
        <w:t xml:space="preserve"> IVANOV </w:t>
      </w:r>
    </w:p>
    <w:p w:rsidR="00FF556B" w:rsidRDefault="00603B98">
      <w:pPr>
        <w:jc w:val="center"/>
        <w:rPr>
          <w:b/>
        </w:rPr>
      </w:pPr>
      <w:r>
        <w:rPr>
          <w:b/>
        </w:rPr>
        <w:t>Student Number:</w:t>
      </w:r>
      <w:r w:rsidR="005D1ED7">
        <w:rPr>
          <w:b/>
        </w:rPr>
        <w:t>2330871</w:t>
      </w:r>
    </w:p>
    <w:p w:rsidR="00FF556B" w:rsidRDefault="00603B98">
      <w:pPr>
        <w:spacing w:line="276" w:lineRule="auto"/>
        <w:jc w:val="left"/>
      </w:pPr>
      <w:r>
        <w:br w:type="page"/>
      </w:r>
    </w:p>
    <w:p w:rsidR="00FF556B" w:rsidRDefault="00603B98">
      <w:pPr>
        <w:keepNext/>
        <w:keepLines/>
        <w:pBdr>
          <w:top w:val="nil"/>
          <w:left w:val="nil"/>
          <w:bottom w:val="nil"/>
          <w:right w:val="nil"/>
          <w:between w:val="nil"/>
        </w:pBdr>
        <w:spacing w:before="480" w:after="0"/>
        <w:jc w:val="center"/>
        <w:rPr>
          <w:b/>
          <w:color w:val="000000"/>
        </w:rPr>
      </w:pPr>
      <w:r>
        <w:rPr>
          <w:b/>
          <w:color w:val="000000"/>
        </w:rPr>
        <w:lastRenderedPageBreak/>
        <w:t>Table of Contents</w:t>
      </w:r>
    </w:p>
    <w:sdt>
      <w:sdtPr>
        <w:id w:val="49587686"/>
        <w:docPartObj>
          <w:docPartGallery w:val="Table of Contents"/>
          <w:docPartUnique/>
        </w:docPartObj>
      </w:sdtPr>
      <w:sdtEndPr/>
      <w:sdtContent>
        <w:p w:rsidR="00FF556B" w:rsidRDefault="00603B98">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1.0 Introduction</w:t>
            </w:r>
            <w:r>
              <w:rPr>
                <w:color w:val="000000"/>
              </w:rPr>
              <w:tab/>
              <w:t>3</w:t>
            </w:r>
          </w:hyperlink>
        </w:p>
        <w:p w:rsidR="00FF556B" w:rsidRDefault="00603B98">
          <w:pPr>
            <w:pBdr>
              <w:top w:val="nil"/>
              <w:left w:val="nil"/>
              <w:bottom w:val="nil"/>
              <w:right w:val="nil"/>
              <w:between w:val="nil"/>
            </w:pBdr>
            <w:tabs>
              <w:tab w:val="right" w:leader="dot" w:pos="9016"/>
            </w:tabs>
            <w:spacing w:after="100"/>
            <w:rPr>
              <w:color w:val="000000"/>
            </w:rPr>
          </w:pPr>
          <w:hyperlink w:anchor="_heading=h.30j0zll">
            <w:r>
              <w:rPr>
                <w:color w:val="000000"/>
              </w:rPr>
              <w:t>2.0 Task 01: E-portfolio</w:t>
            </w:r>
            <w:r>
              <w:rPr>
                <w:color w:val="000000"/>
              </w:rPr>
              <w:tab/>
              <w:t>3</w:t>
            </w:r>
          </w:hyperlink>
        </w:p>
        <w:p w:rsidR="00FF556B" w:rsidRDefault="00603B98">
          <w:pPr>
            <w:pBdr>
              <w:top w:val="nil"/>
              <w:left w:val="nil"/>
              <w:bottom w:val="nil"/>
              <w:right w:val="nil"/>
              <w:between w:val="nil"/>
            </w:pBdr>
            <w:tabs>
              <w:tab w:val="right" w:leader="dot" w:pos="9016"/>
            </w:tabs>
            <w:spacing w:after="100"/>
            <w:ind w:left="240"/>
            <w:rPr>
              <w:color w:val="000000"/>
            </w:rPr>
          </w:pPr>
          <w:hyperlink w:anchor="_heading=h.1fob9te">
            <w:r>
              <w:rPr>
                <w:color w:val="000000"/>
              </w:rPr>
              <w:t>2.1 Time Management</w:t>
            </w:r>
            <w:r>
              <w:rPr>
                <w:color w:val="000000"/>
              </w:rPr>
              <w:tab/>
              <w:t>3</w:t>
            </w:r>
          </w:hyperlink>
        </w:p>
        <w:p w:rsidR="00FF556B" w:rsidRDefault="00603B98">
          <w:pPr>
            <w:pBdr>
              <w:top w:val="nil"/>
              <w:left w:val="nil"/>
              <w:bottom w:val="nil"/>
              <w:right w:val="nil"/>
              <w:between w:val="nil"/>
            </w:pBdr>
            <w:tabs>
              <w:tab w:val="right" w:leader="dot" w:pos="9016"/>
            </w:tabs>
            <w:spacing w:after="100"/>
            <w:ind w:left="240"/>
            <w:rPr>
              <w:color w:val="000000"/>
            </w:rPr>
          </w:pPr>
          <w:hyperlink w:anchor="_heading=h.3znysh7">
            <w:r>
              <w:rPr>
                <w:color w:val="000000"/>
              </w:rPr>
              <w:t>2.2 Academic Writing</w:t>
            </w:r>
            <w:r>
              <w:rPr>
                <w:color w:val="000000"/>
              </w:rPr>
              <w:tab/>
              <w:t>4</w:t>
            </w:r>
          </w:hyperlink>
        </w:p>
        <w:p w:rsidR="00FF556B" w:rsidRDefault="00603B98">
          <w:pPr>
            <w:pBdr>
              <w:top w:val="nil"/>
              <w:left w:val="nil"/>
              <w:bottom w:val="nil"/>
              <w:right w:val="nil"/>
              <w:between w:val="nil"/>
            </w:pBdr>
            <w:tabs>
              <w:tab w:val="right" w:leader="dot" w:pos="9016"/>
            </w:tabs>
            <w:spacing w:after="100"/>
            <w:rPr>
              <w:color w:val="000000"/>
            </w:rPr>
          </w:pPr>
          <w:hyperlink w:anchor="_heading=h.2et92p0">
            <w:r>
              <w:rPr>
                <w:color w:val="000000"/>
              </w:rPr>
              <w:t>References</w:t>
            </w:r>
            <w:r>
              <w:rPr>
                <w:color w:val="000000"/>
              </w:rPr>
              <w:tab/>
              <w:t>6</w:t>
            </w:r>
          </w:hyperlink>
        </w:p>
        <w:p w:rsidR="00FF556B" w:rsidRDefault="00603B98">
          <w:r>
            <w:fldChar w:fldCharType="end"/>
          </w:r>
        </w:p>
      </w:sdtContent>
    </w:sdt>
    <w:p w:rsidR="00FF556B" w:rsidRDefault="00603B98">
      <w:pPr>
        <w:spacing w:line="276" w:lineRule="auto"/>
        <w:jc w:val="left"/>
      </w:pPr>
      <w:r>
        <w:br w:type="page"/>
      </w:r>
    </w:p>
    <w:p w:rsidR="00FF556B" w:rsidRDefault="00603B98">
      <w:pPr>
        <w:pStyle w:val="Heading1"/>
      </w:pPr>
      <w:bookmarkStart w:id="0" w:name="_heading=h.gjdgxs" w:colFirst="0" w:colLast="0"/>
      <w:bookmarkEnd w:id="0"/>
      <w:r>
        <w:lastRenderedPageBreak/>
        <w:t>1.0 Introduction</w:t>
      </w:r>
    </w:p>
    <w:p w:rsidR="00FF556B" w:rsidRDefault="00603B98">
      <w:r>
        <w:t>As seen from the report of Cottrell (2019), academic proficiency is the basis for both intellectual achievement and growth. Critical thinking, effective communication, academic writing, and time management are some of the abilities enabling a person to be successful both at school and in life beyond school. Such abilities set the stage for self-directed learning and increase understanding, thereby facilitating the application of knowledge. Students will develop a strong foundation for continued skills devel</w:t>
      </w:r>
      <w:r>
        <w:t>opment in their postsecondary education or career. Taking this scenario into account, this can be said that a proper approach with skill development is important for academic as well as professional endeavours.</w:t>
      </w:r>
    </w:p>
    <w:p w:rsidR="00FF556B" w:rsidRDefault="00603B98">
      <w:pPr>
        <w:pStyle w:val="Heading1"/>
      </w:pPr>
      <w:bookmarkStart w:id="1" w:name="_heading=h.30j0zll" w:colFirst="0" w:colLast="0"/>
      <w:bookmarkEnd w:id="1"/>
      <w:r>
        <w:t>2.0 Task 01: E-portfolio</w:t>
      </w:r>
    </w:p>
    <w:p w:rsidR="00FF556B" w:rsidRDefault="00603B98">
      <w:r>
        <w:t>A brief discussion on the key academic skills is as follows –</w:t>
      </w:r>
    </w:p>
    <w:p w:rsidR="00FF556B" w:rsidRDefault="00603B98">
      <w:pPr>
        <w:pStyle w:val="Heading2"/>
      </w:pPr>
      <w:bookmarkStart w:id="2" w:name="_heading=h.1fob9te" w:colFirst="0" w:colLast="0"/>
      <w:bookmarkEnd w:id="2"/>
      <w:r>
        <w:t>2.1 Time Management</w:t>
      </w:r>
    </w:p>
    <w:p w:rsidR="00FF556B" w:rsidRDefault="00603B98">
      <w:r>
        <w:t xml:space="preserve">As seen from the report of </w:t>
      </w:r>
      <w:proofErr w:type="spellStart"/>
      <w:r>
        <w:t>Irikefe</w:t>
      </w:r>
      <w:proofErr w:type="spellEnd"/>
      <w:r>
        <w:t xml:space="preserve"> (2018), time management is a set of techniques, methods, skills, resources, and tools that assist a person in using his time more productively for better living. This can be taken as the process to make a person to be disciplined and punctual for any responsibilities that will bring success in life.</w:t>
      </w:r>
    </w:p>
    <w:p w:rsidR="00FF556B" w:rsidRDefault="00603B98">
      <w:pPr>
        <w:rPr>
          <w:b/>
          <w:i/>
        </w:rPr>
      </w:pPr>
      <w:r>
        <w:rPr>
          <w:b/>
          <w:i/>
        </w:rPr>
        <w:t>2.1.1 Impact of Time Management</w:t>
      </w:r>
    </w:p>
    <w:p w:rsidR="00FF556B" w:rsidRDefault="00603B98">
      <w:r>
        <w:t xml:space="preserve">This is found from the report of </w:t>
      </w:r>
      <w:proofErr w:type="spellStart"/>
      <w:r>
        <w:t>Alyami</w:t>
      </w:r>
      <w:proofErr w:type="spellEnd"/>
      <w:r>
        <w:t xml:space="preserve"> (2021), effective time management can bring tremendous change into one's personal and academic life. It creates better class focus, productivity, and mitigation of stress levels, hence higher grades and timely project completion. Good time management skills ensure a balanced lifestyle, avoiding the burnout of resources and supporting personal development. By prioritising tasks and following schedules, it optimises the use of time and hence productivity and well-being. The report of Cyril (2015) has m</w:t>
      </w:r>
      <w:r>
        <w:t>entioned that time management is very helpful, more so because students have busy schedules. It makes the student focused, well-organised, and prepared to deal with life daily and hand in their academic work on time. It may bring greater success, but it is a skill students must develop and exercise. In short, time management has various positive impacts on students that can lead them to academic and professional success.</w:t>
      </w:r>
    </w:p>
    <w:p w:rsidR="00FF556B" w:rsidRDefault="00603B98">
      <w:pPr>
        <w:rPr>
          <w:b/>
          <w:i/>
        </w:rPr>
      </w:pPr>
      <w:r>
        <w:rPr>
          <w:b/>
          <w:i/>
        </w:rPr>
        <w:t>2.1.2 Reflection on Structuring Studies with Time Management</w:t>
      </w:r>
    </w:p>
    <w:p w:rsidR="00FF556B" w:rsidRDefault="00603B98">
      <w:r>
        <w:lastRenderedPageBreak/>
        <w:t>My whole schedule is based on the academic study, personal study and extracurricular activities that I am usually interested in. I also have taken my pleasure times into this schedule and this is helping me to handle my health and hygiene as well. A brief discussion on my scheduling following time management is as follows –</w:t>
      </w:r>
    </w:p>
    <w:p w:rsidR="00FF556B" w:rsidRDefault="00603B98">
      <w:r>
        <w:t>My schedule is divided into some segments which helped me to maintain the schedule. The segments that I have made to manage the day is –</w:t>
      </w:r>
    </w:p>
    <w:tbl>
      <w:tblPr>
        <w:tblStyle w:val="a"/>
        <w:tblW w:w="9242" w:type="dxa"/>
        <w:tblInd w:w="-108" w:type="dxa"/>
        <w:tblBorders>
          <w:top w:val="single" w:sz="8" w:space="0" w:color="9BBB59"/>
          <w:left w:val="single" w:sz="8" w:space="0" w:color="9BBB59"/>
          <w:bottom w:val="single" w:sz="8" w:space="0" w:color="9BBB59"/>
          <w:right w:val="single" w:sz="8" w:space="0" w:color="9BBB59"/>
          <w:insideH w:val="single" w:sz="4" w:space="0" w:color="000000"/>
          <w:insideV w:val="single" w:sz="4" w:space="0" w:color="000000"/>
        </w:tblBorders>
        <w:tblLayout w:type="fixed"/>
        <w:tblLook w:val="04A0" w:firstRow="1" w:lastRow="0" w:firstColumn="1" w:lastColumn="0" w:noHBand="0" w:noVBand="1"/>
      </w:tblPr>
      <w:tblGrid>
        <w:gridCol w:w="7054"/>
        <w:gridCol w:w="2188"/>
      </w:tblGrid>
      <w:tr w:rsidR="00FF556B" w:rsidTr="00FF55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pPr>
              <w:jc w:val="center"/>
            </w:pPr>
            <w:r>
              <w:t>Segments</w:t>
            </w:r>
          </w:p>
        </w:tc>
        <w:tc>
          <w:tcPr>
            <w:tcW w:w="2188" w:type="dxa"/>
          </w:tcPr>
          <w:p w:rsidR="00FF556B" w:rsidRDefault="00603B98">
            <w:pPr>
              <w:jc w:val="center"/>
              <w:cnfStyle w:val="100000000000" w:firstRow="1" w:lastRow="0" w:firstColumn="0" w:lastColumn="0" w:oddVBand="0" w:evenVBand="0" w:oddHBand="0" w:evenHBand="0" w:firstRowFirstColumn="0" w:firstRowLastColumn="0" w:lastRowFirstColumn="0" w:lastRowLastColumn="0"/>
            </w:pPr>
            <w:r>
              <w:t>Allocated Time</w:t>
            </w:r>
          </w:p>
        </w:tc>
      </w:tr>
      <w:tr w:rsidR="00FF556B" w:rsidTr="00FF55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The first job of my day is to attain my classes.</w:t>
            </w:r>
          </w:p>
        </w:tc>
        <w:tc>
          <w:tcPr>
            <w:tcW w:w="2188" w:type="dxa"/>
            <w:vAlign w:val="center"/>
          </w:tcPr>
          <w:p w:rsidR="00FF556B" w:rsidRDefault="00603B98">
            <w:pPr>
              <w:jc w:val="center"/>
              <w:cnfStyle w:val="000000100000" w:firstRow="0" w:lastRow="0" w:firstColumn="0" w:lastColumn="0" w:oddVBand="0" w:evenVBand="0" w:oddHBand="1" w:evenHBand="0" w:firstRowFirstColumn="0" w:firstRowLastColumn="0" w:lastRowFirstColumn="0" w:lastRowLastColumn="0"/>
            </w:pPr>
            <w:r>
              <w:t>8 AM to 2 PM</w:t>
            </w:r>
          </w:p>
        </w:tc>
      </w:tr>
      <w:tr w:rsidR="00FF556B" w:rsidTr="00FF556B">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After getting back from school, I used to complete my homework.</w:t>
            </w:r>
          </w:p>
        </w:tc>
        <w:tc>
          <w:tcPr>
            <w:tcW w:w="2188" w:type="dxa"/>
            <w:vAlign w:val="center"/>
          </w:tcPr>
          <w:p w:rsidR="00FF556B" w:rsidRDefault="00603B98">
            <w:pPr>
              <w:jc w:val="center"/>
              <w:cnfStyle w:val="000000000000" w:firstRow="0" w:lastRow="0" w:firstColumn="0" w:lastColumn="0" w:oddVBand="0" w:evenVBand="0" w:oddHBand="0" w:evenHBand="0" w:firstRowFirstColumn="0" w:firstRowLastColumn="0" w:lastRowFirstColumn="0" w:lastRowLastColumn="0"/>
            </w:pPr>
            <w:r>
              <w:t>2 PM to 4 PM</w:t>
            </w:r>
          </w:p>
        </w:tc>
      </w:tr>
      <w:tr w:rsidR="00FF556B" w:rsidTr="00FF55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Next, I go for a small outing, sports or shopping for essentials.</w:t>
            </w:r>
          </w:p>
        </w:tc>
        <w:tc>
          <w:tcPr>
            <w:tcW w:w="2188" w:type="dxa"/>
            <w:vAlign w:val="center"/>
          </w:tcPr>
          <w:p w:rsidR="00FF556B" w:rsidRDefault="00603B98">
            <w:pPr>
              <w:jc w:val="center"/>
              <w:cnfStyle w:val="000000100000" w:firstRow="0" w:lastRow="0" w:firstColumn="0" w:lastColumn="0" w:oddVBand="0" w:evenVBand="0" w:oddHBand="1" w:evenHBand="0" w:firstRowFirstColumn="0" w:firstRowLastColumn="0" w:lastRowFirstColumn="0" w:lastRowLastColumn="0"/>
            </w:pPr>
            <w:r>
              <w:t>4 PM to 6 PM</w:t>
            </w:r>
          </w:p>
        </w:tc>
      </w:tr>
      <w:tr w:rsidR="00FF556B" w:rsidTr="00FF556B">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 xml:space="preserve">After that I take a bath and have some snacks while </w:t>
            </w:r>
            <w:r>
              <w:rPr>
                <w:b w:val="0"/>
              </w:rPr>
              <w:t>having</w:t>
            </w:r>
            <w:r>
              <w:rPr>
                <w:b w:val="0"/>
              </w:rPr>
              <w:t xml:space="preserve"> some </w:t>
            </w:r>
            <w:r>
              <w:rPr>
                <w:b w:val="0"/>
              </w:rPr>
              <w:t>fun</w:t>
            </w:r>
            <w:r>
              <w:rPr>
                <w:b w:val="0"/>
              </w:rPr>
              <w:t>.</w:t>
            </w:r>
          </w:p>
        </w:tc>
        <w:tc>
          <w:tcPr>
            <w:tcW w:w="2188" w:type="dxa"/>
            <w:vAlign w:val="center"/>
          </w:tcPr>
          <w:p w:rsidR="00FF556B" w:rsidRDefault="00603B98">
            <w:pPr>
              <w:jc w:val="center"/>
              <w:cnfStyle w:val="000000000000" w:firstRow="0" w:lastRow="0" w:firstColumn="0" w:lastColumn="0" w:oddVBand="0" w:evenVBand="0" w:oddHBand="0" w:evenHBand="0" w:firstRowFirstColumn="0" w:firstRowLastColumn="0" w:lastRowFirstColumn="0" w:lastRowLastColumn="0"/>
            </w:pPr>
            <w:r>
              <w:t>6 PM to 7 PM</w:t>
            </w:r>
          </w:p>
        </w:tc>
      </w:tr>
      <w:tr w:rsidR="00FF556B" w:rsidTr="00FF55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Next, complete my personal studies.</w:t>
            </w:r>
          </w:p>
        </w:tc>
        <w:tc>
          <w:tcPr>
            <w:tcW w:w="2188" w:type="dxa"/>
            <w:vAlign w:val="center"/>
          </w:tcPr>
          <w:p w:rsidR="00FF556B" w:rsidRDefault="00603B98">
            <w:pPr>
              <w:jc w:val="center"/>
              <w:cnfStyle w:val="000000100000" w:firstRow="0" w:lastRow="0" w:firstColumn="0" w:lastColumn="0" w:oddVBand="0" w:evenVBand="0" w:oddHBand="1" w:evenHBand="0" w:firstRowFirstColumn="0" w:firstRowLastColumn="0" w:lastRowFirstColumn="0" w:lastRowLastColumn="0"/>
            </w:pPr>
            <w:r>
              <w:t>7 PM to 9 PM</w:t>
            </w:r>
          </w:p>
        </w:tc>
      </w:tr>
      <w:tr w:rsidR="00FF556B" w:rsidTr="00FF556B">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 xml:space="preserve">After that, I used to play some music and spent </w:t>
            </w:r>
            <w:r>
              <w:rPr>
                <w:b w:val="0"/>
              </w:rPr>
              <w:t>time extracurricular</w:t>
            </w:r>
            <w:r>
              <w:rPr>
                <w:b w:val="0"/>
              </w:rPr>
              <w:t>.</w:t>
            </w:r>
          </w:p>
        </w:tc>
        <w:tc>
          <w:tcPr>
            <w:tcW w:w="2188" w:type="dxa"/>
            <w:vAlign w:val="center"/>
          </w:tcPr>
          <w:p w:rsidR="00FF556B" w:rsidRDefault="00603B98">
            <w:pPr>
              <w:jc w:val="center"/>
              <w:cnfStyle w:val="000000000000" w:firstRow="0" w:lastRow="0" w:firstColumn="0" w:lastColumn="0" w:oddVBand="0" w:evenVBand="0" w:oddHBand="0" w:evenHBand="0" w:firstRowFirstColumn="0" w:firstRowLastColumn="0" w:lastRowFirstColumn="0" w:lastRowLastColumn="0"/>
            </w:pPr>
            <w:r>
              <w:t>9 PM to 10 PM</w:t>
            </w:r>
          </w:p>
        </w:tc>
      </w:tr>
      <w:tr w:rsidR="00FF556B" w:rsidTr="00FF55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4" w:type="dxa"/>
          </w:tcPr>
          <w:p w:rsidR="00FF556B" w:rsidRDefault="00603B98">
            <w:r>
              <w:rPr>
                <w:b w:val="0"/>
              </w:rPr>
              <w:t>Next, have dinner.</w:t>
            </w:r>
          </w:p>
        </w:tc>
        <w:tc>
          <w:tcPr>
            <w:tcW w:w="2188" w:type="dxa"/>
            <w:vAlign w:val="center"/>
          </w:tcPr>
          <w:p w:rsidR="00FF556B" w:rsidRDefault="00603B98">
            <w:pPr>
              <w:jc w:val="center"/>
              <w:cnfStyle w:val="000000100000" w:firstRow="0" w:lastRow="0" w:firstColumn="0" w:lastColumn="0" w:oddVBand="0" w:evenVBand="0" w:oddHBand="1" w:evenHBand="0" w:firstRowFirstColumn="0" w:firstRowLastColumn="0" w:lastRowFirstColumn="0" w:lastRowLastColumn="0"/>
            </w:pPr>
            <w:r>
              <w:t>10 PM</w:t>
            </w:r>
          </w:p>
        </w:tc>
      </w:tr>
    </w:tbl>
    <w:p w:rsidR="00FF556B" w:rsidRDefault="00603B98">
      <w:pPr>
        <w:jc w:val="center"/>
        <w:rPr>
          <w:b/>
        </w:rPr>
      </w:pPr>
      <w:r>
        <w:rPr>
          <w:b/>
        </w:rPr>
        <w:t>Table 01: Personal Time Schedule</w:t>
      </w:r>
    </w:p>
    <w:p w:rsidR="00FF556B" w:rsidRDefault="00603B98">
      <w:pPr>
        <w:jc w:val="center"/>
        <w:rPr>
          <w:b/>
        </w:rPr>
      </w:pPr>
      <w:r>
        <w:rPr>
          <w:b/>
        </w:rPr>
        <w:t xml:space="preserve">(Source: </w:t>
      </w:r>
      <w:r>
        <w:t>Created by the Learner</w:t>
      </w:r>
      <w:r>
        <w:rPr>
          <w:b/>
        </w:rPr>
        <w:t>)</w:t>
      </w:r>
    </w:p>
    <w:p w:rsidR="00FF556B" w:rsidRDefault="00603B98">
      <w:pPr>
        <w:rPr>
          <w:b/>
          <w:i/>
        </w:rPr>
      </w:pPr>
      <w:r>
        <w:rPr>
          <w:b/>
          <w:i/>
        </w:rPr>
        <w:t>2.1.4 Priorities and Impacts of It on Time Management</w:t>
      </w:r>
    </w:p>
    <w:p w:rsidR="00FF556B" w:rsidRDefault="00603B98">
      <w:r>
        <w:t>Setting priorities is the key to efficient time management. People will divide their time according to the relative importance of the tasks at hand. The report of Cottrell (2010) has mentioned that setting priorities provides increased focus, reduced procrastination, and maximum exploitation of the available resources. Thus, it is only when a person knows what his priorities are and how to maintain them that he can ensure goals will be achieved and that the time will be used efficiently.</w:t>
      </w:r>
    </w:p>
    <w:p w:rsidR="00FF556B" w:rsidRDefault="00603B98">
      <w:pPr>
        <w:pStyle w:val="Heading2"/>
      </w:pPr>
      <w:bookmarkStart w:id="3" w:name="_heading=h.3znysh7" w:colFirst="0" w:colLast="0"/>
      <w:bookmarkEnd w:id="3"/>
      <w:r>
        <w:t>2.2 Academic Writing</w:t>
      </w:r>
    </w:p>
    <w:p w:rsidR="00FF556B" w:rsidRDefault="00603B98">
      <w:r>
        <w:t>In simple words, academic writing can be taken as the process to communicate with peers and mentors about academic studies in precise language and in written formats. Irvin (2010) has stated that every academic writing assignment serves as an exercise in evaluation, which students must do to demonstrate their level of understanding and mastery of such subject-specific thinking, interpreting, and presenting skills. Academic writing is not only writing a paper. Indeed, if a student is going to truly succeed i</w:t>
      </w:r>
      <w:r>
        <w:t xml:space="preserve">n that type of writing, it becomes </w:t>
      </w:r>
      <w:r>
        <w:lastRenderedPageBreak/>
        <w:t>paramount for them to know exactly what the professor expects of them in completion of that particular writing assignment.</w:t>
      </w:r>
    </w:p>
    <w:p w:rsidR="00FF556B" w:rsidRDefault="00603B98">
      <w:r>
        <w:t>As per the report of Gabi (2022), academic writing is a formal, clear written expression of one's own views or perspectives founded on evidence in regard to a specific topic, question, or subject. Additionally, it adheres to the disciplinary conventions and is clear, concise, objective, unbiased, comprehensive, and focused.</w:t>
      </w:r>
    </w:p>
    <w:p w:rsidR="00FF556B" w:rsidRDefault="00603B98">
      <w:r>
        <w:t>Taking the above discussions into account, this can be said that academic writing is the process to express personal views, perspectives and thoughts on a particular topic in written format. This is an important skill for students that leads to academic success expressing point-of-views of individuals. This is helpful to the students to interact with peers, teachers and mentors in a particular process that maintains ethical and respectful attire.</w:t>
      </w:r>
    </w:p>
    <w:p w:rsidR="00FF556B" w:rsidRDefault="00603B98">
      <w:pPr>
        <w:rPr>
          <w:b/>
          <w:i/>
        </w:rPr>
      </w:pPr>
      <w:r>
        <w:rPr>
          <w:b/>
          <w:i/>
        </w:rPr>
        <w:t>2.2.1 Importance of Academic Writing Skill</w:t>
      </w:r>
    </w:p>
    <w:p w:rsidR="00FF556B" w:rsidRDefault="00603B98">
      <w:r>
        <w:t xml:space="preserve">Authors have mentioned different factors that show the importance of academic writing for students. As seen from the report of Zhang </w:t>
      </w:r>
      <w:r>
        <w:rPr>
          <w:i/>
        </w:rPr>
        <w:t>et al.</w:t>
      </w:r>
      <w:r>
        <w:t xml:space="preserve"> (2014), academic writing proficiency is a true portrayal of being able to come up with a good essay that will capture the attention of the readers. Here a student does it so beautifully in text, promoting readers to be well-known authors in writing within their various professions. He uses this kind of language in text with the intention of having people jump about excited. These are, of course, the words that are valued by writers' cognitive domains to aid in coming up with quality essays and poems.</w:t>
      </w:r>
      <w:r>
        <w:t xml:space="preserve"> It is, therefore, the best sought for that the best writers and poets embark on an initiative of the top set of vocabularies and terminologies best to use in the writing.</w:t>
      </w:r>
    </w:p>
    <w:p w:rsidR="00FF556B" w:rsidRDefault="00603B98">
      <w:r>
        <w:t xml:space="preserve">Similarly, </w:t>
      </w:r>
      <w:proofErr w:type="spellStart"/>
      <w:r>
        <w:t>Yusupov</w:t>
      </w:r>
      <w:proofErr w:type="spellEnd"/>
      <w:r>
        <w:t xml:space="preserve"> </w:t>
      </w:r>
      <w:r>
        <w:rPr>
          <w:i/>
        </w:rPr>
        <w:t>et al.</w:t>
      </w:r>
      <w:r>
        <w:t xml:space="preserve"> (2021) has mentioned that academic writing helps employees to clearly express themselves and students in their academic pursuits. Good writing skills will help students in many ways, from improving grades to preparing one for the employment world. Academic writing will enable students to learn how to write formal and informal letters. Students will be able to design attractive resumes or curriculum vitae. Students who write can think critically, logically, and analytically.</w:t>
      </w:r>
    </w:p>
    <w:p w:rsidR="00FF556B" w:rsidRDefault="00603B98">
      <w:pPr>
        <w:spacing w:line="276" w:lineRule="auto"/>
        <w:jc w:val="left"/>
      </w:pPr>
      <w:r>
        <w:br w:type="page"/>
      </w:r>
    </w:p>
    <w:p w:rsidR="00FF556B" w:rsidRDefault="00603B98">
      <w:pPr>
        <w:pStyle w:val="Heading2"/>
      </w:pPr>
      <w:r>
        <w:t>2.3 Critical Thinking</w:t>
      </w:r>
    </w:p>
    <w:p w:rsidR="00FF556B" w:rsidRDefault="00603B98">
      <w:r>
        <w:t>Critical thinking is a disciplined process of active evaluation, analysis, and synthesis to develop reasoned judgments that are logically based upon relevant evidence, arguments, and a good understanding of the subject under consideration. This act involves questioning assumptions, identifying biases, and considering various perspectives before reaching any conclusion. On the other hand, critical thinking does not aim at the gaining of information but rather at developing abilities to use such information i</w:t>
      </w:r>
      <w:r>
        <w:t>n a reflective and purposeful way to achieve some end. Critical thinking is, according to Elder and Paul, (2020), "the art of analysing and evaluating thinking with a view to improving it."</w:t>
      </w:r>
    </w:p>
    <w:p w:rsidR="00FF556B" w:rsidRDefault="00603B98">
      <w:pPr>
        <w:rPr>
          <w:b/>
          <w:i/>
          <w:u w:val="single"/>
        </w:rPr>
      </w:pPr>
      <w:r>
        <w:rPr>
          <w:b/>
          <w:i/>
          <w:u w:val="single"/>
        </w:rPr>
        <w:t>2.3.1 Understanding Critical Thinking and Its Enhancement of Academic Work</w:t>
      </w:r>
    </w:p>
    <w:p w:rsidR="00FF556B" w:rsidRDefault="00603B98">
      <w:r>
        <w:t>Critical thinking is the underpinning of success in higher education, supporting the ability to engage thoroughly with content to develop subtlety and a deep understanding of issues. Applied to academic report writing, critical thinking significantly raises the quality of work, placing students beyond mere description or summary by ensuring sources are critically assessed, underlying assumptions identified, and arguments well-supported.</w:t>
      </w:r>
    </w:p>
    <w:p w:rsidR="00FF556B" w:rsidRDefault="00603B98">
      <w:r>
        <w:t xml:space="preserve">For example, a critical review of the literature would allow students to assess major strengths and weaknesses of studies and be in a better position to make useful comparisons and contrasts between the methodologies used, pointing out gaps in the research. This leads to much more comprehensive and insightful analysis—the kind that is called for when producing high-quality academic work. As </w:t>
      </w:r>
      <w:proofErr w:type="spellStart"/>
      <w:r>
        <w:t>Facione</w:t>
      </w:r>
      <w:proofErr w:type="spellEnd"/>
      <w:r>
        <w:t xml:space="preserve"> (2011) explains, critical thinking is an aspect of logic that can be of help in assessing the credibility of sources and the validity of arguments—two significant elements in the making of sound academic arguments.</w:t>
      </w:r>
    </w:p>
    <w:p w:rsidR="00FF556B" w:rsidRDefault="00603B98">
      <w:r>
        <w:t>More importantly, however, critical thinking allows for clarity and precision in writing. A student can critically look at his own work, picking out logical fallacies, ambiguous statements, or claims with no basis. For example, this allows further clarity and coherence in the argument and adds to a more persuasive academic report. Besides, critical thinking fosters evidentiary reasoning, which is the major dependence of an argument on relevant data, and leads to legitimate, powerful conclusions.</w:t>
      </w:r>
    </w:p>
    <w:p w:rsidR="00FF556B" w:rsidRDefault="00603B98">
      <w:r>
        <w:t>Critical thinking is a significant element of enhanced quality in any report writing. It requires a deep engagement with content, encouraging critical evaluation of sources and clarity and precision in writing. It gives rise to more insightful, better-reasoned, and more persuasive academic work. This forms the bedrock of success in academics and the production of quality reports that can pass scrutiny.</w:t>
      </w:r>
    </w:p>
    <w:p w:rsidR="00FF556B" w:rsidRDefault="00603B98">
      <w:pPr>
        <w:pStyle w:val="Heading1"/>
      </w:pPr>
      <w:r>
        <w:t xml:space="preserve">3.0 Conclusion </w:t>
      </w:r>
    </w:p>
    <w:p w:rsidR="00FF556B" w:rsidRDefault="00603B98">
      <w:r>
        <w:t>The development of time management, academic writing, and critical thinking as major academic skills definitely leads to success both academically and professionally. These skills provide for productivity and efficiency, deeper understanding, effectual communication, and logical reasoning. Students who have these competencies develop better academic achievement, time management skills, and high-quality work. Finally, these skills form the basis for lifelong learning and professional growth in the diverse ac</w:t>
      </w:r>
      <w:r>
        <w:t>ademic and career pursuits.</w:t>
      </w:r>
    </w:p>
    <w:p w:rsidR="00FF556B" w:rsidRDefault="00FF556B"/>
    <w:p w:rsidR="00FF556B" w:rsidRDefault="00FF556B"/>
    <w:p w:rsidR="00FF556B" w:rsidRDefault="00603B98">
      <w:pPr>
        <w:spacing w:line="276" w:lineRule="auto"/>
        <w:jc w:val="left"/>
      </w:pPr>
      <w:r>
        <w:br w:type="page"/>
      </w:r>
    </w:p>
    <w:p w:rsidR="00FF556B" w:rsidRDefault="00603B98">
      <w:pPr>
        <w:pStyle w:val="Heading1"/>
      </w:pPr>
      <w:bookmarkStart w:id="4" w:name="_heading=h.2et92p0" w:colFirst="0" w:colLast="0"/>
      <w:bookmarkEnd w:id="4"/>
      <w:r>
        <w:t>References</w:t>
      </w:r>
    </w:p>
    <w:p w:rsidR="00FF556B" w:rsidRDefault="00603B98">
      <w:pPr>
        <w:rPr>
          <w:color w:val="222222"/>
          <w:highlight w:val="white"/>
        </w:rPr>
      </w:pPr>
      <w:proofErr w:type="spellStart"/>
      <w:r>
        <w:rPr>
          <w:color w:val="222222"/>
          <w:highlight w:val="white"/>
        </w:rPr>
        <w:t>Alyami</w:t>
      </w:r>
      <w:proofErr w:type="spellEnd"/>
      <w:r>
        <w:rPr>
          <w:color w:val="222222"/>
          <w:highlight w:val="white"/>
        </w:rPr>
        <w:t xml:space="preserve">, A., </w:t>
      </w:r>
      <w:proofErr w:type="spellStart"/>
      <w:r>
        <w:rPr>
          <w:color w:val="222222"/>
          <w:highlight w:val="white"/>
        </w:rPr>
        <w:t>Abdulwahed</w:t>
      </w:r>
      <w:proofErr w:type="spellEnd"/>
      <w:r>
        <w:rPr>
          <w:color w:val="222222"/>
          <w:highlight w:val="white"/>
        </w:rPr>
        <w:t xml:space="preserve">, A., </w:t>
      </w:r>
      <w:proofErr w:type="spellStart"/>
      <w:r>
        <w:rPr>
          <w:color w:val="222222"/>
          <w:highlight w:val="white"/>
        </w:rPr>
        <w:t>Azhar</w:t>
      </w:r>
      <w:proofErr w:type="spellEnd"/>
      <w:r>
        <w:rPr>
          <w:color w:val="222222"/>
          <w:highlight w:val="white"/>
        </w:rPr>
        <w:t xml:space="preserve">, A., </w:t>
      </w:r>
      <w:proofErr w:type="spellStart"/>
      <w:r>
        <w:rPr>
          <w:color w:val="222222"/>
          <w:highlight w:val="white"/>
        </w:rPr>
        <w:t>Binsaddik</w:t>
      </w:r>
      <w:proofErr w:type="spellEnd"/>
      <w:r>
        <w:rPr>
          <w:color w:val="222222"/>
          <w:highlight w:val="white"/>
        </w:rPr>
        <w:t xml:space="preserve">, A. and </w:t>
      </w:r>
      <w:proofErr w:type="spellStart"/>
      <w:r>
        <w:rPr>
          <w:color w:val="222222"/>
          <w:highlight w:val="white"/>
        </w:rPr>
        <w:t>Bafaraj</w:t>
      </w:r>
      <w:proofErr w:type="spellEnd"/>
      <w:r>
        <w:rPr>
          <w:color w:val="222222"/>
          <w:highlight w:val="white"/>
        </w:rPr>
        <w:t>, S.M., (2021). Impact of time-management on the student’s academic performance: a cross-sectional study. </w:t>
      </w:r>
      <w:r>
        <w:rPr>
          <w:i/>
          <w:color w:val="222222"/>
          <w:highlight w:val="white"/>
        </w:rPr>
        <w:t>Creative Education</w:t>
      </w:r>
      <w:r>
        <w:rPr>
          <w:color w:val="222222"/>
          <w:highlight w:val="white"/>
        </w:rPr>
        <w:t>, </w:t>
      </w:r>
      <w:r>
        <w:rPr>
          <w:i/>
          <w:color w:val="222222"/>
          <w:highlight w:val="white"/>
        </w:rPr>
        <w:t>12</w:t>
      </w:r>
      <w:r>
        <w:rPr>
          <w:color w:val="222222"/>
          <w:highlight w:val="white"/>
        </w:rPr>
        <w:t>(3), pp.471-485.</w:t>
      </w:r>
    </w:p>
    <w:p w:rsidR="00FF556B" w:rsidRDefault="00603B98">
      <w:r>
        <w:t>Cottrell. (2010). Skills for success: the personal development planning handbook (2nd ed.). Palgrave Macmillan.</w:t>
      </w:r>
    </w:p>
    <w:p w:rsidR="00FF556B" w:rsidRDefault="00603B98">
      <w:r>
        <w:t>Cottrell. (2019). The study skills handbook (Fifth edition.). Macmillan Education UK.</w:t>
      </w:r>
    </w:p>
    <w:p w:rsidR="00FF556B" w:rsidRDefault="00603B98">
      <w:pPr>
        <w:rPr>
          <w:color w:val="222222"/>
          <w:highlight w:val="white"/>
        </w:rPr>
      </w:pPr>
      <w:r>
        <w:rPr>
          <w:color w:val="222222"/>
          <w:highlight w:val="white"/>
        </w:rPr>
        <w:t>Cyril, A.V., (2015). Time management and academic achievement of higher secondary students. </w:t>
      </w:r>
      <w:r>
        <w:rPr>
          <w:i/>
          <w:color w:val="222222"/>
          <w:highlight w:val="white"/>
        </w:rPr>
        <w:t>Journal on School Educational Technology</w:t>
      </w:r>
      <w:r>
        <w:rPr>
          <w:color w:val="222222"/>
          <w:highlight w:val="white"/>
        </w:rPr>
        <w:t>, </w:t>
      </w:r>
      <w:r>
        <w:rPr>
          <w:i/>
          <w:color w:val="222222"/>
          <w:highlight w:val="white"/>
        </w:rPr>
        <w:t>10</w:t>
      </w:r>
      <w:r>
        <w:rPr>
          <w:color w:val="222222"/>
          <w:highlight w:val="white"/>
        </w:rPr>
        <w:t>(3), pp.38-43.</w:t>
      </w:r>
    </w:p>
    <w:p w:rsidR="00FF556B" w:rsidRDefault="00603B98">
      <w:r>
        <w:t>Elder, L. and Paul, R., (2020). Critical thinking: Tools for taking charge of your learning and your life. Foundation for Critical Thinking.</w:t>
      </w:r>
    </w:p>
    <w:p w:rsidR="00FF556B" w:rsidRDefault="00603B98">
      <w:r>
        <w:t>Ennis, R.H., (1993). Critical thinking assessment. Theory into practice, 32(3), pp.179-186.</w:t>
      </w:r>
    </w:p>
    <w:p w:rsidR="00FF556B" w:rsidRDefault="00603B98">
      <w:proofErr w:type="spellStart"/>
      <w:r>
        <w:t>Facione</w:t>
      </w:r>
      <w:proofErr w:type="spellEnd"/>
      <w:r>
        <w:t>, P.A., 2011. Critical thinking: What it is and why it counts. Insight assessment, 1(1), pp.1-23.</w:t>
      </w:r>
    </w:p>
    <w:p w:rsidR="00FF556B" w:rsidRDefault="00603B98">
      <w:pPr>
        <w:rPr>
          <w:color w:val="222222"/>
          <w:highlight w:val="white"/>
        </w:rPr>
      </w:pPr>
      <w:r>
        <w:rPr>
          <w:color w:val="222222"/>
          <w:highlight w:val="white"/>
        </w:rPr>
        <w:t>Gabi, C., (2022). </w:t>
      </w:r>
      <w:r>
        <w:rPr>
          <w:i/>
          <w:color w:val="222222"/>
          <w:highlight w:val="white"/>
        </w:rPr>
        <w:t>Academic Writing</w:t>
      </w:r>
      <w:r>
        <w:rPr>
          <w:color w:val="222222"/>
          <w:highlight w:val="white"/>
        </w:rPr>
        <w:t xml:space="preserve">. </w:t>
      </w:r>
      <w:proofErr w:type="spellStart"/>
      <w:r>
        <w:rPr>
          <w:color w:val="222222"/>
          <w:highlight w:val="white"/>
        </w:rPr>
        <w:t>Altralogue</w:t>
      </w:r>
      <w:proofErr w:type="spellEnd"/>
      <w:r>
        <w:rPr>
          <w:color w:val="222222"/>
          <w:highlight w:val="white"/>
        </w:rPr>
        <w:t>.</w:t>
      </w:r>
    </w:p>
    <w:p w:rsidR="00FF556B" w:rsidRDefault="00603B98">
      <w:pPr>
        <w:rPr>
          <w:color w:val="222222"/>
          <w:highlight w:val="white"/>
        </w:rPr>
      </w:pPr>
      <w:proofErr w:type="spellStart"/>
      <w:r>
        <w:rPr>
          <w:color w:val="222222"/>
          <w:highlight w:val="white"/>
        </w:rPr>
        <w:t>Irikefe</w:t>
      </w:r>
      <w:proofErr w:type="spellEnd"/>
      <w:r>
        <w:rPr>
          <w:color w:val="222222"/>
          <w:highlight w:val="white"/>
        </w:rPr>
        <w:t>, O.P., (2018), October. Roles, Importance and Benefit of Time Management in achieving Organisational Objectives. In </w:t>
      </w:r>
      <w:r>
        <w:rPr>
          <w:i/>
          <w:color w:val="222222"/>
          <w:highlight w:val="white"/>
        </w:rPr>
        <w:t>Department of Accounting-1st Departmental Conference and Seminars Series N, October 2018</w:t>
      </w:r>
      <w:r>
        <w:rPr>
          <w:color w:val="222222"/>
          <w:highlight w:val="white"/>
        </w:rPr>
        <w:t> (pp. 35-43).</w:t>
      </w:r>
    </w:p>
    <w:p w:rsidR="00FF556B" w:rsidRDefault="00603B98">
      <w:pPr>
        <w:rPr>
          <w:color w:val="222222"/>
          <w:highlight w:val="white"/>
        </w:rPr>
      </w:pPr>
      <w:r>
        <w:rPr>
          <w:color w:val="222222"/>
          <w:highlight w:val="white"/>
        </w:rPr>
        <w:t>Irvin, L.L., (2010). What is academic writing. </w:t>
      </w:r>
      <w:r>
        <w:rPr>
          <w:i/>
          <w:color w:val="222222"/>
          <w:highlight w:val="white"/>
        </w:rPr>
        <w:t>Writing spaces: Readings on writing</w:t>
      </w:r>
      <w:r>
        <w:rPr>
          <w:color w:val="222222"/>
          <w:highlight w:val="white"/>
        </w:rPr>
        <w:t>, </w:t>
      </w:r>
      <w:r>
        <w:rPr>
          <w:i/>
          <w:color w:val="222222"/>
          <w:highlight w:val="white"/>
        </w:rPr>
        <w:t>1</w:t>
      </w:r>
      <w:r>
        <w:rPr>
          <w:color w:val="222222"/>
          <w:highlight w:val="white"/>
        </w:rPr>
        <w:t>, pp.3-17.</w:t>
      </w:r>
    </w:p>
    <w:p w:rsidR="00FF556B" w:rsidRDefault="00603B98">
      <w:proofErr w:type="spellStart"/>
      <w:r>
        <w:rPr>
          <w:color w:val="222222"/>
          <w:highlight w:val="white"/>
        </w:rPr>
        <w:t>Yusupov</w:t>
      </w:r>
      <w:proofErr w:type="spellEnd"/>
      <w:r>
        <w:rPr>
          <w:color w:val="222222"/>
          <w:highlight w:val="white"/>
        </w:rPr>
        <w:t xml:space="preserve">, O., </w:t>
      </w:r>
      <w:proofErr w:type="spellStart"/>
      <w:r>
        <w:rPr>
          <w:color w:val="222222"/>
          <w:highlight w:val="white"/>
        </w:rPr>
        <w:t>Abdazimov</w:t>
      </w:r>
      <w:proofErr w:type="spellEnd"/>
      <w:r>
        <w:rPr>
          <w:color w:val="222222"/>
          <w:highlight w:val="white"/>
        </w:rPr>
        <w:t xml:space="preserve">, A., </w:t>
      </w:r>
      <w:proofErr w:type="spellStart"/>
      <w:r>
        <w:rPr>
          <w:color w:val="222222"/>
          <w:highlight w:val="white"/>
        </w:rPr>
        <w:t>Muradov</w:t>
      </w:r>
      <w:proofErr w:type="spellEnd"/>
      <w:r>
        <w:rPr>
          <w:color w:val="222222"/>
          <w:highlight w:val="white"/>
        </w:rPr>
        <w:t xml:space="preserve">, U., </w:t>
      </w:r>
      <w:proofErr w:type="spellStart"/>
      <w:r>
        <w:rPr>
          <w:color w:val="222222"/>
          <w:highlight w:val="white"/>
        </w:rPr>
        <w:t>Kuchkeldiyeva</w:t>
      </w:r>
      <w:proofErr w:type="spellEnd"/>
      <w:r>
        <w:rPr>
          <w:color w:val="222222"/>
          <w:highlight w:val="white"/>
        </w:rPr>
        <w:t xml:space="preserve">, U. and </w:t>
      </w:r>
      <w:proofErr w:type="spellStart"/>
      <w:r>
        <w:rPr>
          <w:color w:val="222222"/>
          <w:highlight w:val="white"/>
        </w:rPr>
        <w:t>Mirkasimova</w:t>
      </w:r>
      <w:proofErr w:type="spellEnd"/>
      <w:r>
        <w:rPr>
          <w:color w:val="222222"/>
          <w:highlight w:val="white"/>
        </w:rPr>
        <w:t>, M., (2021). Improving writing skills using Communicative competence. </w:t>
      </w:r>
      <w:r>
        <w:rPr>
          <w:i/>
          <w:color w:val="222222"/>
          <w:highlight w:val="white"/>
        </w:rPr>
        <w:t>International Journal of World Languages</w:t>
      </w:r>
      <w:r>
        <w:rPr>
          <w:color w:val="222222"/>
          <w:highlight w:val="white"/>
        </w:rPr>
        <w:t>, </w:t>
      </w:r>
      <w:r>
        <w:rPr>
          <w:i/>
          <w:color w:val="222222"/>
          <w:highlight w:val="white"/>
        </w:rPr>
        <w:t>1</w:t>
      </w:r>
      <w:r>
        <w:rPr>
          <w:color w:val="222222"/>
          <w:highlight w:val="white"/>
        </w:rPr>
        <w:t>(2).</w:t>
      </w:r>
    </w:p>
    <w:p w:rsidR="00FF556B" w:rsidRDefault="00603B98">
      <w:pPr>
        <w:rPr>
          <w:color w:val="222222"/>
          <w:highlight w:val="white"/>
        </w:rPr>
      </w:pPr>
      <w:r>
        <w:rPr>
          <w:color w:val="222222"/>
          <w:highlight w:val="white"/>
        </w:rPr>
        <w:t>Zhang, L., Sheng, Y. and Li, L., (2014). Evaluating an academic writing course-based on an integrated model. </w:t>
      </w:r>
      <w:r>
        <w:rPr>
          <w:i/>
          <w:color w:val="222222"/>
          <w:highlight w:val="white"/>
        </w:rPr>
        <w:t>Journal of Asia TEFL</w:t>
      </w:r>
      <w:r>
        <w:rPr>
          <w:color w:val="222222"/>
          <w:highlight w:val="white"/>
        </w:rPr>
        <w:t>, </w:t>
      </w:r>
      <w:r>
        <w:rPr>
          <w:i/>
          <w:color w:val="222222"/>
          <w:highlight w:val="white"/>
        </w:rPr>
        <w:t>11</w:t>
      </w:r>
      <w:r>
        <w:rPr>
          <w:color w:val="222222"/>
          <w:highlight w:val="white"/>
        </w:rPr>
        <w:t>(1).</w:t>
      </w:r>
    </w:p>
    <w:p w:rsidR="00FF556B" w:rsidRDefault="00FF556B"/>
    <w:sectPr w:rsidR="00FF556B">
      <w:footerReference w:type="defaul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03B98" w:rsidRDefault="00603B98">
      <w:pPr>
        <w:spacing w:after="0" w:line="240" w:lineRule="auto"/>
      </w:pPr>
      <w:r>
        <w:separator/>
      </w:r>
    </w:p>
  </w:endnote>
  <w:endnote w:type="continuationSeparator" w:id="0">
    <w:p w:rsidR="00603B98" w:rsidRDefault="00603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F556B" w:rsidRDefault="00603B98">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F56972">
      <w:rPr>
        <w:noProof/>
        <w:color w:val="000000"/>
      </w:rPr>
      <w:t>2</w:t>
    </w:r>
    <w:r>
      <w:rPr>
        <w:color w:val="000000"/>
      </w:rPr>
      <w:fldChar w:fldCharType="end"/>
    </w:r>
    <w:r>
      <w:rPr>
        <w:color w:val="000000"/>
      </w:rPr>
      <w:t xml:space="preserve"> </w:t>
    </w:r>
  </w:p>
  <w:p w:rsidR="00FF556B" w:rsidRDefault="00FF556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03B98" w:rsidRDefault="00603B98">
      <w:pPr>
        <w:spacing w:after="0" w:line="240" w:lineRule="auto"/>
      </w:pPr>
      <w:r>
        <w:separator/>
      </w:r>
    </w:p>
  </w:footnote>
  <w:footnote w:type="continuationSeparator" w:id="0">
    <w:p w:rsidR="00603B98" w:rsidRDefault="00603B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556B"/>
    <w:rsid w:val="005D1ED7"/>
    <w:rsid w:val="00603B98"/>
    <w:rsid w:val="00A90075"/>
    <w:rsid w:val="00F56972"/>
    <w:rsid w:val="00FF5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18C3E1"/>
  <w15:docId w15:val="{4EF6163F-7BA1-434D-B3DF-38F72D92C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477"/>
  </w:style>
  <w:style w:type="paragraph" w:styleId="Heading1">
    <w:name w:val="heading 1"/>
    <w:basedOn w:val="Normal"/>
    <w:next w:val="Normal"/>
    <w:link w:val="Heading1Char"/>
    <w:uiPriority w:val="9"/>
    <w:qFormat/>
    <w:rsid w:val="00CA4477"/>
    <w:pPr>
      <w:keepNext/>
      <w:keepLines/>
      <w:spacing w:before="480" w:after="0"/>
      <w:outlineLvl w:val="0"/>
    </w:pPr>
    <w:rPr>
      <w:rFonts w:eastAsiaTheme="majorEastAsia" w:cstheme="majorBidi"/>
      <w:b/>
      <w:bCs/>
      <w:color w:val="4F81BD" w:themeColor="accent1"/>
      <w:sz w:val="32"/>
      <w:szCs w:val="35"/>
    </w:rPr>
  </w:style>
  <w:style w:type="paragraph" w:styleId="Heading2">
    <w:name w:val="heading 2"/>
    <w:basedOn w:val="Normal"/>
    <w:next w:val="Normal"/>
    <w:link w:val="Heading2Char"/>
    <w:uiPriority w:val="9"/>
    <w:unhideWhenUsed/>
    <w:qFormat/>
    <w:rsid w:val="00CA4477"/>
    <w:pPr>
      <w:keepNext/>
      <w:keepLines/>
      <w:spacing w:before="200" w:after="0"/>
      <w:outlineLvl w:val="1"/>
    </w:pPr>
    <w:rPr>
      <w:rFonts w:eastAsiaTheme="majorEastAsia" w:cstheme="majorBidi"/>
      <w:b/>
      <w:bCs/>
      <w:color w:val="76923C" w:themeColor="accent3" w:themeShade="BF"/>
      <w:sz w:val="28"/>
      <w:szCs w:val="33"/>
    </w:rPr>
  </w:style>
  <w:style w:type="paragraph" w:styleId="Heading3">
    <w:name w:val="heading 3"/>
    <w:basedOn w:val="Normal"/>
    <w:next w:val="Normal"/>
    <w:link w:val="Heading3Char"/>
    <w:uiPriority w:val="9"/>
    <w:semiHidden/>
    <w:unhideWhenUsed/>
    <w:qFormat/>
    <w:rsid w:val="009C7A5B"/>
    <w:pPr>
      <w:keepNext/>
      <w:keepLines/>
      <w:spacing w:before="40" w:after="0"/>
      <w:outlineLvl w:val="2"/>
    </w:pPr>
    <w:rPr>
      <w:rFonts w:asciiTheme="majorHAnsi" w:eastAsiaTheme="majorEastAsia" w:hAnsiTheme="majorHAnsi" w:cstheme="majorBidi"/>
      <w:color w:val="243F60" w:themeColor="accent1" w:themeShade="7F"/>
      <w:szCs w:val="3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1A8D"/>
    <w:pPr>
      <w:pBdr>
        <w:bottom w:val="single" w:sz="8" w:space="4" w:color="4F81BD" w:themeColor="accent1"/>
      </w:pBdr>
      <w:spacing w:after="300"/>
      <w:contextualSpacing/>
      <w:jc w:val="center"/>
    </w:pPr>
    <w:rPr>
      <w:rFonts w:eastAsiaTheme="majorEastAsia" w:cstheme="majorBidi"/>
      <w:b/>
      <w:spacing w:val="5"/>
      <w:kern w:val="28"/>
      <w:sz w:val="32"/>
      <w:szCs w:val="66"/>
    </w:rPr>
  </w:style>
  <w:style w:type="character" w:customStyle="1" w:styleId="Heading1Char">
    <w:name w:val="Heading 1 Char"/>
    <w:basedOn w:val="DefaultParagraphFont"/>
    <w:link w:val="Heading1"/>
    <w:uiPriority w:val="9"/>
    <w:rsid w:val="00CA4477"/>
    <w:rPr>
      <w:rFonts w:ascii="Times New Roman" w:eastAsiaTheme="majorEastAsia" w:hAnsi="Times New Roman" w:cstheme="majorBidi"/>
      <w:b/>
      <w:bCs/>
      <w:color w:val="4F81BD" w:themeColor="accent1"/>
      <w:sz w:val="32"/>
      <w:szCs w:val="35"/>
    </w:rPr>
  </w:style>
  <w:style w:type="character" w:customStyle="1" w:styleId="Heading2Char">
    <w:name w:val="Heading 2 Char"/>
    <w:basedOn w:val="DefaultParagraphFont"/>
    <w:link w:val="Heading2"/>
    <w:uiPriority w:val="9"/>
    <w:rsid w:val="00CA4477"/>
    <w:rPr>
      <w:rFonts w:ascii="Times New Roman" w:eastAsiaTheme="majorEastAsia" w:hAnsi="Times New Roman" w:cstheme="majorBidi"/>
      <w:b/>
      <w:bCs/>
      <w:color w:val="76923C" w:themeColor="accent3" w:themeShade="BF"/>
      <w:sz w:val="28"/>
      <w:szCs w:val="33"/>
    </w:rPr>
  </w:style>
  <w:style w:type="character" w:customStyle="1" w:styleId="TitleChar">
    <w:name w:val="Title Char"/>
    <w:basedOn w:val="DefaultParagraphFont"/>
    <w:link w:val="Title"/>
    <w:uiPriority w:val="10"/>
    <w:rsid w:val="00DA1A8D"/>
    <w:rPr>
      <w:rFonts w:ascii="Times New Roman" w:eastAsiaTheme="majorEastAsia" w:hAnsi="Times New Roman" w:cstheme="majorBidi"/>
      <w:b/>
      <w:spacing w:val="5"/>
      <w:kern w:val="28"/>
      <w:sz w:val="32"/>
      <w:szCs w:val="66"/>
    </w:rPr>
  </w:style>
  <w:style w:type="paragraph" w:styleId="ListParagraph">
    <w:name w:val="List Paragraph"/>
    <w:basedOn w:val="Normal"/>
    <w:uiPriority w:val="34"/>
    <w:qFormat/>
    <w:rsid w:val="000A4769"/>
    <w:pPr>
      <w:ind w:left="720"/>
      <w:contextualSpacing/>
    </w:pPr>
  </w:style>
  <w:style w:type="table" w:styleId="TableGrid">
    <w:name w:val="Table Grid"/>
    <w:basedOn w:val="TableNormal"/>
    <w:uiPriority w:val="59"/>
    <w:rsid w:val="005D349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3">
    <w:name w:val="Light List Accent 3"/>
    <w:basedOn w:val="TableNormal"/>
    <w:uiPriority w:val="61"/>
    <w:rsid w:val="00EE6871"/>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semiHidden/>
    <w:unhideWhenUsed/>
    <w:rsid w:val="003D53A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53A8"/>
    <w:rPr>
      <w:rFonts w:ascii="Times New Roman" w:hAnsi="Times New Roman"/>
      <w:sz w:val="24"/>
      <w:lang w:val="en-GB"/>
    </w:rPr>
  </w:style>
  <w:style w:type="paragraph" w:styleId="Footer">
    <w:name w:val="footer"/>
    <w:basedOn w:val="Normal"/>
    <w:link w:val="FooterChar"/>
    <w:uiPriority w:val="99"/>
    <w:unhideWhenUsed/>
    <w:rsid w:val="003D5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3A8"/>
    <w:rPr>
      <w:rFonts w:ascii="Times New Roman" w:hAnsi="Times New Roman"/>
      <w:sz w:val="24"/>
      <w:lang w:val="en-GB"/>
    </w:rPr>
  </w:style>
  <w:style w:type="paragraph" w:styleId="TOCHeading">
    <w:name w:val="TOC Heading"/>
    <w:basedOn w:val="Heading1"/>
    <w:next w:val="Normal"/>
    <w:uiPriority w:val="39"/>
    <w:semiHidden/>
    <w:unhideWhenUsed/>
    <w:qFormat/>
    <w:rsid w:val="003D53A8"/>
    <w:pPr>
      <w:spacing w:line="276" w:lineRule="auto"/>
      <w:jc w:val="left"/>
      <w:outlineLvl w:val="9"/>
    </w:pPr>
    <w:rPr>
      <w:rFonts w:asciiTheme="majorHAnsi" w:hAnsiTheme="majorHAnsi"/>
      <w:color w:val="365F91" w:themeColor="accent1" w:themeShade="BF"/>
      <w:sz w:val="28"/>
      <w:szCs w:val="28"/>
      <w:lang w:val="en-US"/>
    </w:rPr>
  </w:style>
  <w:style w:type="paragraph" w:styleId="TOC1">
    <w:name w:val="toc 1"/>
    <w:basedOn w:val="Normal"/>
    <w:next w:val="Normal"/>
    <w:autoRedefine/>
    <w:uiPriority w:val="39"/>
    <w:unhideWhenUsed/>
    <w:rsid w:val="003D53A8"/>
    <w:pPr>
      <w:spacing w:after="100"/>
    </w:pPr>
  </w:style>
  <w:style w:type="paragraph" w:styleId="TOC2">
    <w:name w:val="toc 2"/>
    <w:basedOn w:val="Normal"/>
    <w:next w:val="Normal"/>
    <w:autoRedefine/>
    <w:uiPriority w:val="39"/>
    <w:unhideWhenUsed/>
    <w:rsid w:val="003D53A8"/>
    <w:pPr>
      <w:spacing w:after="100"/>
      <w:ind w:left="240"/>
    </w:pPr>
  </w:style>
  <w:style w:type="character" w:styleId="Hyperlink">
    <w:name w:val="Hyperlink"/>
    <w:basedOn w:val="DefaultParagraphFont"/>
    <w:uiPriority w:val="99"/>
    <w:unhideWhenUsed/>
    <w:rsid w:val="003D53A8"/>
    <w:rPr>
      <w:color w:val="0000FF" w:themeColor="hyperlink"/>
      <w:u w:val="single"/>
    </w:rPr>
  </w:style>
  <w:style w:type="paragraph" w:styleId="BalloonText">
    <w:name w:val="Balloon Text"/>
    <w:basedOn w:val="Normal"/>
    <w:link w:val="BalloonTextChar"/>
    <w:uiPriority w:val="99"/>
    <w:semiHidden/>
    <w:unhideWhenUsed/>
    <w:rsid w:val="003D53A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D53A8"/>
    <w:rPr>
      <w:rFonts w:ascii="Tahoma" w:hAnsi="Tahoma" w:cs="Tahoma"/>
      <w:sz w:val="16"/>
      <w:szCs w:val="20"/>
      <w:lang w:val="en-GB"/>
    </w:rPr>
  </w:style>
  <w:style w:type="character" w:customStyle="1" w:styleId="Heading3Char">
    <w:name w:val="Heading 3 Char"/>
    <w:basedOn w:val="DefaultParagraphFont"/>
    <w:link w:val="Heading3"/>
    <w:uiPriority w:val="9"/>
    <w:rsid w:val="009C7A5B"/>
    <w:rPr>
      <w:rFonts w:asciiTheme="majorHAnsi" w:eastAsiaTheme="majorEastAsia" w:hAnsiTheme="majorHAnsi" w:cstheme="majorBidi"/>
      <w:color w:val="243F60" w:themeColor="accent1" w:themeShade="7F"/>
      <w:sz w:val="24"/>
      <w:szCs w:val="30"/>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pPr>
        <w:spacing w:before="0" w:after="0" w:line="240" w:lineRule="auto"/>
      </w:pPr>
      <w:rPr>
        <w:b/>
        <w:color w:val="FFFFFF"/>
      </w:rPr>
      <w:tblPr/>
      <w:tcPr>
        <w:shd w:val="clear" w:color="auto" w:fill="9BBB59"/>
      </w:tcPr>
    </w:tblStylePr>
    <w:tblStylePr w:type="lastRow">
      <w:pPr>
        <w:spacing w:before="0" w:after="0" w:line="240" w:lineRule="auto"/>
      </w:pPr>
      <w:rPr>
        <w:b/>
      </w:rPr>
      <w:tblPr/>
      <w:tcPr>
        <w:tcBorders>
          <w:top w:val="single" w:sz="6" w:space="0" w:color="9BBB59"/>
          <w:left w:val="single" w:sz="8" w:space="0" w:color="9BBB59"/>
          <w:bottom w:val="single" w:sz="8" w:space="0" w:color="9BBB59"/>
          <w:right w:val="single" w:sz="8" w:space="0" w:color="9BBB59"/>
        </w:tcBorders>
      </w:tcPr>
    </w:tblStylePr>
    <w:tblStylePr w:type="firstCol">
      <w:rPr>
        <w:b/>
      </w:rPr>
    </w:tblStylePr>
    <w:tblStylePr w:type="lastCol">
      <w:rPr>
        <w:b/>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CwrLGlonIe6YzlFYZ3C6ImBU9w==">CgMxLjAyCGguZ2pkZ3hzMgloLjMwajB6bGwyCWguMWZvYjl0ZTIJaC4zem55c2g3MgloLjJldDkycDA4AHIhMVN0VDhOdnVyeXZNeU5jRS13S1pRTVVjRjBuTVVuaU42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1804</Words>
  <Characters>10283</Characters>
  <Application>Microsoft Office Word</Application>
  <DocSecurity>0</DocSecurity>
  <Lines>85</Lines>
  <Paragraphs>24</Paragraphs>
  <ScaleCrop>false</ScaleCrop>
  <Company/>
  <LinksUpToDate>false</LinksUpToDate>
  <CharactersWithSpaces>12063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DenisAKAdenz </cp:lastModifiedBy>
  <cp:revision>2</cp:revision>
  <dcterms:created xsi:type="dcterms:W3CDTF">2024-08-27T09:16:00Z</dcterms:created>
  <dcterms:modified xsi:type="dcterms:W3CDTF">2024-08-27T09:16:00Z</dcterms:modified>
</cp:coreProperties>
</file>