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E036C" w:rsidRDefault="000A0804" w:rsidP="00632D24">
      <w:pPr>
        <w:spacing w:line="480" w:lineRule="auto"/>
        <w:rPr>
          <w:sz w:val="24"/>
          <w:szCs w:val="24"/>
        </w:rPr>
      </w:pPr>
      <w:r>
        <w:rPr>
          <w:sz w:val="24"/>
          <w:szCs w:val="24"/>
        </w:rPr>
        <w:t>It is important to critique and review other peoples work to make a judgement on the strengths and weaknesses or overall value of a study. The word critical may sound like a negative fault finding way</w:t>
      </w:r>
      <w:r w:rsidR="00DF2B64">
        <w:rPr>
          <w:sz w:val="24"/>
          <w:szCs w:val="24"/>
        </w:rPr>
        <w:t>,</w:t>
      </w:r>
      <w:r>
        <w:rPr>
          <w:sz w:val="24"/>
          <w:szCs w:val="24"/>
        </w:rPr>
        <w:t xml:space="preserve"> however the research should be read an assessed carefully to find the objectives</w:t>
      </w:r>
      <w:r w:rsidR="00DF2B64">
        <w:rPr>
          <w:sz w:val="24"/>
          <w:szCs w:val="24"/>
        </w:rPr>
        <w:t>. Clear knowledge and understanding of the research process is needed in order to provided a critical evaluation (Walsh and Wigens, 2003, P. 58).</w:t>
      </w:r>
    </w:p>
    <w:p w:rsidR="00EB1379" w:rsidRDefault="00BF03EB" w:rsidP="00632D24">
      <w:pPr>
        <w:spacing w:line="480" w:lineRule="auto"/>
        <w:rPr>
          <w:sz w:val="24"/>
          <w:szCs w:val="24"/>
        </w:rPr>
      </w:pPr>
      <w:r>
        <w:rPr>
          <w:sz w:val="24"/>
          <w:szCs w:val="24"/>
        </w:rPr>
        <w:t>As described by Brink and Walt (2006) t</w:t>
      </w:r>
      <w:r w:rsidR="00EB1379">
        <w:rPr>
          <w:sz w:val="24"/>
          <w:szCs w:val="24"/>
        </w:rPr>
        <w:t>he process of evaluating</w:t>
      </w:r>
      <w:r w:rsidR="00D119DF">
        <w:rPr>
          <w:sz w:val="24"/>
          <w:szCs w:val="24"/>
        </w:rPr>
        <w:t xml:space="preserve"> a research report requires breaking down and examining the report to identify possible aspects of the study and use positive terms where possible and consider the report in a balanced way.</w:t>
      </w:r>
    </w:p>
    <w:p w:rsidR="006547CC" w:rsidRDefault="002B34E2" w:rsidP="00632D24">
      <w:pPr>
        <w:spacing w:line="480" w:lineRule="auto"/>
        <w:rPr>
          <w:sz w:val="24"/>
          <w:szCs w:val="24"/>
        </w:rPr>
      </w:pPr>
      <w:r>
        <w:rPr>
          <w:sz w:val="24"/>
          <w:szCs w:val="24"/>
        </w:rPr>
        <w:t xml:space="preserve">A title must be </w:t>
      </w:r>
      <w:r w:rsidR="00440BEE">
        <w:rPr>
          <w:sz w:val="24"/>
          <w:szCs w:val="24"/>
        </w:rPr>
        <w:t>contain</w:t>
      </w:r>
      <w:r>
        <w:rPr>
          <w:sz w:val="24"/>
          <w:szCs w:val="24"/>
        </w:rPr>
        <w:t>ed within a research paper. Titles consists of</w:t>
      </w:r>
      <w:r w:rsidR="00440BEE">
        <w:rPr>
          <w:sz w:val="24"/>
          <w:szCs w:val="24"/>
        </w:rPr>
        <w:t xml:space="preserve"> around ten to fifteen words</w:t>
      </w:r>
      <w:r w:rsidR="00440BEE">
        <w:rPr>
          <w:b/>
          <w:sz w:val="24"/>
          <w:szCs w:val="24"/>
        </w:rPr>
        <w:t xml:space="preserve"> </w:t>
      </w:r>
      <w:r w:rsidR="00440BEE">
        <w:rPr>
          <w:sz w:val="24"/>
          <w:szCs w:val="24"/>
        </w:rPr>
        <w:t xml:space="preserve">with </w:t>
      </w:r>
      <w:r w:rsidR="00B1039F">
        <w:rPr>
          <w:sz w:val="24"/>
          <w:szCs w:val="24"/>
        </w:rPr>
        <w:t>a description of what the paper is about</w:t>
      </w:r>
      <w:r w:rsidR="00440BEE">
        <w:rPr>
          <w:sz w:val="24"/>
          <w:szCs w:val="24"/>
        </w:rPr>
        <w:t xml:space="preserve"> so readers can decide whether or not to read it. If a title is overly brief this may make it difficult for readers to decide if the study is related closely enough to their needs and interests. It is important to use meaningful words</w:t>
      </w:r>
      <w:r w:rsidR="00A135D3">
        <w:rPr>
          <w:sz w:val="24"/>
          <w:szCs w:val="24"/>
        </w:rPr>
        <w:t xml:space="preserve"> as this will bring an interest to the reader and jargon must be avoided to ensure clarity (Berg, K.E. and Latin, R.W, 2008, P.</w:t>
      </w:r>
      <w:r w:rsidR="00030720">
        <w:rPr>
          <w:sz w:val="24"/>
          <w:szCs w:val="24"/>
        </w:rPr>
        <w:t xml:space="preserve"> </w:t>
      </w:r>
      <w:r w:rsidR="00A135D3">
        <w:rPr>
          <w:sz w:val="24"/>
          <w:szCs w:val="24"/>
        </w:rPr>
        <w:t>37).</w:t>
      </w:r>
    </w:p>
    <w:p w:rsidR="005C059D" w:rsidRDefault="003D731E" w:rsidP="00632D24">
      <w:pPr>
        <w:spacing w:line="480" w:lineRule="auto"/>
        <w:rPr>
          <w:sz w:val="24"/>
          <w:szCs w:val="24"/>
        </w:rPr>
      </w:pPr>
      <w:r>
        <w:rPr>
          <w:sz w:val="24"/>
          <w:szCs w:val="24"/>
        </w:rPr>
        <w:t xml:space="preserve">Davies et al </w:t>
      </w:r>
      <w:r w:rsidR="00885EC1">
        <w:rPr>
          <w:sz w:val="24"/>
          <w:szCs w:val="24"/>
        </w:rPr>
        <w:t>(</w:t>
      </w:r>
      <w:r>
        <w:rPr>
          <w:sz w:val="24"/>
          <w:szCs w:val="24"/>
        </w:rPr>
        <w:t>201</w:t>
      </w:r>
      <w:r w:rsidR="00F37585">
        <w:rPr>
          <w:sz w:val="24"/>
          <w:szCs w:val="24"/>
        </w:rPr>
        <w:t>4</w:t>
      </w:r>
      <w:r w:rsidR="00885EC1">
        <w:rPr>
          <w:sz w:val="24"/>
          <w:szCs w:val="24"/>
        </w:rPr>
        <w:t>)</w:t>
      </w:r>
      <w:r w:rsidR="005C059D">
        <w:rPr>
          <w:sz w:val="24"/>
          <w:szCs w:val="24"/>
        </w:rPr>
        <w:t xml:space="preserve"> research paper consists of </w:t>
      </w:r>
      <w:r>
        <w:rPr>
          <w:sz w:val="24"/>
          <w:szCs w:val="24"/>
        </w:rPr>
        <w:t>twenty one words. It is a catchy title and can bring peoples attention as by reading the title it gives an idea of what the research is about and states that it is a qualitative study</w:t>
      </w:r>
      <w:r w:rsidR="004F35BB">
        <w:rPr>
          <w:sz w:val="24"/>
          <w:szCs w:val="24"/>
        </w:rPr>
        <w:t>.</w:t>
      </w:r>
    </w:p>
    <w:p w:rsidR="004F35BB" w:rsidRDefault="004F35BB" w:rsidP="00632D24">
      <w:pPr>
        <w:spacing w:line="480" w:lineRule="auto"/>
        <w:rPr>
          <w:sz w:val="24"/>
          <w:szCs w:val="24"/>
        </w:rPr>
      </w:pPr>
      <w:r>
        <w:rPr>
          <w:sz w:val="24"/>
          <w:szCs w:val="24"/>
        </w:rPr>
        <w:t>The study is about</w:t>
      </w:r>
      <w:r w:rsidR="002B34E2">
        <w:rPr>
          <w:sz w:val="24"/>
          <w:szCs w:val="24"/>
        </w:rPr>
        <w:t xml:space="preserve"> approaches to palliative care for</w:t>
      </w:r>
      <w:r>
        <w:rPr>
          <w:sz w:val="24"/>
          <w:szCs w:val="24"/>
        </w:rPr>
        <w:t xml:space="preserve"> people with dementia who do not receive or have access to </w:t>
      </w:r>
      <w:r w:rsidR="002B34E2">
        <w:rPr>
          <w:sz w:val="24"/>
          <w:szCs w:val="24"/>
        </w:rPr>
        <w:t xml:space="preserve">these </w:t>
      </w:r>
      <w:r>
        <w:rPr>
          <w:sz w:val="24"/>
          <w:szCs w:val="24"/>
        </w:rPr>
        <w:t>services.</w:t>
      </w:r>
      <w:r w:rsidR="002B34E2">
        <w:rPr>
          <w:sz w:val="24"/>
          <w:szCs w:val="24"/>
        </w:rPr>
        <w:t xml:space="preserve"> Palliative care was originally developed for people with cancer</w:t>
      </w:r>
      <w:r w:rsidR="00F70070">
        <w:rPr>
          <w:sz w:val="24"/>
          <w:szCs w:val="24"/>
        </w:rPr>
        <w:t>. Palliative care is an approach that improves the quality of life of patients and their families facing problems associated with life-threatening illnesses.</w:t>
      </w:r>
      <w:r w:rsidR="002B34E2">
        <w:rPr>
          <w:sz w:val="24"/>
          <w:szCs w:val="24"/>
        </w:rPr>
        <w:t xml:space="preserve"> </w:t>
      </w:r>
      <w:r w:rsidR="00F70070">
        <w:rPr>
          <w:sz w:val="24"/>
          <w:szCs w:val="24"/>
        </w:rPr>
        <w:t>T</w:t>
      </w:r>
      <w:r w:rsidR="002B34E2">
        <w:rPr>
          <w:sz w:val="24"/>
          <w:szCs w:val="24"/>
        </w:rPr>
        <w:t xml:space="preserve">he study </w:t>
      </w:r>
      <w:r>
        <w:rPr>
          <w:sz w:val="24"/>
          <w:szCs w:val="24"/>
        </w:rPr>
        <w:t>look</w:t>
      </w:r>
      <w:r w:rsidR="00346B85">
        <w:rPr>
          <w:sz w:val="24"/>
          <w:szCs w:val="24"/>
        </w:rPr>
        <w:t>s</w:t>
      </w:r>
      <w:r>
        <w:rPr>
          <w:sz w:val="24"/>
          <w:szCs w:val="24"/>
        </w:rPr>
        <w:t xml:space="preserve"> at dementia training needs for palliative care professionals and palliative care training for dementia professionals. There were reports of poor quality care for people with dementia </w:t>
      </w:r>
      <w:r>
        <w:rPr>
          <w:sz w:val="24"/>
          <w:szCs w:val="24"/>
        </w:rPr>
        <w:lastRenderedPageBreak/>
        <w:t>at the end of life care. The purpose of the study was to explore perceived barriers</w:t>
      </w:r>
      <w:r w:rsidR="009919CC">
        <w:rPr>
          <w:sz w:val="24"/>
          <w:szCs w:val="24"/>
        </w:rPr>
        <w:t xml:space="preserve"> to the delivery of high quality palliative care </w:t>
      </w:r>
      <w:r w:rsidR="003615B3">
        <w:rPr>
          <w:sz w:val="24"/>
          <w:szCs w:val="24"/>
        </w:rPr>
        <w:t>for</w:t>
      </w:r>
      <w:r w:rsidR="009919CC">
        <w:rPr>
          <w:sz w:val="24"/>
          <w:szCs w:val="24"/>
        </w:rPr>
        <w:t xml:space="preserve"> people with dementia.</w:t>
      </w:r>
      <w:r w:rsidR="002B34E2">
        <w:rPr>
          <w:sz w:val="24"/>
          <w:szCs w:val="24"/>
        </w:rPr>
        <w:t xml:space="preserve"> The </w:t>
      </w:r>
      <w:r w:rsidR="00DD6E83">
        <w:rPr>
          <w:sz w:val="24"/>
          <w:szCs w:val="24"/>
        </w:rPr>
        <w:t>research looks into providing palliative care for dementia sufferers after carrying out interviews with health professionals</w:t>
      </w:r>
      <w:r w:rsidR="009041FA">
        <w:rPr>
          <w:sz w:val="24"/>
          <w:szCs w:val="24"/>
        </w:rPr>
        <w:t xml:space="preserve"> (Davies et al, 201</w:t>
      </w:r>
      <w:r w:rsidR="00F37585">
        <w:rPr>
          <w:sz w:val="24"/>
          <w:szCs w:val="24"/>
        </w:rPr>
        <w:t>4</w:t>
      </w:r>
      <w:r w:rsidR="009041FA">
        <w:rPr>
          <w:sz w:val="24"/>
          <w:szCs w:val="24"/>
        </w:rPr>
        <w:t>, p.</w:t>
      </w:r>
      <w:r w:rsidR="00030720">
        <w:rPr>
          <w:sz w:val="24"/>
          <w:szCs w:val="24"/>
        </w:rPr>
        <w:t xml:space="preserve"> </w:t>
      </w:r>
      <w:r w:rsidR="009041FA">
        <w:rPr>
          <w:sz w:val="24"/>
          <w:szCs w:val="24"/>
        </w:rPr>
        <w:t>386).</w:t>
      </w:r>
    </w:p>
    <w:p w:rsidR="009919CC" w:rsidRDefault="009919CC" w:rsidP="00632D24">
      <w:pPr>
        <w:spacing w:line="480" w:lineRule="auto"/>
        <w:rPr>
          <w:sz w:val="24"/>
          <w:szCs w:val="24"/>
        </w:rPr>
      </w:pPr>
      <w:r>
        <w:rPr>
          <w:sz w:val="24"/>
          <w:szCs w:val="24"/>
        </w:rPr>
        <w:t>The study was carried out by</w:t>
      </w:r>
      <w:r w:rsidR="003615B3">
        <w:rPr>
          <w:sz w:val="24"/>
          <w:szCs w:val="24"/>
        </w:rPr>
        <w:t xml:space="preserve"> six researchers</w:t>
      </w:r>
      <w:r w:rsidR="00DD6E83">
        <w:rPr>
          <w:sz w:val="24"/>
          <w:szCs w:val="24"/>
        </w:rPr>
        <w:t>,</w:t>
      </w:r>
      <w:r w:rsidR="003615B3">
        <w:rPr>
          <w:sz w:val="24"/>
          <w:szCs w:val="24"/>
        </w:rPr>
        <w:t xml:space="preserve"> they are:</w:t>
      </w:r>
      <w:r>
        <w:rPr>
          <w:sz w:val="24"/>
          <w:szCs w:val="24"/>
        </w:rPr>
        <w:t xml:space="preserve"> Nathan Davies, Laura </w:t>
      </w:r>
      <w:proofErr w:type="spellStart"/>
      <w:r>
        <w:rPr>
          <w:sz w:val="24"/>
          <w:szCs w:val="24"/>
        </w:rPr>
        <w:t>Maio</w:t>
      </w:r>
      <w:proofErr w:type="spellEnd"/>
      <w:r>
        <w:rPr>
          <w:sz w:val="24"/>
          <w:szCs w:val="24"/>
        </w:rPr>
        <w:t xml:space="preserve">, </w:t>
      </w:r>
      <w:proofErr w:type="spellStart"/>
      <w:r>
        <w:rPr>
          <w:sz w:val="24"/>
          <w:szCs w:val="24"/>
        </w:rPr>
        <w:t>Krish</w:t>
      </w:r>
      <w:proofErr w:type="spellEnd"/>
      <w:r>
        <w:rPr>
          <w:sz w:val="24"/>
          <w:szCs w:val="24"/>
        </w:rPr>
        <w:t xml:space="preserve"> </w:t>
      </w:r>
      <w:proofErr w:type="spellStart"/>
      <w:r>
        <w:rPr>
          <w:sz w:val="24"/>
          <w:szCs w:val="24"/>
        </w:rPr>
        <w:t>Vedavanam</w:t>
      </w:r>
      <w:proofErr w:type="spellEnd"/>
      <w:r>
        <w:rPr>
          <w:sz w:val="24"/>
          <w:szCs w:val="24"/>
        </w:rPr>
        <w:t xml:space="preserve">, Jill </w:t>
      </w:r>
      <w:proofErr w:type="spellStart"/>
      <w:r>
        <w:rPr>
          <w:sz w:val="24"/>
          <w:szCs w:val="24"/>
        </w:rPr>
        <w:t>Manthorpe</w:t>
      </w:r>
      <w:proofErr w:type="spellEnd"/>
      <w:r>
        <w:rPr>
          <w:sz w:val="24"/>
          <w:szCs w:val="24"/>
        </w:rPr>
        <w:t xml:space="preserve">, </w:t>
      </w:r>
      <w:proofErr w:type="spellStart"/>
      <w:r>
        <w:rPr>
          <w:sz w:val="24"/>
          <w:szCs w:val="24"/>
        </w:rPr>
        <w:t>Myrra</w:t>
      </w:r>
      <w:proofErr w:type="spellEnd"/>
      <w:r>
        <w:rPr>
          <w:sz w:val="24"/>
          <w:szCs w:val="24"/>
        </w:rPr>
        <w:t xml:space="preserve"> </w:t>
      </w:r>
      <w:proofErr w:type="spellStart"/>
      <w:r>
        <w:rPr>
          <w:sz w:val="24"/>
          <w:szCs w:val="24"/>
        </w:rPr>
        <w:t>Vernooij</w:t>
      </w:r>
      <w:proofErr w:type="spellEnd"/>
      <w:r>
        <w:rPr>
          <w:sz w:val="24"/>
          <w:szCs w:val="24"/>
        </w:rPr>
        <w:t xml:space="preserve"> </w:t>
      </w:r>
      <w:r w:rsidR="003615B3">
        <w:rPr>
          <w:sz w:val="24"/>
          <w:szCs w:val="24"/>
        </w:rPr>
        <w:t>–</w:t>
      </w:r>
      <w:r>
        <w:rPr>
          <w:sz w:val="24"/>
          <w:szCs w:val="24"/>
        </w:rPr>
        <w:t xml:space="preserve"> </w:t>
      </w:r>
      <w:proofErr w:type="spellStart"/>
      <w:r>
        <w:rPr>
          <w:sz w:val="24"/>
          <w:szCs w:val="24"/>
        </w:rPr>
        <w:t>Dassen</w:t>
      </w:r>
      <w:proofErr w:type="spellEnd"/>
      <w:r w:rsidR="003615B3">
        <w:rPr>
          <w:sz w:val="24"/>
          <w:szCs w:val="24"/>
        </w:rPr>
        <w:t xml:space="preserve"> and Steve </w:t>
      </w:r>
      <w:proofErr w:type="spellStart"/>
      <w:r w:rsidR="003615B3">
        <w:rPr>
          <w:sz w:val="24"/>
          <w:szCs w:val="24"/>
        </w:rPr>
        <w:t>LLiffe</w:t>
      </w:r>
      <w:proofErr w:type="spellEnd"/>
      <w:r w:rsidR="003615B3">
        <w:rPr>
          <w:sz w:val="24"/>
          <w:szCs w:val="24"/>
        </w:rPr>
        <w:t>.</w:t>
      </w:r>
    </w:p>
    <w:p w:rsidR="003615B3" w:rsidRDefault="003615B3" w:rsidP="00632D24">
      <w:pPr>
        <w:spacing w:line="480" w:lineRule="auto"/>
        <w:rPr>
          <w:sz w:val="24"/>
          <w:szCs w:val="24"/>
        </w:rPr>
      </w:pPr>
      <w:r>
        <w:rPr>
          <w:sz w:val="24"/>
          <w:szCs w:val="24"/>
        </w:rPr>
        <w:t>From reviewing the biographical notes</w:t>
      </w:r>
      <w:r w:rsidR="00B31204">
        <w:rPr>
          <w:sz w:val="24"/>
          <w:szCs w:val="24"/>
        </w:rPr>
        <w:t xml:space="preserve"> of each researcher and</w:t>
      </w:r>
      <w:r w:rsidR="00C14168">
        <w:rPr>
          <w:sz w:val="24"/>
          <w:szCs w:val="24"/>
        </w:rPr>
        <w:t xml:space="preserve"> reviewing their profile</w:t>
      </w:r>
      <w:r>
        <w:rPr>
          <w:sz w:val="24"/>
          <w:szCs w:val="24"/>
        </w:rPr>
        <w:t xml:space="preserve"> within the University websites</w:t>
      </w:r>
      <w:r w:rsidR="00B31204">
        <w:rPr>
          <w:sz w:val="24"/>
          <w:szCs w:val="24"/>
        </w:rPr>
        <w:t xml:space="preserve"> it can be presumed that</w:t>
      </w:r>
      <w:r>
        <w:rPr>
          <w:sz w:val="24"/>
          <w:szCs w:val="24"/>
        </w:rPr>
        <w:t xml:space="preserve"> </w:t>
      </w:r>
      <w:r w:rsidR="00966538">
        <w:rPr>
          <w:sz w:val="24"/>
          <w:szCs w:val="24"/>
        </w:rPr>
        <w:t xml:space="preserve">all the researchers </w:t>
      </w:r>
      <w:r>
        <w:rPr>
          <w:sz w:val="24"/>
          <w:szCs w:val="24"/>
        </w:rPr>
        <w:t>have</w:t>
      </w:r>
      <w:r w:rsidR="00966538">
        <w:rPr>
          <w:sz w:val="24"/>
          <w:szCs w:val="24"/>
        </w:rPr>
        <w:t xml:space="preserve"> got</w:t>
      </w:r>
      <w:r>
        <w:rPr>
          <w:sz w:val="24"/>
          <w:szCs w:val="24"/>
        </w:rPr>
        <w:t xml:space="preserve"> the professional academic background to have carried out this study</w:t>
      </w:r>
      <w:r w:rsidR="00966538">
        <w:rPr>
          <w:sz w:val="24"/>
          <w:szCs w:val="24"/>
        </w:rPr>
        <w:t>.</w:t>
      </w:r>
    </w:p>
    <w:p w:rsidR="00966538" w:rsidRPr="004F35BB" w:rsidRDefault="00966538" w:rsidP="00632D24">
      <w:pPr>
        <w:spacing w:line="480" w:lineRule="auto"/>
        <w:rPr>
          <w:sz w:val="24"/>
          <w:szCs w:val="24"/>
        </w:rPr>
      </w:pPr>
      <w:r w:rsidRPr="00966538">
        <w:rPr>
          <w:sz w:val="24"/>
          <w:szCs w:val="24"/>
        </w:rPr>
        <w:t>https://iris.ucl.ac.uk</w:t>
      </w:r>
      <w:r>
        <w:rPr>
          <w:sz w:val="24"/>
          <w:szCs w:val="24"/>
        </w:rPr>
        <w:t xml:space="preserve"> (Nathan Davies)</w:t>
      </w:r>
      <w:r w:rsidR="009041FA">
        <w:rPr>
          <w:sz w:val="24"/>
          <w:szCs w:val="24"/>
        </w:rPr>
        <w:t>.</w:t>
      </w:r>
      <w:r>
        <w:rPr>
          <w:sz w:val="24"/>
          <w:szCs w:val="24"/>
        </w:rPr>
        <w:t xml:space="preserve"> </w:t>
      </w:r>
    </w:p>
    <w:p w:rsidR="009041FA" w:rsidRDefault="009041FA" w:rsidP="00632D24">
      <w:pPr>
        <w:spacing w:line="480" w:lineRule="auto"/>
        <w:rPr>
          <w:sz w:val="24"/>
          <w:szCs w:val="24"/>
        </w:rPr>
      </w:pPr>
      <w:r>
        <w:rPr>
          <w:sz w:val="24"/>
          <w:szCs w:val="24"/>
        </w:rPr>
        <w:t>Davies et al (201</w:t>
      </w:r>
      <w:r w:rsidR="00F37585">
        <w:rPr>
          <w:sz w:val="24"/>
          <w:szCs w:val="24"/>
        </w:rPr>
        <w:t>4</w:t>
      </w:r>
      <w:r>
        <w:rPr>
          <w:sz w:val="24"/>
          <w:szCs w:val="24"/>
        </w:rPr>
        <w:t>) have provided an informative abstract</w:t>
      </w:r>
      <w:r w:rsidR="00932F9A">
        <w:rPr>
          <w:sz w:val="24"/>
          <w:szCs w:val="24"/>
        </w:rPr>
        <w:t xml:space="preserve"> </w:t>
      </w:r>
      <w:r w:rsidR="007C5F91">
        <w:rPr>
          <w:sz w:val="24"/>
          <w:szCs w:val="24"/>
        </w:rPr>
        <w:t>as they have</w:t>
      </w:r>
      <w:r w:rsidR="00C63932">
        <w:rPr>
          <w:sz w:val="24"/>
          <w:szCs w:val="24"/>
        </w:rPr>
        <w:t xml:space="preserve"> </w:t>
      </w:r>
      <w:r w:rsidR="007C5F91">
        <w:rPr>
          <w:sz w:val="24"/>
          <w:szCs w:val="24"/>
        </w:rPr>
        <w:t>a detailed purpose of the research. The objectives are stated as it explains what the article is about</w:t>
      </w:r>
      <w:r w:rsidR="000F701F">
        <w:rPr>
          <w:sz w:val="24"/>
          <w:szCs w:val="24"/>
        </w:rPr>
        <w:t>,</w:t>
      </w:r>
      <w:r w:rsidR="007C5F91">
        <w:rPr>
          <w:sz w:val="24"/>
          <w:szCs w:val="24"/>
        </w:rPr>
        <w:t xml:space="preserve"> which is to provide palliative care for people with dementia. The study explored barriers to the delivery of high-quality palliative care and explained the themes that were identified</w:t>
      </w:r>
      <w:r w:rsidR="000F701F">
        <w:rPr>
          <w:sz w:val="24"/>
          <w:szCs w:val="24"/>
        </w:rPr>
        <w:t>.</w:t>
      </w:r>
      <w:r w:rsidR="007C5F91">
        <w:rPr>
          <w:sz w:val="24"/>
          <w:szCs w:val="24"/>
        </w:rPr>
        <w:t xml:space="preserve"> </w:t>
      </w:r>
      <w:r w:rsidR="000F701F">
        <w:rPr>
          <w:sz w:val="24"/>
          <w:szCs w:val="24"/>
        </w:rPr>
        <w:t>They explained</w:t>
      </w:r>
      <w:r w:rsidR="007C5F91">
        <w:rPr>
          <w:sz w:val="24"/>
          <w:szCs w:val="24"/>
        </w:rPr>
        <w:t xml:space="preserve"> how these were carried out by mentioning the types of interviews</w:t>
      </w:r>
      <w:r w:rsidR="000F701F">
        <w:rPr>
          <w:sz w:val="24"/>
          <w:szCs w:val="24"/>
        </w:rPr>
        <w:t xml:space="preserve"> that were held, these were semi-structured, individual</w:t>
      </w:r>
      <w:r w:rsidR="007C5F91">
        <w:rPr>
          <w:sz w:val="24"/>
          <w:szCs w:val="24"/>
        </w:rPr>
        <w:t xml:space="preserve"> and group</w:t>
      </w:r>
      <w:r w:rsidR="000F701F">
        <w:rPr>
          <w:sz w:val="24"/>
          <w:szCs w:val="24"/>
        </w:rPr>
        <w:t xml:space="preserve"> interviews.</w:t>
      </w:r>
      <w:r w:rsidR="007C5F91">
        <w:rPr>
          <w:sz w:val="24"/>
          <w:szCs w:val="24"/>
        </w:rPr>
        <w:t xml:space="preserve"> </w:t>
      </w:r>
      <w:r w:rsidR="000F701F">
        <w:rPr>
          <w:sz w:val="24"/>
          <w:szCs w:val="24"/>
        </w:rPr>
        <w:t xml:space="preserve">Five interviews of pairs were also conducted of professionals with backgrounds in palliative care, dementia services and palliative care research and policy making. This </w:t>
      </w:r>
      <w:r w:rsidR="007C5F91">
        <w:rPr>
          <w:sz w:val="24"/>
          <w:szCs w:val="24"/>
        </w:rPr>
        <w:t>help</w:t>
      </w:r>
      <w:r w:rsidR="000F701F">
        <w:rPr>
          <w:sz w:val="24"/>
          <w:szCs w:val="24"/>
        </w:rPr>
        <w:t>ed</w:t>
      </w:r>
      <w:r w:rsidR="007C5F91">
        <w:rPr>
          <w:sz w:val="24"/>
          <w:szCs w:val="24"/>
        </w:rPr>
        <w:t xml:space="preserve"> in the development</w:t>
      </w:r>
      <w:r w:rsidR="000F701F">
        <w:rPr>
          <w:sz w:val="24"/>
          <w:szCs w:val="24"/>
        </w:rPr>
        <w:t xml:space="preserve"> of a dementia specific palliative care pathway. </w:t>
      </w:r>
      <w:r w:rsidR="006D1CF1">
        <w:rPr>
          <w:sz w:val="24"/>
          <w:szCs w:val="24"/>
        </w:rPr>
        <w:t>If the abstract only provided a brief general overview of the study this would be described as a descriptive abstract (Berg, 1995, p.223).</w:t>
      </w:r>
    </w:p>
    <w:p w:rsidR="00122B84" w:rsidRDefault="00122B84" w:rsidP="00632D24">
      <w:pPr>
        <w:spacing w:line="480" w:lineRule="auto"/>
        <w:rPr>
          <w:sz w:val="24"/>
          <w:szCs w:val="24"/>
        </w:rPr>
      </w:pPr>
      <w:r>
        <w:rPr>
          <w:sz w:val="24"/>
          <w:szCs w:val="24"/>
        </w:rPr>
        <w:t xml:space="preserve">Literature review is required in a research paper </w:t>
      </w:r>
      <w:r w:rsidR="004672F4">
        <w:rPr>
          <w:sz w:val="24"/>
          <w:szCs w:val="24"/>
        </w:rPr>
        <w:t xml:space="preserve">as </w:t>
      </w:r>
      <w:r>
        <w:rPr>
          <w:sz w:val="24"/>
          <w:szCs w:val="24"/>
        </w:rPr>
        <w:t>Hart (1998)</w:t>
      </w:r>
      <w:r w:rsidR="004672F4">
        <w:rPr>
          <w:sz w:val="24"/>
          <w:szCs w:val="24"/>
        </w:rPr>
        <w:t xml:space="preserve"> explains that without it you will not acquire an understanding of your topic or what has already been done on it, how </w:t>
      </w:r>
      <w:r w:rsidR="001F7AE3">
        <w:rPr>
          <w:sz w:val="24"/>
          <w:szCs w:val="24"/>
        </w:rPr>
        <w:t xml:space="preserve">it </w:t>
      </w:r>
      <w:r w:rsidR="004672F4">
        <w:rPr>
          <w:sz w:val="24"/>
          <w:szCs w:val="24"/>
        </w:rPr>
        <w:lastRenderedPageBreak/>
        <w:t>has been researched and the key issues.</w:t>
      </w:r>
      <w:r w:rsidR="00B86A95">
        <w:rPr>
          <w:sz w:val="24"/>
          <w:szCs w:val="24"/>
        </w:rPr>
        <w:t xml:space="preserve"> Helen (2014)</w:t>
      </w:r>
      <w:r w:rsidR="006A05DF">
        <w:rPr>
          <w:sz w:val="24"/>
          <w:szCs w:val="24"/>
        </w:rPr>
        <w:t xml:space="preserve"> explain</w:t>
      </w:r>
      <w:r w:rsidR="001F7AE3">
        <w:rPr>
          <w:sz w:val="24"/>
          <w:szCs w:val="24"/>
        </w:rPr>
        <w:t xml:space="preserve"> </w:t>
      </w:r>
      <w:r w:rsidR="006A05DF">
        <w:rPr>
          <w:sz w:val="24"/>
          <w:szCs w:val="24"/>
        </w:rPr>
        <w:t>b</w:t>
      </w:r>
      <w:r w:rsidR="001F7AE3">
        <w:rPr>
          <w:sz w:val="24"/>
          <w:szCs w:val="24"/>
        </w:rPr>
        <w:t>y reviewing the literature you can distinguish what needs to be done, discover important variables relevant to the topic, gain new perspectives and relate ideas and theories.</w:t>
      </w:r>
    </w:p>
    <w:p w:rsidR="001F6C95" w:rsidRPr="00907FB8" w:rsidRDefault="001F6C95" w:rsidP="00632D24">
      <w:pPr>
        <w:spacing w:line="480" w:lineRule="auto"/>
        <w:rPr>
          <w:sz w:val="24"/>
          <w:szCs w:val="24"/>
        </w:rPr>
      </w:pPr>
      <w:r>
        <w:rPr>
          <w:sz w:val="24"/>
          <w:szCs w:val="24"/>
        </w:rPr>
        <w:t xml:space="preserve">There were historical information used as far as the year 1980 and dated information from 2014. </w:t>
      </w:r>
      <w:r w:rsidR="005465CB">
        <w:rPr>
          <w:sz w:val="24"/>
          <w:szCs w:val="24"/>
        </w:rPr>
        <w:t>The majority of information used were from journals</w:t>
      </w:r>
      <w:r w:rsidR="00907FB8">
        <w:rPr>
          <w:sz w:val="24"/>
          <w:szCs w:val="24"/>
        </w:rPr>
        <w:t>,</w:t>
      </w:r>
      <w:r w:rsidR="005465CB">
        <w:rPr>
          <w:sz w:val="24"/>
          <w:szCs w:val="24"/>
        </w:rPr>
        <w:t xml:space="preserve"> however books and online articles were also used. The two pieces of literature review that are relevant within the literature review is Kane M. (2012) </w:t>
      </w:r>
      <w:r w:rsidR="005465CB" w:rsidRPr="00194E2F">
        <w:rPr>
          <w:sz w:val="24"/>
          <w:szCs w:val="24"/>
        </w:rPr>
        <w:t>My Life Until the End: Dying Well with Dementia</w:t>
      </w:r>
      <w:r w:rsidR="005465CB">
        <w:rPr>
          <w:i/>
          <w:sz w:val="24"/>
          <w:szCs w:val="24"/>
        </w:rPr>
        <w:t xml:space="preserve">. </w:t>
      </w:r>
      <w:r w:rsidR="00907FB8">
        <w:rPr>
          <w:sz w:val="24"/>
          <w:szCs w:val="24"/>
        </w:rPr>
        <w:t xml:space="preserve">And Sampson E.L (2010) Palliative care for people with dementia. These research were relevant </w:t>
      </w:r>
      <w:r w:rsidR="00194E2F">
        <w:rPr>
          <w:sz w:val="24"/>
          <w:szCs w:val="24"/>
        </w:rPr>
        <w:t>to this literature review because it was about end of life and palliative care for dementia sufferers. From reviewing these online</w:t>
      </w:r>
      <w:r w:rsidR="008072FF">
        <w:rPr>
          <w:sz w:val="24"/>
          <w:szCs w:val="24"/>
        </w:rPr>
        <w:t xml:space="preserve"> it was clear to see that information were taken from these studies and used within the report provided by Davies et al (2014).</w:t>
      </w:r>
      <w:r w:rsidR="00907FB8">
        <w:rPr>
          <w:sz w:val="24"/>
          <w:szCs w:val="24"/>
        </w:rPr>
        <w:t xml:space="preserve"> </w:t>
      </w:r>
    </w:p>
    <w:p w:rsidR="00030720" w:rsidRDefault="00030720" w:rsidP="00632D24">
      <w:pPr>
        <w:spacing w:line="480" w:lineRule="auto"/>
        <w:rPr>
          <w:sz w:val="24"/>
          <w:szCs w:val="24"/>
        </w:rPr>
      </w:pPr>
      <w:r>
        <w:rPr>
          <w:sz w:val="24"/>
          <w:szCs w:val="24"/>
        </w:rPr>
        <w:t>Davies et al (201</w:t>
      </w:r>
      <w:r w:rsidR="00F37585">
        <w:rPr>
          <w:sz w:val="24"/>
          <w:szCs w:val="24"/>
        </w:rPr>
        <w:t>4</w:t>
      </w:r>
      <w:r>
        <w:rPr>
          <w:sz w:val="24"/>
          <w:szCs w:val="24"/>
        </w:rPr>
        <w:t>) have not provided a clear aim but it can be presumed to be from the title</w:t>
      </w:r>
      <w:r w:rsidR="00620456">
        <w:rPr>
          <w:sz w:val="24"/>
          <w:szCs w:val="24"/>
        </w:rPr>
        <w:t xml:space="preserve">. An aim is important within in a study </w:t>
      </w:r>
      <w:r w:rsidR="00851C28">
        <w:rPr>
          <w:sz w:val="24"/>
          <w:szCs w:val="24"/>
        </w:rPr>
        <w:t>as it focuses on a particular subject closely and is a purpose or intention for a desired outcome.</w:t>
      </w:r>
      <w:r w:rsidR="00332AE1">
        <w:rPr>
          <w:sz w:val="24"/>
          <w:szCs w:val="24"/>
        </w:rPr>
        <w:t xml:space="preserve"> The first stages of research design is to describe the aims (purposes) and more detailed objectives of the study</w:t>
      </w:r>
      <w:r w:rsidR="00885EC1">
        <w:rPr>
          <w:sz w:val="24"/>
          <w:szCs w:val="24"/>
        </w:rPr>
        <w:t xml:space="preserve"> </w:t>
      </w:r>
      <w:r w:rsidR="00332AE1">
        <w:rPr>
          <w:sz w:val="24"/>
          <w:szCs w:val="24"/>
        </w:rPr>
        <w:t>( Bowling, 1997, p.121).</w:t>
      </w:r>
    </w:p>
    <w:p w:rsidR="008414E2" w:rsidRPr="008414E2" w:rsidRDefault="008414E2" w:rsidP="00632D24">
      <w:pPr>
        <w:spacing w:line="480" w:lineRule="auto"/>
        <w:rPr>
          <w:sz w:val="24"/>
          <w:szCs w:val="24"/>
        </w:rPr>
      </w:pPr>
      <w:r>
        <w:rPr>
          <w:sz w:val="24"/>
          <w:szCs w:val="24"/>
        </w:rPr>
        <w:t>Davies et</w:t>
      </w:r>
      <w:r w:rsidR="00332AE1">
        <w:rPr>
          <w:sz w:val="24"/>
          <w:szCs w:val="24"/>
        </w:rPr>
        <w:t xml:space="preserve"> </w:t>
      </w:r>
      <w:r>
        <w:rPr>
          <w:sz w:val="24"/>
          <w:szCs w:val="24"/>
        </w:rPr>
        <w:t>al (2014</w:t>
      </w:r>
      <w:r w:rsidR="00197C9C">
        <w:rPr>
          <w:sz w:val="24"/>
          <w:szCs w:val="24"/>
        </w:rPr>
        <w:t xml:space="preserve">) has provided a qualitative paper as close human </w:t>
      </w:r>
      <w:r w:rsidR="00DC5A1E">
        <w:rPr>
          <w:sz w:val="24"/>
          <w:szCs w:val="24"/>
        </w:rPr>
        <w:t>interaction</w:t>
      </w:r>
      <w:r w:rsidR="00197C9C">
        <w:rPr>
          <w:sz w:val="24"/>
          <w:szCs w:val="24"/>
        </w:rPr>
        <w:t xml:space="preserve"> were involved with their thoughts and feelings</w:t>
      </w:r>
      <w:r w:rsidR="00340D7C">
        <w:rPr>
          <w:sz w:val="24"/>
          <w:szCs w:val="24"/>
        </w:rPr>
        <w:t>.</w:t>
      </w:r>
      <w:r w:rsidR="00516E3D">
        <w:rPr>
          <w:sz w:val="24"/>
          <w:szCs w:val="24"/>
        </w:rPr>
        <w:t xml:space="preserve"> </w:t>
      </w:r>
      <w:r w:rsidR="00340D7C">
        <w:rPr>
          <w:sz w:val="24"/>
          <w:szCs w:val="24"/>
        </w:rPr>
        <w:t>T</w:t>
      </w:r>
      <w:r w:rsidR="00516E3D">
        <w:rPr>
          <w:sz w:val="24"/>
          <w:szCs w:val="24"/>
        </w:rPr>
        <w:t>he right research design was carried out for this particular research.</w:t>
      </w:r>
    </w:p>
    <w:p w:rsidR="00895700" w:rsidRDefault="00197C9C" w:rsidP="00632D24">
      <w:pPr>
        <w:spacing w:line="480" w:lineRule="auto"/>
        <w:rPr>
          <w:sz w:val="24"/>
          <w:szCs w:val="24"/>
        </w:rPr>
      </w:pPr>
      <w:r>
        <w:rPr>
          <w:sz w:val="24"/>
          <w:szCs w:val="24"/>
        </w:rPr>
        <w:t>P</w:t>
      </w:r>
      <w:r w:rsidR="00AB2DB5">
        <w:rPr>
          <w:sz w:val="24"/>
          <w:szCs w:val="24"/>
        </w:rPr>
        <w:t>articipants were identified using p</w:t>
      </w:r>
      <w:r>
        <w:rPr>
          <w:sz w:val="24"/>
          <w:szCs w:val="24"/>
        </w:rPr>
        <w:t>urposive sampling</w:t>
      </w:r>
      <w:r w:rsidR="00DC5A1E">
        <w:rPr>
          <w:sz w:val="24"/>
          <w:szCs w:val="24"/>
        </w:rPr>
        <w:t xml:space="preserve"> supported by snow – balling methods</w:t>
      </w:r>
      <w:r w:rsidR="00AB2DB5">
        <w:rPr>
          <w:sz w:val="24"/>
          <w:szCs w:val="24"/>
        </w:rPr>
        <w:t xml:space="preserve">. </w:t>
      </w:r>
      <w:r w:rsidR="000E0DBE">
        <w:rPr>
          <w:sz w:val="24"/>
          <w:szCs w:val="24"/>
        </w:rPr>
        <w:t>Purposive sampling is also referred as judgmental or expert sample. This sampling is common when special skills are required to form a representative subset of population (Singh, 1996, p. 7).</w:t>
      </w:r>
    </w:p>
    <w:p w:rsidR="00895700" w:rsidRDefault="000E0DBE" w:rsidP="00632D24">
      <w:pPr>
        <w:spacing w:line="480" w:lineRule="auto"/>
        <w:rPr>
          <w:sz w:val="24"/>
          <w:szCs w:val="24"/>
        </w:rPr>
      </w:pPr>
      <w:r>
        <w:rPr>
          <w:sz w:val="24"/>
          <w:szCs w:val="24"/>
        </w:rPr>
        <w:lastRenderedPageBreak/>
        <w:t xml:space="preserve">Snow balling </w:t>
      </w:r>
      <w:r w:rsidR="009554BB">
        <w:rPr>
          <w:sz w:val="24"/>
          <w:szCs w:val="24"/>
        </w:rPr>
        <w:t>sampling is also known as chain referral sampling</w:t>
      </w:r>
      <w:r w:rsidR="0021200E">
        <w:rPr>
          <w:sz w:val="24"/>
          <w:szCs w:val="24"/>
        </w:rPr>
        <w:t xml:space="preserve"> it</w:t>
      </w:r>
      <w:r w:rsidR="009554BB">
        <w:rPr>
          <w:sz w:val="24"/>
          <w:szCs w:val="24"/>
        </w:rPr>
        <w:t xml:space="preserve"> is a non-</w:t>
      </w:r>
      <w:r w:rsidR="0021200E">
        <w:rPr>
          <w:sz w:val="24"/>
          <w:szCs w:val="24"/>
        </w:rPr>
        <w:t>probability</w:t>
      </w:r>
      <w:r w:rsidR="009554BB">
        <w:rPr>
          <w:sz w:val="24"/>
          <w:szCs w:val="24"/>
        </w:rPr>
        <w:t xml:space="preserve"> non- random sampling</w:t>
      </w:r>
      <w:r w:rsidR="0021200E">
        <w:rPr>
          <w:sz w:val="24"/>
          <w:szCs w:val="24"/>
        </w:rPr>
        <w:t xml:space="preserve"> </w:t>
      </w:r>
      <w:r>
        <w:rPr>
          <w:sz w:val="24"/>
          <w:szCs w:val="24"/>
        </w:rPr>
        <w:t>method</w:t>
      </w:r>
      <w:r w:rsidR="0021200E">
        <w:rPr>
          <w:sz w:val="24"/>
          <w:szCs w:val="24"/>
        </w:rPr>
        <w:t xml:space="preserve">. This is when research participants recruit other participants for a test or study (Daniel, 2011, </w:t>
      </w:r>
      <w:r w:rsidR="00895700">
        <w:rPr>
          <w:sz w:val="24"/>
          <w:szCs w:val="24"/>
        </w:rPr>
        <w:t>p. 9).</w:t>
      </w:r>
    </w:p>
    <w:p w:rsidR="00197C9C" w:rsidRPr="00197C9C" w:rsidRDefault="00AB2DB5" w:rsidP="00632D24">
      <w:pPr>
        <w:spacing w:before="240" w:line="480" w:lineRule="auto"/>
        <w:rPr>
          <w:sz w:val="24"/>
          <w:szCs w:val="24"/>
        </w:rPr>
      </w:pPr>
      <w:r>
        <w:rPr>
          <w:sz w:val="24"/>
          <w:szCs w:val="24"/>
        </w:rPr>
        <w:t xml:space="preserve">Within social research small sample sizes within qualitative research is acceptable </w:t>
      </w:r>
      <w:r w:rsidR="00895700">
        <w:rPr>
          <w:sz w:val="24"/>
          <w:szCs w:val="24"/>
        </w:rPr>
        <w:t>as the goal of qualitative research should be the attainment of saturation, when adding more participants to the study this does not result in additional perspectives or information</w:t>
      </w:r>
      <w:r w:rsidR="00897639">
        <w:rPr>
          <w:sz w:val="24"/>
          <w:szCs w:val="24"/>
        </w:rPr>
        <w:t xml:space="preserve"> (</w:t>
      </w:r>
      <w:r w:rsidR="00897639" w:rsidRPr="00897639">
        <w:rPr>
          <w:sz w:val="24"/>
          <w:szCs w:val="24"/>
        </w:rPr>
        <w:t>www.statisticssolutions.com</w:t>
      </w:r>
      <w:r w:rsidR="00897639">
        <w:rPr>
          <w:sz w:val="24"/>
          <w:szCs w:val="24"/>
        </w:rPr>
        <w:t>).</w:t>
      </w:r>
    </w:p>
    <w:p w:rsidR="0031750B" w:rsidRPr="0031750B" w:rsidRDefault="0031750B" w:rsidP="00632D24">
      <w:pPr>
        <w:spacing w:line="480" w:lineRule="auto"/>
        <w:rPr>
          <w:sz w:val="24"/>
          <w:szCs w:val="24"/>
        </w:rPr>
      </w:pPr>
      <w:r>
        <w:rPr>
          <w:sz w:val="24"/>
          <w:szCs w:val="24"/>
        </w:rPr>
        <w:t>Davies et al (201</w:t>
      </w:r>
      <w:r w:rsidR="00F37585">
        <w:rPr>
          <w:sz w:val="24"/>
          <w:szCs w:val="24"/>
        </w:rPr>
        <w:t>4</w:t>
      </w:r>
      <w:r>
        <w:rPr>
          <w:sz w:val="24"/>
          <w:szCs w:val="24"/>
        </w:rPr>
        <w:t xml:space="preserve">) obtained their information from their study by interviewing participants, this was done by individual interviews, pairs and groups. These were </w:t>
      </w:r>
      <w:r w:rsidR="00CA1D28">
        <w:rPr>
          <w:sz w:val="24"/>
          <w:szCs w:val="24"/>
        </w:rPr>
        <w:t>carried out</w:t>
      </w:r>
      <w:r>
        <w:rPr>
          <w:sz w:val="24"/>
          <w:szCs w:val="24"/>
        </w:rPr>
        <w:t xml:space="preserve"> face-to-face and two telephone interviews</w:t>
      </w:r>
      <w:r w:rsidR="00C63932">
        <w:rPr>
          <w:sz w:val="24"/>
          <w:szCs w:val="24"/>
        </w:rPr>
        <w:t xml:space="preserve"> were also conducted at participants’ request.</w:t>
      </w:r>
      <w:r w:rsidR="00F70070">
        <w:rPr>
          <w:sz w:val="24"/>
          <w:szCs w:val="24"/>
        </w:rPr>
        <w:t xml:space="preserve"> Participants had backgrounds in palliative care, dementia services, palliative care research and policy making.</w:t>
      </w:r>
      <w:r w:rsidR="00C63932">
        <w:rPr>
          <w:sz w:val="24"/>
          <w:szCs w:val="24"/>
        </w:rPr>
        <w:t xml:space="preserve"> The researchers have not justified their choice of data collection but they have described the format of their data collection tools.</w:t>
      </w:r>
    </w:p>
    <w:p w:rsidR="00860A2D" w:rsidRPr="00860A2D" w:rsidRDefault="00860A2D" w:rsidP="00632D24">
      <w:pPr>
        <w:spacing w:line="480" w:lineRule="auto"/>
        <w:rPr>
          <w:sz w:val="24"/>
          <w:szCs w:val="24"/>
        </w:rPr>
      </w:pPr>
      <w:r>
        <w:rPr>
          <w:sz w:val="24"/>
          <w:szCs w:val="24"/>
        </w:rPr>
        <w:t>The researcher</w:t>
      </w:r>
      <w:r w:rsidR="00900DD1">
        <w:rPr>
          <w:sz w:val="24"/>
          <w:szCs w:val="24"/>
        </w:rPr>
        <w:t xml:space="preserve"> was approved by</w:t>
      </w:r>
      <w:r w:rsidR="000B68CB">
        <w:rPr>
          <w:sz w:val="24"/>
          <w:szCs w:val="24"/>
        </w:rPr>
        <w:t xml:space="preserve"> (</w:t>
      </w:r>
      <w:r w:rsidR="00F63D6A">
        <w:rPr>
          <w:sz w:val="24"/>
          <w:szCs w:val="24"/>
        </w:rPr>
        <w:t>University</w:t>
      </w:r>
      <w:r w:rsidR="000B68CB">
        <w:rPr>
          <w:sz w:val="24"/>
          <w:szCs w:val="24"/>
        </w:rPr>
        <w:t xml:space="preserve"> College London)</w:t>
      </w:r>
      <w:r w:rsidR="00900DD1">
        <w:rPr>
          <w:sz w:val="24"/>
          <w:szCs w:val="24"/>
        </w:rPr>
        <w:t xml:space="preserve"> ethics committee. Participants were given a choice to be interviewed individually, in pairs or as a group. The researchers obtained verbal informed consent from all participants. Assurances of confidentiality were provided to participants and all identifiers were anonymised.</w:t>
      </w:r>
      <w:r w:rsidR="00F63D6A">
        <w:rPr>
          <w:sz w:val="24"/>
          <w:szCs w:val="24"/>
        </w:rPr>
        <w:t xml:space="preserve"> Permission was gained for interviews to be recorded and field notes were made by the interviewers.</w:t>
      </w:r>
      <w:r w:rsidR="001C462D">
        <w:rPr>
          <w:sz w:val="24"/>
          <w:szCs w:val="24"/>
        </w:rPr>
        <w:t xml:space="preserve"> However participants were not told about the right to withdraw.</w:t>
      </w:r>
      <w:r w:rsidR="00F63D6A">
        <w:rPr>
          <w:sz w:val="24"/>
          <w:szCs w:val="24"/>
        </w:rPr>
        <w:t xml:space="preserve"> Interviews were completed by an academic General Practitioner and a researcher with a psychology background</w:t>
      </w:r>
      <w:r w:rsidR="001C462D">
        <w:rPr>
          <w:sz w:val="24"/>
          <w:szCs w:val="24"/>
        </w:rPr>
        <w:t xml:space="preserve"> (Davies et al, 2014, p. 388).</w:t>
      </w:r>
    </w:p>
    <w:p w:rsidR="00F63D6A" w:rsidRPr="006B2539" w:rsidRDefault="006B2539" w:rsidP="00632D24">
      <w:pPr>
        <w:spacing w:line="480" w:lineRule="auto"/>
        <w:rPr>
          <w:b/>
          <w:sz w:val="24"/>
          <w:szCs w:val="24"/>
        </w:rPr>
      </w:pPr>
      <w:r>
        <w:rPr>
          <w:sz w:val="24"/>
          <w:szCs w:val="24"/>
        </w:rPr>
        <w:t>Recordings were transcribed verbatim and analysed by four researchers (ND, SI, LM, KV) using thematic analysis. No computer software were</w:t>
      </w:r>
      <w:r w:rsidR="00A9374E">
        <w:rPr>
          <w:sz w:val="24"/>
          <w:szCs w:val="24"/>
        </w:rPr>
        <w:t xml:space="preserve"> used</w:t>
      </w:r>
      <w:r w:rsidR="008F35F3">
        <w:rPr>
          <w:sz w:val="24"/>
          <w:szCs w:val="24"/>
        </w:rPr>
        <w:t>, computer software</w:t>
      </w:r>
      <w:r w:rsidR="00A9374E">
        <w:rPr>
          <w:sz w:val="24"/>
          <w:szCs w:val="24"/>
        </w:rPr>
        <w:t xml:space="preserve"> usually </w:t>
      </w:r>
      <w:r w:rsidR="00A9374E">
        <w:rPr>
          <w:sz w:val="24"/>
          <w:szCs w:val="24"/>
        </w:rPr>
        <w:lastRenderedPageBreak/>
        <w:t>generates themes</w:t>
      </w:r>
      <w:r w:rsidR="000B6BA8">
        <w:rPr>
          <w:sz w:val="24"/>
          <w:szCs w:val="24"/>
        </w:rPr>
        <w:t xml:space="preserve">. </w:t>
      </w:r>
      <w:r>
        <w:rPr>
          <w:sz w:val="24"/>
          <w:szCs w:val="24"/>
        </w:rPr>
        <w:t xml:space="preserve">It is good practise for the research to be recorded and transcribed </w:t>
      </w:r>
      <w:r w:rsidR="000B6BA8">
        <w:rPr>
          <w:sz w:val="24"/>
          <w:szCs w:val="24"/>
        </w:rPr>
        <w:t>as permanent records can be kept and can also lend themselves to be checked by other researchers. The downside could be that they only capture speech and miss non-verbal communication and other contextual factors (Denscombe, 2014, P. 196).</w:t>
      </w:r>
    </w:p>
    <w:p w:rsidR="00F467A7" w:rsidRDefault="00E15E7A" w:rsidP="00632D24">
      <w:pPr>
        <w:spacing w:line="480" w:lineRule="auto"/>
        <w:rPr>
          <w:sz w:val="24"/>
          <w:szCs w:val="24"/>
        </w:rPr>
      </w:pPr>
      <w:r>
        <w:rPr>
          <w:sz w:val="24"/>
          <w:szCs w:val="24"/>
        </w:rPr>
        <w:t xml:space="preserve">Davies et al </w:t>
      </w:r>
      <w:r w:rsidR="00885EC1">
        <w:rPr>
          <w:sz w:val="24"/>
          <w:szCs w:val="24"/>
        </w:rPr>
        <w:t>(</w:t>
      </w:r>
      <w:r>
        <w:rPr>
          <w:sz w:val="24"/>
          <w:szCs w:val="24"/>
        </w:rPr>
        <w:t>2014</w:t>
      </w:r>
      <w:r w:rsidR="00885EC1">
        <w:rPr>
          <w:sz w:val="24"/>
          <w:szCs w:val="24"/>
        </w:rPr>
        <w:t>)</w:t>
      </w:r>
      <w:r>
        <w:rPr>
          <w:sz w:val="24"/>
          <w:szCs w:val="24"/>
        </w:rPr>
        <w:t xml:space="preserve"> ha</w:t>
      </w:r>
      <w:r w:rsidR="008F35F3">
        <w:rPr>
          <w:sz w:val="24"/>
          <w:szCs w:val="24"/>
        </w:rPr>
        <w:t>ve</w:t>
      </w:r>
      <w:r>
        <w:rPr>
          <w:sz w:val="24"/>
          <w:szCs w:val="24"/>
        </w:rPr>
        <w:t xml:space="preserve"> provided qualitative data as qualitative research is closely associated with a variety of data collection techniques that have a long history of use and which over the years have developed authority and reputation.</w:t>
      </w:r>
      <w:r w:rsidR="00F467A7">
        <w:rPr>
          <w:sz w:val="24"/>
          <w:szCs w:val="24"/>
        </w:rPr>
        <w:t xml:space="preserve"> As described by Miller and Brewer (2003) “Qualitative research is premised on important philosophical ideas concerning human nature, society and the nature of knowledge associated with the methodological position of naturalism”.</w:t>
      </w:r>
    </w:p>
    <w:p w:rsidR="00DE0941" w:rsidRDefault="00C63932" w:rsidP="00632D24">
      <w:pPr>
        <w:spacing w:line="480" w:lineRule="auto"/>
        <w:rPr>
          <w:sz w:val="24"/>
          <w:szCs w:val="24"/>
        </w:rPr>
      </w:pPr>
      <w:r>
        <w:rPr>
          <w:sz w:val="24"/>
          <w:szCs w:val="24"/>
        </w:rPr>
        <w:t>R</w:t>
      </w:r>
      <w:r w:rsidR="000F6607">
        <w:rPr>
          <w:sz w:val="24"/>
          <w:szCs w:val="24"/>
        </w:rPr>
        <w:t>esults were not presented in a chart, they were presented by four main themes and bullet pointed.</w:t>
      </w:r>
      <w:r w:rsidR="00AB2DB5">
        <w:rPr>
          <w:sz w:val="24"/>
          <w:szCs w:val="24"/>
        </w:rPr>
        <w:t xml:space="preserve"> The themes emerged describing barriers to high-quality palliative care for people with dementi</w:t>
      </w:r>
      <w:r w:rsidR="006503AA">
        <w:rPr>
          <w:sz w:val="24"/>
          <w:szCs w:val="24"/>
        </w:rPr>
        <w:t xml:space="preserve">a these were ambivalence towards the systematisation </w:t>
      </w:r>
      <w:r w:rsidR="001C462D">
        <w:rPr>
          <w:sz w:val="24"/>
          <w:szCs w:val="24"/>
        </w:rPr>
        <w:t>o</w:t>
      </w:r>
      <w:r w:rsidR="006503AA">
        <w:rPr>
          <w:sz w:val="24"/>
          <w:szCs w:val="24"/>
        </w:rPr>
        <w:t>f palliative care, disconnection between services, different assumptions about training needs and negotiation of risks.</w:t>
      </w:r>
      <w:r w:rsidR="001C462D">
        <w:rPr>
          <w:sz w:val="24"/>
          <w:szCs w:val="24"/>
        </w:rPr>
        <w:t xml:space="preserve"> The results were easy to follow</w:t>
      </w:r>
      <w:r w:rsidR="009C0DA4">
        <w:rPr>
          <w:sz w:val="24"/>
          <w:szCs w:val="24"/>
        </w:rPr>
        <w:t xml:space="preserve"> even though they were not displayed on clear tables or charts.</w:t>
      </w:r>
    </w:p>
    <w:p w:rsidR="009C0DA4" w:rsidRPr="009C0DA4" w:rsidRDefault="009C0DA4" w:rsidP="00632D24">
      <w:pPr>
        <w:spacing w:line="480" w:lineRule="auto"/>
        <w:rPr>
          <w:sz w:val="24"/>
          <w:szCs w:val="24"/>
        </w:rPr>
      </w:pPr>
      <w:r>
        <w:rPr>
          <w:sz w:val="24"/>
          <w:szCs w:val="24"/>
        </w:rPr>
        <w:t>Discussions were held regarding several barriers which professionals think obstruct the delivery of high-quality palliative care for people with dementia. The topic discussed were ambivalence towards the systematisation of palliative care, disconnection between services, different assumptions about training needs</w:t>
      </w:r>
      <w:r w:rsidR="00D9292E">
        <w:rPr>
          <w:sz w:val="24"/>
          <w:szCs w:val="24"/>
        </w:rPr>
        <w:t xml:space="preserve"> and </w:t>
      </w:r>
      <w:r>
        <w:rPr>
          <w:sz w:val="24"/>
          <w:szCs w:val="24"/>
        </w:rPr>
        <w:t>negotiation of risks</w:t>
      </w:r>
      <w:r w:rsidR="00D9292E">
        <w:rPr>
          <w:sz w:val="24"/>
          <w:szCs w:val="24"/>
        </w:rPr>
        <w:t>.</w:t>
      </w:r>
      <w:r w:rsidR="00F93B83">
        <w:rPr>
          <w:sz w:val="24"/>
          <w:szCs w:val="24"/>
        </w:rPr>
        <w:t xml:space="preserve"> Davies et al </w:t>
      </w:r>
      <w:r w:rsidR="00885EC1">
        <w:rPr>
          <w:sz w:val="24"/>
          <w:szCs w:val="24"/>
        </w:rPr>
        <w:t>(</w:t>
      </w:r>
      <w:r w:rsidR="00F93B83">
        <w:rPr>
          <w:sz w:val="24"/>
          <w:szCs w:val="24"/>
        </w:rPr>
        <w:t>2014</w:t>
      </w:r>
      <w:r w:rsidR="00885EC1">
        <w:rPr>
          <w:sz w:val="24"/>
          <w:szCs w:val="24"/>
        </w:rPr>
        <w:t>)</w:t>
      </w:r>
      <w:r w:rsidR="00F93B83">
        <w:rPr>
          <w:sz w:val="24"/>
          <w:szCs w:val="24"/>
        </w:rPr>
        <w:t xml:space="preserve"> has referred back to the literature that they had looked at in the beginning, these reflect previously identified barriers and confirmed that these were not simple barriers to resolve. The findings of the study was that professionals feel an element of fear when dealing with </w:t>
      </w:r>
      <w:r w:rsidR="00F93B83">
        <w:rPr>
          <w:sz w:val="24"/>
          <w:szCs w:val="24"/>
        </w:rPr>
        <w:lastRenderedPageBreak/>
        <w:t>decisions and situations that are encountered when providing palliative care for people with dementia.</w:t>
      </w:r>
      <w:r w:rsidR="00522EFE">
        <w:rPr>
          <w:sz w:val="24"/>
          <w:szCs w:val="24"/>
        </w:rPr>
        <w:t xml:space="preserve"> Strengths and limitations of the study were stated along with implications for policy, practice and research.</w:t>
      </w:r>
      <w:r w:rsidR="001F7EE5">
        <w:rPr>
          <w:sz w:val="24"/>
          <w:szCs w:val="24"/>
        </w:rPr>
        <w:t xml:space="preserve"> </w:t>
      </w:r>
    </w:p>
    <w:p w:rsidR="00B06303" w:rsidRPr="00B06303" w:rsidRDefault="00B06303" w:rsidP="00632D24">
      <w:pPr>
        <w:spacing w:line="480" w:lineRule="auto"/>
        <w:rPr>
          <w:sz w:val="24"/>
          <w:szCs w:val="24"/>
        </w:rPr>
      </w:pPr>
      <w:r>
        <w:rPr>
          <w:sz w:val="24"/>
          <w:szCs w:val="24"/>
        </w:rPr>
        <w:t>Four main barriers were identified in providing good-quality palliative care for people with dementia. Further work will be carried out to explore these facilitators in the IMPACT study.</w:t>
      </w:r>
      <w:r w:rsidR="00F93B83">
        <w:rPr>
          <w:sz w:val="24"/>
          <w:szCs w:val="24"/>
        </w:rPr>
        <w:t xml:space="preserve"> The sample</w:t>
      </w:r>
      <w:r w:rsidR="004713CC">
        <w:rPr>
          <w:sz w:val="24"/>
          <w:szCs w:val="24"/>
        </w:rPr>
        <w:t xml:space="preserve"> within the study is rather small therefore only tentative conclusions can be drawn. A sampling framework of people from a variety of professionals and care settings was used and diversity of opinions, however not all job roles involved in palliative care for people with dementia were included. Results from the study only apply to England, other health care systems may not have the same features. </w:t>
      </w:r>
    </w:p>
    <w:p w:rsidR="00A9374E" w:rsidRPr="00A9374E" w:rsidRDefault="00A9374E" w:rsidP="00632D24">
      <w:pPr>
        <w:spacing w:line="480" w:lineRule="auto"/>
        <w:rPr>
          <w:sz w:val="24"/>
          <w:szCs w:val="24"/>
        </w:rPr>
      </w:pPr>
      <w:r>
        <w:rPr>
          <w:sz w:val="24"/>
          <w:szCs w:val="24"/>
        </w:rPr>
        <w:t>The research study was easy to read and interpret as there was clear information within the article with clear headings. On evaluating the study I would re</w:t>
      </w:r>
      <w:r w:rsidR="00B06303">
        <w:rPr>
          <w:sz w:val="24"/>
          <w:szCs w:val="24"/>
        </w:rPr>
        <w:t>commend further training for professional health workers to improve their knowledge and understanding on dementia and support with end of life care.</w:t>
      </w:r>
      <w:r w:rsidR="00DE0941">
        <w:rPr>
          <w:sz w:val="24"/>
          <w:szCs w:val="24"/>
        </w:rPr>
        <w:t xml:space="preserve"> As the worlds population grows and people live longer</w:t>
      </w:r>
      <w:r w:rsidR="00632D24">
        <w:rPr>
          <w:sz w:val="24"/>
          <w:szCs w:val="24"/>
        </w:rPr>
        <w:t>, according to (</w:t>
      </w:r>
      <w:proofErr w:type="spellStart"/>
      <w:r w:rsidR="00632D24">
        <w:rPr>
          <w:sz w:val="24"/>
          <w:szCs w:val="24"/>
        </w:rPr>
        <w:t>Lakey</w:t>
      </w:r>
      <w:proofErr w:type="spellEnd"/>
      <w:r w:rsidR="00632D24">
        <w:rPr>
          <w:sz w:val="24"/>
          <w:szCs w:val="24"/>
        </w:rPr>
        <w:t xml:space="preserve"> et al. 2012) </w:t>
      </w:r>
      <w:r w:rsidR="00DE0941">
        <w:rPr>
          <w:sz w:val="24"/>
          <w:szCs w:val="24"/>
        </w:rPr>
        <w:t>approximately 800,000 people in the United Kingdom have dementia, the number predicted to increase</w:t>
      </w:r>
      <w:r w:rsidR="00632D24">
        <w:rPr>
          <w:sz w:val="24"/>
          <w:szCs w:val="24"/>
        </w:rPr>
        <w:t xml:space="preserve"> to over one million by 2025 (Knapp and Prince 2007).</w:t>
      </w:r>
      <w:r w:rsidR="00F32A58">
        <w:rPr>
          <w:sz w:val="24"/>
          <w:szCs w:val="24"/>
        </w:rPr>
        <w:t xml:space="preserve"> According to Sachs et al. (2004) “Dementia is often not recognised as a ‘terminal’ illness requiring palliation”.</w:t>
      </w:r>
      <w:r w:rsidR="00DE0941">
        <w:rPr>
          <w:sz w:val="24"/>
          <w:szCs w:val="24"/>
        </w:rPr>
        <w:t xml:space="preserve"> Symptoms commonly experienced by people with dementia at the end of life are very similar to symptoms of other life-threatening illnesses. They included swallowing difficulties, pain, shortness of breath, skin breakdown, poor nutrition, disturbed sleep, infections urinary incontinence and constipation (Mitchell et al. 2009).</w:t>
      </w:r>
      <w:r w:rsidR="00B06303">
        <w:rPr>
          <w:sz w:val="24"/>
          <w:szCs w:val="24"/>
        </w:rPr>
        <w:t xml:space="preserve"> By providing adequate training and enhancing their knowledge improvements can be made</w:t>
      </w:r>
      <w:r w:rsidR="00F32A58">
        <w:rPr>
          <w:sz w:val="24"/>
          <w:szCs w:val="24"/>
        </w:rPr>
        <w:t xml:space="preserve"> and</w:t>
      </w:r>
      <w:r w:rsidR="00B06303">
        <w:rPr>
          <w:sz w:val="24"/>
          <w:szCs w:val="24"/>
        </w:rPr>
        <w:t xml:space="preserve"> help and </w:t>
      </w:r>
      <w:r w:rsidR="00B06303">
        <w:rPr>
          <w:sz w:val="24"/>
          <w:szCs w:val="24"/>
        </w:rPr>
        <w:lastRenderedPageBreak/>
        <w:t>support can be provided for those who are suffering</w:t>
      </w:r>
      <w:r w:rsidR="00897639">
        <w:rPr>
          <w:sz w:val="24"/>
          <w:szCs w:val="24"/>
        </w:rPr>
        <w:t xml:space="preserve"> </w:t>
      </w:r>
      <w:r w:rsidR="00632D24">
        <w:rPr>
          <w:sz w:val="24"/>
          <w:szCs w:val="24"/>
        </w:rPr>
        <w:t>as figures are increasing  on the amount of people developing dementia.</w:t>
      </w:r>
    </w:p>
    <w:p w:rsidR="00A135D3" w:rsidRDefault="00A135D3">
      <w:pPr>
        <w:rPr>
          <w:sz w:val="24"/>
          <w:szCs w:val="24"/>
        </w:rPr>
      </w:pPr>
    </w:p>
    <w:p w:rsidR="00A135D3" w:rsidRDefault="00A135D3">
      <w:pPr>
        <w:rPr>
          <w:sz w:val="24"/>
          <w:szCs w:val="24"/>
        </w:rPr>
      </w:pPr>
    </w:p>
    <w:p w:rsidR="00A135D3" w:rsidRDefault="00A135D3">
      <w:pPr>
        <w:rPr>
          <w:sz w:val="24"/>
          <w:szCs w:val="24"/>
        </w:rPr>
      </w:pPr>
    </w:p>
    <w:p w:rsidR="00A135D3" w:rsidRDefault="00A135D3">
      <w:pPr>
        <w:rPr>
          <w:sz w:val="24"/>
          <w:szCs w:val="24"/>
        </w:rPr>
      </w:pPr>
    </w:p>
    <w:p w:rsidR="00D9292E" w:rsidRDefault="00D9292E">
      <w:pPr>
        <w:rPr>
          <w:b/>
          <w:sz w:val="24"/>
          <w:szCs w:val="24"/>
          <w:u w:val="single"/>
        </w:rPr>
      </w:pPr>
    </w:p>
    <w:p w:rsidR="00D9292E" w:rsidRDefault="00D9292E">
      <w:pPr>
        <w:rPr>
          <w:b/>
          <w:sz w:val="24"/>
          <w:szCs w:val="24"/>
          <w:u w:val="single"/>
        </w:rPr>
      </w:pPr>
    </w:p>
    <w:p w:rsidR="00D9292E" w:rsidRDefault="00D9292E">
      <w:pPr>
        <w:rPr>
          <w:b/>
          <w:sz w:val="24"/>
          <w:szCs w:val="24"/>
          <w:u w:val="single"/>
        </w:rPr>
      </w:pPr>
    </w:p>
    <w:p w:rsidR="00D9292E" w:rsidRDefault="00D9292E">
      <w:pPr>
        <w:rPr>
          <w:b/>
          <w:sz w:val="24"/>
          <w:szCs w:val="24"/>
          <w:u w:val="single"/>
        </w:rPr>
      </w:pPr>
    </w:p>
    <w:p w:rsidR="00897639" w:rsidRDefault="00897639" w:rsidP="005B69B3">
      <w:pPr>
        <w:rPr>
          <w:b/>
          <w:sz w:val="24"/>
          <w:szCs w:val="24"/>
          <w:u w:val="single"/>
        </w:rPr>
      </w:pPr>
    </w:p>
    <w:p w:rsidR="00DE0941" w:rsidRDefault="00DE0941" w:rsidP="005B69B3">
      <w:pPr>
        <w:rPr>
          <w:b/>
          <w:sz w:val="24"/>
          <w:szCs w:val="24"/>
          <w:u w:val="single"/>
        </w:rPr>
      </w:pPr>
    </w:p>
    <w:p w:rsidR="00DE0941" w:rsidRDefault="00DE0941" w:rsidP="005B69B3">
      <w:pPr>
        <w:rPr>
          <w:b/>
          <w:sz w:val="24"/>
          <w:szCs w:val="24"/>
          <w:u w:val="single"/>
        </w:rPr>
      </w:pPr>
    </w:p>
    <w:p w:rsidR="00DE0941" w:rsidRDefault="00DE0941" w:rsidP="005B69B3">
      <w:pPr>
        <w:rPr>
          <w:b/>
          <w:sz w:val="24"/>
          <w:szCs w:val="24"/>
          <w:u w:val="single"/>
        </w:rPr>
      </w:pPr>
    </w:p>
    <w:p w:rsidR="00DE0941" w:rsidRDefault="00DE0941" w:rsidP="005B69B3">
      <w:pPr>
        <w:rPr>
          <w:b/>
          <w:sz w:val="24"/>
          <w:szCs w:val="24"/>
          <w:u w:val="single"/>
        </w:rPr>
      </w:pPr>
    </w:p>
    <w:p w:rsidR="00DE0941" w:rsidRDefault="00DE0941" w:rsidP="005B69B3">
      <w:pPr>
        <w:rPr>
          <w:b/>
          <w:sz w:val="24"/>
          <w:szCs w:val="24"/>
          <w:u w:val="single"/>
        </w:rPr>
      </w:pPr>
    </w:p>
    <w:p w:rsidR="00DE0941" w:rsidRDefault="00DE0941" w:rsidP="005B69B3">
      <w:pPr>
        <w:rPr>
          <w:b/>
          <w:sz w:val="24"/>
          <w:szCs w:val="24"/>
          <w:u w:val="single"/>
        </w:rPr>
      </w:pPr>
    </w:p>
    <w:p w:rsidR="00DE0941" w:rsidRDefault="00DE0941" w:rsidP="005B69B3">
      <w:pPr>
        <w:rPr>
          <w:b/>
          <w:sz w:val="24"/>
          <w:szCs w:val="24"/>
          <w:u w:val="single"/>
        </w:rPr>
      </w:pPr>
    </w:p>
    <w:p w:rsidR="00DE0941" w:rsidRDefault="00DE0941" w:rsidP="005B69B3">
      <w:pPr>
        <w:rPr>
          <w:b/>
          <w:sz w:val="24"/>
          <w:szCs w:val="24"/>
          <w:u w:val="single"/>
        </w:rPr>
      </w:pPr>
    </w:p>
    <w:p w:rsidR="00DE0941" w:rsidRDefault="00DE0941" w:rsidP="005B69B3">
      <w:pPr>
        <w:rPr>
          <w:b/>
          <w:sz w:val="24"/>
          <w:szCs w:val="24"/>
          <w:u w:val="single"/>
        </w:rPr>
      </w:pPr>
    </w:p>
    <w:p w:rsidR="00DE0941" w:rsidRDefault="00DE0941" w:rsidP="005B69B3">
      <w:pPr>
        <w:rPr>
          <w:b/>
          <w:sz w:val="24"/>
          <w:szCs w:val="24"/>
          <w:u w:val="single"/>
        </w:rPr>
      </w:pPr>
    </w:p>
    <w:p w:rsidR="00DE0941" w:rsidRDefault="00DE0941" w:rsidP="005B69B3">
      <w:pPr>
        <w:rPr>
          <w:b/>
          <w:sz w:val="24"/>
          <w:szCs w:val="24"/>
          <w:u w:val="single"/>
        </w:rPr>
      </w:pPr>
    </w:p>
    <w:p w:rsidR="00DE0941" w:rsidRDefault="00DE0941" w:rsidP="005B69B3">
      <w:pPr>
        <w:rPr>
          <w:b/>
          <w:sz w:val="24"/>
          <w:szCs w:val="24"/>
          <w:u w:val="single"/>
        </w:rPr>
      </w:pPr>
    </w:p>
    <w:p w:rsidR="00DE0941" w:rsidRDefault="00DE0941" w:rsidP="005B69B3">
      <w:pPr>
        <w:rPr>
          <w:b/>
          <w:sz w:val="24"/>
          <w:szCs w:val="24"/>
          <w:u w:val="single"/>
        </w:rPr>
      </w:pPr>
    </w:p>
    <w:p w:rsidR="00DE0941" w:rsidRDefault="00DE0941" w:rsidP="005B69B3">
      <w:pPr>
        <w:rPr>
          <w:b/>
          <w:sz w:val="24"/>
          <w:szCs w:val="24"/>
          <w:u w:val="single"/>
        </w:rPr>
      </w:pPr>
    </w:p>
    <w:p w:rsidR="00DE0941" w:rsidRDefault="00DE0941" w:rsidP="005B69B3">
      <w:pPr>
        <w:rPr>
          <w:b/>
          <w:sz w:val="24"/>
          <w:szCs w:val="24"/>
          <w:u w:val="single"/>
        </w:rPr>
      </w:pPr>
    </w:p>
    <w:p w:rsidR="00632D24" w:rsidRDefault="00632D24" w:rsidP="005B69B3">
      <w:pPr>
        <w:rPr>
          <w:b/>
          <w:sz w:val="24"/>
          <w:szCs w:val="24"/>
          <w:u w:val="single"/>
        </w:rPr>
      </w:pPr>
    </w:p>
    <w:p w:rsidR="00885EC1" w:rsidRDefault="00885EC1" w:rsidP="005B69B3">
      <w:pPr>
        <w:rPr>
          <w:b/>
          <w:sz w:val="24"/>
          <w:szCs w:val="24"/>
          <w:u w:val="single"/>
        </w:rPr>
      </w:pPr>
    </w:p>
    <w:p w:rsidR="005B69B3" w:rsidRPr="005B69B3" w:rsidRDefault="006547CC" w:rsidP="005B69B3">
      <w:pPr>
        <w:rPr>
          <w:b/>
          <w:sz w:val="24"/>
          <w:szCs w:val="24"/>
          <w:u w:val="single"/>
        </w:rPr>
      </w:pPr>
      <w:r w:rsidRPr="006547CC">
        <w:rPr>
          <w:b/>
          <w:sz w:val="24"/>
          <w:szCs w:val="24"/>
          <w:u w:val="single"/>
        </w:rPr>
        <w:lastRenderedPageBreak/>
        <w:t>Referenc</w:t>
      </w:r>
      <w:r w:rsidR="005B69B3">
        <w:rPr>
          <w:b/>
          <w:sz w:val="24"/>
          <w:szCs w:val="24"/>
          <w:u w:val="single"/>
        </w:rPr>
        <w:t>e</w:t>
      </w:r>
    </w:p>
    <w:p w:rsidR="00A94235" w:rsidRDefault="00A94235" w:rsidP="002D5CDA">
      <w:pPr>
        <w:spacing w:after="0"/>
        <w:rPr>
          <w:rFonts w:eastAsiaTheme="minorEastAsia"/>
          <w:sz w:val="24"/>
          <w:szCs w:val="24"/>
        </w:rPr>
      </w:pPr>
      <w:bookmarkStart w:id="0" w:name="_GoBack"/>
      <w:bookmarkEnd w:id="0"/>
      <w:r w:rsidRPr="002D5CDA">
        <w:rPr>
          <w:rFonts w:eastAsiaTheme="minorEastAsia"/>
          <w:sz w:val="24"/>
          <w:szCs w:val="24"/>
        </w:rPr>
        <w:t xml:space="preserve">Berg, B L. (1995) </w:t>
      </w:r>
      <w:r w:rsidRPr="002D5CDA">
        <w:rPr>
          <w:rFonts w:eastAsiaTheme="minorEastAsia"/>
          <w:i/>
          <w:sz w:val="24"/>
          <w:szCs w:val="24"/>
        </w:rPr>
        <w:t xml:space="preserve">Qualitative Research Methods for the Social Sciences. </w:t>
      </w:r>
      <w:r w:rsidRPr="002D5CDA">
        <w:rPr>
          <w:rFonts w:eastAsiaTheme="minorEastAsia"/>
          <w:sz w:val="24"/>
          <w:szCs w:val="24"/>
        </w:rPr>
        <w:t>2</w:t>
      </w:r>
      <w:r w:rsidRPr="002D5CDA">
        <w:rPr>
          <w:rFonts w:eastAsiaTheme="minorEastAsia"/>
          <w:sz w:val="24"/>
          <w:szCs w:val="24"/>
          <w:vertAlign w:val="superscript"/>
        </w:rPr>
        <w:t>nd</w:t>
      </w:r>
      <w:r w:rsidRPr="002D5CDA">
        <w:rPr>
          <w:rFonts w:eastAsiaTheme="minorEastAsia"/>
          <w:sz w:val="24"/>
          <w:szCs w:val="24"/>
        </w:rPr>
        <w:t xml:space="preserve"> Ed. Bolton: </w:t>
      </w:r>
      <w:proofErr w:type="spellStart"/>
      <w:r w:rsidRPr="002D5CDA">
        <w:rPr>
          <w:rFonts w:eastAsiaTheme="minorEastAsia"/>
          <w:sz w:val="24"/>
          <w:szCs w:val="24"/>
        </w:rPr>
        <w:t>Allyn</w:t>
      </w:r>
      <w:proofErr w:type="spellEnd"/>
      <w:r w:rsidRPr="002D5CDA">
        <w:rPr>
          <w:rFonts w:eastAsiaTheme="minorEastAsia"/>
          <w:sz w:val="24"/>
          <w:szCs w:val="24"/>
        </w:rPr>
        <w:t xml:space="preserve"> and Bacon.</w:t>
      </w:r>
    </w:p>
    <w:p w:rsidR="00A94235" w:rsidRDefault="00A94235" w:rsidP="00043038">
      <w:pPr>
        <w:rPr>
          <w:rFonts w:eastAsia="Times New Roman" w:cstheme="minorHAnsi"/>
          <w:sz w:val="24"/>
          <w:szCs w:val="24"/>
          <w:shd w:val="clear" w:color="auto" w:fill="FFFFFF"/>
          <w:lang w:eastAsia="en-GB"/>
        </w:rPr>
      </w:pPr>
      <w:r>
        <w:rPr>
          <w:rFonts w:eastAsia="Times New Roman" w:cstheme="minorHAnsi"/>
          <w:sz w:val="24"/>
          <w:szCs w:val="24"/>
          <w:shd w:val="clear" w:color="auto" w:fill="FFFFFF"/>
          <w:lang w:eastAsia="en-GB"/>
        </w:rPr>
        <w:t xml:space="preserve">Berg, K. E. and Latin, R. W. (2008) </w:t>
      </w:r>
      <w:r>
        <w:rPr>
          <w:rFonts w:eastAsia="Times New Roman" w:cstheme="minorHAnsi"/>
          <w:i/>
          <w:sz w:val="24"/>
          <w:szCs w:val="24"/>
          <w:shd w:val="clear" w:color="auto" w:fill="FFFFFF"/>
          <w:lang w:eastAsia="en-GB"/>
        </w:rPr>
        <w:t>Essentials of Research Methods in Health, Physical Education, Exercise Science, and Recreation</w:t>
      </w:r>
      <w:r>
        <w:rPr>
          <w:rFonts w:eastAsia="Times New Roman" w:cstheme="minorHAnsi"/>
          <w:sz w:val="24"/>
          <w:szCs w:val="24"/>
          <w:shd w:val="clear" w:color="auto" w:fill="FFFFFF"/>
          <w:lang w:eastAsia="en-GB"/>
        </w:rPr>
        <w:t xml:space="preserve">. [E book]. Lippincott Williams and Wilkins. Available at: </w:t>
      </w:r>
      <w:r w:rsidRPr="00043038">
        <w:rPr>
          <w:rFonts w:eastAsia="Times New Roman" w:cstheme="minorHAnsi"/>
          <w:sz w:val="24"/>
          <w:szCs w:val="24"/>
          <w:shd w:val="clear" w:color="auto" w:fill="FFFFFF"/>
          <w:lang w:eastAsia="en-GB"/>
        </w:rPr>
        <w:t>https://books.google.co.uk/books?isbn=078177036X</w:t>
      </w:r>
      <w:r>
        <w:rPr>
          <w:rFonts w:eastAsia="Times New Roman" w:cstheme="minorHAnsi"/>
          <w:sz w:val="24"/>
          <w:szCs w:val="24"/>
          <w:shd w:val="clear" w:color="auto" w:fill="FFFFFF"/>
          <w:lang w:eastAsia="en-GB"/>
        </w:rPr>
        <w:t xml:space="preserve"> (Accessed 12/12/19).</w:t>
      </w:r>
    </w:p>
    <w:p w:rsidR="00A94235" w:rsidRDefault="00A94235" w:rsidP="001F7AE3">
      <w:pPr>
        <w:rPr>
          <w:i/>
          <w:sz w:val="24"/>
          <w:szCs w:val="24"/>
        </w:rPr>
      </w:pPr>
      <w:r>
        <w:rPr>
          <w:sz w:val="24"/>
          <w:szCs w:val="24"/>
        </w:rPr>
        <w:t xml:space="preserve">Bowling, A. (1997) </w:t>
      </w:r>
      <w:r>
        <w:rPr>
          <w:i/>
          <w:sz w:val="24"/>
          <w:szCs w:val="24"/>
        </w:rPr>
        <w:t>Research Methods in Health investigating Health and Health Services.</w:t>
      </w:r>
    </w:p>
    <w:p w:rsidR="00A94235" w:rsidRDefault="00A94235" w:rsidP="005C059D">
      <w:pPr>
        <w:rPr>
          <w:rFonts w:cstheme="minorHAnsi"/>
          <w:sz w:val="24"/>
          <w:szCs w:val="24"/>
          <w:shd w:val="clear" w:color="auto" w:fill="FFFFFF"/>
        </w:rPr>
      </w:pPr>
      <w:r>
        <w:rPr>
          <w:rFonts w:eastAsia="Times New Roman" w:cstheme="minorHAnsi"/>
          <w:sz w:val="24"/>
          <w:szCs w:val="24"/>
          <w:shd w:val="clear" w:color="auto" w:fill="FFFFFF"/>
          <w:lang w:eastAsia="en-GB"/>
        </w:rPr>
        <w:t xml:space="preserve">Brink, H. and Walt, C. (2006) </w:t>
      </w:r>
      <w:r>
        <w:rPr>
          <w:rFonts w:eastAsia="Times New Roman" w:cstheme="minorHAnsi"/>
          <w:i/>
          <w:sz w:val="24"/>
          <w:szCs w:val="24"/>
          <w:shd w:val="clear" w:color="auto" w:fill="FFFFFF"/>
          <w:lang w:eastAsia="en-GB"/>
        </w:rPr>
        <w:t>Fundamentals of Research Methodology for Health Care Professionals.</w:t>
      </w:r>
      <w:r>
        <w:rPr>
          <w:rFonts w:eastAsia="Times New Roman" w:cstheme="minorHAnsi"/>
          <w:sz w:val="24"/>
          <w:szCs w:val="24"/>
          <w:shd w:val="clear" w:color="auto" w:fill="FFFFFF"/>
          <w:lang w:eastAsia="en-GB"/>
        </w:rPr>
        <w:t xml:space="preserve"> [E book]. Juta and Company Ltd. Available at: </w:t>
      </w:r>
      <w:r w:rsidRPr="005C059D">
        <w:rPr>
          <w:rFonts w:cstheme="minorHAnsi"/>
          <w:sz w:val="24"/>
          <w:szCs w:val="24"/>
          <w:shd w:val="clear" w:color="auto" w:fill="FFFFFF"/>
        </w:rPr>
        <w:t>https://books.google.co.uk/books?isbn=0702166804 (Accessed 12/12/18).</w:t>
      </w:r>
    </w:p>
    <w:p w:rsidR="00A94235" w:rsidRDefault="00A94235" w:rsidP="005C059D">
      <w:pPr>
        <w:rPr>
          <w:rFonts w:eastAsia="Times New Roman" w:cstheme="minorHAnsi"/>
          <w:sz w:val="24"/>
          <w:szCs w:val="24"/>
          <w:shd w:val="clear" w:color="auto" w:fill="FFFFFF"/>
          <w:lang w:eastAsia="en-GB"/>
        </w:rPr>
      </w:pPr>
      <w:r>
        <w:rPr>
          <w:rFonts w:eastAsia="Times New Roman" w:cstheme="minorHAnsi"/>
          <w:sz w:val="24"/>
          <w:szCs w:val="24"/>
          <w:shd w:val="clear" w:color="auto" w:fill="FFFFFF"/>
          <w:lang w:eastAsia="en-GB"/>
        </w:rPr>
        <w:t xml:space="preserve">Davies, N. and </w:t>
      </w:r>
      <w:proofErr w:type="spellStart"/>
      <w:r>
        <w:rPr>
          <w:rFonts w:eastAsia="Times New Roman" w:cstheme="minorHAnsi"/>
          <w:sz w:val="24"/>
          <w:szCs w:val="24"/>
          <w:shd w:val="clear" w:color="auto" w:fill="FFFFFF"/>
          <w:lang w:eastAsia="en-GB"/>
        </w:rPr>
        <w:t>Maio</w:t>
      </w:r>
      <w:proofErr w:type="spellEnd"/>
      <w:r>
        <w:rPr>
          <w:rFonts w:eastAsia="Times New Roman" w:cstheme="minorHAnsi"/>
          <w:sz w:val="24"/>
          <w:szCs w:val="24"/>
          <w:shd w:val="clear" w:color="auto" w:fill="FFFFFF"/>
          <w:lang w:eastAsia="en-GB"/>
        </w:rPr>
        <w:t xml:space="preserve">, L. (2014) Barriers to the provision of high-quality palliative care for people with dementia in England: a qualitative study of professionals’ experiences. </w:t>
      </w:r>
      <w:r>
        <w:rPr>
          <w:rFonts w:eastAsia="Times New Roman" w:cstheme="minorHAnsi"/>
          <w:i/>
          <w:sz w:val="24"/>
          <w:szCs w:val="24"/>
          <w:shd w:val="clear" w:color="auto" w:fill="FFFFFF"/>
          <w:lang w:eastAsia="en-GB"/>
        </w:rPr>
        <w:t>Heath and Social Care in the community.</w:t>
      </w:r>
      <w:r>
        <w:rPr>
          <w:rFonts w:eastAsia="Times New Roman" w:cstheme="minorHAnsi"/>
          <w:sz w:val="24"/>
          <w:szCs w:val="24"/>
          <w:shd w:val="clear" w:color="auto" w:fill="FFFFFF"/>
          <w:lang w:eastAsia="en-GB"/>
        </w:rPr>
        <w:t xml:space="preserve"> 22 (4) pp. 386–394. Available at: </w:t>
      </w:r>
      <w:r w:rsidRPr="00F37585">
        <w:rPr>
          <w:rFonts w:eastAsia="Times New Roman" w:cstheme="minorHAnsi"/>
          <w:sz w:val="24"/>
          <w:szCs w:val="24"/>
          <w:shd w:val="clear" w:color="auto" w:fill="FFFFFF"/>
          <w:lang w:eastAsia="en-GB"/>
        </w:rPr>
        <w:t>https://onlinelibrary-wiley-com.ezproxy.uwtsd.ac.uk/doi/full/10.1111/hsc.12094</w:t>
      </w:r>
      <w:r>
        <w:rPr>
          <w:rFonts w:eastAsia="Times New Roman" w:cstheme="minorHAnsi"/>
          <w:sz w:val="24"/>
          <w:szCs w:val="24"/>
          <w:shd w:val="clear" w:color="auto" w:fill="FFFFFF"/>
          <w:lang w:eastAsia="en-GB"/>
        </w:rPr>
        <w:t xml:space="preserve"> (Accessed 12/12/18).</w:t>
      </w:r>
    </w:p>
    <w:p w:rsidR="00A94235" w:rsidRDefault="00A94235" w:rsidP="000E0DBE">
      <w:pPr>
        <w:spacing w:after="0"/>
        <w:rPr>
          <w:rStyle w:val="HTMLCite"/>
          <w:rFonts w:cstheme="minorHAnsi"/>
          <w:i w:val="0"/>
          <w:iCs w:val="0"/>
          <w:sz w:val="24"/>
          <w:szCs w:val="24"/>
          <w:shd w:val="clear" w:color="auto" w:fill="FFFFFF"/>
        </w:rPr>
      </w:pPr>
      <w:r>
        <w:rPr>
          <w:rFonts w:eastAsia="Times New Roman" w:cstheme="minorHAnsi"/>
          <w:sz w:val="24"/>
          <w:szCs w:val="24"/>
          <w:shd w:val="clear" w:color="auto" w:fill="FFFFFF"/>
          <w:lang w:eastAsia="en-GB"/>
        </w:rPr>
        <w:t xml:space="preserve">Denscombe, M. (2014) </w:t>
      </w:r>
      <w:r>
        <w:rPr>
          <w:rFonts w:eastAsia="Times New Roman" w:cstheme="minorHAnsi"/>
          <w:i/>
          <w:sz w:val="24"/>
          <w:szCs w:val="24"/>
          <w:shd w:val="clear" w:color="auto" w:fill="FFFFFF"/>
          <w:lang w:eastAsia="en-GB"/>
        </w:rPr>
        <w:t xml:space="preserve">The Good Research Guide: For Small- scale Social research projects. </w:t>
      </w:r>
      <w:r>
        <w:rPr>
          <w:rFonts w:eastAsia="Times New Roman" w:cstheme="minorHAnsi"/>
          <w:sz w:val="24"/>
          <w:szCs w:val="24"/>
          <w:shd w:val="clear" w:color="auto" w:fill="FFFFFF"/>
          <w:lang w:eastAsia="en-GB"/>
        </w:rPr>
        <w:t xml:space="preserve">[E book]. UK: McGraw-Hill Education. Available at: </w:t>
      </w:r>
      <w:r w:rsidRPr="00286B73">
        <w:rPr>
          <w:rStyle w:val="HTMLCite"/>
          <w:rFonts w:cstheme="minorHAnsi"/>
          <w:i w:val="0"/>
          <w:iCs w:val="0"/>
          <w:sz w:val="24"/>
          <w:szCs w:val="24"/>
          <w:shd w:val="clear" w:color="auto" w:fill="FFFFFF"/>
        </w:rPr>
        <w:t>https://books.google.co.uk/books?isbn=0335264719</w:t>
      </w:r>
      <w:r>
        <w:rPr>
          <w:rStyle w:val="HTMLCite"/>
          <w:rFonts w:cstheme="minorHAnsi"/>
          <w:i w:val="0"/>
          <w:iCs w:val="0"/>
          <w:sz w:val="24"/>
          <w:szCs w:val="24"/>
          <w:shd w:val="clear" w:color="auto" w:fill="FFFFFF"/>
        </w:rPr>
        <w:t xml:space="preserve"> (Accessed 01/01/19).</w:t>
      </w:r>
    </w:p>
    <w:p w:rsidR="00A94235" w:rsidRDefault="00A94235" w:rsidP="001F7AE3">
      <w:pPr>
        <w:rPr>
          <w:rStyle w:val="HTMLCite"/>
          <w:rFonts w:cstheme="minorHAnsi"/>
          <w:i w:val="0"/>
          <w:iCs w:val="0"/>
          <w:sz w:val="24"/>
          <w:szCs w:val="24"/>
          <w:shd w:val="clear" w:color="auto" w:fill="FFFFFF"/>
        </w:rPr>
      </w:pPr>
      <w:r>
        <w:rPr>
          <w:rFonts w:eastAsia="Times New Roman" w:cstheme="minorHAnsi"/>
          <w:sz w:val="24"/>
          <w:szCs w:val="24"/>
          <w:shd w:val="clear" w:color="auto" w:fill="FFFFFF"/>
          <w:lang w:eastAsia="en-GB"/>
        </w:rPr>
        <w:t xml:space="preserve">Hart, C. (1998) </w:t>
      </w:r>
      <w:r>
        <w:rPr>
          <w:rFonts w:eastAsia="Times New Roman" w:cstheme="minorHAnsi"/>
          <w:i/>
          <w:sz w:val="24"/>
          <w:szCs w:val="24"/>
          <w:shd w:val="clear" w:color="auto" w:fill="FFFFFF"/>
          <w:lang w:eastAsia="en-GB"/>
        </w:rPr>
        <w:t xml:space="preserve">Doing a Literature Review: Releasing the Social Science Research Imagination. </w:t>
      </w:r>
      <w:r>
        <w:rPr>
          <w:rFonts w:eastAsia="Times New Roman" w:cstheme="minorHAnsi"/>
          <w:sz w:val="24"/>
          <w:szCs w:val="24"/>
          <w:shd w:val="clear" w:color="auto" w:fill="FFFFFF"/>
          <w:lang w:eastAsia="en-GB"/>
        </w:rPr>
        <w:t>[ E book].</w:t>
      </w:r>
      <w:r>
        <w:rPr>
          <w:rFonts w:eastAsia="Times New Roman" w:cstheme="minorHAnsi"/>
          <w:i/>
          <w:sz w:val="24"/>
          <w:szCs w:val="24"/>
          <w:shd w:val="clear" w:color="auto" w:fill="FFFFFF"/>
          <w:lang w:eastAsia="en-GB"/>
        </w:rPr>
        <w:t xml:space="preserve"> </w:t>
      </w:r>
      <w:r>
        <w:rPr>
          <w:rFonts w:eastAsia="Times New Roman" w:cstheme="minorHAnsi"/>
          <w:sz w:val="24"/>
          <w:szCs w:val="24"/>
          <w:shd w:val="clear" w:color="auto" w:fill="FFFFFF"/>
          <w:lang w:eastAsia="en-GB"/>
        </w:rPr>
        <w:t xml:space="preserve">SAGE. Available at: </w:t>
      </w:r>
      <w:r w:rsidRPr="00074327">
        <w:rPr>
          <w:rStyle w:val="HTMLCite"/>
          <w:rFonts w:cstheme="minorHAnsi"/>
          <w:i w:val="0"/>
          <w:iCs w:val="0"/>
          <w:sz w:val="24"/>
          <w:szCs w:val="24"/>
          <w:shd w:val="clear" w:color="auto" w:fill="FFFFFF"/>
        </w:rPr>
        <w:t>https://books.google.co.uk/books?isbn=1446229459</w:t>
      </w:r>
      <w:r>
        <w:rPr>
          <w:rStyle w:val="HTMLCite"/>
          <w:rFonts w:cstheme="minorHAnsi"/>
          <w:i w:val="0"/>
          <w:iCs w:val="0"/>
          <w:sz w:val="24"/>
          <w:szCs w:val="24"/>
          <w:shd w:val="clear" w:color="auto" w:fill="FFFFFF"/>
        </w:rPr>
        <w:t xml:space="preserve"> (Accessed 31/12/18).</w:t>
      </w:r>
    </w:p>
    <w:p w:rsidR="00A94235" w:rsidRDefault="00A94235" w:rsidP="00B86A95">
      <w:pPr>
        <w:rPr>
          <w:rStyle w:val="HTMLCite"/>
          <w:rFonts w:cstheme="minorHAnsi"/>
          <w:i w:val="0"/>
          <w:iCs w:val="0"/>
          <w:sz w:val="24"/>
          <w:szCs w:val="24"/>
          <w:shd w:val="clear" w:color="auto" w:fill="FFFFFF"/>
        </w:rPr>
      </w:pPr>
      <w:r>
        <w:rPr>
          <w:rFonts w:eastAsia="Times New Roman" w:cstheme="minorHAnsi"/>
          <w:sz w:val="24"/>
          <w:szCs w:val="24"/>
          <w:shd w:val="clear" w:color="auto" w:fill="FFFFFF"/>
          <w:lang w:eastAsia="en-GB"/>
        </w:rPr>
        <w:t xml:space="preserve">Helen, A. (2014). </w:t>
      </w:r>
      <w:r>
        <w:rPr>
          <w:rFonts w:eastAsia="Times New Roman" w:cstheme="minorHAnsi"/>
          <w:i/>
          <w:sz w:val="24"/>
          <w:szCs w:val="24"/>
          <w:shd w:val="clear" w:color="auto" w:fill="FFFFFF"/>
          <w:lang w:eastAsia="en-GB"/>
        </w:rPr>
        <w:t>Doing A Literature Review In Health And Social Care: A Practical Guide.</w:t>
      </w:r>
      <w:r>
        <w:rPr>
          <w:rFonts w:eastAsia="Times New Roman" w:cstheme="minorHAnsi"/>
          <w:sz w:val="24"/>
          <w:szCs w:val="24"/>
          <w:shd w:val="clear" w:color="auto" w:fill="FFFFFF"/>
          <w:lang w:eastAsia="en-GB"/>
        </w:rPr>
        <w:t xml:space="preserve"> [E book]. 3</w:t>
      </w:r>
      <w:r w:rsidRPr="00B86A95">
        <w:rPr>
          <w:rFonts w:eastAsia="Times New Roman" w:cstheme="minorHAnsi"/>
          <w:sz w:val="24"/>
          <w:szCs w:val="24"/>
          <w:shd w:val="clear" w:color="auto" w:fill="FFFFFF"/>
          <w:vertAlign w:val="superscript"/>
          <w:lang w:eastAsia="en-GB"/>
        </w:rPr>
        <w:t>rd</w:t>
      </w:r>
      <w:r>
        <w:rPr>
          <w:rFonts w:eastAsia="Times New Roman" w:cstheme="minorHAnsi"/>
          <w:sz w:val="24"/>
          <w:szCs w:val="24"/>
          <w:shd w:val="clear" w:color="auto" w:fill="FFFFFF"/>
          <w:lang w:eastAsia="en-GB"/>
        </w:rPr>
        <w:t xml:space="preserve"> Ed. UK: McGraw-Hill Education. Available at:</w:t>
      </w:r>
      <w:r w:rsidRPr="00B86A95">
        <w:t xml:space="preserve"> </w:t>
      </w:r>
      <w:r w:rsidRPr="00B86A95">
        <w:rPr>
          <w:rStyle w:val="HTMLCite"/>
          <w:rFonts w:cstheme="minorHAnsi"/>
          <w:i w:val="0"/>
          <w:iCs w:val="0"/>
          <w:sz w:val="24"/>
          <w:szCs w:val="24"/>
          <w:shd w:val="clear" w:color="auto" w:fill="FFFFFF"/>
        </w:rPr>
        <w:t>https://books.google.co.uk/books?isbn=0335263070</w:t>
      </w:r>
      <w:r>
        <w:rPr>
          <w:rStyle w:val="HTMLCite"/>
          <w:rFonts w:cstheme="minorHAnsi"/>
          <w:i w:val="0"/>
          <w:iCs w:val="0"/>
          <w:sz w:val="24"/>
          <w:szCs w:val="24"/>
          <w:shd w:val="clear" w:color="auto" w:fill="FFFFFF"/>
        </w:rPr>
        <w:t xml:space="preserve"> (Accessed 13/12/18).</w:t>
      </w:r>
    </w:p>
    <w:p w:rsidR="00A94235" w:rsidRDefault="00A94235" w:rsidP="000E0DBE">
      <w:pPr>
        <w:spacing w:after="0"/>
        <w:rPr>
          <w:rFonts w:eastAsiaTheme="minorEastAsia"/>
          <w:sz w:val="24"/>
          <w:szCs w:val="24"/>
        </w:rPr>
      </w:pPr>
      <w:r w:rsidRPr="000E0DBE">
        <w:rPr>
          <w:rFonts w:eastAsiaTheme="minorEastAsia"/>
          <w:sz w:val="24"/>
          <w:szCs w:val="24"/>
        </w:rPr>
        <w:t xml:space="preserve">Miller, R L. and Brewer, J D. (Ed) (2003) </w:t>
      </w:r>
      <w:r w:rsidRPr="000E0DBE">
        <w:rPr>
          <w:rFonts w:eastAsiaTheme="minorEastAsia"/>
          <w:i/>
          <w:sz w:val="24"/>
          <w:szCs w:val="24"/>
        </w:rPr>
        <w:t>The A-Z of Social Research.</w:t>
      </w:r>
      <w:r w:rsidRPr="000E0DBE">
        <w:rPr>
          <w:rFonts w:eastAsiaTheme="minorEastAsia"/>
          <w:sz w:val="24"/>
          <w:szCs w:val="24"/>
        </w:rPr>
        <w:t xml:space="preserve"> London: SAGE.</w:t>
      </w:r>
    </w:p>
    <w:p w:rsidR="00A94235" w:rsidRPr="00E836C9" w:rsidRDefault="00A94235" w:rsidP="00E836C9">
      <w:pPr>
        <w:rPr>
          <w:rFonts w:cstheme="minorHAnsi"/>
          <w:sz w:val="24"/>
          <w:szCs w:val="24"/>
          <w:shd w:val="clear" w:color="auto" w:fill="FFFFFF"/>
        </w:rPr>
      </w:pPr>
      <w:r>
        <w:rPr>
          <w:rFonts w:eastAsiaTheme="minorEastAsia"/>
          <w:sz w:val="24"/>
          <w:szCs w:val="24"/>
        </w:rPr>
        <w:t xml:space="preserve">Singh, R. and Mangat, N,S. (1996) </w:t>
      </w:r>
      <w:r>
        <w:rPr>
          <w:rFonts w:eastAsiaTheme="minorEastAsia"/>
          <w:i/>
          <w:sz w:val="24"/>
          <w:szCs w:val="24"/>
        </w:rPr>
        <w:t xml:space="preserve">Elements of Survey Sampling. </w:t>
      </w:r>
      <w:r>
        <w:rPr>
          <w:rFonts w:eastAsiaTheme="minorEastAsia"/>
          <w:sz w:val="24"/>
          <w:szCs w:val="24"/>
        </w:rPr>
        <w:t xml:space="preserve">[E books]. Springer </w:t>
      </w:r>
      <w:proofErr w:type="spellStart"/>
      <w:r>
        <w:rPr>
          <w:rFonts w:eastAsiaTheme="minorEastAsia"/>
          <w:sz w:val="24"/>
          <w:szCs w:val="24"/>
        </w:rPr>
        <w:t>Sience</w:t>
      </w:r>
      <w:proofErr w:type="spellEnd"/>
      <w:r>
        <w:rPr>
          <w:rFonts w:eastAsiaTheme="minorEastAsia"/>
          <w:sz w:val="24"/>
          <w:szCs w:val="24"/>
        </w:rPr>
        <w:t xml:space="preserve"> &amp; Business Media. Available at: </w:t>
      </w:r>
      <w:r w:rsidRPr="00E836C9">
        <w:rPr>
          <w:rStyle w:val="HTMLCite"/>
          <w:rFonts w:cstheme="minorHAnsi"/>
          <w:i w:val="0"/>
          <w:iCs w:val="0"/>
          <w:sz w:val="24"/>
          <w:szCs w:val="24"/>
          <w:shd w:val="clear" w:color="auto" w:fill="FFFFFF"/>
        </w:rPr>
        <w:t xml:space="preserve">https://books.google.co.uk/books?isbn=0792340450 </w:t>
      </w:r>
      <w:r>
        <w:rPr>
          <w:rStyle w:val="HTMLCite"/>
          <w:rFonts w:cstheme="minorHAnsi"/>
          <w:i w:val="0"/>
          <w:iCs w:val="0"/>
          <w:sz w:val="24"/>
          <w:szCs w:val="24"/>
          <w:shd w:val="clear" w:color="auto" w:fill="FFFFFF"/>
        </w:rPr>
        <w:t>(Accessed 02/01/19).</w:t>
      </w:r>
    </w:p>
    <w:p w:rsidR="00A94235" w:rsidRDefault="00A94235" w:rsidP="00767D18">
      <w:pPr>
        <w:rPr>
          <w:rFonts w:eastAsia="Times New Roman" w:cstheme="minorHAnsi"/>
          <w:sz w:val="24"/>
          <w:szCs w:val="24"/>
          <w:shd w:val="clear" w:color="auto" w:fill="FFFFFF"/>
          <w:lang w:eastAsia="en-GB"/>
        </w:rPr>
      </w:pPr>
      <w:r>
        <w:rPr>
          <w:sz w:val="24"/>
          <w:szCs w:val="24"/>
        </w:rPr>
        <w:t xml:space="preserve">Walsh, M. and Wigens, L. (2003) </w:t>
      </w:r>
      <w:r>
        <w:rPr>
          <w:i/>
          <w:sz w:val="24"/>
          <w:szCs w:val="24"/>
        </w:rPr>
        <w:t>Introduction to Research</w:t>
      </w:r>
      <w:r>
        <w:rPr>
          <w:sz w:val="24"/>
          <w:szCs w:val="24"/>
        </w:rPr>
        <w:t xml:space="preserve">. [E book]. Oxford University Press: Nelson Thornes. Available at: </w:t>
      </w:r>
      <w:r w:rsidRPr="00767D18">
        <w:rPr>
          <w:rFonts w:eastAsia="Times New Roman" w:cstheme="minorHAnsi"/>
          <w:sz w:val="24"/>
          <w:szCs w:val="24"/>
          <w:shd w:val="clear" w:color="auto" w:fill="FFFFFF"/>
          <w:lang w:eastAsia="en-GB"/>
        </w:rPr>
        <w:t>https://books.google.co.uk/books?isbn=0748771182</w:t>
      </w:r>
      <w:r>
        <w:rPr>
          <w:rFonts w:eastAsia="Times New Roman" w:cstheme="minorHAnsi"/>
          <w:sz w:val="24"/>
          <w:szCs w:val="24"/>
          <w:shd w:val="clear" w:color="auto" w:fill="FFFFFF"/>
          <w:lang w:eastAsia="en-GB"/>
        </w:rPr>
        <w:t xml:space="preserve"> (Accessed 11/12/18).</w:t>
      </w:r>
    </w:p>
    <w:p w:rsidR="000E0DBE" w:rsidRPr="00E836C9" w:rsidRDefault="000E0DBE" w:rsidP="00E836C9">
      <w:pPr>
        <w:spacing w:after="0"/>
        <w:rPr>
          <w:rFonts w:eastAsiaTheme="minorEastAsia"/>
          <w:sz w:val="24"/>
          <w:szCs w:val="24"/>
        </w:rPr>
      </w:pPr>
    </w:p>
    <w:p w:rsidR="000E0DBE" w:rsidRPr="00286B73" w:rsidRDefault="000E0DBE" w:rsidP="00E836C9">
      <w:pPr>
        <w:rPr>
          <w:rFonts w:ascii="Arial" w:hAnsi="Arial" w:cs="Arial"/>
          <w:shd w:val="clear" w:color="auto" w:fill="FFFFFF"/>
        </w:rPr>
      </w:pPr>
    </w:p>
    <w:p w:rsidR="000B6BA8" w:rsidRPr="00286B73" w:rsidRDefault="000B6BA8" w:rsidP="00286B73">
      <w:pPr>
        <w:rPr>
          <w:rFonts w:eastAsia="Times New Roman" w:cstheme="minorHAnsi"/>
          <w:sz w:val="24"/>
          <w:szCs w:val="24"/>
          <w:shd w:val="clear" w:color="auto" w:fill="FFFFFF"/>
          <w:lang w:eastAsia="en-GB"/>
        </w:rPr>
      </w:pPr>
    </w:p>
    <w:p w:rsidR="005C059D" w:rsidRPr="00043038" w:rsidRDefault="005C059D" w:rsidP="005C059D">
      <w:pPr>
        <w:rPr>
          <w:rFonts w:eastAsia="Times New Roman" w:cstheme="minorHAnsi"/>
          <w:sz w:val="24"/>
          <w:szCs w:val="24"/>
          <w:shd w:val="clear" w:color="auto" w:fill="FFFFFF"/>
          <w:lang w:eastAsia="en-GB"/>
        </w:rPr>
      </w:pPr>
      <w:r w:rsidRPr="00043038">
        <w:rPr>
          <w:rFonts w:eastAsia="Times New Roman" w:cstheme="minorHAnsi"/>
          <w:sz w:val="24"/>
          <w:szCs w:val="24"/>
          <w:shd w:val="clear" w:color="auto" w:fill="FFFFFF"/>
          <w:lang w:eastAsia="en-GB"/>
        </w:rPr>
        <w:t xml:space="preserve"> </w:t>
      </w:r>
    </w:p>
    <w:p w:rsidR="006547CC" w:rsidRPr="00043038" w:rsidRDefault="006547CC" w:rsidP="005C059D">
      <w:pPr>
        <w:rPr>
          <w:rFonts w:eastAsia="Times New Roman" w:cstheme="minorHAnsi"/>
          <w:sz w:val="24"/>
          <w:szCs w:val="24"/>
          <w:shd w:val="clear" w:color="auto" w:fill="FFFFFF"/>
          <w:lang w:eastAsia="en-GB"/>
        </w:rPr>
      </w:pPr>
    </w:p>
    <w:sectPr w:rsidR="006547CC" w:rsidRPr="000430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94235" w:rsidRDefault="00A94235" w:rsidP="00A94235">
      <w:pPr>
        <w:spacing w:after="0" w:line="240" w:lineRule="auto"/>
      </w:pPr>
      <w:r>
        <w:separator/>
      </w:r>
    </w:p>
  </w:endnote>
  <w:endnote w:type="continuationSeparator" w:id="0">
    <w:p w:rsidR="00A94235" w:rsidRDefault="00A94235" w:rsidP="00A942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94235" w:rsidRDefault="00A94235" w:rsidP="00A94235">
      <w:pPr>
        <w:spacing w:after="0" w:line="240" w:lineRule="auto"/>
      </w:pPr>
      <w:r>
        <w:separator/>
      </w:r>
    </w:p>
  </w:footnote>
  <w:footnote w:type="continuationSeparator" w:id="0">
    <w:p w:rsidR="00A94235" w:rsidRDefault="00A94235" w:rsidP="00A9423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804"/>
    <w:rsid w:val="00030720"/>
    <w:rsid w:val="00043038"/>
    <w:rsid w:val="00074327"/>
    <w:rsid w:val="000A0804"/>
    <w:rsid w:val="000B68CB"/>
    <w:rsid w:val="000B6BA8"/>
    <w:rsid w:val="000E0DBE"/>
    <w:rsid w:val="000F39EF"/>
    <w:rsid w:val="000F6607"/>
    <w:rsid w:val="000F701F"/>
    <w:rsid w:val="00122B84"/>
    <w:rsid w:val="00194E2F"/>
    <w:rsid w:val="00197C9C"/>
    <w:rsid w:val="001C462D"/>
    <w:rsid w:val="001F6C95"/>
    <w:rsid w:val="001F7AE3"/>
    <w:rsid w:val="001F7EE5"/>
    <w:rsid w:val="0021200E"/>
    <w:rsid w:val="00286B73"/>
    <w:rsid w:val="002B34E2"/>
    <w:rsid w:val="002D5CDA"/>
    <w:rsid w:val="0031750B"/>
    <w:rsid w:val="00332AE1"/>
    <w:rsid w:val="00340D7C"/>
    <w:rsid w:val="00346B85"/>
    <w:rsid w:val="003615B3"/>
    <w:rsid w:val="003D731E"/>
    <w:rsid w:val="00440BEE"/>
    <w:rsid w:val="004672F4"/>
    <w:rsid w:val="004713CC"/>
    <w:rsid w:val="004F35BB"/>
    <w:rsid w:val="00516E3D"/>
    <w:rsid w:val="00522EFE"/>
    <w:rsid w:val="005465CB"/>
    <w:rsid w:val="005B69B3"/>
    <w:rsid w:val="005C059D"/>
    <w:rsid w:val="00620456"/>
    <w:rsid w:val="00632D24"/>
    <w:rsid w:val="006503AA"/>
    <w:rsid w:val="006547CC"/>
    <w:rsid w:val="006A05DF"/>
    <w:rsid w:val="006B2539"/>
    <w:rsid w:val="006D1CF1"/>
    <w:rsid w:val="006E036C"/>
    <w:rsid w:val="00767D18"/>
    <w:rsid w:val="007C5F91"/>
    <w:rsid w:val="008072FF"/>
    <w:rsid w:val="008414E2"/>
    <w:rsid w:val="00851C28"/>
    <w:rsid w:val="00860A2D"/>
    <w:rsid w:val="00885316"/>
    <w:rsid w:val="00885EC1"/>
    <w:rsid w:val="00895700"/>
    <w:rsid w:val="00897639"/>
    <w:rsid w:val="008F35F3"/>
    <w:rsid w:val="00900DD1"/>
    <w:rsid w:val="009041FA"/>
    <w:rsid w:val="00907FB8"/>
    <w:rsid w:val="00932F9A"/>
    <w:rsid w:val="009554BB"/>
    <w:rsid w:val="00966538"/>
    <w:rsid w:val="009919CC"/>
    <w:rsid w:val="009C0DA4"/>
    <w:rsid w:val="00A135D3"/>
    <w:rsid w:val="00A9374E"/>
    <w:rsid w:val="00A94235"/>
    <w:rsid w:val="00AB2DB5"/>
    <w:rsid w:val="00B01C78"/>
    <w:rsid w:val="00B06303"/>
    <w:rsid w:val="00B1039F"/>
    <w:rsid w:val="00B31204"/>
    <w:rsid w:val="00B86A95"/>
    <w:rsid w:val="00BF03EB"/>
    <w:rsid w:val="00C14168"/>
    <w:rsid w:val="00C63932"/>
    <w:rsid w:val="00CA1D28"/>
    <w:rsid w:val="00D119DF"/>
    <w:rsid w:val="00D9292E"/>
    <w:rsid w:val="00DC5A1E"/>
    <w:rsid w:val="00DD6E83"/>
    <w:rsid w:val="00DE0941"/>
    <w:rsid w:val="00DF2B64"/>
    <w:rsid w:val="00E15E7A"/>
    <w:rsid w:val="00E51730"/>
    <w:rsid w:val="00E836C9"/>
    <w:rsid w:val="00EB1379"/>
    <w:rsid w:val="00F32A58"/>
    <w:rsid w:val="00F37585"/>
    <w:rsid w:val="00F467A7"/>
    <w:rsid w:val="00F63D6A"/>
    <w:rsid w:val="00F70070"/>
    <w:rsid w:val="00F93B83"/>
    <w:rsid w:val="00FE0E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C6EA4C"/>
  <w15:chartTrackingRefBased/>
  <w15:docId w15:val="{C427AD38-457B-45D9-8278-FC2475E08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7D18"/>
    <w:rPr>
      <w:color w:val="0000FF"/>
      <w:u w:val="single"/>
    </w:rPr>
  </w:style>
  <w:style w:type="character" w:styleId="HTMLCite">
    <w:name w:val="HTML Cite"/>
    <w:basedOn w:val="DefaultParagraphFont"/>
    <w:uiPriority w:val="99"/>
    <w:semiHidden/>
    <w:unhideWhenUsed/>
    <w:rsid w:val="00767D18"/>
    <w:rPr>
      <w:i/>
      <w:iCs/>
    </w:rPr>
  </w:style>
  <w:style w:type="character" w:styleId="UnresolvedMention">
    <w:name w:val="Unresolved Mention"/>
    <w:basedOn w:val="DefaultParagraphFont"/>
    <w:uiPriority w:val="99"/>
    <w:semiHidden/>
    <w:unhideWhenUsed/>
    <w:rsid w:val="00767D18"/>
    <w:rPr>
      <w:color w:val="605E5C"/>
      <w:shd w:val="clear" w:color="auto" w:fill="E1DFDD"/>
    </w:rPr>
  </w:style>
  <w:style w:type="paragraph" w:styleId="Header">
    <w:name w:val="header"/>
    <w:basedOn w:val="Normal"/>
    <w:link w:val="HeaderChar"/>
    <w:uiPriority w:val="99"/>
    <w:unhideWhenUsed/>
    <w:rsid w:val="00A942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4235"/>
  </w:style>
  <w:style w:type="paragraph" w:styleId="Footer">
    <w:name w:val="footer"/>
    <w:basedOn w:val="Normal"/>
    <w:link w:val="FooterChar"/>
    <w:uiPriority w:val="99"/>
    <w:unhideWhenUsed/>
    <w:rsid w:val="00A942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42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25752">
      <w:bodyDiv w:val="1"/>
      <w:marLeft w:val="0"/>
      <w:marRight w:val="0"/>
      <w:marTop w:val="0"/>
      <w:marBottom w:val="0"/>
      <w:divBdr>
        <w:top w:val="none" w:sz="0" w:space="0" w:color="auto"/>
        <w:left w:val="none" w:sz="0" w:space="0" w:color="auto"/>
        <w:bottom w:val="none" w:sz="0" w:space="0" w:color="auto"/>
        <w:right w:val="none" w:sz="0" w:space="0" w:color="auto"/>
      </w:divBdr>
      <w:divsChild>
        <w:div w:id="809249695">
          <w:marLeft w:val="0"/>
          <w:marRight w:val="0"/>
          <w:marTop w:val="0"/>
          <w:marBottom w:val="0"/>
          <w:divBdr>
            <w:top w:val="none" w:sz="0" w:space="0" w:color="auto"/>
            <w:left w:val="none" w:sz="0" w:space="0" w:color="auto"/>
            <w:bottom w:val="none" w:sz="0" w:space="0" w:color="auto"/>
            <w:right w:val="none" w:sz="0" w:space="0" w:color="auto"/>
          </w:divBdr>
        </w:div>
      </w:divsChild>
    </w:div>
    <w:div w:id="730428144">
      <w:bodyDiv w:val="1"/>
      <w:marLeft w:val="0"/>
      <w:marRight w:val="0"/>
      <w:marTop w:val="0"/>
      <w:marBottom w:val="0"/>
      <w:divBdr>
        <w:top w:val="none" w:sz="0" w:space="0" w:color="auto"/>
        <w:left w:val="none" w:sz="0" w:space="0" w:color="auto"/>
        <w:bottom w:val="none" w:sz="0" w:space="0" w:color="auto"/>
        <w:right w:val="none" w:sz="0" w:space="0" w:color="auto"/>
      </w:divBdr>
      <w:divsChild>
        <w:div w:id="418138508">
          <w:marLeft w:val="0"/>
          <w:marRight w:val="0"/>
          <w:marTop w:val="0"/>
          <w:marBottom w:val="0"/>
          <w:divBdr>
            <w:top w:val="none" w:sz="0" w:space="0" w:color="auto"/>
            <w:left w:val="none" w:sz="0" w:space="0" w:color="auto"/>
            <w:bottom w:val="none" w:sz="0" w:space="0" w:color="auto"/>
            <w:right w:val="none" w:sz="0" w:space="0" w:color="auto"/>
          </w:divBdr>
        </w:div>
      </w:divsChild>
    </w:div>
    <w:div w:id="915555276">
      <w:bodyDiv w:val="1"/>
      <w:marLeft w:val="0"/>
      <w:marRight w:val="0"/>
      <w:marTop w:val="0"/>
      <w:marBottom w:val="0"/>
      <w:divBdr>
        <w:top w:val="none" w:sz="0" w:space="0" w:color="auto"/>
        <w:left w:val="none" w:sz="0" w:space="0" w:color="auto"/>
        <w:bottom w:val="none" w:sz="0" w:space="0" w:color="auto"/>
        <w:right w:val="none" w:sz="0" w:space="0" w:color="auto"/>
      </w:divBdr>
      <w:divsChild>
        <w:div w:id="1061559619">
          <w:marLeft w:val="0"/>
          <w:marRight w:val="0"/>
          <w:marTop w:val="0"/>
          <w:marBottom w:val="0"/>
          <w:divBdr>
            <w:top w:val="none" w:sz="0" w:space="0" w:color="auto"/>
            <w:left w:val="none" w:sz="0" w:space="0" w:color="auto"/>
            <w:bottom w:val="none" w:sz="0" w:space="0" w:color="auto"/>
            <w:right w:val="none" w:sz="0" w:space="0" w:color="auto"/>
          </w:divBdr>
        </w:div>
      </w:divsChild>
    </w:div>
    <w:div w:id="927272629">
      <w:bodyDiv w:val="1"/>
      <w:marLeft w:val="0"/>
      <w:marRight w:val="0"/>
      <w:marTop w:val="0"/>
      <w:marBottom w:val="0"/>
      <w:divBdr>
        <w:top w:val="none" w:sz="0" w:space="0" w:color="auto"/>
        <w:left w:val="none" w:sz="0" w:space="0" w:color="auto"/>
        <w:bottom w:val="none" w:sz="0" w:space="0" w:color="auto"/>
        <w:right w:val="none" w:sz="0" w:space="0" w:color="auto"/>
      </w:divBdr>
      <w:divsChild>
        <w:div w:id="1039209938">
          <w:marLeft w:val="0"/>
          <w:marRight w:val="0"/>
          <w:marTop w:val="0"/>
          <w:marBottom w:val="0"/>
          <w:divBdr>
            <w:top w:val="none" w:sz="0" w:space="0" w:color="auto"/>
            <w:left w:val="none" w:sz="0" w:space="0" w:color="auto"/>
            <w:bottom w:val="none" w:sz="0" w:space="0" w:color="auto"/>
            <w:right w:val="none" w:sz="0" w:space="0" w:color="auto"/>
          </w:divBdr>
        </w:div>
      </w:divsChild>
    </w:div>
    <w:div w:id="970474083">
      <w:bodyDiv w:val="1"/>
      <w:marLeft w:val="0"/>
      <w:marRight w:val="0"/>
      <w:marTop w:val="0"/>
      <w:marBottom w:val="0"/>
      <w:divBdr>
        <w:top w:val="none" w:sz="0" w:space="0" w:color="auto"/>
        <w:left w:val="none" w:sz="0" w:space="0" w:color="auto"/>
        <w:bottom w:val="none" w:sz="0" w:space="0" w:color="auto"/>
        <w:right w:val="none" w:sz="0" w:space="0" w:color="auto"/>
      </w:divBdr>
      <w:divsChild>
        <w:div w:id="1704478029">
          <w:marLeft w:val="0"/>
          <w:marRight w:val="0"/>
          <w:marTop w:val="0"/>
          <w:marBottom w:val="0"/>
          <w:divBdr>
            <w:top w:val="none" w:sz="0" w:space="0" w:color="auto"/>
            <w:left w:val="none" w:sz="0" w:space="0" w:color="auto"/>
            <w:bottom w:val="none" w:sz="0" w:space="0" w:color="auto"/>
            <w:right w:val="none" w:sz="0" w:space="0" w:color="auto"/>
          </w:divBdr>
        </w:div>
      </w:divsChild>
    </w:div>
    <w:div w:id="1098332133">
      <w:bodyDiv w:val="1"/>
      <w:marLeft w:val="0"/>
      <w:marRight w:val="0"/>
      <w:marTop w:val="0"/>
      <w:marBottom w:val="0"/>
      <w:divBdr>
        <w:top w:val="none" w:sz="0" w:space="0" w:color="auto"/>
        <w:left w:val="none" w:sz="0" w:space="0" w:color="auto"/>
        <w:bottom w:val="none" w:sz="0" w:space="0" w:color="auto"/>
        <w:right w:val="none" w:sz="0" w:space="0" w:color="auto"/>
      </w:divBdr>
      <w:divsChild>
        <w:div w:id="862984546">
          <w:marLeft w:val="0"/>
          <w:marRight w:val="0"/>
          <w:marTop w:val="0"/>
          <w:marBottom w:val="0"/>
          <w:divBdr>
            <w:top w:val="none" w:sz="0" w:space="0" w:color="auto"/>
            <w:left w:val="none" w:sz="0" w:space="0" w:color="auto"/>
            <w:bottom w:val="none" w:sz="0" w:space="0" w:color="auto"/>
            <w:right w:val="none" w:sz="0" w:space="0" w:color="auto"/>
          </w:divBdr>
        </w:div>
      </w:divsChild>
    </w:div>
    <w:div w:id="1372193650">
      <w:bodyDiv w:val="1"/>
      <w:marLeft w:val="0"/>
      <w:marRight w:val="0"/>
      <w:marTop w:val="0"/>
      <w:marBottom w:val="0"/>
      <w:divBdr>
        <w:top w:val="none" w:sz="0" w:space="0" w:color="auto"/>
        <w:left w:val="none" w:sz="0" w:space="0" w:color="auto"/>
        <w:bottom w:val="none" w:sz="0" w:space="0" w:color="auto"/>
        <w:right w:val="none" w:sz="0" w:space="0" w:color="auto"/>
      </w:divBdr>
      <w:divsChild>
        <w:div w:id="1299843271">
          <w:marLeft w:val="0"/>
          <w:marRight w:val="0"/>
          <w:marTop w:val="0"/>
          <w:marBottom w:val="0"/>
          <w:divBdr>
            <w:top w:val="none" w:sz="0" w:space="0" w:color="auto"/>
            <w:left w:val="none" w:sz="0" w:space="0" w:color="auto"/>
            <w:bottom w:val="none" w:sz="0" w:space="0" w:color="auto"/>
            <w:right w:val="none" w:sz="0" w:space="0" w:color="auto"/>
          </w:divBdr>
        </w:div>
      </w:divsChild>
    </w:div>
    <w:div w:id="1398164603">
      <w:bodyDiv w:val="1"/>
      <w:marLeft w:val="0"/>
      <w:marRight w:val="0"/>
      <w:marTop w:val="0"/>
      <w:marBottom w:val="0"/>
      <w:divBdr>
        <w:top w:val="none" w:sz="0" w:space="0" w:color="auto"/>
        <w:left w:val="none" w:sz="0" w:space="0" w:color="auto"/>
        <w:bottom w:val="none" w:sz="0" w:space="0" w:color="auto"/>
        <w:right w:val="none" w:sz="0" w:space="0" w:color="auto"/>
      </w:divBdr>
      <w:divsChild>
        <w:div w:id="2027360566">
          <w:marLeft w:val="0"/>
          <w:marRight w:val="0"/>
          <w:marTop w:val="0"/>
          <w:marBottom w:val="0"/>
          <w:divBdr>
            <w:top w:val="none" w:sz="0" w:space="0" w:color="auto"/>
            <w:left w:val="none" w:sz="0" w:space="0" w:color="auto"/>
            <w:bottom w:val="none" w:sz="0" w:space="0" w:color="auto"/>
            <w:right w:val="none" w:sz="0" w:space="0" w:color="auto"/>
          </w:divBdr>
        </w:div>
      </w:divsChild>
    </w:div>
    <w:div w:id="1724521316">
      <w:bodyDiv w:val="1"/>
      <w:marLeft w:val="0"/>
      <w:marRight w:val="0"/>
      <w:marTop w:val="0"/>
      <w:marBottom w:val="0"/>
      <w:divBdr>
        <w:top w:val="none" w:sz="0" w:space="0" w:color="auto"/>
        <w:left w:val="none" w:sz="0" w:space="0" w:color="auto"/>
        <w:bottom w:val="none" w:sz="0" w:space="0" w:color="auto"/>
        <w:right w:val="none" w:sz="0" w:space="0" w:color="auto"/>
      </w:divBdr>
      <w:divsChild>
        <w:div w:id="515735203">
          <w:marLeft w:val="0"/>
          <w:marRight w:val="0"/>
          <w:marTop w:val="0"/>
          <w:marBottom w:val="0"/>
          <w:divBdr>
            <w:top w:val="none" w:sz="0" w:space="0" w:color="auto"/>
            <w:left w:val="none" w:sz="0" w:space="0" w:color="auto"/>
            <w:bottom w:val="none" w:sz="0" w:space="0" w:color="auto"/>
            <w:right w:val="none" w:sz="0" w:space="0" w:color="auto"/>
          </w:divBdr>
        </w:div>
      </w:divsChild>
    </w:div>
    <w:div w:id="1920164772">
      <w:bodyDiv w:val="1"/>
      <w:marLeft w:val="0"/>
      <w:marRight w:val="0"/>
      <w:marTop w:val="0"/>
      <w:marBottom w:val="0"/>
      <w:divBdr>
        <w:top w:val="none" w:sz="0" w:space="0" w:color="auto"/>
        <w:left w:val="none" w:sz="0" w:space="0" w:color="auto"/>
        <w:bottom w:val="none" w:sz="0" w:space="0" w:color="auto"/>
        <w:right w:val="none" w:sz="0" w:space="0" w:color="auto"/>
      </w:divBdr>
      <w:divsChild>
        <w:div w:id="8226270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2014</Words>
  <Characters>11486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Rooksana Ali</dc:creator>
  <cp:keywords/>
  <dc:description/>
  <cp:lastModifiedBy>Rooksana Ali</cp:lastModifiedBy>
  <cp:revision>2</cp:revision>
  <dcterms:created xsi:type="dcterms:W3CDTF">2019-01-11T23:43:00Z</dcterms:created>
  <dcterms:modified xsi:type="dcterms:W3CDTF">2019-01-11T23:43:00Z</dcterms:modified>
</cp:coreProperties>
</file>