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EA6DD9" w:rsidRDefault="00563B58" w:rsidP="00340E9A">
      <w:pPr>
        <w:ind w:right="237"/>
        <w:rPr>
          <w:color w:val="FF0000"/>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56132BD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w:t>
            </w:r>
            <w:r w:rsidR="00057603">
              <w:rPr>
                <w:b/>
                <w:color w:val="auto"/>
                <w:sz w:val="32"/>
              </w:rPr>
              <w:t>Neringa Miliukaite</w:t>
            </w:r>
            <w:r w:rsidR="005A1BA3">
              <w:rPr>
                <w:b/>
                <w:color w:val="auto"/>
                <w:sz w:val="32"/>
              </w:rPr>
              <w:t>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2A45E41" w:rsidR="005A1BA3" w:rsidRDefault="005A1BA3" w:rsidP="00340E9A">
            <w:pPr>
              <w:overflowPunct/>
              <w:autoSpaceDE/>
              <w:autoSpaceDN/>
              <w:adjustRightInd/>
              <w:ind w:right="237"/>
              <w:textAlignment w:val="auto"/>
              <w:rPr>
                <w:b/>
                <w:color w:val="auto"/>
                <w:sz w:val="32"/>
              </w:rPr>
            </w:pPr>
            <w:r>
              <w:rPr>
                <w:b/>
                <w:color w:val="auto"/>
                <w:sz w:val="32"/>
              </w:rPr>
              <w:t>__________________</w:t>
            </w:r>
            <w:r w:rsidR="00057603">
              <w:rPr>
                <w:b/>
                <w:color w:val="auto"/>
                <w:sz w:val="32"/>
              </w:rPr>
              <w:t>2029649</w:t>
            </w:r>
            <w:r>
              <w:rPr>
                <w:b/>
                <w:color w:val="auto"/>
                <w:sz w:val="32"/>
              </w:rPr>
              <w:t>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7A6EBF"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1707838D" w14:textId="77777777" w:rsidR="009A3B38" w:rsidRPr="009A3B38" w:rsidRDefault="009A3B38" w:rsidP="009A3B38">
      <w:pPr>
        <w:ind w:right="237"/>
        <w:jc w:val="both"/>
        <w:rPr>
          <w:sz w:val="24"/>
          <w:szCs w:val="24"/>
        </w:rPr>
      </w:pPr>
      <w:r w:rsidRPr="009A3B38">
        <w:rPr>
          <w:sz w:val="24"/>
          <w:szCs w:val="24"/>
        </w:rPr>
        <w:t xml:space="preserve">In this essay I am going to write about my coping strategies that I used whilst in tutor in order to minimise stress and develop resilience. I am going to use </w:t>
      </w:r>
      <w:proofErr w:type="spellStart"/>
      <w:r w:rsidRPr="009A3B38">
        <w:rPr>
          <w:sz w:val="24"/>
          <w:szCs w:val="24"/>
        </w:rPr>
        <w:t>Borton’s</w:t>
      </w:r>
      <w:proofErr w:type="spellEnd"/>
      <w:r w:rsidRPr="009A3B38">
        <w:rPr>
          <w:sz w:val="24"/>
          <w:szCs w:val="24"/>
        </w:rPr>
        <w:t xml:space="preserve"> reflective module to address the strengths and weaknesses of the coping strategies that I used in order to adapt in the new workplace environment. (Murphy, 2015) </w:t>
      </w:r>
    </w:p>
    <w:p w14:paraId="164E72AB" w14:textId="77777777" w:rsidR="009A3B38" w:rsidRPr="009A3B38" w:rsidRDefault="009A3B38" w:rsidP="009A3B38">
      <w:pPr>
        <w:ind w:right="237"/>
        <w:jc w:val="both"/>
        <w:rPr>
          <w:sz w:val="24"/>
          <w:szCs w:val="24"/>
        </w:rPr>
      </w:pPr>
      <w:r w:rsidRPr="009A3B38">
        <w:rPr>
          <w:sz w:val="24"/>
          <w:szCs w:val="24"/>
        </w:rPr>
        <w:t xml:space="preserve">In the dictionary of Cambridge, adaptation is defined as ‘the process of changing to suit different conditions. (Cambridge Dictionary, 2021). As a human race, we constantly changing to adapt to new environment, new challenges or even to new and unexperienced feelings. I personally believe that this is a reason why we evolved so far in the history of mankind. My own personal example of adapting to the new role as a police constable can present the whole process of changing to suit the new workplace environment. To begin with, the stress of meeting a tutor and a new team was overwhelming. The thought of walking into the new environment with new people was undoubtedly scary. Professionalism and friendliness were something I had in the fear front of my mind when meeting the new colleagues as I knew that the first impression is crucial, and humans can make a judgement in the first 20 seconds of meeting someone. Reflecting on this, I am pleased as the team made me feel welcome and offered their help as they were in the same position when they started. </w:t>
      </w:r>
    </w:p>
    <w:p w14:paraId="5A91D7AC" w14:textId="77777777" w:rsidR="009A3B38" w:rsidRPr="009A3B38" w:rsidRDefault="009A3B38" w:rsidP="009A3B38">
      <w:pPr>
        <w:ind w:right="237"/>
        <w:jc w:val="both"/>
        <w:rPr>
          <w:sz w:val="24"/>
          <w:szCs w:val="24"/>
        </w:rPr>
      </w:pPr>
      <w:r w:rsidRPr="009A3B38">
        <w:rPr>
          <w:sz w:val="24"/>
          <w:szCs w:val="24"/>
        </w:rPr>
        <w:t xml:space="preserve">One of the main strategies I used to cope with stress of the new job was ensuring I am organised. In the first two weeks being in tutorship, I noted that being a police constable requires to be organised. Every situation that a police officer deals with needs to be documented, reviewed and followed up if required. On few occasions, I forgot to fill my pocket notebook whilst going from one call to another. Consequently, this needed to be completed later which made it difficult to recall all the details that were important. Time management in this situation is crucial. Going forward, filling the notebook with relevant information, will be one of the tasks that I will do as soon as it is practicable. Furthermore, the new policing focus is on how and when victims of crime should be communicated in order to help them to feel supported. Dealing with crime and low enforcement is only the start of our work, contacting victims and keeping them updated with the progress of the investigation is what makes victims feel supported. It can be very challenging to keep record of </w:t>
      </w:r>
      <w:r w:rsidRPr="009A3B38">
        <w:rPr>
          <w:sz w:val="24"/>
          <w:szCs w:val="24"/>
        </w:rPr>
        <w:lastRenderedPageBreak/>
        <w:t xml:space="preserve">all the crimes and victims and ensuring we are keeping them up to date.  Therefore, organisation of the workload and being efficient at managing it gives me more time and helps me to minimise stress and develop emotional resilience. Another key strategy I used is good quality sleep. Working a shift pattern which involves night work can be extremely difficult for your body to adapt. According to Gallagher, studies have shown that shift workers getting too little sleep at the wrong time of the day may be increasing their risk of type-2 diabetes, obesity and heart attack due to every tissue in the body not being able to work accordingly to their daily rhythm. (Gallagher, 2014) It cannot be denied that shift work has a huge impact on health hence I use good nutrition and exercise as another tool to cope with management of physical stress and developing of resilience. Having well balanced diet and exercising daily can help reduce the risk of health conditions mentioned above. There are few advantages that I found by exercising daily which assist me with new shift pattern and pressures of work as well as having better self-esteem. First, exercise helps me to stay fit which is very important part of the job. An exposure to the physical demands such an active resistance requires of muscular strength and endurance. Second, in order to develop mental and physical resilience exercise plays a significant role. It is noticeable that putting your body through physical challenges can develop better resilience when coping with difficult situations. </w:t>
      </w:r>
    </w:p>
    <w:p w14:paraId="23E3F1EC" w14:textId="280BBB40" w:rsidR="00FF7784" w:rsidRPr="00270EEB" w:rsidRDefault="009A3B38" w:rsidP="009A3B38">
      <w:pPr>
        <w:ind w:right="237"/>
        <w:jc w:val="both"/>
        <w:rPr>
          <w:sz w:val="24"/>
          <w:szCs w:val="24"/>
        </w:rPr>
      </w:pPr>
      <w:r w:rsidRPr="009A3B38">
        <w:rPr>
          <w:sz w:val="24"/>
          <w:szCs w:val="24"/>
        </w:rPr>
        <w:t>To conclude, being in the new work environment only for 10 weeks, has already exposed me to the various challenges. In order to adapt and learn from experience I used reflection module. Being organised and keeping up with deadlines in this work in crucial for minimising stress. I will manage my time better by setting up goals and achieving them in the time scale to remain in control.</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35675F5" w14:textId="77777777" w:rsidR="001243F5" w:rsidRPr="001243F5" w:rsidRDefault="001243F5" w:rsidP="001243F5">
      <w:pPr>
        <w:ind w:right="237"/>
        <w:jc w:val="both"/>
        <w:rPr>
          <w:sz w:val="24"/>
          <w:szCs w:val="24"/>
        </w:rPr>
      </w:pPr>
      <w:r w:rsidRPr="001243F5">
        <w:rPr>
          <w:sz w:val="24"/>
          <w:szCs w:val="24"/>
        </w:rPr>
        <w:t xml:space="preserve">In this essay I am going to write about an incident involving vulnerability of the separated family and housing issues. I am going to use </w:t>
      </w:r>
      <w:proofErr w:type="spellStart"/>
      <w:r w:rsidRPr="001243F5">
        <w:rPr>
          <w:sz w:val="24"/>
          <w:szCs w:val="24"/>
        </w:rPr>
        <w:t>Bortons</w:t>
      </w:r>
      <w:proofErr w:type="spellEnd"/>
      <w:r w:rsidRPr="001243F5">
        <w:rPr>
          <w:sz w:val="24"/>
          <w:szCs w:val="24"/>
        </w:rPr>
        <w:t xml:space="preserve"> reflecting model to analyse my actions and decisions that I made in this incident. (Murphy, 2015)</w:t>
      </w:r>
    </w:p>
    <w:p w14:paraId="36F8082E" w14:textId="77777777" w:rsidR="001243F5" w:rsidRPr="001243F5" w:rsidRDefault="001243F5" w:rsidP="001243F5">
      <w:pPr>
        <w:ind w:right="237"/>
        <w:jc w:val="both"/>
        <w:rPr>
          <w:sz w:val="24"/>
          <w:szCs w:val="24"/>
        </w:rPr>
      </w:pPr>
      <w:r w:rsidRPr="001243F5">
        <w:rPr>
          <w:sz w:val="24"/>
          <w:szCs w:val="24"/>
        </w:rPr>
        <w:t xml:space="preserve">I attended a call which involved the dispute between ex-partners. On the way to the scene my colleague informed me that he dealt with this couple about a month ago whereby the male had to leave the home address due to the domestic incident that occurred between him and his ex-partner. They had 2 children and my first thought was to safeguard them.  On arrival to the address, the male sat in the room and had his belongings with him. Ex-partner was in another room. First, we had to find out where were children. The female explained that she needed to pick them up from school shortly and that made her frustrated and angry.  My colleague contacted the school on her behalf, explained the situation and informed them that they will be picked up as soon as possible. Second, we had to speak with both parties in order to understand the situation and try to find the best solution. The female was amicable </w:t>
      </w:r>
      <w:r w:rsidRPr="001243F5">
        <w:rPr>
          <w:sz w:val="24"/>
          <w:szCs w:val="24"/>
        </w:rPr>
        <w:lastRenderedPageBreak/>
        <w:t>and explained to us that she wants her ex-partner to leave the home address. However, the male disclosed that he moved out a month ago and he is not able to remain at the alternative address any longer and that he has nowhere else to go. By  this time we had two problems, one of them was that the male was not able to leave due to the fact he was still looking for the place to live and second issue was the risk of further domestic violence or disagreement between both parties if they remain in the same address. It is important to add that both parties were legal tenants of the property and we as polices officers didn’t have powers to ask either of them to leave at that time.</w:t>
      </w:r>
    </w:p>
    <w:p w14:paraId="645E8DD2" w14:textId="77777777" w:rsidR="001243F5" w:rsidRPr="001243F5" w:rsidRDefault="001243F5" w:rsidP="001243F5">
      <w:pPr>
        <w:ind w:right="237"/>
        <w:jc w:val="both"/>
        <w:rPr>
          <w:sz w:val="24"/>
          <w:szCs w:val="24"/>
        </w:rPr>
      </w:pPr>
      <w:proofErr w:type="spellStart"/>
      <w:r w:rsidRPr="001243F5">
        <w:rPr>
          <w:sz w:val="24"/>
          <w:szCs w:val="24"/>
        </w:rPr>
        <w:t>Pon</w:t>
      </w:r>
      <w:proofErr w:type="spellEnd"/>
      <w:r w:rsidRPr="001243F5">
        <w:rPr>
          <w:sz w:val="24"/>
          <w:szCs w:val="24"/>
        </w:rPr>
        <w:t xml:space="preserve"> Staff (2020) outlined essential skills that negotiators use for any crisis negotiations. For instance, one of them is active listening. According to the author, active listening is an affective skill when it is used to build trust and rapport between negotiating parties with the effective by-product of this process resulting in information gathering, which can help maintain an open dialogue with your negotiating counterpart. Furthermore, adaptability is another skill to remember as the ability to adapt to changing circumstances and to respond in a way that preserves the relationship, they have built with their counterpart is very important. Having this is mind, throughout the conversation with both parties involved I used my listening skills and I was empathetic in order to build the trust. It was a difficult situation whereby we could not find the decision that both parties would be satisfied with, but we had to find a solution that would reduce the risk of harm and further disputes. The address that both parties were tenants of, was under the local housing association. In order to try to sort this issue we had to contact the housing officer. Communication in this case had to be professional and team working with another agency was a critical part of this incident. As mentioned above, the police constable can act only within the law and in this incident, we could not do anything unless criminal offence occurred. The housing officer reassured us that the male had his placement ready in 4 weeks and until then they could not accommodate him. Certainly, new placement for the male was a great outcome for both parties involved. However, the male had nowhere to go, which made him vulnerable and risk of being homeless. According to the Crisis charity, there are dangerous risks of being homeless, for instance people sleeping on the street are almost seventeen times more likely to have been victims of violence and homeless people are over nine times more likely to take their own life than the general population. (Crisis, 2021) Knowing all the risks of a person being in such a vulnerable situation, we had to use good communication and negotiations skills in order to explain to the both parties that legally they both are on the tenancy and they both have to reside at the address for another four weeks. </w:t>
      </w:r>
    </w:p>
    <w:p w14:paraId="1A73AB93" w14:textId="77777777" w:rsidR="001243F5" w:rsidRPr="001243F5" w:rsidRDefault="001243F5" w:rsidP="001243F5">
      <w:pPr>
        <w:ind w:right="237"/>
        <w:jc w:val="both"/>
        <w:rPr>
          <w:sz w:val="24"/>
          <w:szCs w:val="24"/>
        </w:rPr>
      </w:pPr>
      <w:r w:rsidRPr="001243F5">
        <w:rPr>
          <w:sz w:val="24"/>
          <w:szCs w:val="24"/>
        </w:rPr>
        <w:t xml:space="preserve">The first aspect to point out is that the poverty is a huge vulnerability that the whole family was subjected to. The house was under the local housing association and the both involved were unemployed. This often leads to other situational vulnerabilities and risks such as alcohol or drug abuse, consequently this could result in arguments or domestic violence incidents which then requires police involvement. Additionally, environmental factors such as substance use, witnessing of violence and instability due to parental separation could all result in the adverse childhood experience for the children involved. According to CDC (2021), ACE’s can have lasting, negative effects on health, well-being and life opportunities such as education. Also, ACE’s could cause toxic stress which can change brain development and affect things as attention, decision-making and learning. Raising awareness of adverse childhood experiences can help to prevent it and create neighbourhoods and communities in </w:t>
      </w:r>
      <w:r w:rsidRPr="001243F5">
        <w:rPr>
          <w:sz w:val="24"/>
          <w:szCs w:val="24"/>
        </w:rPr>
        <w:lastRenderedPageBreak/>
        <w:t>which every child can thrive. Ours as the police officer’s responsibilities are to share relevant information or concerns with the agencies that could help to prevent children from being exposed to harmful life events that are likely to affect them later in the life. Public protection notification report is the most important piece of paperwork that must be submitted when dealing with families that children are involved. It might be too late to change behaviours and attitudes of the adults, but it is always worth to try to change young people’s lives by making third parties aware of the difficulties that children are facing.  After completing welfare check on kids at school, we had a conversation with the teacher, she disclosed that they have a good support network based within school and that they are aware of their situation at home. This gave us a peace of mind that children were safe. Another risk to consider was alcohol dependence of both parents. Unfortunately, this is ongoing issue, and this could be the cause of the problems that family was dealing with. This is like a vicious circle, poverty is caused by unemployment, which affects people’s mental well-being and often alcohol is used to relieve stress. It is very clear from the observations that alcohol misuse certainly does not help to relieve stress or make a bad situation better, it makes people dependant, feel worthless and impacts their day to day life. Consequently, alcohol dependant people lack self-esteem, struggle to get back to their normal routines, often get ill and are unable to find new employment. I asked both parents if they would like to be referred to charities or agencies that could offer the help with substance misuse, unfortunately they refused.</w:t>
      </w:r>
    </w:p>
    <w:p w14:paraId="6289EAA9" w14:textId="77777777" w:rsidR="001243F5" w:rsidRPr="001243F5" w:rsidRDefault="001243F5" w:rsidP="001243F5">
      <w:pPr>
        <w:ind w:right="237"/>
        <w:jc w:val="both"/>
        <w:rPr>
          <w:sz w:val="24"/>
          <w:szCs w:val="24"/>
        </w:rPr>
      </w:pPr>
      <w:r w:rsidRPr="001243F5">
        <w:rPr>
          <w:sz w:val="24"/>
          <w:szCs w:val="24"/>
        </w:rPr>
        <w:t xml:space="preserve">I considered of the risks that the situation presented and what further risks this could cause if both parties are left in the same address. Going through NDM (College of policing, 2013), I considered powers available to me. There were no criminal offences committed at that time, we agreed with both parties and with the social housing officer present, that there was no other option but for both remain in the address. The safeguarding action given to everyone involved as there was still a low risk present due to previous disputes occurring between ex partners. It cannot be denied that leaving the scene, I was still apprehensive with the outcome. Although, the risk was low there was still a risk, hence I consulted with more experienced officers and my supervisor. We all agreed that at that time we done what we could to mitigate the risk. </w:t>
      </w:r>
    </w:p>
    <w:p w14:paraId="5FFC4171" w14:textId="77777777" w:rsidR="001243F5" w:rsidRPr="001243F5" w:rsidRDefault="001243F5" w:rsidP="001243F5">
      <w:pPr>
        <w:ind w:right="237"/>
        <w:jc w:val="both"/>
        <w:rPr>
          <w:sz w:val="24"/>
          <w:szCs w:val="24"/>
        </w:rPr>
      </w:pPr>
      <w:r w:rsidRPr="001243F5">
        <w:rPr>
          <w:sz w:val="24"/>
          <w:szCs w:val="24"/>
        </w:rPr>
        <w:t>To conclude, after reflecting on this incident I learnt that in some situations we simply cannot resolve all the disputes or deal with all the problems. However, if we do everything what we possibly can to make sure the public and community members are safe, I am convinced that we make a difference and fulfil our duties as police officers.</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lastRenderedPageBreak/>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7BBF4149" w14:textId="77777777" w:rsidR="005878DE" w:rsidRPr="005878DE" w:rsidRDefault="005878DE" w:rsidP="005878DE">
      <w:pPr>
        <w:ind w:right="237"/>
        <w:jc w:val="both"/>
        <w:rPr>
          <w:sz w:val="24"/>
          <w:szCs w:val="24"/>
        </w:rPr>
      </w:pPr>
      <w:r w:rsidRPr="005878DE">
        <w:rPr>
          <w:sz w:val="24"/>
          <w:szCs w:val="24"/>
        </w:rPr>
        <w:t xml:space="preserve">In this essay I am going to reflect on the suspect interview which I conducted during my tutorship. I am going to use the </w:t>
      </w:r>
      <w:proofErr w:type="spellStart"/>
      <w:r w:rsidRPr="005878DE">
        <w:rPr>
          <w:sz w:val="24"/>
          <w:szCs w:val="24"/>
        </w:rPr>
        <w:t>Borton’s</w:t>
      </w:r>
      <w:proofErr w:type="spellEnd"/>
      <w:r w:rsidRPr="005878DE">
        <w:rPr>
          <w:sz w:val="24"/>
          <w:szCs w:val="24"/>
        </w:rPr>
        <w:t xml:space="preserve"> reflecting module to guide me through the reflection process of the duty that we carry out in almost every policing investigation. (Murphy, 2015)</w:t>
      </w:r>
    </w:p>
    <w:p w14:paraId="73387E5C" w14:textId="77777777" w:rsidR="005878DE" w:rsidRPr="005878DE" w:rsidRDefault="005878DE" w:rsidP="005878DE">
      <w:pPr>
        <w:ind w:right="237"/>
        <w:jc w:val="both"/>
        <w:rPr>
          <w:sz w:val="24"/>
          <w:szCs w:val="24"/>
        </w:rPr>
      </w:pPr>
      <w:r w:rsidRPr="005878DE">
        <w:rPr>
          <w:sz w:val="24"/>
          <w:szCs w:val="24"/>
        </w:rPr>
        <w:t>I was allocated to investigate a crime which involved a dispute between a mother and a son. Due to both parties being family members this incident is classed as a domestic abuse incident. Recent COVID-19 pandemic not only took thousands of people’s lives but had a huge impact on everyone. According to The Crime Survey, there was a 7% growth in police recorded domestic abuse crimes, between March 2019 and March 2020 in England and Wales. Furthermore, in the first three weeks of the first lockdown, there had been sixteen domestic abuse killings of women and children in the UK (</w:t>
      </w:r>
      <w:proofErr w:type="spellStart"/>
      <w:r w:rsidRPr="005878DE">
        <w:rPr>
          <w:sz w:val="24"/>
          <w:szCs w:val="24"/>
        </w:rPr>
        <w:t>Havard</w:t>
      </w:r>
      <w:proofErr w:type="spellEnd"/>
      <w:r w:rsidRPr="005878DE">
        <w:rPr>
          <w:sz w:val="24"/>
          <w:szCs w:val="24"/>
        </w:rPr>
        <w:t xml:space="preserve">, 2021).  The last example highlights the fact that every domestic abuse case needs to be investigated carefully, emergency and social services must work together in order to safeguard the victims and provide high quality victim care to those who experienced domestic abuse. This incident was an ongoing dispute between the mother and the son over a financial matter. The son was in his early twenties, lived in his mother’s house and had to contribute to the bills and pay to his mother for his phone bill which at the time was in his mother’s </w:t>
      </w:r>
      <w:r w:rsidRPr="005878DE">
        <w:rPr>
          <w:sz w:val="24"/>
          <w:szCs w:val="24"/>
        </w:rPr>
        <w:lastRenderedPageBreak/>
        <w:t xml:space="preserve">name. Looking at the conversation between both parties, over the text messages, it was clear to note that the son didn’t pay the money and as a result his mother cancelled his mobile phone contract. Consequently, the son sent the offensive messages to his mother which made her feel upset as a result of his behaviour. </w:t>
      </w:r>
    </w:p>
    <w:p w14:paraId="59547E8A" w14:textId="77777777" w:rsidR="005878DE" w:rsidRPr="005878DE" w:rsidRDefault="005878DE" w:rsidP="005878DE">
      <w:pPr>
        <w:ind w:right="237"/>
        <w:jc w:val="both"/>
        <w:rPr>
          <w:sz w:val="24"/>
          <w:szCs w:val="24"/>
        </w:rPr>
      </w:pPr>
      <w:r w:rsidRPr="005878DE">
        <w:rPr>
          <w:sz w:val="24"/>
          <w:szCs w:val="24"/>
        </w:rPr>
        <w:t xml:space="preserve">I decided to gather more evidence and obtain further information that was available to me, such as the history of the relationship, any previous incidents and any other considerations related to the suspect. Firstly, I needed to establish what offences had been committed in order to prepare for the interview. The witness statement was an important piece of evidence which I analysed in order to establish how the incident has impacted the victim. Secondly, the screenshots of the messages sent to the victim were equally important pieces of evidence that I could use in the questioning of the suspect. From the evidence that I had available, I concluded that the offence of Malicious Communications Act 1988 had been committed and this would be the subject of the suspect’s interview. (Malicious Communications Act, 2020). The power of arrest is only exercisable if the constable has reasonable grounds for believing that is necessary to arrest the person. (Home Office, 2012). In this case, they did not live together and there was no risk of harm at that time, hence I considered a Voluntary Attendance interview. The were no language barriers, the son was over 18 years old and did not have any learning difficulties. The appropriate adult attendance was not necessary. However, the suspect’s attitude was very unpleasant towards the police. The suspect was rude and abrupt during the telephone conversation. Although the suspect was very agitated, he agreed to attend the interview and refused a legal representative. </w:t>
      </w:r>
    </w:p>
    <w:p w14:paraId="19875C5C" w14:textId="77777777" w:rsidR="005878DE" w:rsidRPr="005878DE" w:rsidRDefault="005878DE" w:rsidP="005878DE">
      <w:pPr>
        <w:ind w:right="237"/>
        <w:jc w:val="both"/>
        <w:rPr>
          <w:sz w:val="24"/>
          <w:szCs w:val="24"/>
        </w:rPr>
      </w:pPr>
      <w:r w:rsidRPr="005878DE">
        <w:rPr>
          <w:sz w:val="24"/>
          <w:szCs w:val="24"/>
        </w:rPr>
        <w:t xml:space="preserve">Conducting an investigative interview is an indispensable part of any investigation, which can help the process of the inquiry and can increase public confidence in the police service. It is important to add that the interviews must be conducted fairly and in accordance with the Police and Criminal Evidence Act 1984 to ensure that they comply with duties under the Equality Act 2010 and Human Rights Act 1988. To provide a professional service and treat every individual equally, the PEACE framework is used for all interviews. The PEACE model consists of five phases, the first being planning and preparation phase (College of Policing, 2020). After gathering the evidence, I prepared for the interview by considering the characteristics of the interviewee, any requirement for the legal representative, created and recorded the interview plan which covered the questions relating to the offence. Prior to the interview, I thought about the suspect’s attitude which he displayed during our conversation in the previous telephone call. </w:t>
      </w:r>
    </w:p>
    <w:p w14:paraId="78EF024C" w14:textId="77777777" w:rsidR="005878DE" w:rsidRPr="005878DE" w:rsidRDefault="005878DE" w:rsidP="005878DE">
      <w:pPr>
        <w:ind w:right="237"/>
        <w:jc w:val="both"/>
        <w:rPr>
          <w:sz w:val="24"/>
          <w:szCs w:val="24"/>
        </w:rPr>
      </w:pPr>
      <w:r w:rsidRPr="005878DE">
        <w:rPr>
          <w:sz w:val="24"/>
          <w:szCs w:val="24"/>
        </w:rPr>
        <w:t xml:space="preserve">The suspect had displayed his anti-police attitude which could have led to him being difficult during the interview. I knew that my attitude might influence his behaviour, hence I had to adopt a friendly and easy approach during the interviewing process in order to build a good rapport and enable him to communicate and provide his account. Explaining the process and the objectives of the interview process is another part of the PEACE framework and I certainly believe that this is crucial in this case, as the suspect had no previous contact with the police but had a clear distrust in them. </w:t>
      </w:r>
    </w:p>
    <w:p w14:paraId="04380564" w14:textId="77777777" w:rsidR="005878DE" w:rsidRPr="005878DE" w:rsidRDefault="005878DE" w:rsidP="005878DE">
      <w:pPr>
        <w:ind w:right="237"/>
        <w:jc w:val="both"/>
        <w:rPr>
          <w:sz w:val="24"/>
          <w:szCs w:val="24"/>
        </w:rPr>
      </w:pPr>
      <w:r w:rsidRPr="005878DE">
        <w:rPr>
          <w:sz w:val="24"/>
          <w:szCs w:val="24"/>
        </w:rPr>
        <w:t xml:space="preserve">Being interviewed by the police can be intimidating and explaining the process prior to any questions can make the interviewee feel at ease. The main phase is ‘account developing’ and it is important that the suspect has a chance to tell his side of the story. The police use this phase as the clarification and challenge process in the interviews. I adopted good listening skills and used open questions to encourage the suspect to provide as much information as possible. The next stage is the </w:t>
      </w:r>
      <w:r w:rsidRPr="005878DE">
        <w:rPr>
          <w:sz w:val="24"/>
          <w:szCs w:val="24"/>
        </w:rPr>
        <w:lastRenderedPageBreak/>
        <w:t>challenge, whereas I asked more specific and closed questions such as: did you send these messages to your mother? At this stage the suspect agreed that he had sent offensive messages to his mother, however the argument that he presented identified that this kind of communication between his and his mother is normal. He showed me previous messages and conversations between them and it clearly showed that his mother often used the language that was offensive in its nature towards the suspect. It is important to add that the interview is not trying to prove guilt but is to obtain and consider the evidence from both sides.</w:t>
      </w:r>
    </w:p>
    <w:p w14:paraId="74337077" w14:textId="77777777" w:rsidR="005878DE" w:rsidRPr="005878DE" w:rsidRDefault="005878DE" w:rsidP="005878DE">
      <w:pPr>
        <w:ind w:right="237"/>
        <w:jc w:val="both"/>
        <w:rPr>
          <w:sz w:val="24"/>
          <w:szCs w:val="24"/>
        </w:rPr>
      </w:pPr>
      <w:r w:rsidRPr="005878DE">
        <w:rPr>
          <w:sz w:val="24"/>
          <w:szCs w:val="24"/>
        </w:rPr>
        <w:t xml:space="preserve">Consulting with my supervisor and presenting all the evidence that came to light during the interview it was decided that this case will not be taken any further. Upon reflection I was pleased with my performance during the interview and the eventual outcome. My approach and my calming attitude influenced the suspect’s behaviour. At the start of the interview the suspect answered, ‘no comment’ to the first questioned asked, which was ‘tell me little bit about yourself?’. Although the suspect has the right to remain silent, I explained that the interview was his opportunity to tell his side of the story and not a case of me trying to prove his guilt. Ensuring the suspect understands the process helped me to gather his account and most importantly it proved that there was no criminal intent given the context of his conversations with his mother. The interview was very effective in relation to this investigation and ultimately saved the time, money and recourses by determining the ‘innocence’ of the suspect before the case was referred to the crown prosecution service. </w:t>
      </w:r>
    </w:p>
    <w:p w14:paraId="746E8CB3" w14:textId="77777777" w:rsidR="005878DE" w:rsidRPr="005878DE" w:rsidRDefault="005878DE" w:rsidP="005878DE">
      <w:pPr>
        <w:ind w:right="237"/>
        <w:jc w:val="both"/>
        <w:rPr>
          <w:sz w:val="24"/>
          <w:szCs w:val="24"/>
        </w:rPr>
      </w:pPr>
      <w:r w:rsidRPr="005878DE">
        <w:rPr>
          <w:sz w:val="24"/>
          <w:szCs w:val="24"/>
        </w:rPr>
        <w:t xml:space="preserve">Impartiality is one of the policing values which is achieved by being fair and objective throughout our dealings with the public as a police service. We must ensure that each side is given equal consideration which I believe was achieved in this situation. All my actions taken were evidence-based and not influenced by opinions or beliefs, which assisted me during the investigation of this case by ensuring I prioritised equality.  Furthermore, I was aware of the culturally sensitive practise by considering the suspect’s cultural background and language preference. The suspect swore a lot in the interview, however I did not challenge and adapted to the language he used in order keep him calm. I believe if I would have challenged him and asked him not to swear it would have made him agitated. </w:t>
      </w:r>
    </w:p>
    <w:p w14:paraId="50189873" w14:textId="77777777" w:rsidR="005878DE" w:rsidRPr="005878DE" w:rsidRDefault="005878DE" w:rsidP="005878DE">
      <w:pPr>
        <w:ind w:right="237"/>
        <w:jc w:val="both"/>
        <w:rPr>
          <w:sz w:val="24"/>
          <w:szCs w:val="24"/>
        </w:rPr>
      </w:pPr>
      <w:r w:rsidRPr="005878DE">
        <w:rPr>
          <w:sz w:val="24"/>
          <w:szCs w:val="24"/>
        </w:rPr>
        <w:t>Going forward I will certainly take on board the importance of giving people an equal opportunity to express their views and provide their account. I will also ensure that I do not assume any guilt prior to interview and that even though something appears malicious at first, that the context of an offence can vary according to the victim and circumstances.</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Pr="005878DE" w:rsidRDefault="00BD1F45" w:rsidP="5848403C">
            <w:pPr>
              <w:ind w:right="237"/>
              <w:jc w:val="both"/>
              <w:rPr>
                <w:color w:val="auto"/>
                <w:sz w:val="24"/>
                <w:szCs w:val="24"/>
              </w:rPr>
            </w:pPr>
            <w:r w:rsidRPr="005878DE">
              <w:rPr>
                <w:color w:val="auto"/>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Pr="005878DE" w:rsidRDefault="00BD1F45" w:rsidP="5848403C">
            <w:pPr>
              <w:ind w:right="237"/>
              <w:jc w:val="both"/>
              <w:rPr>
                <w:color w:val="auto"/>
                <w:sz w:val="24"/>
                <w:szCs w:val="24"/>
              </w:rPr>
            </w:pPr>
          </w:p>
          <w:p w14:paraId="688C7C9B" w14:textId="77777777" w:rsidR="00BD1F45" w:rsidRPr="005878DE" w:rsidRDefault="00BD1F45" w:rsidP="00BD1F45">
            <w:pPr>
              <w:ind w:right="237"/>
              <w:jc w:val="both"/>
              <w:rPr>
                <w:b/>
                <w:color w:val="auto"/>
                <w:sz w:val="24"/>
                <w:szCs w:val="24"/>
              </w:rPr>
            </w:pPr>
            <w:r w:rsidRPr="005878DE">
              <w:rPr>
                <w:b/>
                <w:color w:val="auto"/>
                <w:sz w:val="24"/>
                <w:szCs w:val="24"/>
              </w:rPr>
              <w:t>For example:</w:t>
            </w:r>
          </w:p>
          <w:p w14:paraId="35D7D89D" w14:textId="77777777" w:rsidR="00BD1F45" w:rsidRPr="005878DE" w:rsidRDefault="00BD1F45" w:rsidP="00BD1F45">
            <w:pPr>
              <w:ind w:right="237"/>
              <w:jc w:val="both"/>
              <w:rPr>
                <w:color w:val="auto"/>
                <w:sz w:val="24"/>
                <w:szCs w:val="24"/>
              </w:rPr>
            </w:pPr>
          </w:p>
          <w:p w14:paraId="62C7A49D" w14:textId="5274EC74" w:rsidR="00BD1F45" w:rsidRPr="005878DE" w:rsidRDefault="00BD1F45" w:rsidP="00BD1F45">
            <w:pPr>
              <w:ind w:right="237"/>
              <w:jc w:val="both"/>
              <w:rPr>
                <w:i/>
                <w:color w:val="auto"/>
                <w:sz w:val="24"/>
                <w:szCs w:val="24"/>
              </w:rPr>
            </w:pPr>
            <w:r w:rsidRPr="005878DE">
              <w:rPr>
                <w:i/>
                <w:color w:val="auto"/>
                <w:sz w:val="24"/>
                <w:szCs w:val="24"/>
              </w:rPr>
              <w:t>How has your experience of policing the night</w:t>
            </w:r>
            <w:r w:rsidR="00EB3EA9" w:rsidRPr="005878DE">
              <w:rPr>
                <w:i/>
                <w:color w:val="auto"/>
                <w:sz w:val="24"/>
                <w:szCs w:val="24"/>
              </w:rPr>
              <w:t xml:space="preserve"> </w:t>
            </w:r>
            <w:r w:rsidRPr="005878DE">
              <w:rPr>
                <w:i/>
                <w:color w:val="auto"/>
                <w:sz w:val="24"/>
                <w:szCs w:val="24"/>
              </w:rPr>
              <w:t>time economy influenced your    perception of the wider community?</w:t>
            </w:r>
          </w:p>
          <w:p w14:paraId="4361822B" w14:textId="77777777" w:rsidR="00BD1F45" w:rsidRPr="005878DE" w:rsidRDefault="00BD1F45" w:rsidP="00BD1F45">
            <w:pPr>
              <w:ind w:right="237"/>
              <w:jc w:val="both"/>
              <w:rPr>
                <w:i/>
                <w:color w:val="auto"/>
                <w:sz w:val="24"/>
                <w:szCs w:val="24"/>
              </w:rPr>
            </w:pPr>
          </w:p>
          <w:p w14:paraId="0ECB7FEB" w14:textId="2FF71B1C" w:rsidR="00BD1F45" w:rsidRPr="005878DE" w:rsidRDefault="00BD1F45" w:rsidP="00BD1F45">
            <w:pPr>
              <w:ind w:right="237"/>
              <w:jc w:val="both"/>
              <w:rPr>
                <w:i/>
                <w:color w:val="auto"/>
                <w:sz w:val="24"/>
                <w:szCs w:val="24"/>
              </w:rPr>
            </w:pPr>
            <w:r w:rsidRPr="005878DE">
              <w:rPr>
                <w:i/>
                <w:color w:val="auto"/>
                <w:sz w:val="24"/>
                <w:szCs w:val="24"/>
              </w:rPr>
              <w:t>Other examples relating to your experiences would be equally valid.</w:t>
            </w:r>
          </w:p>
          <w:p w14:paraId="4B0D92DA" w14:textId="77777777" w:rsidR="00BD1F45" w:rsidRPr="005878DE" w:rsidRDefault="00BD1F45" w:rsidP="5848403C">
            <w:pPr>
              <w:ind w:right="237"/>
              <w:jc w:val="both"/>
              <w:rPr>
                <w:color w:val="auto"/>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2BD87A40" w14:textId="77777777" w:rsidR="001E2C2C" w:rsidRPr="001E2C2C" w:rsidRDefault="001E2C2C" w:rsidP="001E2C2C">
      <w:pPr>
        <w:ind w:right="237"/>
        <w:jc w:val="both"/>
        <w:rPr>
          <w:sz w:val="24"/>
          <w:szCs w:val="24"/>
        </w:rPr>
      </w:pPr>
      <w:r w:rsidRPr="001E2C2C">
        <w:rPr>
          <w:sz w:val="24"/>
          <w:szCs w:val="24"/>
        </w:rPr>
        <w:lastRenderedPageBreak/>
        <w:t xml:space="preserve">This essay begins by discussing the anti- social behaviour problem in our society, its definition and a brief summary of the main categories of the behaviour that is classed as ‘anti-social’. It then describes the issue of anti-social behaviour and the impact of it in the areas where I completed my tutorship. Subsequently, it then explores the police role and actions of tackling ASB in our local communities. I am going to use </w:t>
      </w:r>
      <w:proofErr w:type="spellStart"/>
      <w:r w:rsidRPr="001E2C2C">
        <w:rPr>
          <w:sz w:val="24"/>
          <w:szCs w:val="24"/>
        </w:rPr>
        <w:t>Borton’s</w:t>
      </w:r>
      <w:proofErr w:type="spellEnd"/>
      <w:r w:rsidRPr="001E2C2C">
        <w:rPr>
          <w:sz w:val="24"/>
          <w:szCs w:val="24"/>
        </w:rPr>
        <w:t xml:space="preserve"> reflective tool to review what has happened and what I can learn from it going forward in my career as a police officer (Murphy, 2015).</w:t>
      </w:r>
    </w:p>
    <w:p w14:paraId="2AD6BBF9" w14:textId="77777777" w:rsidR="001E2C2C" w:rsidRPr="001E2C2C" w:rsidRDefault="001E2C2C" w:rsidP="001E2C2C">
      <w:pPr>
        <w:ind w:right="237"/>
        <w:jc w:val="both"/>
        <w:rPr>
          <w:sz w:val="24"/>
          <w:szCs w:val="24"/>
        </w:rPr>
      </w:pPr>
      <w:r w:rsidRPr="001E2C2C">
        <w:rPr>
          <w:sz w:val="24"/>
          <w:szCs w:val="24"/>
        </w:rPr>
        <w:t xml:space="preserve">It is very difficult to identify a single definition of anti-social behaviour. What may be considered anti-social behaviour to one person might be acceptable or tolerable behaviour to another. A widely used definition is contained in the Crime and Disorder act 1998. </w:t>
      </w:r>
    </w:p>
    <w:p w14:paraId="0AF60751" w14:textId="77777777" w:rsidR="001E2C2C" w:rsidRPr="001E2C2C" w:rsidRDefault="001E2C2C" w:rsidP="001E2C2C">
      <w:pPr>
        <w:ind w:right="237"/>
        <w:jc w:val="both"/>
        <w:rPr>
          <w:sz w:val="24"/>
          <w:szCs w:val="24"/>
        </w:rPr>
      </w:pPr>
      <w:r w:rsidRPr="001E2C2C">
        <w:rPr>
          <w:sz w:val="24"/>
          <w:szCs w:val="24"/>
        </w:rPr>
        <w:t>‘Acting in a manner that caused or was likely to cause harassment, alarm or distress to one or more persons not of the same household as the defendant. ‘(Home office, 2004)</w:t>
      </w:r>
    </w:p>
    <w:p w14:paraId="1B836952" w14:textId="77777777" w:rsidR="001E2C2C" w:rsidRPr="001E2C2C" w:rsidRDefault="001E2C2C" w:rsidP="001E2C2C">
      <w:pPr>
        <w:ind w:right="237"/>
        <w:jc w:val="both"/>
        <w:rPr>
          <w:sz w:val="24"/>
          <w:szCs w:val="24"/>
        </w:rPr>
      </w:pPr>
      <w:r w:rsidRPr="001E2C2C">
        <w:rPr>
          <w:sz w:val="24"/>
          <w:szCs w:val="24"/>
        </w:rPr>
        <w:t xml:space="preserve">There are a lot of factors that determine anti-social behaviour, such examples are: misuse of public space. This could be broken down into activities, for instance: drug taking, street drinking, prostitution, racing cars or pestering of the residents. It is important to mention damage caused to buildings, such as graffiti or acts directed at people – verbal abuse or bullying. The first aspect to point out is the distinction between anti-social behaviour and the criminal offence. Youths gathering on the street, drinking and being reckless in their actions towards public buildings. Is this anti-social behaviour or a criminal damage offence? How serious does the behaviour ‘need’ to be for it to be deemed as a criminal offence? I believe there is no definite answer to this question as there are issues of ‘intent’ and whether prosecution would be in the public interest. Another factor is the impact of these behaviours to the local community or an individual person. </w:t>
      </w:r>
    </w:p>
    <w:p w14:paraId="1B6C3FCA" w14:textId="77777777" w:rsidR="001E2C2C" w:rsidRPr="001E2C2C" w:rsidRDefault="001E2C2C" w:rsidP="001E2C2C">
      <w:pPr>
        <w:ind w:right="237"/>
        <w:jc w:val="both"/>
        <w:rPr>
          <w:sz w:val="24"/>
          <w:szCs w:val="24"/>
        </w:rPr>
      </w:pPr>
      <w:r w:rsidRPr="001E2C2C">
        <w:rPr>
          <w:sz w:val="24"/>
          <w:szCs w:val="24"/>
        </w:rPr>
        <w:t xml:space="preserve">Covid-19 pandemic caused a devastating impact on the communities across the country. The area where I have completed my tutorship was hugely impacted socially and economically by the 2 lockdowns. Small businesses had to close, leisure facilities and social gathering places such as pubs and restaurants had to remain closed due to restrictions put in place by the government. Not only did people lose their jobs but they were affected mentally by the fear and concern of illness, as well as social isolation. According to the centre of mental health, almost 20% of the population in the UK will need either new or additional mental health support as a direct consequence of the crisis. 1.5 million of those will be children and young people under 18. There were 3.5 million young people in this population who were aged 11-16 years and kept at home during lockdown. Depression and anxiety are two predicted diagnoses to emerge. O’Shea (2020) The argument I have presented would indicate that children and young adults are impacted and at a high risk of mental health implications. </w:t>
      </w:r>
    </w:p>
    <w:p w14:paraId="22D7E96C" w14:textId="77777777" w:rsidR="001E2C2C" w:rsidRPr="001E2C2C" w:rsidRDefault="001E2C2C" w:rsidP="001E2C2C">
      <w:pPr>
        <w:ind w:right="237"/>
        <w:jc w:val="both"/>
        <w:rPr>
          <w:sz w:val="24"/>
          <w:szCs w:val="24"/>
        </w:rPr>
      </w:pPr>
      <w:r w:rsidRPr="001E2C2C">
        <w:rPr>
          <w:sz w:val="24"/>
          <w:szCs w:val="24"/>
        </w:rPr>
        <w:t xml:space="preserve">Youths in the local community have caused a lot of issues for residents. Between the months of September and January the complaints of anti-social behaviour increased drastically. Whilst completing my tutorship, I have had to encounter different incidents of anti-social behaviour within the area. On the weekends especially there have been numerous incidents of anti-social behaviour with youths drinking alcohol, congregating in public places and causing problems. In view of these facts, it is quite likely that this is a post covid-19 consequence. Children and young adults were unable to socialise, meet their friends or even take a part in sports activities, which has caused children to spend more time on the streets. In addition to this, youths and adults spend more time socialising; effectively making up for the </w:t>
      </w:r>
      <w:r w:rsidRPr="001E2C2C">
        <w:rPr>
          <w:sz w:val="24"/>
          <w:szCs w:val="24"/>
        </w:rPr>
        <w:lastRenderedPageBreak/>
        <w:t xml:space="preserve">lost time during the pandemic. Increased problems of drunk behaviour, fights and domestic incidents were also noted since pandemic began. </w:t>
      </w:r>
    </w:p>
    <w:p w14:paraId="5022A12F" w14:textId="7658316A" w:rsidR="001E2C2C" w:rsidRPr="001E2C2C" w:rsidRDefault="001E2C2C" w:rsidP="001E2C2C">
      <w:pPr>
        <w:ind w:right="237"/>
        <w:jc w:val="both"/>
        <w:rPr>
          <w:sz w:val="24"/>
          <w:szCs w:val="24"/>
        </w:rPr>
      </w:pPr>
      <w:r w:rsidRPr="001E2C2C">
        <w:rPr>
          <w:sz w:val="24"/>
          <w:szCs w:val="24"/>
        </w:rPr>
        <w:t xml:space="preserve">Anti-social behaviour has an enormous impact on the local community. Elderly people often feel intimidated walking by a big group of youths who congregate on public places. The residents who live nearby town centres complain about youths swearing, loitering and climbing on buildings. Additionally, the local businesses are impacted by the ASB, such as youths being around the shops and intimidating the customers. One of the main actions that the police take is increased patrols and the police presence at the hotspots of ASB. Youths often run away as soon as they see the police which is effective at that time but unfortunately, does not solve the problem. In more serious cases, a court may grant an injunction under the Crime and Policing Act 2014 against a person aged 10 or over if two conditions are met. The first condition is that the court is satisfied that the person has engaged or threatens to engage in anti-social behaviour. The second condition is that the court considers it just and convenient to grant the injunction for the purpose of preventing the respondent from engaging in anti-social behaviour. </w:t>
      </w:r>
      <w:r w:rsidR="005E224C">
        <w:rPr>
          <w:sz w:val="24"/>
          <w:szCs w:val="24"/>
        </w:rPr>
        <w:t>(</w:t>
      </w:r>
      <w:r w:rsidRPr="001E2C2C">
        <w:rPr>
          <w:sz w:val="24"/>
          <w:szCs w:val="24"/>
        </w:rPr>
        <w:t>Anti-social Behaviour, Crime and Policing act</w:t>
      </w:r>
      <w:r w:rsidR="005E224C">
        <w:rPr>
          <w:sz w:val="24"/>
          <w:szCs w:val="24"/>
        </w:rPr>
        <w:t>,</w:t>
      </w:r>
      <w:r w:rsidRPr="001E2C2C">
        <w:rPr>
          <w:sz w:val="24"/>
          <w:szCs w:val="24"/>
        </w:rPr>
        <w:t xml:space="preserve">2014). </w:t>
      </w:r>
    </w:p>
    <w:p w14:paraId="5B8E76D1" w14:textId="77777777" w:rsidR="001E2C2C" w:rsidRPr="001E2C2C" w:rsidRDefault="001E2C2C" w:rsidP="001E2C2C">
      <w:pPr>
        <w:ind w:right="237"/>
        <w:jc w:val="both"/>
        <w:rPr>
          <w:sz w:val="24"/>
          <w:szCs w:val="24"/>
        </w:rPr>
      </w:pPr>
      <w:r w:rsidRPr="001E2C2C">
        <w:rPr>
          <w:sz w:val="24"/>
          <w:szCs w:val="24"/>
        </w:rPr>
        <w:t xml:space="preserve">Unfortunately, that is not enough to effectively tackle the problem. In my opinion, prevention instead of reaction should be prioritized. </w:t>
      </w:r>
    </w:p>
    <w:p w14:paraId="03711B9A" w14:textId="77777777" w:rsidR="001E2C2C" w:rsidRPr="001E2C2C" w:rsidRDefault="001E2C2C" w:rsidP="001E2C2C">
      <w:pPr>
        <w:ind w:right="237"/>
        <w:jc w:val="both"/>
        <w:rPr>
          <w:sz w:val="24"/>
          <w:szCs w:val="24"/>
        </w:rPr>
      </w:pPr>
      <w:r w:rsidRPr="001E2C2C">
        <w:rPr>
          <w:sz w:val="24"/>
          <w:szCs w:val="24"/>
        </w:rPr>
        <w:t>Our focus as the police service is to support and safeguard the victims of crime. Consideration should always be given to the victims and how the incident impacted their lives. Collaborative work between different agencies is required in order to determine the most appropriate solution to deal with ASB, which could be the ASB Case Review or the Community Remedy. An early informal intervention is also available for the police officers, such as a verbal or written warning or mediation. Another important responsibility is to record every incident of the ASB and make sure that relevant agencies are aware of the incidents and they all can work in partnership to prevent the problem. It cannot be denied that children and young adult’s behaviour is associated with family life. If there is substance abuse in the household, children will be more likely exposed to the factors such as swearing, alcohol misuse or ASB. To prevent the problem, social services and schools should be made aware of the child’s behaviour and their family lifestyle should also be taken into consideration. Perhaps, educating parents and making them aware of their child’s behaviour could be the first step at managing the problem. As a final point, local agencies must work in partnership to prevent youths from going through the criminal justice system and encourage them to change their behaviour. An example of this is Operation Encompass has been implemented to help identify when youths are subject to ACES or incidents of disorder at home which may reflect their behaviour in school and in general. Any referral made by the police to social services needs to contain details of the school attended by any child at or linked to an address. This shows that the police, social services and education are working together to prevent any ASB thereafter.</w:t>
      </w:r>
    </w:p>
    <w:p w14:paraId="253C9719" w14:textId="77777777" w:rsidR="001E2C2C" w:rsidRPr="001E2C2C" w:rsidRDefault="001E2C2C" w:rsidP="001E2C2C">
      <w:pPr>
        <w:ind w:right="237"/>
        <w:jc w:val="both"/>
        <w:rPr>
          <w:sz w:val="24"/>
          <w:szCs w:val="24"/>
        </w:rPr>
      </w:pPr>
      <w:r w:rsidRPr="001E2C2C">
        <w:rPr>
          <w:sz w:val="24"/>
          <w:szCs w:val="24"/>
        </w:rPr>
        <w:t xml:space="preserve">The police officers are dedicated to work in the public’s interest by listening to their concerns and improving the safety and well-being of communities. We have all ‘been’ children, playing with friends on the streets and enjoying the carefree childhood. Imagine an elderly person reporting youths kicking a ball and causing problems outside on the street. Unconscious bias could easily influence our decisions and let us think, ‘its only kids kicking the ball’, or we could always prioritise more serious crimes over the old person’s complaints of ASB. Although we might think that this is a trivial issue, we must listen to the public and their views. It does </w:t>
      </w:r>
      <w:r w:rsidRPr="001E2C2C">
        <w:rPr>
          <w:sz w:val="24"/>
          <w:szCs w:val="24"/>
        </w:rPr>
        <w:lastRenderedPageBreak/>
        <w:t xml:space="preserve">not matter if the complaint appears insignificant, we must seek to understand the needs and concerns of others and act in their best interests. </w:t>
      </w:r>
    </w:p>
    <w:p w14:paraId="207D5DBF" w14:textId="77777777" w:rsidR="001E2C2C" w:rsidRPr="001E2C2C" w:rsidRDefault="001E2C2C" w:rsidP="001E2C2C">
      <w:pPr>
        <w:ind w:right="237"/>
        <w:jc w:val="both"/>
        <w:rPr>
          <w:sz w:val="24"/>
          <w:szCs w:val="24"/>
        </w:rPr>
      </w:pPr>
      <w:r w:rsidRPr="001E2C2C">
        <w:rPr>
          <w:sz w:val="24"/>
          <w:szCs w:val="24"/>
        </w:rPr>
        <w:t xml:space="preserve">Whilst completing my tutorship, I have experienced the high demand upon police dealing with ASB across the force. Cultural issues could be the depravation of the area. High rates of unemployment, social housing and care homes which have a high number of children under their care. Also, there are a lot of issues surrounding ASB and the night-time economy relates to patrol plans for specific areas of ASB. This is a double-edged sword, because the police want to enforce change but then there is a moral dilemma of criminalising the youths and this could in turn jeopardise their future. We need to interact with the community through neighbourhood policing. The force has prioritised the cadet scheme which shows other youths interacting with the community and their peers. </w:t>
      </w:r>
    </w:p>
    <w:p w14:paraId="04821CB1" w14:textId="0317567A" w:rsidR="001E2C2C" w:rsidRPr="001E2C2C" w:rsidRDefault="001E2C2C" w:rsidP="001E2C2C">
      <w:pPr>
        <w:ind w:right="237"/>
        <w:jc w:val="both"/>
        <w:rPr>
          <w:sz w:val="24"/>
          <w:szCs w:val="24"/>
        </w:rPr>
      </w:pPr>
      <w:r w:rsidRPr="001E2C2C">
        <w:rPr>
          <w:sz w:val="24"/>
          <w:szCs w:val="24"/>
        </w:rPr>
        <w:t xml:space="preserve">The wider impact of community relations is again difficult to comprehend. What appears to be trivial problems for us are obviously very prominent and distressing problems for the victims. But again, we need to educate the youths responsible as it is difficult to be too forceful as this could cause further disenchantment for the youth and their immediate families or friends who could question ‘why the police are prosecuting a child’. This could cause division between the police and the community. Using this discretion, we need to make the right decisions. To illustrate this, I will reflect on one incident whereby a child was part of a group that was causing distress to the public in the car park. The child had never been in trouble with the police and genuine remorse was expressed, therefore mediation or a community resolution would be a better conclusion than the criminal justice process for public order. The child was taken to his home address and a stern conversation with him and his parents was the appropriate outcome at that time. The verbal warning was given to the child and it was agreed if the child would get in trouble and cause ASB in a public place again, ASB referrals and more serious consequences could be enforced. On the other hand, if ASB is occurring repeatedly and we are aware of the public being harassed and distressed, we might implement more consequential police powers, such as Dispersal Powers to protect the victims and the most vulnerable in the society. </w:t>
      </w:r>
      <w:r w:rsidR="000F7D97">
        <w:rPr>
          <w:sz w:val="24"/>
          <w:szCs w:val="24"/>
        </w:rPr>
        <w:t>(</w:t>
      </w:r>
      <w:r w:rsidRPr="001E2C2C">
        <w:rPr>
          <w:sz w:val="24"/>
          <w:szCs w:val="24"/>
        </w:rPr>
        <w:t>Anti-social Behaviour, Crime and Policing act</w:t>
      </w:r>
      <w:r w:rsidR="000F7D97">
        <w:rPr>
          <w:sz w:val="24"/>
          <w:szCs w:val="24"/>
        </w:rPr>
        <w:t xml:space="preserve">, </w:t>
      </w:r>
      <w:r w:rsidRPr="001E2C2C">
        <w:rPr>
          <w:sz w:val="24"/>
          <w:szCs w:val="24"/>
        </w:rPr>
        <w:t>2014).</w:t>
      </w:r>
    </w:p>
    <w:p w14:paraId="0E935D8A" w14:textId="77777777" w:rsidR="001E2C2C" w:rsidRPr="001E2C2C" w:rsidRDefault="001E2C2C" w:rsidP="001E2C2C">
      <w:pPr>
        <w:ind w:right="237"/>
        <w:jc w:val="both"/>
        <w:rPr>
          <w:sz w:val="24"/>
          <w:szCs w:val="24"/>
        </w:rPr>
      </w:pPr>
      <w:r w:rsidRPr="001E2C2C">
        <w:rPr>
          <w:sz w:val="24"/>
          <w:szCs w:val="24"/>
        </w:rPr>
        <w:t xml:space="preserve">This might seem very harsh for some of the community members, however from the past evidence shown, this enables the police to move the large groups of youths and reduce anti-social behaviour for a short period of time. Equally relevant to the issue is the question of what could be done to prevent the problem instead of reacting to it. The College of Policing has promoted the idea of ‘evidence-based policing’ as an approach to improving policing strategies and countering crime in the UK. This means making changes to existing practises, or introducing new initiatives, and measuring the difference the change makes, to see whether they are effective. Bryant (2020). It is noticeable that the problem of ASB in the force area is huge and as a police force, we should implement EBP approach. The police officers, staff and local authorities should use the best available evidence of ASB problem solving strategies, review, implement and make changes to the policies and practises to achieve the desired outcome. </w:t>
      </w:r>
    </w:p>
    <w:p w14:paraId="46782331" w14:textId="77777777" w:rsidR="001E2C2C" w:rsidRPr="001E2C2C" w:rsidRDefault="001E2C2C" w:rsidP="001E2C2C">
      <w:pPr>
        <w:ind w:right="237"/>
        <w:jc w:val="both"/>
        <w:rPr>
          <w:sz w:val="24"/>
          <w:szCs w:val="24"/>
        </w:rPr>
      </w:pPr>
      <w:r w:rsidRPr="001E2C2C">
        <w:rPr>
          <w:sz w:val="24"/>
          <w:szCs w:val="24"/>
        </w:rPr>
        <w:t xml:space="preserve">From the arguments one must conclude that the heart of problem solving in the society, is collaborative work between all authorities as we all strive towards the same goal – a safer environment for our communities. </w:t>
      </w:r>
    </w:p>
    <w:p w14:paraId="09EAE127" w14:textId="77777777" w:rsidR="001E2C2C" w:rsidRPr="001E2C2C" w:rsidRDefault="001E2C2C" w:rsidP="001E2C2C">
      <w:pPr>
        <w:ind w:right="237"/>
        <w:jc w:val="both"/>
        <w:rPr>
          <w:sz w:val="24"/>
          <w:szCs w:val="24"/>
        </w:rPr>
      </w:pPr>
      <w:r w:rsidRPr="001E2C2C">
        <w:rPr>
          <w:sz w:val="24"/>
          <w:szCs w:val="24"/>
        </w:rPr>
        <w:t xml:space="preserve">‘No one can whistle a symphony. It takes a whole orchestra to play it’ Halford E. </w:t>
      </w:r>
      <w:proofErr w:type="spellStart"/>
      <w:r w:rsidRPr="001E2C2C">
        <w:rPr>
          <w:sz w:val="24"/>
          <w:szCs w:val="24"/>
        </w:rPr>
        <w:t>Luccock</w:t>
      </w:r>
      <w:proofErr w:type="spellEnd"/>
      <w:r w:rsidRPr="001E2C2C">
        <w:rPr>
          <w:sz w:val="24"/>
          <w:szCs w:val="24"/>
        </w:rPr>
        <w:t xml:space="preserve"> (Roberts, 2016)</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56B9F6C3" w14:textId="77777777" w:rsidR="009B7A5D" w:rsidRPr="00C973BB" w:rsidRDefault="009B7A5D" w:rsidP="000A4EED">
      <w:pPr>
        <w:keepNext/>
        <w:ind w:right="237"/>
        <w:rPr>
          <w:color w:val="auto"/>
          <w:sz w:val="24"/>
          <w:szCs w:val="24"/>
        </w:rPr>
      </w:pPr>
      <w:r w:rsidRPr="00C973BB">
        <w:rPr>
          <w:color w:val="auto"/>
          <w:sz w:val="24"/>
          <w:szCs w:val="24"/>
        </w:rPr>
        <w:lastRenderedPageBreak/>
        <w:t xml:space="preserve">Bryant R. et al. (2020) Blackstone’s Handbook for Policing Students. 15th </w:t>
      </w:r>
      <w:proofErr w:type="spellStart"/>
      <w:r w:rsidRPr="00C973BB">
        <w:rPr>
          <w:color w:val="auto"/>
          <w:sz w:val="24"/>
          <w:szCs w:val="24"/>
        </w:rPr>
        <w:t>edn</w:t>
      </w:r>
      <w:proofErr w:type="spellEnd"/>
      <w:r w:rsidRPr="00C973BB">
        <w:rPr>
          <w:color w:val="auto"/>
          <w:sz w:val="24"/>
          <w:szCs w:val="24"/>
        </w:rPr>
        <w:t>. (p. 150) United Kingdom: Ox-ford University Press.</w:t>
      </w:r>
    </w:p>
    <w:p w14:paraId="373C782C" w14:textId="77777777" w:rsidR="009B7A5D" w:rsidRPr="00C973BB" w:rsidRDefault="009B7A5D" w:rsidP="000A4EED">
      <w:pPr>
        <w:keepNext/>
        <w:ind w:right="237"/>
        <w:rPr>
          <w:color w:val="auto"/>
          <w:sz w:val="24"/>
          <w:szCs w:val="24"/>
        </w:rPr>
      </w:pPr>
    </w:p>
    <w:p w14:paraId="25DB07F4" w14:textId="10362385" w:rsidR="009B7A5D" w:rsidRPr="00C973BB" w:rsidRDefault="009B7A5D" w:rsidP="000A4EED">
      <w:pPr>
        <w:keepNext/>
        <w:ind w:right="237"/>
        <w:rPr>
          <w:color w:val="auto"/>
          <w:sz w:val="24"/>
          <w:szCs w:val="24"/>
        </w:rPr>
      </w:pPr>
      <w:r w:rsidRPr="00C973BB">
        <w:rPr>
          <w:color w:val="auto"/>
          <w:sz w:val="24"/>
          <w:szCs w:val="24"/>
        </w:rPr>
        <w:t xml:space="preserve">Cambridge Dictionary (2021) Adaptation definition. Available at: </w:t>
      </w:r>
      <w:hyperlink r:id="rId20" w:history="1">
        <w:r w:rsidR="00C973BB" w:rsidRPr="00C973BB">
          <w:rPr>
            <w:rStyle w:val="Hyperlink"/>
            <w:color w:val="auto"/>
            <w:sz w:val="24"/>
            <w:szCs w:val="24"/>
          </w:rPr>
          <w:t>https://dictionary.cambridge.org/dictionary/english/adaptation</w:t>
        </w:r>
      </w:hyperlink>
    </w:p>
    <w:p w14:paraId="5AF15DD6" w14:textId="77777777" w:rsidR="00C973BB" w:rsidRPr="00C973BB" w:rsidRDefault="00C973BB" w:rsidP="000A4EED">
      <w:pPr>
        <w:keepNext/>
        <w:ind w:right="237"/>
        <w:rPr>
          <w:color w:val="auto"/>
          <w:sz w:val="24"/>
          <w:szCs w:val="24"/>
        </w:rPr>
      </w:pPr>
    </w:p>
    <w:p w14:paraId="5ECCD88E" w14:textId="77777777" w:rsidR="009B7A5D" w:rsidRPr="00C973BB" w:rsidRDefault="009B7A5D" w:rsidP="000A4EED">
      <w:pPr>
        <w:keepNext/>
        <w:ind w:right="237"/>
        <w:rPr>
          <w:color w:val="auto"/>
          <w:sz w:val="24"/>
          <w:szCs w:val="24"/>
        </w:rPr>
      </w:pPr>
      <w:r w:rsidRPr="00C973BB">
        <w:rPr>
          <w:color w:val="auto"/>
          <w:sz w:val="24"/>
          <w:szCs w:val="24"/>
        </w:rPr>
        <w:t>(Accessed: 02 December 2021)</w:t>
      </w:r>
    </w:p>
    <w:p w14:paraId="739CB346" w14:textId="77777777" w:rsidR="009B7A5D" w:rsidRPr="00C973BB" w:rsidRDefault="009B7A5D" w:rsidP="000A4EED">
      <w:pPr>
        <w:keepNext/>
        <w:ind w:right="237"/>
        <w:rPr>
          <w:color w:val="auto"/>
          <w:sz w:val="24"/>
          <w:szCs w:val="24"/>
        </w:rPr>
      </w:pPr>
    </w:p>
    <w:p w14:paraId="5D966FA7" w14:textId="5F6EDD71" w:rsidR="009B7A5D" w:rsidRPr="00C973BB" w:rsidRDefault="009B7A5D" w:rsidP="000A4EED">
      <w:pPr>
        <w:keepNext/>
        <w:ind w:right="237"/>
        <w:rPr>
          <w:color w:val="auto"/>
          <w:sz w:val="24"/>
          <w:szCs w:val="24"/>
        </w:rPr>
      </w:pPr>
      <w:proofErr w:type="spellStart"/>
      <w:r w:rsidRPr="00C973BB">
        <w:rPr>
          <w:color w:val="auto"/>
          <w:sz w:val="24"/>
          <w:szCs w:val="24"/>
        </w:rPr>
        <w:t>Centers</w:t>
      </w:r>
      <w:proofErr w:type="spellEnd"/>
      <w:r w:rsidRPr="00C973BB">
        <w:rPr>
          <w:color w:val="auto"/>
          <w:sz w:val="24"/>
          <w:szCs w:val="24"/>
        </w:rPr>
        <w:t xml:space="preserve"> for Disease Control and Prevention (2021). Violence Prevention. Available at: </w:t>
      </w:r>
      <w:hyperlink r:id="rId21" w:history="1">
        <w:r w:rsidR="00C973BB" w:rsidRPr="00C973BB">
          <w:rPr>
            <w:rStyle w:val="Hyperlink"/>
            <w:color w:val="auto"/>
            <w:sz w:val="24"/>
            <w:szCs w:val="24"/>
          </w:rPr>
          <w:t>https://www.cdc.gov/violenceprevention/aces/fastfact.html</w:t>
        </w:r>
      </w:hyperlink>
    </w:p>
    <w:p w14:paraId="1E246B55" w14:textId="77777777" w:rsidR="00C973BB" w:rsidRPr="00C973BB" w:rsidRDefault="00C973BB" w:rsidP="000A4EED">
      <w:pPr>
        <w:keepNext/>
        <w:ind w:right="237"/>
        <w:rPr>
          <w:color w:val="auto"/>
          <w:sz w:val="24"/>
          <w:szCs w:val="24"/>
        </w:rPr>
      </w:pPr>
    </w:p>
    <w:p w14:paraId="6F4630CF" w14:textId="77777777" w:rsidR="009B7A5D" w:rsidRPr="00C973BB" w:rsidRDefault="009B7A5D" w:rsidP="000A4EED">
      <w:pPr>
        <w:keepNext/>
        <w:ind w:right="237"/>
        <w:rPr>
          <w:color w:val="auto"/>
          <w:sz w:val="24"/>
          <w:szCs w:val="24"/>
        </w:rPr>
      </w:pPr>
      <w:r w:rsidRPr="00C973BB">
        <w:rPr>
          <w:color w:val="auto"/>
          <w:sz w:val="24"/>
          <w:szCs w:val="24"/>
        </w:rPr>
        <w:t>(Accessed: 13 December 2021)</w:t>
      </w:r>
    </w:p>
    <w:p w14:paraId="72CB588D" w14:textId="77777777" w:rsidR="009B7A5D" w:rsidRPr="00C973BB" w:rsidRDefault="009B7A5D" w:rsidP="000A4EED">
      <w:pPr>
        <w:keepNext/>
        <w:ind w:right="237"/>
        <w:rPr>
          <w:color w:val="auto"/>
          <w:sz w:val="24"/>
          <w:szCs w:val="24"/>
        </w:rPr>
      </w:pPr>
    </w:p>
    <w:p w14:paraId="7E111407" w14:textId="0165DEC0" w:rsidR="009B7A5D" w:rsidRPr="00C973BB" w:rsidRDefault="009B7A5D" w:rsidP="000A4EED">
      <w:pPr>
        <w:keepNext/>
        <w:ind w:right="237"/>
        <w:rPr>
          <w:color w:val="auto"/>
          <w:sz w:val="24"/>
          <w:szCs w:val="24"/>
        </w:rPr>
      </w:pPr>
      <w:r w:rsidRPr="00C973BB">
        <w:rPr>
          <w:color w:val="auto"/>
          <w:sz w:val="24"/>
          <w:szCs w:val="24"/>
        </w:rPr>
        <w:t xml:space="preserve">College of Policing Authorised Professional Practice (2020) Investigative interview. Available at: </w:t>
      </w:r>
      <w:hyperlink r:id="rId22" w:history="1">
        <w:r w:rsidR="009C72B8" w:rsidRPr="00C973BB">
          <w:rPr>
            <w:rStyle w:val="Hyperlink"/>
            <w:color w:val="auto"/>
            <w:sz w:val="24"/>
            <w:szCs w:val="24"/>
          </w:rPr>
          <w:t>https://www.app.college.police.uk/app-content/investigations/investigative-interviewing/</w:t>
        </w:r>
      </w:hyperlink>
    </w:p>
    <w:p w14:paraId="426071A5" w14:textId="77777777" w:rsidR="009C72B8" w:rsidRPr="00C973BB" w:rsidRDefault="009C72B8" w:rsidP="000A4EED">
      <w:pPr>
        <w:keepNext/>
        <w:ind w:right="237"/>
        <w:rPr>
          <w:color w:val="auto"/>
          <w:sz w:val="24"/>
          <w:szCs w:val="24"/>
        </w:rPr>
      </w:pPr>
    </w:p>
    <w:p w14:paraId="703A45A7" w14:textId="77777777" w:rsidR="009B7A5D" w:rsidRPr="00C973BB" w:rsidRDefault="009B7A5D" w:rsidP="000A4EED">
      <w:pPr>
        <w:keepNext/>
        <w:ind w:right="237"/>
        <w:rPr>
          <w:color w:val="auto"/>
          <w:sz w:val="24"/>
          <w:szCs w:val="24"/>
        </w:rPr>
      </w:pPr>
      <w:r w:rsidRPr="00C973BB">
        <w:rPr>
          <w:color w:val="auto"/>
          <w:sz w:val="24"/>
          <w:szCs w:val="24"/>
        </w:rPr>
        <w:t>(Accessed: 4 January 2022)</w:t>
      </w:r>
    </w:p>
    <w:p w14:paraId="068F1447" w14:textId="77777777" w:rsidR="009B7A5D" w:rsidRPr="00C973BB" w:rsidRDefault="009B7A5D" w:rsidP="000A4EED">
      <w:pPr>
        <w:keepNext/>
        <w:ind w:right="237"/>
        <w:rPr>
          <w:color w:val="auto"/>
          <w:sz w:val="24"/>
          <w:szCs w:val="24"/>
        </w:rPr>
      </w:pPr>
    </w:p>
    <w:p w14:paraId="3A099DF8" w14:textId="1A695438" w:rsidR="009B7A5D" w:rsidRPr="00C973BB" w:rsidRDefault="009B7A5D" w:rsidP="000A4EED">
      <w:pPr>
        <w:keepNext/>
        <w:ind w:right="237"/>
        <w:rPr>
          <w:color w:val="auto"/>
          <w:sz w:val="24"/>
          <w:szCs w:val="24"/>
        </w:rPr>
      </w:pPr>
      <w:r w:rsidRPr="00C973BB">
        <w:rPr>
          <w:color w:val="auto"/>
          <w:sz w:val="24"/>
          <w:szCs w:val="24"/>
        </w:rPr>
        <w:t xml:space="preserve">College of Policing Authorised Professional Practice (2013) National Decision Model. Available at: </w:t>
      </w:r>
      <w:hyperlink r:id="rId23" w:history="1">
        <w:r w:rsidR="009C72B8" w:rsidRPr="00C973BB">
          <w:rPr>
            <w:rStyle w:val="Hyperlink"/>
            <w:color w:val="auto"/>
            <w:sz w:val="24"/>
            <w:szCs w:val="24"/>
          </w:rPr>
          <w:t>https://www.app.college.police.uk/app-content/national-decision-model/the-national-decision-model/</w:t>
        </w:r>
      </w:hyperlink>
    </w:p>
    <w:p w14:paraId="79608046" w14:textId="77777777" w:rsidR="009C72B8" w:rsidRPr="00C973BB" w:rsidRDefault="009C72B8" w:rsidP="000A4EED">
      <w:pPr>
        <w:keepNext/>
        <w:ind w:right="237"/>
        <w:rPr>
          <w:color w:val="auto"/>
          <w:sz w:val="24"/>
          <w:szCs w:val="24"/>
        </w:rPr>
      </w:pPr>
    </w:p>
    <w:p w14:paraId="1DFDF316" w14:textId="77777777" w:rsidR="009B7A5D" w:rsidRPr="00C973BB" w:rsidRDefault="009B7A5D" w:rsidP="000A4EED">
      <w:pPr>
        <w:keepNext/>
        <w:ind w:right="237"/>
        <w:rPr>
          <w:color w:val="auto"/>
          <w:sz w:val="24"/>
          <w:szCs w:val="24"/>
        </w:rPr>
      </w:pPr>
      <w:r w:rsidRPr="00C973BB">
        <w:rPr>
          <w:color w:val="auto"/>
          <w:sz w:val="24"/>
          <w:szCs w:val="24"/>
        </w:rPr>
        <w:t>(Accessed: 13 December 2021)</w:t>
      </w:r>
    </w:p>
    <w:p w14:paraId="32634B1D" w14:textId="77777777" w:rsidR="009B7A5D" w:rsidRPr="00C973BB" w:rsidRDefault="009B7A5D" w:rsidP="000A4EED">
      <w:pPr>
        <w:keepNext/>
        <w:ind w:right="237"/>
        <w:rPr>
          <w:color w:val="auto"/>
          <w:sz w:val="24"/>
          <w:szCs w:val="24"/>
        </w:rPr>
      </w:pPr>
    </w:p>
    <w:p w14:paraId="26457340" w14:textId="2CD4805C" w:rsidR="009B7A5D" w:rsidRPr="00C973BB" w:rsidRDefault="009B7A5D" w:rsidP="000A4EED">
      <w:pPr>
        <w:keepNext/>
        <w:ind w:right="237"/>
        <w:rPr>
          <w:color w:val="auto"/>
          <w:sz w:val="24"/>
          <w:szCs w:val="24"/>
        </w:rPr>
      </w:pPr>
      <w:r w:rsidRPr="00C973BB">
        <w:rPr>
          <w:color w:val="auto"/>
          <w:sz w:val="24"/>
          <w:szCs w:val="24"/>
        </w:rPr>
        <w:t xml:space="preserve">Crisis (2021) About homelessness. Available at: </w:t>
      </w:r>
      <w:hyperlink r:id="rId24" w:history="1">
        <w:r w:rsidR="009C72B8" w:rsidRPr="00C973BB">
          <w:rPr>
            <w:rStyle w:val="Hyperlink"/>
            <w:color w:val="auto"/>
            <w:sz w:val="24"/>
            <w:szCs w:val="24"/>
          </w:rPr>
          <w:t>https://www.crisis.org.uk/ending-homelessness/about-homelessness/?gclid=EAIaIQobChMIqL-SwrDc9AIVH4BQBh32NAsgEAMYASAAEgImHfD_BwE</w:t>
        </w:r>
      </w:hyperlink>
    </w:p>
    <w:p w14:paraId="0C10E030" w14:textId="77777777" w:rsidR="009C72B8" w:rsidRPr="00C973BB" w:rsidRDefault="009C72B8" w:rsidP="000A4EED">
      <w:pPr>
        <w:keepNext/>
        <w:ind w:right="237"/>
        <w:rPr>
          <w:color w:val="auto"/>
          <w:sz w:val="24"/>
          <w:szCs w:val="24"/>
        </w:rPr>
      </w:pPr>
    </w:p>
    <w:p w14:paraId="51631E50" w14:textId="77777777" w:rsidR="009B7A5D" w:rsidRPr="00C973BB" w:rsidRDefault="009B7A5D" w:rsidP="000A4EED">
      <w:pPr>
        <w:keepNext/>
        <w:ind w:right="237"/>
        <w:rPr>
          <w:color w:val="auto"/>
          <w:sz w:val="24"/>
          <w:szCs w:val="24"/>
        </w:rPr>
      </w:pPr>
      <w:r w:rsidRPr="00C973BB">
        <w:rPr>
          <w:color w:val="auto"/>
          <w:sz w:val="24"/>
          <w:szCs w:val="24"/>
        </w:rPr>
        <w:t>(Accessed: 11 December 2021)</w:t>
      </w:r>
    </w:p>
    <w:p w14:paraId="628EC883" w14:textId="77777777" w:rsidR="009B7A5D" w:rsidRPr="00C973BB" w:rsidRDefault="009B7A5D" w:rsidP="000A4EED">
      <w:pPr>
        <w:keepNext/>
        <w:ind w:right="237"/>
        <w:rPr>
          <w:color w:val="auto"/>
          <w:sz w:val="24"/>
          <w:szCs w:val="24"/>
        </w:rPr>
      </w:pPr>
    </w:p>
    <w:p w14:paraId="1AAF478C" w14:textId="77777777" w:rsidR="009B7A5D" w:rsidRPr="00C973BB" w:rsidRDefault="009B7A5D" w:rsidP="000A4EED">
      <w:pPr>
        <w:keepNext/>
        <w:ind w:right="237"/>
        <w:rPr>
          <w:color w:val="auto"/>
          <w:sz w:val="24"/>
          <w:szCs w:val="24"/>
        </w:rPr>
      </w:pPr>
      <w:r w:rsidRPr="00C973BB">
        <w:rPr>
          <w:color w:val="auto"/>
          <w:sz w:val="24"/>
          <w:szCs w:val="24"/>
        </w:rPr>
        <w:t>Gallagher, J. (2014) Night work ‘throws body into chaos’</w:t>
      </w:r>
    </w:p>
    <w:p w14:paraId="5158864C" w14:textId="1872925A" w:rsidR="009B7A5D" w:rsidRPr="00C973BB" w:rsidRDefault="009B7A5D" w:rsidP="000A4EED">
      <w:pPr>
        <w:keepNext/>
        <w:ind w:right="237"/>
        <w:rPr>
          <w:color w:val="auto"/>
          <w:sz w:val="24"/>
          <w:szCs w:val="24"/>
        </w:rPr>
      </w:pPr>
      <w:r w:rsidRPr="00C973BB">
        <w:rPr>
          <w:color w:val="auto"/>
          <w:sz w:val="24"/>
          <w:szCs w:val="24"/>
        </w:rPr>
        <w:t xml:space="preserve">Available at: </w:t>
      </w:r>
      <w:hyperlink r:id="rId25" w:history="1">
        <w:r w:rsidR="009C72B8" w:rsidRPr="00C973BB">
          <w:rPr>
            <w:rStyle w:val="Hyperlink"/>
            <w:color w:val="auto"/>
            <w:sz w:val="24"/>
            <w:szCs w:val="24"/>
          </w:rPr>
          <w:t>https://www.bbc.co.uk/news/health-25812422</w:t>
        </w:r>
      </w:hyperlink>
    </w:p>
    <w:p w14:paraId="2D3B26F1" w14:textId="77777777" w:rsidR="009C72B8" w:rsidRPr="00C973BB" w:rsidRDefault="009C72B8" w:rsidP="000A4EED">
      <w:pPr>
        <w:keepNext/>
        <w:ind w:right="237"/>
        <w:rPr>
          <w:color w:val="auto"/>
          <w:sz w:val="24"/>
          <w:szCs w:val="24"/>
        </w:rPr>
      </w:pPr>
    </w:p>
    <w:p w14:paraId="4C24F38A" w14:textId="77777777" w:rsidR="009B7A5D" w:rsidRPr="00C973BB" w:rsidRDefault="009B7A5D" w:rsidP="000A4EED">
      <w:pPr>
        <w:keepNext/>
        <w:ind w:right="237"/>
        <w:rPr>
          <w:color w:val="auto"/>
          <w:sz w:val="24"/>
          <w:szCs w:val="24"/>
        </w:rPr>
      </w:pPr>
      <w:r w:rsidRPr="00C973BB">
        <w:rPr>
          <w:color w:val="auto"/>
          <w:sz w:val="24"/>
          <w:szCs w:val="24"/>
        </w:rPr>
        <w:t>(Accessed: 02 December 2021)</w:t>
      </w:r>
    </w:p>
    <w:p w14:paraId="409FDE7B" w14:textId="77777777" w:rsidR="009B7A5D" w:rsidRPr="00C973BB" w:rsidRDefault="009B7A5D" w:rsidP="000A4EED">
      <w:pPr>
        <w:keepNext/>
        <w:ind w:right="237"/>
        <w:rPr>
          <w:color w:val="auto"/>
          <w:sz w:val="24"/>
          <w:szCs w:val="24"/>
        </w:rPr>
      </w:pPr>
    </w:p>
    <w:p w14:paraId="5026FD5C" w14:textId="2AB1F612" w:rsidR="009B7A5D" w:rsidRPr="00C973BB" w:rsidRDefault="009B7A5D" w:rsidP="000A4EED">
      <w:pPr>
        <w:keepNext/>
        <w:ind w:right="237"/>
        <w:rPr>
          <w:color w:val="auto"/>
          <w:sz w:val="24"/>
          <w:szCs w:val="24"/>
        </w:rPr>
      </w:pPr>
      <w:proofErr w:type="spellStart"/>
      <w:r w:rsidRPr="00C973BB">
        <w:rPr>
          <w:color w:val="auto"/>
          <w:sz w:val="24"/>
          <w:szCs w:val="24"/>
        </w:rPr>
        <w:t>Havard</w:t>
      </w:r>
      <w:proofErr w:type="spellEnd"/>
      <w:r w:rsidRPr="00C973BB">
        <w:rPr>
          <w:color w:val="auto"/>
          <w:sz w:val="24"/>
          <w:szCs w:val="24"/>
        </w:rPr>
        <w:t xml:space="preserve">, T. (2021) Domestic abuse and Covid-19: A year into the pandemic. Available at: </w:t>
      </w:r>
      <w:hyperlink r:id="rId26" w:history="1">
        <w:r w:rsidR="009C72B8" w:rsidRPr="00C973BB">
          <w:rPr>
            <w:rStyle w:val="Hyperlink"/>
            <w:color w:val="auto"/>
            <w:sz w:val="24"/>
            <w:szCs w:val="24"/>
          </w:rPr>
          <w:t>https://commonslibrary.parliament.uk/domestic-abuse-and-covid-19-a-year-into-the-pandemic/</w:t>
        </w:r>
      </w:hyperlink>
    </w:p>
    <w:p w14:paraId="1F8E0BC8" w14:textId="77777777" w:rsidR="009C72B8" w:rsidRPr="00C973BB" w:rsidRDefault="009C72B8" w:rsidP="000A4EED">
      <w:pPr>
        <w:keepNext/>
        <w:ind w:right="237"/>
        <w:rPr>
          <w:color w:val="auto"/>
          <w:sz w:val="24"/>
          <w:szCs w:val="24"/>
        </w:rPr>
      </w:pPr>
    </w:p>
    <w:p w14:paraId="02D282C0" w14:textId="77777777" w:rsidR="009B7A5D" w:rsidRPr="00C973BB" w:rsidRDefault="009B7A5D" w:rsidP="000A4EED">
      <w:pPr>
        <w:keepNext/>
        <w:ind w:right="237"/>
        <w:rPr>
          <w:color w:val="auto"/>
          <w:sz w:val="24"/>
          <w:szCs w:val="24"/>
        </w:rPr>
      </w:pPr>
      <w:r w:rsidRPr="00C973BB">
        <w:rPr>
          <w:color w:val="auto"/>
          <w:sz w:val="24"/>
          <w:szCs w:val="24"/>
        </w:rPr>
        <w:t>(Accessed: 22 December 2021)</w:t>
      </w:r>
    </w:p>
    <w:p w14:paraId="60EEA86F" w14:textId="77777777" w:rsidR="009B7A5D" w:rsidRPr="00C973BB" w:rsidRDefault="009B7A5D" w:rsidP="000A4EED">
      <w:pPr>
        <w:keepNext/>
        <w:ind w:right="237"/>
        <w:rPr>
          <w:color w:val="auto"/>
          <w:sz w:val="24"/>
          <w:szCs w:val="24"/>
        </w:rPr>
      </w:pPr>
    </w:p>
    <w:p w14:paraId="3EC09C5E" w14:textId="57C189BE" w:rsidR="009B7A5D" w:rsidRPr="00C973BB" w:rsidRDefault="009B7A5D" w:rsidP="000A4EED">
      <w:pPr>
        <w:keepNext/>
        <w:ind w:right="237"/>
        <w:rPr>
          <w:color w:val="auto"/>
          <w:sz w:val="24"/>
          <w:szCs w:val="24"/>
        </w:rPr>
      </w:pPr>
      <w:r w:rsidRPr="00C973BB">
        <w:rPr>
          <w:color w:val="auto"/>
          <w:sz w:val="24"/>
          <w:szCs w:val="24"/>
        </w:rPr>
        <w:t xml:space="preserve">Home Office (2004) Defining and Measuring Anti-social Behaviour. (p. 3-5) Available at: </w:t>
      </w:r>
      <w:hyperlink r:id="rId27" w:history="1">
        <w:r w:rsidR="009C72B8" w:rsidRPr="00C973BB">
          <w:rPr>
            <w:rStyle w:val="Hyperlink"/>
            <w:color w:val="auto"/>
            <w:sz w:val="24"/>
            <w:szCs w:val="24"/>
          </w:rPr>
          <w:t>https://assets.publishing.service.gov.uk/government/uploads/system/uploads/attachment_data/file/116655/dpr26.pdf</w:t>
        </w:r>
      </w:hyperlink>
    </w:p>
    <w:p w14:paraId="5B5CF70E" w14:textId="77777777" w:rsidR="009C72B8" w:rsidRPr="00C973BB" w:rsidRDefault="009C72B8" w:rsidP="000A4EED">
      <w:pPr>
        <w:keepNext/>
        <w:ind w:right="237"/>
        <w:rPr>
          <w:color w:val="auto"/>
          <w:sz w:val="24"/>
          <w:szCs w:val="24"/>
        </w:rPr>
      </w:pPr>
    </w:p>
    <w:p w14:paraId="7E3B9E28" w14:textId="77777777" w:rsidR="009B7A5D" w:rsidRPr="00C973BB" w:rsidRDefault="009B7A5D" w:rsidP="000A4EED">
      <w:pPr>
        <w:keepNext/>
        <w:ind w:right="237"/>
        <w:rPr>
          <w:color w:val="auto"/>
          <w:sz w:val="24"/>
          <w:szCs w:val="24"/>
        </w:rPr>
      </w:pPr>
      <w:r w:rsidRPr="00C973BB">
        <w:rPr>
          <w:color w:val="auto"/>
          <w:sz w:val="24"/>
          <w:szCs w:val="24"/>
        </w:rPr>
        <w:t>(Accessed: 5 January 2022)</w:t>
      </w:r>
    </w:p>
    <w:p w14:paraId="502F66D5" w14:textId="77777777" w:rsidR="009B7A5D" w:rsidRPr="00C973BB" w:rsidRDefault="009B7A5D" w:rsidP="000A4EED">
      <w:pPr>
        <w:keepNext/>
        <w:ind w:right="237"/>
        <w:rPr>
          <w:color w:val="auto"/>
          <w:sz w:val="24"/>
          <w:szCs w:val="24"/>
        </w:rPr>
      </w:pPr>
    </w:p>
    <w:p w14:paraId="4588CE6C" w14:textId="09A49CCB" w:rsidR="009B7A5D" w:rsidRPr="00C973BB" w:rsidRDefault="009B7A5D" w:rsidP="000A4EED">
      <w:pPr>
        <w:keepNext/>
        <w:ind w:right="237"/>
        <w:rPr>
          <w:color w:val="auto"/>
          <w:sz w:val="24"/>
          <w:szCs w:val="24"/>
        </w:rPr>
      </w:pPr>
      <w:r w:rsidRPr="00C973BB">
        <w:rPr>
          <w:color w:val="auto"/>
          <w:sz w:val="24"/>
          <w:szCs w:val="24"/>
        </w:rPr>
        <w:t xml:space="preserve">Home Office (2012) Police and Criminal Evidence Act 1984, Code G. Available at: </w:t>
      </w:r>
      <w:hyperlink r:id="rId28" w:history="1">
        <w:r w:rsidR="009C72B8" w:rsidRPr="00C973BB">
          <w:rPr>
            <w:rStyle w:val="Hyperlink"/>
            <w:color w:val="auto"/>
            <w:sz w:val="24"/>
            <w:szCs w:val="24"/>
          </w:rPr>
          <w:t>https://assets.publishing.service.gov.uk/government/uploads/system/uploads/attachment_data/file/903814/pace-code-g-2012.pdf</w:t>
        </w:r>
      </w:hyperlink>
    </w:p>
    <w:p w14:paraId="3A121C2C" w14:textId="77777777" w:rsidR="009C72B8" w:rsidRPr="00C973BB" w:rsidRDefault="009C72B8" w:rsidP="000A4EED">
      <w:pPr>
        <w:keepNext/>
        <w:ind w:right="237"/>
        <w:rPr>
          <w:color w:val="auto"/>
          <w:sz w:val="24"/>
          <w:szCs w:val="24"/>
        </w:rPr>
      </w:pPr>
    </w:p>
    <w:p w14:paraId="61852BEC" w14:textId="7B6B6DD7" w:rsidR="009C72B8" w:rsidRPr="00C973BB" w:rsidRDefault="009B7A5D" w:rsidP="000A4EED">
      <w:pPr>
        <w:keepNext/>
        <w:ind w:right="237"/>
        <w:rPr>
          <w:color w:val="auto"/>
          <w:sz w:val="24"/>
          <w:szCs w:val="24"/>
        </w:rPr>
      </w:pPr>
      <w:r w:rsidRPr="00C973BB">
        <w:rPr>
          <w:color w:val="auto"/>
          <w:sz w:val="24"/>
          <w:szCs w:val="24"/>
        </w:rPr>
        <w:t>(Accessed: 5 January 2022)</w:t>
      </w:r>
    </w:p>
    <w:p w14:paraId="0F6042D8" w14:textId="77777777" w:rsidR="009B7A5D" w:rsidRPr="00C973BB" w:rsidRDefault="009B7A5D" w:rsidP="000A4EED">
      <w:pPr>
        <w:keepNext/>
        <w:ind w:right="237"/>
        <w:rPr>
          <w:color w:val="auto"/>
          <w:sz w:val="24"/>
          <w:szCs w:val="24"/>
        </w:rPr>
      </w:pPr>
    </w:p>
    <w:p w14:paraId="7AF10EB7" w14:textId="506DDB11" w:rsidR="009B7A5D" w:rsidRPr="00C973BB" w:rsidRDefault="009B7A5D" w:rsidP="000A4EED">
      <w:pPr>
        <w:keepNext/>
        <w:ind w:right="237"/>
        <w:rPr>
          <w:color w:val="auto"/>
          <w:sz w:val="24"/>
          <w:szCs w:val="24"/>
        </w:rPr>
      </w:pPr>
      <w:r w:rsidRPr="00C973BB">
        <w:rPr>
          <w:color w:val="auto"/>
          <w:sz w:val="24"/>
          <w:szCs w:val="24"/>
        </w:rPr>
        <w:t xml:space="preserve">Legislation.gov.uk (2014) Anti-social Behaviour, Crime and Policing Act, Part 3. Available at: </w:t>
      </w:r>
      <w:hyperlink r:id="rId29" w:history="1">
        <w:r w:rsidR="009C72B8" w:rsidRPr="00C973BB">
          <w:rPr>
            <w:rStyle w:val="Hyperlink"/>
            <w:color w:val="auto"/>
            <w:sz w:val="24"/>
            <w:szCs w:val="24"/>
          </w:rPr>
          <w:t>https://www.legislation.gov.uk/ukpga/2014/12/part/3/enacted?view=plain</w:t>
        </w:r>
      </w:hyperlink>
    </w:p>
    <w:p w14:paraId="2A92DA86" w14:textId="77777777" w:rsidR="009C72B8" w:rsidRPr="00C973BB" w:rsidRDefault="009C72B8" w:rsidP="000A4EED">
      <w:pPr>
        <w:keepNext/>
        <w:ind w:right="237"/>
        <w:rPr>
          <w:color w:val="auto"/>
          <w:sz w:val="24"/>
          <w:szCs w:val="24"/>
        </w:rPr>
      </w:pPr>
    </w:p>
    <w:p w14:paraId="0CCE6FCE" w14:textId="77777777" w:rsidR="009B7A5D" w:rsidRPr="00C973BB" w:rsidRDefault="009B7A5D" w:rsidP="000A4EED">
      <w:pPr>
        <w:keepNext/>
        <w:ind w:right="237"/>
        <w:rPr>
          <w:color w:val="auto"/>
          <w:sz w:val="24"/>
          <w:szCs w:val="24"/>
        </w:rPr>
      </w:pPr>
      <w:r w:rsidRPr="00C973BB">
        <w:rPr>
          <w:color w:val="auto"/>
          <w:sz w:val="24"/>
          <w:szCs w:val="24"/>
        </w:rPr>
        <w:t>(Accessed: 6 January 2022)</w:t>
      </w:r>
    </w:p>
    <w:p w14:paraId="66A3E5E9" w14:textId="77777777" w:rsidR="009B7A5D" w:rsidRPr="00C973BB" w:rsidRDefault="009B7A5D" w:rsidP="000A4EED">
      <w:pPr>
        <w:keepNext/>
        <w:ind w:right="237"/>
        <w:rPr>
          <w:color w:val="auto"/>
          <w:sz w:val="24"/>
          <w:szCs w:val="24"/>
        </w:rPr>
      </w:pPr>
    </w:p>
    <w:p w14:paraId="38B7FEB3" w14:textId="4C1C8C02" w:rsidR="009B7A5D" w:rsidRPr="00C973BB" w:rsidRDefault="009B7A5D" w:rsidP="000A4EED">
      <w:pPr>
        <w:keepNext/>
        <w:ind w:right="237"/>
        <w:rPr>
          <w:color w:val="auto"/>
          <w:sz w:val="24"/>
          <w:szCs w:val="24"/>
        </w:rPr>
      </w:pPr>
      <w:r w:rsidRPr="00C973BB">
        <w:rPr>
          <w:color w:val="auto"/>
          <w:sz w:val="24"/>
          <w:szCs w:val="24"/>
        </w:rPr>
        <w:t xml:space="preserve">Legislation.gov.uk (2014) Anti-social Behaviour, Crime and Policing Act, Part 1, Section 1. Available at: </w:t>
      </w:r>
      <w:hyperlink r:id="rId30" w:history="1">
        <w:r w:rsidR="009C72B8" w:rsidRPr="00C973BB">
          <w:rPr>
            <w:rStyle w:val="Hyperlink"/>
            <w:color w:val="auto"/>
            <w:sz w:val="24"/>
            <w:szCs w:val="24"/>
          </w:rPr>
          <w:t>https://www.legislation.gov.uk/ukpga/2014/12/section/1/enacted</w:t>
        </w:r>
      </w:hyperlink>
    </w:p>
    <w:p w14:paraId="02937E3D" w14:textId="77777777" w:rsidR="009C72B8" w:rsidRPr="00C973BB" w:rsidRDefault="009C72B8" w:rsidP="000A4EED">
      <w:pPr>
        <w:keepNext/>
        <w:ind w:right="237"/>
        <w:rPr>
          <w:color w:val="auto"/>
          <w:sz w:val="24"/>
          <w:szCs w:val="24"/>
        </w:rPr>
      </w:pPr>
    </w:p>
    <w:p w14:paraId="05B2F7D1" w14:textId="77777777" w:rsidR="009B7A5D" w:rsidRPr="00C973BB" w:rsidRDefault="009B7A5D" w:rsidP="000A4EED">
      <w:pPr>
        <w:keepNext/>
        <w:ind w:right="237"/>
        <w:rPr>
          <w:color w:val="auto"/>
          <w:sz w:val="24"/>
          <w:szCs w:val="24"/>
        </w:rPr>
      </w:pPr>
      <w:r w:rsidRPr="00C973BB">
        <w:rPr>
          <w:color w:val="auto"/>
          <w:sz w:val="24"/>
          <w:szCs w:val="24"/>
        </w:rPr>
        <w:t>(Accessed: 5 January 2022)</w:t>
      </w:r>
    </w:p>
    <w:p w14:paraId="3DD9B7C9" w14:textId="77777777" w:rsidR="009B7A5D" w:rsidRPr="00C973BB" w:rsidRDefault="009B7A5D" w:rsidP="000A4EED">
      <w:pPr>
        <w:keepNext/>
        <w:ind w:right="237"/>
        <w:rPr>
          <w:color w:val="auto"/>
          <w:sz w:val="24"/>
          <w:szCs w:val="24"/>
        </w:rPr>
      </w:pPr>
    </w:p>
    <w:p w14:paraId="646C6FF6" w14:textId="277C9B02" w:rsidR="009B7A5D" w:rsidRPr="00C973BB" w:rsidRDefault="009B7A5D" w:rsidP="000A4EED">
      <w:pPr>
        <w:keepNext/>
        <w:ind w:right="237"/>
        <w:rPr>
          <w:color w:val="auto"/>
          <w:sz w:val="24"/>
          <w:szCs w:val="24"/>
        </w:rPr>
      </w:pPr>
      <w:r w:rsidRPr="00C973BB">
        <w:rPr>
          <w:color w:val="auto"/>
          <w:sz w:val="24"/>
          <w:szCs w:val="24"/>
        </w:rPr>
        <w:t xml:space="preserve">Legislation.gov.uk (2020) Malicious Communications Act 1988, section 1. Available at:  </w:t>
      </w:r>
      <w:hyperlink r:id="rId31" w:history="1">
        <w:r w:rsidR="009C72B8" w:rsidRPr="00C973BB">
          <w:rPr>
            <w:rStyle w:val="Hyperlink"/>
            <w:color w:val="auto"/>
            <w:sz w:val="24"/>
            <w:szCs w:val="24"/>
          </w:rPr>
          <w:t>https://www.legislation.gov.uk/ukpga/1988/27/section/1</w:t>
        </w:r>
      </w:hyperlink>
    </w:p>
    <w:p w14:paraId="1A407612" w14:textId="77777777" w:rsidR="009C72B8" w:rsidRPr="00C973BB" w:rsidRDefault="009C72B8" w:rsidP="000A4EED">
      <w:pPr>
        <w:keepNext/>
        <w:ind w:right="237"/>
        <w:rPr>
          <w:color w:val="auto"/>
          <w:sz w:val="24"/>
          <w:szCs w:val="24"/>
        </w:rPr>
      </w:pPr>
    </w:p>
    <w:p w14:paraId="2F101752" w14:textId="77777777" w:rsidR="009B7A5D" w:rsidRPr="00C973BB" w:rsidRDefault="009B7A5D" w:rsidP="000A4EED">
      <w:pPr>
        <w:keepNext/>
        <w:ind w:right="237"/>
        <w:rPr>
          <w:color w:val="auto"/>
          <w:sz w:val="24"/>
          <w:szCs w:val="24"/>
        </w:rPr>
      </w:pPr>
      <w:r w:rsidRPr="00C973BB">
        <w:rPr>
          <w:color w:val="auto"/>
          <w:sz w:val="24"/>
          <w:szCs w:val="24"/>
        </w:rPr>
        <w:t>(Accessed: 04 January 2022)</w:t>
      </w:r>
    </w:p>
    <w:p w14:paraId="175B6E4C" w14:textId="77777777" w:rsidR="009B7A5D" w:rsidRPr="00C973BB" w:rsidRDefault="009B7A5D" w:rsidP="000A4EED">
      <w:pPr>
        <w:keepNext/>
        <w:ind w:right="237"/>
        <w:rPr>
          <w:color w:val="auto"/>
          <w:sz w:val="24"/>
          <w:szCs w:val="24"/>
        </w:rPr>
      </w:pPr>
    </w:p>
    <w:p w14:paraId="29A3145B" w14:textId="64F2F29F" w:rsidR="009B7A5D" w:rsidRPr="00C973BB" w:rsidRDefault="009B7A5D" w:rsidP="000A4EED">
      <w:pPr>
        <w:keepNext/>
        <w:ind w:right="237"/>
        <w:rPr>
          <w:color w:val="auto"/>
          <w:sz w:val="24"/>
          <w:szCs w:val="24"/>
        </w:rPr>
      </w:pPr>
      <w:r w:rsidRPr="00C973BB">
        <w:rPr>
          <w:color w:val="auto"/>
          <w:sz w:val="24"/>
          <w:szCs w:val="24"/>
        </w:rPr>
        <w:t>Murphy, O. (2015) ‘</w:t>
      </w:r>
      <w:proofErr w:type="spellStart"/>
      <w:r w:rsidRPr="00C973BB">
        <w:rPr>
          <w:color w:val="auto"/>
          <w:sz w:val="24"/>
          <w:szCs w:val="24"/>
        </w:rPr>
        <w:t>Borton’s</w:t>
      </w:r>
      <w:proofErr w:type="spellEnd"/>
      <w:r w:rsidRPr="00C973BB">
        <w:rPr>
          <w:color w:val="auto"/>
          <w:sz w:val="24"/>
          <w:szCs w:val="24"/>
        </w:rPr>
        <w:t xml:space="preserve"> (1970) Framework Guiding Reflective Activities’, Orla Murphy [</w:t>
      </w:r>
      <w:proofErr w:type="spellStart"/>
      <w:r w:rsidRPr="00C973BB">
        <w:rPr>
          <w:color w:val="auto"/>
          <w:sz w:val="24"/>
          <w:szCs w:val="24"/>
        </w:rPr>
        <w:t>phdblog</w:t>
      </w:r>
      <w:proofErr w:type="spellEnd"/>
      <w:r w:rsidRPr="00C973BB">
        <w:rPr>
          <w:color w:val="auto"/>
          <w:sz w:val="24"/>
          <w:szCs w:val="24"/>
        </w:rPr>
        <w:t xml:space="preserve">]. 28 September. Available at: </w:t>
      </w:r>
      <w:hyperlink r:id="rId32" w:history="1">
        <w:r w:rsidR="009C72B8" w:rsidRPr="00C973BB">
          <w:rPr>
            <w:rStyle w:val="Hyperlink"/>
            <w:color w:val="auto"/>
            <w:sz w:val="24"/>
            <w:szCs w:val="24"/>
          </w:rPr>
          <w:t>https://orla-murphy.wixsite.com/phdblog/single-post/2015/09/28/Bortons-1970-Framework-Guiding-Reflective-Activities</w:t>
        </w:r>
      </w:hyperlink>
      <w:r w:rsidRPr="00C973BB">
        <w:rPr>
          <w:color w:val="auto"/>
          <w:sz w:val="24"/>
          <w:szCs w:val="24"/>
        </w:rPr>
        <w:t xml:space="preserve"> </w:t>
      </w:r>
    </w:p>
    <w:p w14:paraId="0B1DDB50" w14:textId="77777777" w:rsidR="009C72B8" w:rsidRPr="00C973BB" w:rsidRDefault="009C72B8" w:rsidP="000A4EED">
      <w:pPr>
        <w:keepNext/>
        <w:ind w:right="237"/>
        <w:rPr>
          <w:color w:val="auto"/>
          <w:sz w:val="24"/>
          <w:szCs w:val="24"/>
        </w:rPr>
      </w:pPr>
    </w:p>
    <w:p w14:paraId="7050AA1E" w14:textId="77777777" w:rsidR="009B7A5D" w:rsidRPr="00C973BB" w:rsidRDefault="009B7A5D" w:rsidP="000A4EED">
      <w:pPr>
        <w:keepNext/>
        <w:ind w:right="237"/>
        <w:rPr>
          <w:color w:val="auto"/>
          <w:sz w:val="24"/>
          <w:szCs w:val="24"/>
        </w:rPr>
      </w:pPr>
      <w:r w:rsidRPr="00C973BB">
        <w:rPr>
          <w:color w:val="auto"/>
          <w:sz w:val="24"/>
          <w:szCs w:val="24"/>
        </w:rPr>
        <w:t>(Accessed: 02 December 2021)</w:t>
      </w:r>
    </w:p>
    <w:p w14:paraId="619B308A" w14:textId="77777777" w:rsidR="009B7A5D" w:rsidRPr="00C973BB" w:rsidRDefault="009B7A5D" w:rsidP="000A4EED">
      <w:pPr>
        <w:keepNext/>
        <w:ind w:right="237"/>
        <w:rPr>
          <w:color w:val="auto"/>
          <w:sz w:val="24"/>
          <w:szCs w:val="24"/>
        </w:rPr>
      </w:pPr>
    </w:p>
    <w:p w14:paraId="19A210DA" w14:textId="188EF7A0" w:rsidR="009B7A5D" w:rsidRPr="00C973BB" w:rsidRDefault="009B7A5D" w:rsidP="000A4EED">
      <w:pPr>
        <w:keepNext/>
        <w:ind w:right="237"/>
        <w:rPr>
          <w:color w:val="auto"/>
          <w:sz w:val="24"/>
          <w:szCs w:val="24"/>
        </w:rPr>
      </w:pPr>
      <w:r w:rsidRPr="00C973BB">
        <w:rPr>
          <w:color w:val="auto"/>
          <w:sz w:val="24"/>
          <w:szCs w:val="24"/>
        </w:rPr>
        <w:t>Murphy, O. (2015) ‘</w:t>
      </w:r>
      <w:proofErr w:type="spellStart"/>
      <w:r w:rsidRPr="00C973BB">
        <w:rPr>
          <w:color w:val="auto"/>
          <w:sz w:val="24"/>
          <w:szCs w:val="24"/>
        </w:rPr>
        <w:t>Borton’s</w:t>
      </w:r>
      <w:proofErr w:type="spellEnd"/>
      <w:r w:rsidRPr="00C973BB">
        <w:rPr>
          <w:color w:val="auto"/>
          <w:sz w:val="24"/>
          <w:szCs w:val="24"/>
        </w:rPr>
        <w:t xml:space="preserve"> (1970) Framework Guiding Reflective Activities’, Orla Murphy [</w:t>
      </w:r>
      <w:proofErr w:type="spellStart"/>
      <w:r w:rsidRPr="00C973BB">
        <w:rPr>
          <w:color w:val="auto"/>
          <w:sz w:val="24"/>
          <w:szCs w:val="24"/>
        </w:rPr>
        <w:t>phdblog</w:t>
      </w:r>
      <w:proofErr w:type="spellEnd"/>
      <w:r w:rsidRPr="00C973BB">
        <w:rPr>
          <w:color w:val="auto"/>
          <w:sz w:val="24"/>
          <w:szCs w:val="24"/>
        </w:rPr>
        <w:t xml:space="preserve">]. 28 September. Available at: </w:t>
      </w:r>
      <w:hyperlink r:id="rId33" w:history="1">
        <w:r w:rsidR="009C72B8" w:rsidRPr="00C973BB">
          <w:rPr>
            <w:rStyle w:val="Hyperlink"/>
            <w:color w:val="auto"/>
            <w:sz w:val="24"/>
            <w:szCs w:val="24"/>
          </w:rPr>
          <w:t>https://orla-murphy.wixsite.com/phdblog/single-post/2015/09/28/Bortons-1970-Framework-Guiding-Reflective-Activities</w:t>
        </w:r>
      </w:hyperlink>
      <w:r w:rsidRPr="00C973BB">
        <w:rPr>
          <w:color w:val="auto"/>
          <w:sz w:val="24"/>
          <w:szCs w:val="24"/>
        </w:rPr>
        <w:t xml:space="preserve"> </w:t>
      </w:r>
    </w:p>
    <w:p w14:paraId="1B243C38" w14:textId="77777777" w:rsidR="009C72B8" w:rsidRPr="00C973BB" w:rsidRDefault="009C72B8" w:rsidP="000A4EED">
      <w:pPr>
        <w:keepNext/>
        <w:ind w:right="237"/>
        <w:rPr>
          <w:color w:val="auto"/>
          <w:sz w:val="24"/>
          <w:szCs w:val="24"/>
        </w:rPr>
      </w:pPr>
    </w:p>
    <w:p w14:paraId="796D3231" w14:textId="77777777" w:rsidR="009B7A5D" w:rsidRPr="00C973BB" w:rsidRDefault="009B7A5D" w:rsidP="000A4EED">
      <w:pPr>
        <w:keepNext/>
        <w:ind w:right="237"/>
        <w:rPr>
          <w:color w:val="auto"/>
          <w:sz w:val="24"/>
          <w:szCs w:val="24"/>
        </w:rPr>
      </w:pPr>
      <w:r w:rsidRPr="00C973BB">
        <w:rPr>
          <w:color w:val="auto"/>
          <w:sz w:val="24"/>
          <w:szCs w:val="24"/>
        </w:rPr>
        <w:t>(Accessed: 11 December 2021)</w:t>
      </w:r>
    </w:p>
    <w:p w14:paraId="6D2B6813" w14:textId="77777777" w:rsidR="009B7A5D" w:rsidRPr="00C973BB" w:rsidRDefault="009B7A5D" w:rsidP="000A4EED">
      <w:pPr>
        <w:keepNext/>
        <w:ind w:right="237"/>
        <w:rPr>
          <w:color w:val="auto"/>
          <w:sz w:val="24"/>
          <w:szCs w:val="24"/>
        </w:rPr>
      </w:pPr>
    </w:p>
    <w:p w14:paraId="35449EDC" w14:textId="795C3995" w:rsidR="009B7A5D" w:rsidRPr="00C973BB" w:rsidRDefault="009B7A5D" w:rsidP="000A4EED">
      <w:pPr>
        <w:keepNext/>
        <w:ind w:right="237"/>
        <w:rPr>
          <w:color w:val="auto"/>
          <w:sz w:val="24"/>
          <w:szCs w:val="24"/>
        </w:rPr>
      </w:pPr>
      <w:r w:rsidRPr="00C973BB">
        <w:rPr>
          <w:color w:val="auto"/>
          <w:sz w:val="24"/>
          <w:szCs w:val="24"/>
        </w:rPr>
        <w:t>Murphy, O. (2015) ‘</w:t>
      </w:r>
      <w:proofErr w:type="spellStart"/>
      <w:r w:rsidRPr="00C973BB">
        <w:rPr>
          <w:color w:val="auto"/>
          <w:sz w:val="24"/>
          <w:szCs w:val="24"/>
        </w:rPr>
        <w:t>Borton’s</w:t>
      </w:r>
      <w:proofErr w:type="spellEnd"/>
      <w:r w:rsidRPr="00C973BB">
        <w:rPr>
          <w:color w:val="auto"/>
          <w:sz w:val="24"/>
          <w:szCs w:val="24"/>
        </w:rPr>
        <w:t xml:space="preserve"> (1970) Framework Guiding Reflective Activities’, Orla Murphy [</w:t>
      </w:r>
      <w:proofErr w:type="spellStart"/>
      <w:r w:rsidRPr="00C973BB">
        <w:rPr>
          <w:color w:val="auto"/>
          <w:sz w:val="24"/>
          <w:szCs w:val="24"/>
        </w:rPr>
        <w:t>phdblog</w:t>
      </w:r>
      <w:proofErr w:type="spellEnd"/>
      <w:r w:rsidRPr="00C973BB">
        <w:rPr>
          <w:color w:val="auto"/>
          <w:sz w:val="24"/>
          <w:szCs w:val="24"/>
        </w:rPr>
        <w:t xml:space="preserve">]. 28 September. Available at: </w:t>
      </w:r>
      <w:hyperlink r:id="rId34" w:history="1">
        <w:r w:rsidR="009C72B8" w:rsidRPr="00C973BB">
          <w:rPr>
            <w:rStyle w:val="Hyperlink"/>
            <w:color w:val="auto"/>
            <w:sz w:val="24"/>
            <w:szCs w:val="24"/>
          </w:rPr>
          <w:t>https://orla-</w:t>
        </w:r>
        <w:r w:rsidR="009C72B8" w:rsidRPr="00C973BB">
          <w:rPr>
            <w:rStyle w:val="Hyperlink"/>
            <w:color w:val="auto"/>
            <w:sz w:val="24"/>
            <w:szCs w:val="24"/>
          </w:rPr>
          <w:lastRenderedPageBreak/>
          <w:t>murphy.wixsite.com/phdblog/single-post/2015/09/28/Bortons-1970-Framework-Guiding-Reflective-Activities</w:t>
        </w:r>
      </w:hyperlink>
      <w:r w:rsidRPr="00C973BB">
        <w:rPr>
          <w:color w:val="auto"/>
          <w:sz w:val="24"/>
          <w:szCs w:val="24"/>
        </w:rPr>
        <w:t xml:space="preserve"> </w:t>
      </w:r>
    </w:p>
    <w:p w14:paraId="2CB16AE8" w14:textId="77777777" w:rsidR="009C72B8" w:rsidRPr="00C973BB" w:rsidRDefault="009C72B8" w:rsidP="000A4EED">
      <w:pPr>
        <w:keepNext/>
        <w:ind w:right="237"/>
        <w:rPr>
          <w:color w:val="auto"/>
          <w:sz w:val="24"/>
          <w:szCs w:val="24"/>
        </w:rPr>
      </w:pPr>
    </w:p>
    <w:p w14:paraId="248F1E70" w14:textId="1E6A14E1" w:rsidR="009B7A5D" w:rsidRPr="00C973BB" w:rsidRDefault="009B7A5D" w:rsidP="000A4EED">
      <w:pPr>
        <w:keepNext/>
        <w:ind w:right="237"/>
        <w:rPr>
          <w:color w:val="auto"/>
          <w:sz w:val="24"/>
          <w:szCs w:val="24"/>
        </w:rPr>
      </w:pPr>
      <w:r w:rsidRPr="00C973BB">
        <w:rPr>
          <w:color w:val="auto"/>
          <w:sz w:val="24"/>
          <w:szCs w:val="24"/>
        </w:rPr>
        <w:t>(Accessed: 22 December 2021)</w:t>
      </w:r>
    </w:p>
    <w:p w14:paraId="66AFCEC2" w14:textId="77777777" w:rsidR="000A4EED" w:rsidRPr="00C973BB" w:rsidRDefault="000A4EED" w:rsidP="000A4EED">
      <w:pPr>
        <w:keepNext/>
        <w:ind w:right="237"/>
        <w:rPr>
          <w:color w:val="auto"/>
          <w:sz w:val="24"/>
          <w:szCs w:val="24"/>
        </w:rPr>
      </w:pPr>
    </w:p>
    <w:p w14:paraId="218F713A" w14:textId="20427687" w:rsidR="009B7A5D" w:rsidRPr="00C973BB" w:rsidRDefault="009B7A5D" w:rsidP="000A4EED">
      <w:pPr>
        <w:keepNext/>
        <w:ind w:right="237"/>
        <w:rPr>
          <w:color w:val="auto"/>
          <w:sz w:val="24"/>
          <w:szCs w:val="24"/>
        </w:rPr>
      </w:pPr>
      <w:r w:rsidRPr="00C973BB">
        <w:rPr>
          <w:color w:val="auto"/>
          <w:sz w:val="24"/>
          <w:szCs w:val="24"/>
        </w:rPr>
        <w:t>Murphy, O. (2015) ‘</w:t>
      </w:r>
      <w:proofErr w:type="spellStart"/>
      <w:r w:rsidRPr="00C973BB">
        <w:rPr>
          <w:color w:val="auto"/>
          <w:sz w:val="24"/>
          <w:szCs w:val="24"/>
        </w:rPr>
        <w:t>Borton’s</w:t>
      </w:r>
      <w:proofErr w:type="spellEnd"/>
      <w:r w:rsidRPr="00C973BB">
        <w:rPr>
          <w:color w:val="auto"/>
          <w:sz w:val="24"/>
          <w:szCs w:val="24"/>
        </w:rPr>
        <w:t xml:space="preserve"> (1970) Framework Guiding Reflective Activities’, Orla Murphy [</w:t>
      </w:r>
      <w:proofErr w:type="spellStart"/>
      <w:r w:rsidRPr="00C973BB">
        <w:rPr>
          <w:color w:val="auto"/>
          <w:sz w:val="24"/>
          <w:szCs w:val="24"/>
        </w:rPr>
        <w:t>phdblog</w:t>
      </w:r>
      <w:proofErr w:type="spellEnd"/>
      <w:r w:rsidRPr="00C973BB">
        <w:rPr>
          <w:color w:val="auto"/>
          <w:sz w:val="24"/>
          <w:szCs w:val="24"/>
        </w:rPr>
        <w:t xml:space="preserve">]. 28 September. Available at: </w:t>
      </w:r>
      <w:hyperlink r:id="rId35" w:history="1">
        <w:r w:rsidR="00C973BB" w:rsidRPr="00C973BB">
          <w:rPr>
            <w:rStyle w:val="Hyperlink"/>
            <w:color w:val="auto"/>
            <w:sz w:val="24"/>
            <w:szCs w:val="24"/>
          </w:rPr>
          <w:t>https://orla-murphy.wixsite.com/phdblog/single-post/2015/09/28/Bortons-1970-Framework-Guiding-Reflective-Activities</w:t>
        </w:r>
      </w:hyperlink>
    </w:p>
    <w:p w14:paraId="0FADB269" w14:textId="77777777" w:rsidR="00C973BB" w:rsidRPr="00C973BB" w:rsidRDefault="00C973BB" w:rsidP="000A4EED">
      <w:pPr>
        <w:keepNext/>
        <w:ind w:right="237"/>
        <w:rPr>
          <w:color w:val="auto"/>
          <w:sz w:val="24"/>
          <w:szCs w:val="24"/>
        </w:rPr>
      </w:pPr>
    </w:p>
    <w:p w14:paraId="16F77CF0" w14:textId="77777777" w:rsidR="009B7A5D" w:rsidRPr="00C973BB" w:rsidRDefault="009B7A5D" w:rsidP="000A4EED">
      <w:pPr>
        <w:keepNext/>
        <w:ind w:right="237"/>
        <w:rPr>
          <w:color w:val="auto"/>
          <w:sz w:val="24"/>
          <w:szCs w:val="24"/>
        </w:rPr>
      </w:pPr>
      <w:r w:rsidRPr="00C973BB">
        <w:rPr>
          <w:color w:val="auto"/>
          <w:sz w:val="24"/>
          <w:szCs w:val="24"/>
        </w:rPr>
        <w:t>(Accessed: 4 January 2022)</w:t>
      </w:r>
    </w:p>
    <w:p w14:paraId="2F80C5E0" w14:textId="77777777" w:rsidR="009B7A5D" w:rsidRPr="00C973BB" w:rsidRDefault="009B7A5D" w:rsidP="000A4EED">
      <w:pPr>
        <w:keepNext/>
        <w:ind w:right="237"/>
        <w:rPr>
          <w:color w:val="auto"/>
          <w:sz w:val="24"/>
          <w:szCs w:val="24"/>
        </w:rPr>
      </w:pPr>
    </w:p>
    <w:p w14:paraId="7A33EF2C" w14:textId="44515A60" w:rsidR="009B7A5D" w:rsidRPr="00C973BB" w:rsidRDefault="009B7A5D" w:rsidP="000A4EED">
      <w:pPr>
        <w:keepNext/>
        <w:ind w:right="237"/>
        <w:rPr>
          <w:color w:val="auto"/>
          <w:sz w:val="24"/>
          <w:szCs w:val="24"/>
        </w:rPr>
      </w:pPr>
      <w:r w:rsidRPr="00C973BB">
        <w:rPr>
          <w:color w:val="auto"/>
          <w:sz w:val="24"/>
          <w:szCs w:val="24"/>
        </w:rPr>
        <w:t xml:space="preserve">O’Shea N. (2020) Covid-19 and the nation’s mental health: Forecasting needs and risks in the UK: October 2020. Available at: </w:t>
      </w:r>
      <w:hyperlink r:id="rId36" w:history="1">
        <w:r w:rsidR="00C973BB" w:rsidRPr="00C973BB">
          <w:rPr>
            <w:rStyle w:val="Hyperlink"/>
            <w:color w:val="auto"/>
            <w:sz w:val="24"/>
            <w:szCs w:val="24"/>
          </w:rPr>
          <w:t>https://www.centreformentalhealth.org.uk/sites/default/files/publication/download/CentreforMentalHealth_COVID_MH_Forecasting3_Oct20_0.pdf</w:t>
        </w:r>
      </w:hyperlink>
    </w:p>
    <w:p w14:paraId="4B1380D4" w14:textId="77777777" w:rsidR="00C973BB" w:rsidRPr="00C973BB" w:rsidRDefault="00C973BB" w:rsidP="000A4EED">
      <w:pPr>
        <w:keepNext/>
        <w:ind w:right="237"/>
        <w:rPr>
          <w:color w:val="auto"/>
          <w:sz w:val="24"/>
          <w:szCs w:val="24"/>
        </w:rPr>
      </w:pPr>
    </w:p>
    <w:p w14:paraId="356B7228" w14:textId="77777777" w:rsidR="009B7A5D" w:rsidRPr="00C973BB" w:rsidRDefault="009B7A5D" w:rsidP="000A4EED">
      <w:pPr>
        <w:keepNext/>
        <w:ind w:right="237"/>
        <w:rPr>
          <w:color w:val="auto"/>
          <w:sz w:val="24"/>
          <w:szCs w:val="24"/>
        </w:rPr>
      </w:pPr>
      <w:r w:rsidRPr="00C973BB">
        <w:rPr>
          <w:color w:val="auto"/>
          <w:sz w:val="24"/>
          <w:szCs w:val="24"/>
        </w:rPr>
        <w:t>(Accessed: 5 January 2022)</w:t>
      </w:r>
    </w:p>
    <w:p w14:paraId="76073614" w14:textId="77777777" w:rsidR="009B7A5D" w:rsidRPr="00C973BB" w:rsidRDefault="009B7A5D" w:rsidP="000A4EED">
      <w:pPr>
        <w:keepNext/>
        <w:ind w:right="237"/>
        <w:rPr>
          <w:color w:val="auto"/>
          <w:sz w:val="24"/>
          <w:szCs w:val="24"/>
        </w:rPr>
      </w:pPr>
    </w:p>
    <w:p w14:paraId="0DB29D65" w14:textId="7D0CB52A" w:rsidR="009B7A5D" w:rsidRPr="00C973BB" w:rsidRDefault="009B7A5D" w:rsidP="000A4EED">
      <w:pPr>
        <w:keepNext/>
        <w:ind w:right="237"/>
        <w:rPr>
          <w:color w:val="auto"/>
          <w:sz w:val="24"/>
          <w:szCs w:val="24"/>
        </w:rPr>
      </w:pPr>
      <w:r w:rsidRPr="00C973BB">
        <w:rPr>
          <w:color w:val="auto"/>
          <w:sz w:val="24"/>
          <w:szCs w:val="24"/>
        </w:rPr>
        <w:t xml:space="preserve">Roberts J. (2016) The Big Book of Business Quotations. Available at: </w:t>
      </w:r>
      <w:hyperlink r:id="rId37" w:history="1">
        <w:r w:rsidR="00C973BB" w:rsidRPr="00C973BB">
          <w:rPr>
            <w:rStyle w:val="Hyperlink"/>
            <w:color w:val="auto"/>
            <w:sz w:val="24"/>
            <w:szCs w:val="24"/>
          </w:rPr>
          <w:t>https://quotes.yourdictionary.com/author/halford-e-luccock/</w:t>
        </w:r>
      </w:hyperlink>
    </w:p>
    <w:p w14:paraId="585233A2" w14:textId="77777777" w:rsidR="00C973BB" w:rsidRPr="00C973BB" w:rsidRDefault="00C973BB" w:rsidP="000A4EED">
      <w:pPr>
        <w:keepNext/>
        <w:ind w:right="237"/>
        <w:rPr>
          <w:color w:val="auto"/>
          <w:sz w:val="24"/>
          <w:szCs w:val="24"/>
        </w:rPr>
      </w:pPr>
    </w:p>
    <w:p w14:paraId="184CF68C" w14:textId="77777777" w:rsidR="009B7A5D" w:rsidRPr="00C973BB" w:rsidRDefault="009B7A5D" w:rsidP="000A4EED">
      <w:pPr>
        <w:keepNext/>
        <w:ind w:right="237"/>
        <w:rPr>
          <w:color w:val="auto"/>
          <w:sz w:val="24"/>
          <w:szCs w:val="24"/>
        </w:rPr>
      </w:pPr>
      <w:r w:rsidRPr="00C973BB">
        <w:rPr>
          <w:color w:val="auto"/>
          <w:sz w:val="24"/>
          <w:szCs w:val="24"/>
        </w:rPr>
        <w:t>(Accessed: 6 January 2022)</w:t>
      </w:r>
    </w:p>
    <w:p w14:paraId="5B9B1DF1" w14:textId="77777777" w:rsidR="009B7A5D" w:rsidRPr="00C973BB" w:rsidRDefault="009B7A5D" w:rsidP="000A4EED">
      <w:pPr>
        <w:keepNext/>
        <w:ind w:right="237"/>
        <w:rPr>
          <w:color w:val="auto"/>
          <w:sz w:val="24"/>
          <w:szCs w:val="24"/>
        </w:rPr>
      </w:pPr>
    </w:p>
    <w:p w14:paraId="68D89285" w14:textId="62D3D57B" w:rsidR="009B7A5D" w:rsidRPr="00C973BB" w:rsidRDefault="009B7A5D" w:rsidP="000A4EED">
      <w:pPr>
        <w:keepNext/>
        <w:ind w:right="237"/>
        <w:rPr>
          <w:color w:val="auto"/>
          <w:sz w:val="24"/>
          <w:szCs w:val="24"/>
        </w:rPr>
      </w:pPr>
      <w:r w:rsidRPr="00C973BB">
        <w:rPr>
          <w:color w:val="auto"/>
          <w:sz w:val="24"/>
          <w:szCs w:val="24"/>
        </w:rPr>
        <w:t xml:space="preserve">Staff, P. (2020) ‘Police Negotiation techniques from the NYPD Crisis Negotiations Team’ [blog]. 16th of November. Available at: </w:t>
      </w:r>
      <w:hyperlink r:id="rId38" w:history="1">
        <w:r w:rsidR="00C973BB" w:rsidRPr="00C973BB">
          <w:rPr>
            <w:rStyle w:val="Hyperlink"/>
            <w:color w:val="auto"/>
            <w:sz w:val="24"/>
            <w:szCs w:val="24"/>
          </w:rPr>
          <w:t>https://www.pon.harvard.edu/daily/crisis-negotiations/crisis-negotiations-and-negotiation-skills-insights-from-the-new-york-city-police-department-hostage-negotiations-team/</w:t>
        </w:r>
      </w:hyperlink>
    </w:p>
    <w:p w14:paraId="675439D7" w14:textId="77777777" w:rsidR="00C973BB" w:rsidRPr="00C973BB" w:rsidRDefault="00C973BB" w:rsidP="000A4EED">
      <w:pPr>
        <w:keepNext/>
        <w:ind w:right="237"/>
        <w:rPr>
          <w:color w:val="auto"/>
          <w:sz w:val="24"/>
          <w:szCs w:val="24"/>
        </w:rPr>
      </w:pPr>
    </w:p>
    <w:p w14:paraId="6ED77802" w14:textId="5779EEB4" w:rsidR="0093018C" w:rsidRPr="00C973BB" w:rsidRDefault="009B7A5D" w:rsidP="000A4EED">
      <w:pPr>
        <w:keepNext/>
        <w:ind w:right="237"/>
        <w:rPr>
          <w:color w:val="auto"/>
          <w:sz w:val="24"/>
          <w:szCs w:val="24"/>
        </w:rPr>
      </w:pPr>
      <w:r w:rsidRPr="00C973BB">
        <w:rPr>
          <w:color w:val="auto"/>
          <w:sz w:val="24"/>
          <w:szCs w:val="24"/>
        </w:rPr>
        <w:t>(Accessed: 11 December 2021)</w:t>
      </w:r>
      <w:r w:rsidR="00BC5725" w:rsidRPr="00C973BB">
        <w:rPr>
          <w:color w:val="auto"/>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6D7AFB0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7B17E9">
        <w:rPr>
          <w:rFonts w:eastAsia="Arial"/>
          <w:color w:val="000000" w:themeColor="text1"/>
          <w:sz w:val="24"/>
          <w:szCs w:val="24"/>
        </w:rPr>
        <w:t xml:space="preserve">Neringa Miliukaite </w:t>
      </w:r>
      <w:r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21FDB60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7B17E9">
        <w:rPr>
          <w:rFonts w:eastAsia="Arial"/>
          <w:color w:val="000000" w:themeColor="text1"/>
          <w:sz w:val="24"/>
          <w:szCs w:val="24"/>
        </w:rPr>
        <w:t>07/01/2022</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0B9A206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DA662A">
        <w:rPr>
          <w:rFonts w:eastAsia="Arial"/>
          <w:color w:val="000000" w:themeColor="text1"/>
          <w:sz w:val="24"/>
          <w:szCs w:val="24"/>
        </w:rPr>
        <w:t xml:space="preserve">Neringa Miliukaite </w:t>
      </w:r>
      <w:r w:rsidRPr="5848403C">
        <w:rPr>
          <w:rFonts w:eastAsia="Arial"/>
          <w:color w:val="000000" w:themeColor="text1"/>
          <w:sz w:val="24"/>
          <w:szCs w:val="24"/>
        </w:rPr>
        <w:t>(Learner)</w:t>
      </w:r>
    </w:p>
    <w:p w14:paraId="3EC01EFA" w14:textId="0F1AEED0" w:rsidR="5848403C" w:rsidRDefault="5848403C" w:rsidP="5848403C">
      <w:pPr>
        <w:jc w:val="both"/>
        <w:rPr>
          <w:rFonts w:eastAsia="Arial"/>
          <w:color w:val="000000" w:themeColor="text1"/>
          <w:sz w:val="24"/>
          <w:szCs w:val="24"/>
        </w:rPr>
      </w:pPr>
    </w:p>
    <w:p w14:paraId="6058463E" w14:textId="771214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0957F1">
        <w:rPr>
          <w:rFonts w:eastAsia="Arial"/>
          <w:color w:val="000000" w:themeColor="text1"/>
          <w:sz w:val="24"/>
          <w:szCs w:val="24"/>
        </w:rPr>
        <w:t>07/01/2022</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0700A01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546CF1">
        <w:rPr>
          <w:rFonts w:eastAsia="Arial"/>
          <w:color w:val="000000" w:themeColor="text1"/>
          <w:sz w:val="24"/>
          <w:szCs w:val="24"/>
        </w:rPr>
        <w:t>Daniel Crandon</w:t>
      </w:r>
      <w:r w:rsidRPr="5848403C">
        <w:rPr>
          <w:rFonts w:eastAsia="Arial"/>
          <w:color w:val="000000" w:themeColor="text1"/>
          <w:sz w:val="24"/>
          <w:szCs w:val="24"/>
        </w:rPr>
        <w:t xml:space="preserve"> (Tutor Constable) </w:t>
      </w:r>
    </w:p>
    <w:p w14:paraId="143CEFC4" w14:textId="5E98B60C" w:rsidR="5848403C" w:rsidRDefault="5848403C" w:rsidP="5848403C">
      <w:pPr>
        <w:jc w:val="both"/>
        <w:rPr>
          <w:rFonts w:eastAsia="Arial"/>
          <w:color w:val="000000" w:themeColor="text1"/>
          <w:sz w:val="24"/>
          <w:szCs w:val="24"/>
        </w:rPr>
      </w:pPr>
    </w:p>
    <w:p w14:paraId="1F0252AC" w14:textId="087589D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56141F">
        <w:rPr>
          <w:rFonts w:eastAsia="Arial"/>
          <w:color w:val="000000" w:themeColor="text1"/>
          <w:sz w:val="24"/>
          <w:szCs w:val="24"/>
        </w:rPr>
        <w:t>17/12/2021</w:t>
      </w:r>
    </w:p>
    <w:p w14:paraId="2D39D2D5" w14:textId="666342B6" w:rsidR="5848403C" w:rsidRDefault="5848403C" w:rsidP="5848403C">
      <w:pPr>
        <w:rPr>
          <w:rFonts w:eastAsia="Arial"/>
          <w:color w:val="000000" w:themeColor="text1"/>
          <w:sz w:val="24"/>
          <w:szCs w:val="24"/>
        </w:rPr>
      </w:pPr>
    </w:p>
    <w:p w14:paraId="63F4B661" w14:textId="03D846D3" w:rsidR="5848403C" w:rsidRDefault="00B96C4A" w:rsidP="5848403C">
      <w:pPr>
        <w:rPr>
          <w:rFonts w:eastAsia="Arial"/>
          <w:color w:val="000000" w:themeColor="text1"/>
          <w:sz w:val="24"/>
          <w:szCs w:val="24"/>
        </w:rPr>
      </w:pPr>
      <w:r>
        <w:rPr>
          <w:rFonts w:eastAsia="Arial"/>
          <w:color w:val="000000" w:themeColor="text1"/>
          <w:sz w:val="24"/>
          <w:szCs w:val="24"/>
        </w:rPr>
        <w:t>(signed copy below)</w:t>
      </w:r>
    </w:p>
    <w:p w14:paraId="1B21B737" w14:textId="77777777" w:rsidR="00B96C4A" w:rsidRDefault="00B96C4A" w:rsidP="5848403C">
      <w:pPr>
        <w:rPr>
          <w:rFonts w:eastAsia="Arial"/>
          <w:color w:val="000000" w:themeColor="text1"/>
          <w:sz w:val="24"/>
          <w:szCs w:val="24"/>
        </w:rPr>
      </w:pPr>
      <w:bookmarkStart w:id="0" w:name="_GoBack"/>
      <w:bookmarkEnd w:id="0"/>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76C09CDB" w:rsidR="5848403C" w:rsidRDefault="5848403C" w:rsidP="5848403C"/>
    <w:p w14:paraId="564E7512" w14:textId="1AEE1985" w:rsidR="00057603" w:rsidRDefault="00057603" w:rsidP="5848403C"/>
    <w:p w14:paraId="3B55BEF6" w14:textId="28BCA532" w:rsidR="00057603" w:rsidRDefault="00B96C4A" w:rsidP="5848403C">
      <w:r w:rsidRPr="00B96C4A">
        <w:lastRenderedPageBreak/>
        <w:drawing>
          <wp:inline distT="0" distB="0" distL="0" distR="0" wp14:anchorId="681A379E" wp14:editId="606BD582">
            <wp:extent cx="5731510" cy="67697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6769735"/>
                    </a:xfrm>
                    <a:prstGeom prst="rect">
                      <a:avLst/>
                    </a:prstGeom>
                  </pic:spPr>
                </pic:pic>
              </a:graphicData>
            </a:graphic>
          </wp:inline>
        </w:drawing>
      </w:r>
    </w:p>
    <w:sectPr w:rsidR="0005760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371B8F" w14:textId="77777777" w:rsidR="007A6EBF" w:rsidRDefault="007A6EBF">
      <w:r>
        <w:separator/>
      </w:r>
    </w:p>
  </w:endnote>
  <w:endnote w:type="continuationSeparator" w:id="0">
    <w:p w14:paraId="1583A535" w14:textId="77777777" w:rsidR="007A6EBF" w:rsidRDefault="007A6E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7DC2CC" w14:textId="77777777" w:rsidR="00360FC0" w:rsidRDefault="00360F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7EAE9F" w14:textId="77777777" w:rsidR="00360FC0" w:rsidRDefault="00360F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67EA9E" w14:textId="77777777" w:rsidR="007A6EBF" w:rsidRDefault="007A6EBF">
      <w:r>
        <w:separator/>
      </w:r>
    </w:p>
  </w:footnote>
  <w:footnote w:type="continuationSeparator" w:id="0">
    <w:p w14:paraId="640DE030" w14:textId="77777777" w:rsidR="007A6EBF" w:rsidRDefault="007A6E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BBCC3F" w14:textId="77777777" w:rsidR="00360FC0" w:rsidRDefault="00360F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09C8AA" w14:textId="77777777" w:rsidR="00360FC0" w:rsidRDefault="00360F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FAB176" w14:textId="77777777" w:rsidR="00360FC0" w:rsidRDefault="00360F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603"/>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7F1"/>
    <w:rsid w:val="00095C1B"/>
    <w:rsid w:val="00096DEA"/>
    <w:rsid w:val="000A4240"/>
    <w:rsid w:val="000A469A"/>
    <w:rsid w:val="000A4EED"/>
    <w:rsid w:val="000B1E96"/>
    <w:rsid w:val="000B631B"/>
    <w:rsid w:val="000C378F"/>
    <w:rsid w:val="000C6892"/>
    <w:rsid w:val="000C6FFE"/>
    <w:rsid w:val="000D0BB6"/>
    <w:rsid w:val="000D4604"/>
    <w:rsid w:val="000E26B0"/>
    <w:rsid w:val="000F1599"/>
    <w:rsid w:val="000F1769"/>
    <w:rsid w:val="000F6196"/>
    <w:rsid w:val="000F7D97"/>
    <w:rsid w:val="000F7ECD"/>
    <w:rsid w:val="00102E64"/>
    <w:rsid w:val="0010312C"/>
    <w:rsid w:val="00106DC7"/>
    <w:rsid w:val="0011237D"/>
    <w:rsid w:val="00112391"/>
    <w:rsid w:val="00113DB1"/>
    <w:rsid w:val="00114F52"/>
    <w:rsid w:val="0012135C"/>
    <w:rsid w:val="001243F5"/>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2C2C"/>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5E75"/>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0FC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46CF1"/>
    <w:rsid w:val="00557D77"/>
    <w:rsid w:val="0056141F"/>
    <w:rsid w:val="00562EAA"/>
    <w:rsid w:val="00563B58"/>
    <w:rsid w:val="005640C4"/>
    <w:rsid w:val="00564C53"/>
    <w:rsid w:val="0056684C"/>
    <w:rsid w:val="00571847"/>
    <w:rsid w:val="00574A0C"/>
    <w:rsid w:val="00576E4C"/>
    <w:rsid w:val="0057780F"/>
    <w:rsid w:val="00581E0A"/>
    <w:rsid w:val="00586D89"/>
    <w:rsid w:val="005878DE"/>
    <w:rsid w:val="005916B8"/>
    <w:rsid w:val="005A1B4C"/>
    <w:rsid w:val="005A1BA3"/>
    <w:rsid w:val="005A545C"/>
    <w:rsid w:val="005B4607"/>
    <w:rsid w:val="005C1567"/>
    <w:rsid w:val="005C6CE5"/>
    <w:rsid w:val="005D3F07"/>
    <w:rsid w:val="005D583E"/>
    <w:rsid w:val="005E13EA"/>
    <w:rsid w:val="005E224C"/>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A6EBF"/>
    <w:rsid w:val="007B0DE3"/>
    <w:rsid w:val="007B17E9"/>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3B38"/>
    <w:rsid w:val="009A5F3B"/>
    <w:rsid w:val="009B0B61"/>
    <w:rsid w:val="009B28C0"/>
    <w:rsid w:val="009B7136"/>
    <w:rsid w:val="009B7806"/>
    <w:rsid w:val="009B7A5D"/>
    <w:rsid w:val="009C3AC2"/>
    <w:rsid w:val="009C72B8"/>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96C4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73BB"/>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A662A"/>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DD9"/>
    <w:rsid w:val="00EB2173"/>
    <w:rsid w:val="00EB3EA9"/>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9C72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commonslibrary.parliament.uk/domestic-abuse-and-covid-19-a-year-into-the-pandemic/" TargetMode="External"/><Relationship Id="rId39"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hyperlink" Target="https://www.cdc.gov/violenceprevention/aces/fastfact.html" TargetMode="External"/><Relationship Id="rId34" Type="http://schemas.openxmlformats.org/officeDocument/2006/relationships/hyperlink" Target="https://orla-murphy.wixsite.com/phdblog/single-post/2015/09/28/Bortons-1970-Framework-Guiding-Reflective-Activiti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bbc.co.uk/news/health-25812422" TargetMode="External"/><Relationship Id="rId33" Type="http://schemas.openxmlformats.org/officeDocument/2006/relationships/hyperlink" Target="https://orla-murphy.wixsite.com/phdblog/single-post/2015/09/28/Bortons-1970-Framework-Guiding-Reflective-Activities" TargetMode="External"/><Relationship Id="rId38" Type="http://schemas.openxmlformats.org/officeDocument/2006/relationships/hyperlink" Target="https://www.pon.harvard.edu/daily/crisis-negotiations/crisis-negotiations-and-negotiation-skills-insights-from-the-new-york-city-police-department-hostage-negotiations-team/"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ictionary.cambridge.org/dictionary/english/adaptation" TargetMode="External"/><Relationship Id="rId29" Type="http://schemas.openxmlformats.org/officeDocument/2006/relationships/hyperlink" Target="https://www.legislation.gov.uk/ukpga/2014/12/part/3/enacted?view=plain"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risis.org.uk/ending-homelessness/about-homelessness/?gclid=EAIaIQobChMIqL-SwrDc9AIVH4BQBh32NAsgEAMYASAAEgImHfD_BwE" TargetMode="External"/><Relationship Id="rId32" Type="http://schemas.openxmlformats.org/officeDocument/2006/relationships/hyperlink" Target="https://orla-murphy.wixsite.com/phdblog/single-post/2015/09/28/Bortons-1970-Framework-Guiding-Reflective-Activities" TargetMode="External"/><Relationship Id="rId37" Type="http://schemas.openxmlformats.org/officeDocument/2006/relationships/hyperlink" Target="https://quotes.yourdictionary.com/author/halford-e-luccock/"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p.college.police.uk/app-content/national-decision-model/the-national-decision-model/" TargetMode="External"/><Relationship Id="rId28" Type="http://schemas.openxmlformats.org/officeDocument/2006/relationships/hyperlink" Target="https://assets.publishing.service.gov.uk/government/uploads/system/uploads/attachment_data/file/903814/pace-code-g-2012.pdf" TargetMode="External"/><Relationship Id="rId36" Type="http://schemas.openxmlformats.org/officeDocument/2006/relationships/hyperlink" Target="https://www.centreformentalhealth.org.uk/sites/default/files/publication/download/CentreforMentalHealth_COVID_MH_Forecasting3_Oct20_0.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88/27/section/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p.college.police.uk/app-content/investigations/investigative-interviewing/" TargetMode="External"/><Relationship Id="rId27" Type="http://schemas.openxmlformats.org/officeDocument/2006/relationships/hyperlink" Target="https://assets.publishing.service.gov.uk/government/uploads/system/uploads/attachment_data/file/116655/dpr26.pdf" TargetMode="External"/><Relationship Id="rId30" Type="http://schemas.openxmlformats.org/officeDocument/2006/relationships/hyperlink" Target="https://www.legislation.gov.uk/ukpga/2014/12/section/1/enacted" TargetMode="External"/><Relationship Id="rId35" Type="http://schemas.openxmlformats.org/officeDocument/2006/relationships/hyperlink" Target="https://orla-murphy.wixsite.com/phdblog/single-post/2015/09/28/Bortons-1970-Framework-Guiding-Reflective-Activ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CE2D285DA5EA44F8D9BF5228085DACE" ma:contentTypeVersion="12" ma:contentTypeDescription="Create a new document." ma:contentTypeScope="" ma:versionID="e6a097f6431cefcea5806d172781fe9e">
  <xsd:schema xmlns:xsd="http://www.w3.org/2001/XMLSchema" xmlns:xs="http://www.w3.org/2001/XMLSchema" xmlns:p="http://schemas.microsoft.com/office/2006/metadata/properties" xmlns:ns3="65793757-3192-4308-a009-63d5db8470b3" xmlns:ns4="66750299-c01d-4a80-97aa-98fbc9a0332f" targetNamespace="http://schemas.microsoft.com/office/2006/metadata/properties" ma:root="true" ma:fieldsID="bcc8470f05f0d4aa1861348ba243fdc1" ns3:_="" ns4:_="">
    <xsd:import namespace="65793757-3192-4308-a009-63d5db8470b3"/>
    <xsd:import namespace="66750299-c01d-4a80-97aa-98fbc9a0332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793757-3192-4308-a009-63d5db8470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6750299-c01d-4a80-97aa-98fbc9a0332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9416E6-B080-4479-A330-7F0AA6D83B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793757-3192-4308-a009-63d5db8470b3"/>
    <ds:schemaRef ds:uri="66750299-c01d-4a80-97aa-98fbc9a033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63CF2377-37A5-4E35-B4F4-B6BE4FD4D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TotalTime>
  <Pages>26</Pages>
  <Words>7746</Words>
  <Characters>44156</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Miliukaite, Neringa</cp:lastModifiedBy>
  <cp:revision>21</cp:revision>
  <cp:lastPrinted>2019-09-26T14:40:00Z</cp:lastPrinted>
  <dcterms:created xsi:type="dcterms:W3CDTF">2021-12-02T10:27:00Z</dcterms:created>
  <dcterms:modified xsi:type="dcterms:W3CDTF">2022-01-07T20:54:00Z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0x0101006CE2D285DA5EA44F8D9BF5228085DACE</vt:lpwstr>
  </property>
  <property fmtid="{D5CDD505-2E9C-101B-9397-08002B2CF9AE}" pid="3" name="MSIP_Label_f2acd28b-79a3-4a0f-b0ff-4b75658b1549_Enabled">
    <vt:lpwstr>true</vt:lpwstr>
  </property>
  <property fmtid="{D5CDD505-2E9C-101B-9397-08002B2CF9AE}" pid="4" name="MSIP_Label_f2acd28b-79a3-4a0f-b0ff-4b75658b1549_SetDate">
    <vt:lpwstr>2021-12-02T10:27:33Z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c48589f6-8c73-44de-91cc-4a35441b4f4d</vt:lpwstr>
  </property>
  <property fmtid="{D5CDD505-2E9C-101B-9397-08002B2CF9AE}" pid="9" name="MSIP_Label_f2acd28b-79a3-4a0f-b0ff-4b75658b1549_ContentBits">
    <vt:lpwstr>0</vt:lpwstr>
  </property>
</Properties>
</file>