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EF70D" w14:textId="0A288FA6" w:rsidR="000173CE" w:rsidRDefault="000173CE" w:rsidP="000173CE">
      <w:pPr>
        <w:spacing w:after="274" w:line="360" w:lineRule="auto"/>
      </w:pPr>
      <w:r>
        <w:rPr>
          <w:noProof/>
        </w:rPr>
        <w:drawing>
          <wp:inline distT="0" distB="0" distL="0" distR="0" wp14:anchorId="5358B25A" wp14:editId="0CBEFBE4">
            <wp:extent cx="448818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8"/>
                    <a:stretch>
                      <a:fillRect/>
                    </a:stretch>
                  </pic:blipFill>
                  <pic:spPr>
                    <a:xfrm>
                      <a:off x="0" y="0"/>
                      <a:ext cx="4513574" cy="1762516"/>
                    </a:xfrm>
                    <a:prstGeom prst="rect">
                      <a:avLst/>
                    </a:prstGeom>
                  </pic:spPr>
                </pic:pic>
              </a:graphicData>
            </a:graphic>
          </wp:inline>
        </w:drawing>
      </w:r>
    </w:p>
    <w:p w14:paraId="36B88C82" w14:textId="23311868" w:rsidR="000173CE" w:rsidRPr="002A2E98" w:rsidRDefault="000173CE" w:rsidP="000173CE">
      <w:pPr>
        <w:spacing w:after="274" w:line="360" w:lineRule="auto"/>
        <w:rPr>
          <w:sz w:val="24"/>
          <w:szCs w:val="24"/>
        </w:rPr>
      </w:pPr>
      <w:r>
        <w:t xml:space="preserve">                         </w:t>
      </w:r>
      <w:r w:rsidRPr="002A2E98">
        <w:rPr>
          <w:rFonts w:eastAsia="Times New Roman"/>
          <w:b/>
          <w:sz w:val="24"/>
          <w:szCs w:val="24"/>
        </w:rPr>
        <w:t>Programme: Master of Business Administration</w:t>
      </w:r>
    </w:p>
    <w:p w14:paraId="60F32872" w14:textId="77777777" w:rsidR="000173CE" w:rsidRDefault="000173CE" w:rsidP="000173CE">
      <w:pPr>
        <w:spacing w:after="274" w:line="360" w:lineRule="auto"/>
        <w:rPr>
          <w:rFonts w:eastAsia="Times New Roman"/>
          <w:b/>
          <w:bCs/>
          <w:sz w:val="24"/>
          <w:szCs w:val="24"/>
        </w:rPr>
      </w:pPr>
      <w:r>
        <w:rPr>
          <w:rFonts w:eastAsia="Times New Roman"/>
          <w:b/>
          <w:sz w:val="24"/>
          <w:szCs w:val="24"/>
        </w:rPr>
        <w:t xml:space="preserve">                        </w:t>
      </w:r>
      <w:r w:rsidRPr="002A2E98">
        <w:rPr>
          <w:rFonts w:eastAsia="Times New Roman"/>
          <w:b/>
          <w:sz w:val="24"/>
          <w:szCs w:val="24"/>
        </w:rPr>
        <w:t>Module:</w:t>
      </w:r>
      <w:r>
        <w:rPr>
          <w:rFonts w:eastAsia="Times New Roman"/>
          <w:b/>
          <w:sz w:val="24"/>
          <w:szCs w:val="24"/>
        </w:rPr>
        <w:t xml:space="preserve"> </w:t>
      </w:r>
      <w:r w:rsidRPr="00AA69AB">
        <w:rPr>
          <w:rFonts w:eastAsia="Times New Roman"/>
          <w:b/>
          <w:bCs/>
          <w:sz w:val="24"/>
          <w:szCs w:val="24"/>
        </w:rPr>
        <w:t>Strategic Managemen</w:t>
      </w:r>
      <w:r>
        <w:rPr>
          <w:rFonts w:eastAsia="Times New Roman"/>
          <w:b/>
          <w:bCs/>
          <w:sz w:val="24"/>
          <w:szCs w:val="24"/>
        </w:rPr>
        <w:t>t</w:t>
      </w:r>
    </w:p>
    <w:p w14:paraId="6B6399B8" w14:textId="77777777" w:rsidR="000173CE" w:rsidRPr="004A0743" w:rsidRDefault="000173CE" w:rsidP="000173CE">
      <w:pPr>
        <w:spacing w:after="274" w:line="360" w:lineRule="auto"/>
        <w:rPr>
          <w:rFonts w:eastAsia="Times New Roman"/>
          <w:b/>
          <w:bCs/>
          <w:sz w:val="24"/>
          <w:szCs w:val="24"/>
        </w:rPr>
      </w:pPr>
      <w:r>
        <w:rPr>
          <w:rFonts w:eastAsia="Times New Roman"/>
          <w:b/>
          <w:sz w:val="24"/>
          <w:szCs w:val="24"/>
        </w:rPr>
        <w:t xml:space="preserve">                        </w:t>
      </w:r>
      <w:r w:rsidRPr="002A2E98">
        <w:rPr>
          <w:rFonts w:eastAsia="Times New Roman"/>
          <w:b/>
          <w:sz w:val="24"/>
          <w:szCs w:val="24"/>
        </w:rPr>
        <w:t xml:space="preserve">Module code: </w:t>
      </w:r>
      <w:r w:rsidRPr="000F1EFB">
        <w:rPr>
          <w:b/>
          <w:bCs/>
          <w:sz w:val="24"/>
          <w:szCs w:val="24"/>
        </w:rPr>
        <w:t>LCMB70</w:t>
      </w:r>
      <w:r>
        <w:rPr>
          <w:b/>
          <w:bCs/>
          <w:sz w:val="24"/>
          <w:szCs w:val="24"/>
        </w:rPr>
        <w:t>03</w:t>
      </w:r>
    </w:p>
    <w:p w14:paraId="670D0ECB" w14:textId="77777777" w:rsidR="000173CE" w:rsidRPr="00AA69AB" w:rsidRDefault="000173CE" w:rsidP="000173CE">
      <w:pPr>
        <w:spacing w:before="120" w:after="120" w:line="360" w:lineRule="auto"/>
        <w:rPr>
          <w:b/>
          <w:szCs w:val="22"/>
        </w:rPr>
      </w:pPr>
      <w:r>
        <w:rPr>
          <w:rFonts w:eastAsia="Times New Roman"/>
          <w:b/>
          <w:sz w:val="24"/>
          <w:szCs w:val="24"/>
        </w:rPr>
        <w:t xml:space="preserve">                        </w:t>
      </w:r>
      <w:r w:rsidRPr="002A2E98">
        <w:rPr>
          <w:rFonts w:eastAsia="Times New Roman"/>
          <w:b/>
          <w:sz w:val="24"/>
          <w:szCs w:val="24"/>
        </w:rPr>
        <w:t xml:space="preserve">Title : </w:t>
      </w:r>
      <w:r w:rsidRPr="00AA69AB">
        <w:rPr>
          <w:b/>
          <w:sz w:val="24"/>
          <w:szCs w:val="24"/>
        </w:rPr>
        <w:t>Assessment component - Individual report</w:t>
      </w:r>
    </w:p>
    <w:p w14:paraId="7AFD71C3" w14:textId="77777777" w:rsidR="000173CE" w:rsidRPr="002A2E98" w:rsidRDefault="000173CE" w:rsidP="000173CE">
      <w:pPr>
        <w:spacing w:after="165" w:line="360" w:lineRule="auto"/>
        <w:ind w:right="2836"/>
        <w:rPr>
          <w:b/>
          <w:sz w:val="24"/>
          <w:szCs w:val="24"/>
        </w:rPr>
      </w:pPr>
      <w:r>
        <w:rPr>
          <w:b/>
          <w:sz w:val="24"/>
          <w:szCs w:val="24"/>
        </w:rPr>
        <w:t xml:space="preserve">                        </w:t>
      </w:r>
      <w:r w:rsidRPr="002A2E98">
        <w:rPr>
          <w:b/>
          <w:sz w:val="24"/>
          <w:szCs w:val="24"/>
        </w:rPr>
        <w:t xml:space="preserve">Lecturer : </w:t>
      </w:r>
      <w:r>
        <w:rPr>
          <w:b/>
          <w:szCs w:val="22"/>
        </w:rPr>
        <w:t>Zulf Khan</w:t>
      </w:r>
    </w:p>
    <w:p w14:paraId="680234E2" w14:textId="77777777" w:rsidR="000173CE" w:rsidRPr="002A2E98" w:rsidRDefault="000173CE" w:rsidP="000173CE">
      <w:pPr>
        <w:spacing w:after="165" w:line="360" w:lineRule="auto"/>
        <w:ind w:right="2836"/>
        <w:rPr>
          <w:sz w:val="24"/>
          <w:szCs w:val="24"/>
        </w:rPr>
      </w:pPr>
      <w:r>
        <w:rPr>
          <w:rFonts w:eastAsia="Times New Roman"/>
          <w:b/>
          <w:sz w:val="24"/>
          <w:szCs w:val="24"/>
        </w:rPr>
        <w:t xml:space="preserve">                        </w:t>
      </w:r>
      <w:r w:rsidRPr="002A2E98">
        <w:rPr>
          <w:rFonts w:eastAsia="Times New Roman"/>
          <w:b/>
          <w:sz w:val="24"/>
          <w:szCs w:val="24"/>
        </w:rPr>
        <w:t>Student Name :</w:t>
      </w:r>
      <w:r>
        <w:rPr>
          <w:rFonts w:eastAsia="Times New Roman"/>
          <w:b/>
          <w:sz w:val="24"/>
          <w:szCs w:val="24"/>
        </w:rPr>
        <w:t xml:space="preserve"> Darvin Sabhaya</w:t>
      </w:r>
    </w:p>
    <w:p w14:paraId="37B3A36F" w14:textId="77777777" w:rsidR="000173CE" w:rsidRDefault="000173CE" w:rsidP="000173CE">
      <w:pPr>
        <w:spacing w:after="274" w:line="360" w:lineRule="auto"/>
        <w:ind w:right="62"/>
        <w:rPr>
          <w:sz w:val="24"/>
          <w:szCs w:val="24"/>
        </w:rPr>
      </w:pPr>
      <w:r>
        <w:rPr>
          <w:rFonts w:eastAsia="Times New Roman"/>
          <w:b/>
          <w:sz w:val="24"/>
          <w:szCs w:val="24"/>
        </w:rPr>
        <w:t xml:space="preserve">                        </w:t>
      </w:r>
      <w:r w:rsidRPr="002A2E98">
        <w:rPr>
          <w:rFonts w:eastAsia="Times New Roman"/>
          <w:b/>
          <w:sz w:val="24"/>
          <w:szCs w:val="24"/>
        </w:rPr>
        <w:t>Student ID:</w:t>
      </w:r>
      <w:r>
        <w:rPr>
          <w:rFonts w:eastAsia="Times New Roman"/>
          <w:b/>
          <w:sz w:val="24"/>
          <w:szCs w:val="24"/>
        </w:rPr>
        <w:t xml:space="preserve"> 2505280</w:t>
      </w:r>
    </w:p>
    <w:p w14:paraId="0191B14B" w14:textId="77777777" w:rsidR="000173CE" w:rsidRPr="002A2E98" w:rsidRDefault="000173CE" w:rsidP="000173CE">
      <w:pPr>
        <w:spacing w:after="274" w:line="360" w:lineRule="auto"/>
        <w:ind w:right="62"/>
        <w:rPr>
          <w:sz w:val="24"/>
          <w:szCs w:val="24"/>
        </w:rPr>
      </w:pPr>
      <w:r>
        <w:rPr>
          <w:sz w:val="24"/>
          <w:szCs w:val="24"/>
        </w:rPr>
        <w:t xml:space="preserve">                        </w:t>
      </w:r>
      <w:r w:rsidRPr="002A2E98">
        <w:rPr>
          <w:rFonts w:eastAsia="Times New Roman"/>
          <w:b/>
          <w:sz w:val="24"/>
          <w:szCs w:val="24"/>
        </w:rPr>
        <w:t>Submission Date-</w:t>
      </w:r>
      <w:r>
        <w:rPr>
          <w:rFonts w:eastAsia="Times New Roman"/>
          <w:b/>
          <w:sz w:val="24"/>
          <w:szCs w:val="24"/>
        </w:rPr>
        <w:t xml:space="preserve"> 01/04/2026</w:t>
      </w:r>
    </w:p>
    <w:p w14:paraId="4D4B472A" w14:textId="77777777" w:rsidR="000173CE" w:rsidRDefault="000173CE" w:rsidP="000173CE">
      <w:pPr>
        <w:spacing w:line="480" w:lineRule="auto"/>
        <w:rPr>
          <w:b/>
          <w:bCs/>
          <w:sz w:val="24"/>
          <w:szCs w:val="24"/>
        </w:rPr>
      </w:pPr>
      <w:r>
        <w:rPr>
          <w:b/>
          <w:bCs/>
          <w:sz w:val="24"/>
          <w:szCs w:val="24"/>
        </w:rPr>
        <w:br w:type="page"/>
      </w:r>
    </w:p>
    <w:p w14:paraId="5BF5E395" w14:textId="77777777" w:rsidR="000173CE" w:rsidRPr="00AF768D" w:rsidRDefault="000173CE" w:rsidP="00BA3F05">
      <w:pPr>
        <w:spacing w:line="360" w:lineRule="auto"/>
        <w:jc w:val="center"/>
        <w:rPr>
          <w:b/>
          <w:bCs/>
          <w:sz w:val="24"/>
          <w:szCs w:val="24"/>
        </w:rPr>
      </w:pPr>
      <w:r w:rsidRPr="00AF768D">
        <w:rPr>
          <w:b/>
          <w:bCs/>
          <w:sz w:val="24"/>
          <w:szCs w:val="24"/>
        </w:rPr>
        <w:lastRenderedPageBreak/>
        <w:t>Table of Contents</w:t>
      </w:r>
    </w:p>
    <w:p w14:paraId="0328C1D2" w14:textId="77777777" w:rsidR="000173CE" w:rsidRDefault="000173CE" w:rsidP="00BA3F05">
      <w:pPr>
        <w:spacing w:line="360" w:lineRule="auto"/>
        <w:rPr>
          <w:sz w:val="24"/>
          <w:szCs w:val="24"/>
        </w:rPr>
      </w:pPr>
      <w:r w:rsidRPr="00AF768D">
        <w:rPr>
          <w:sz w:val="24"/>
          <w:szCs w:val="24"/>
        </w:rPr>
        <w:t xml:space="preserve">SECTION 1: </w:t>
      </w:r>
      <w:r w:rsidRPr="00AF768D">
        <w:rPr>
          <w:sz w:val="24"/>
          <w:szCs w:val="24"/>
        </w:rPr>
        <w:br/>
      </w:r>
    </w:p>
    <w:p w14:paraId="4DA03DFA" w14:textId="727BD917" w:rsidR="000173CE" w:rsidRPr="00AF768D" w:rsidRDefault="000173CE" w:rsidP="00BA3F05">
      <w:pPr>
        <w:spacing w:line="360" w:lineRule="auto"/>
        <w:rPr>
          <w:sz w:val="24"/>
          <w:szCs w:val="24"/>
        </w:rPr>
      </w:pPr>
      <w:r w:rsidRPr="00AF768D">
        <w:rPr>
          <w:sz w:val="24"/>
          <w:szCs w:val="24"/>
        </w:rPr>
        <w:t>1.0 Organisational Context and Overview</w:t>
      </w:r>
      <w:r>
        <w:rPr>
          <w:sz w:val="24"/>
          <w:szCs w:val="24"/>
        </w:rPr>
        <w:t>………………………………. 3-4</w:t>
      </w:r>
    </w:p>
    <w:p w14:paraId="17766B81" w14:textId="08F5013C" w:rsidR="000173CE" w:rsidRPr="00AF768D" w:rsidRDefault="000173CE" w:rsidP="00BA3F05">
      <w:pPr>
        <w:spacing w:line="360" w:lineRule="auto"/>
        <w:rPr>
          <w:sz w:val="24"/>
          <w:szCs w:val="24"/>
        </w:rPr>
      </w:pPr>
      <w:r w:rsidRPr="00AF768D">
        <w:rPr>
          <w:sz w:val="24"/>
          <w:szCs w:val="24"/>
        </w:rPr>
        <w:t>2.0 External and Internal Environment Analysis</w:t>
      </w:r>
      <w:r>
        <w:rPr>
          <w:sz w:val="24"/>
          <w:szCs w:val="24"/>
        </w:rPr>
        <w:t>………………………... 4-6</w:t>
      </w:r>
    </w:p>
    <w:p w14:paraId="3506E983" w14:textId="04729AF1" w:rsidR="000173CE" w:rsidRPr="00AF768D" w:rsidRDefault="000173CE" w:rsidP="00BA3F05">
      <w:pPr>
        <w:spacing w:line="360" w:lineRule="auto"/>
        <w:rPr>
          <w:sz w:val="24"/>
          <w:szCs w:val="24"/>
        </w:rPr>
      </w:pPr>
      <w:r w:rsidRPr="00AF768D">
        <w:rPr>
          <w:sz w:val="24"/>
          <w:szCs w:val="24"/>
        </w:rPr>
        <w:t>3.0 CSR and Sustainability Objectives</w:t>
      </w:r>
      <w:r>
        <w:rPr>
          <w:sz w:val="24"/>
          <w:szCs w:val="24"/>
        </w:rPr>
        <w:t>…………………………………… 7</w:t>
      </w:r>
    </w:p>
    <w:p w14:paraId="65392286" w14:textId="24C8A679" w:rsidR="000173CE" w:rsidRPr="00AF768D" w:rsidRDefault="000173CE" w:rsidP="00BA3F05">
      <w:pPr>
        <w:spacing w:line="360" w:lineRule="auto"/>
        <w:rPr>
          <w:sz w:val="24"/>
          <w:szCs w:val="24"/>
        </w:rPr>
      </w:pPr>
      <w:r w:rsidRPr="00AF768D">
        <w:rPr>
          <w:sz w:val="24"/>
          <w:szCs w:val="24"/>
        </w:rPr>
        <w:t>4.0 Holistic Organisational Perspective: Balanced Scorecard</w:t>
      </w:r>
      <w:r>
        <w:rPr>
          <w:sz w:val="24"/>
          <w:szCs w:val="24"/>
        </w:rPr>
        <w:t>………… 8-9</w:t>
      </w:r>
    </w:p>
    <w:p w14:paraId="5BEE6A03" w14:textId="78450A0A" w:rsidR="000173CE" w:rsidRPr="00AF768D" w:rsidRDefault="000173CE" w:rsidP="00BA3F05">
      <w:pPr>
        <w:spacing w:line="360" w:lineRule="auto"/>
        <w:rPr>
          <w:sz w:val="24"/>
          <w:szCs w:val="24"/>
        </w:rPr>
      </w:pPr>
      <w:r w:rsidRPr="00AF768D">
        <w:rPr>
          <w:sz w:val="24"/>
          <w:szCs w:val="24"/>
        </w:rPr>
        <w:t>5.0 Strategic Choices and Implementation</w:t>
      </w:r>
      <w:r>
        <w:rPr>
          <w:sz w:val="24"/>
          <w:szCs w:val="24"/>
        </w:rPr>
        <w:t>……………………………… 1</w:t>
      </w:r>
      <w:r w:rsidR="0025474E">
        <w:rPr>
          <w:sz w:val="24"/>
          <w:szCs w:val="24"/>
        </w:rPr>
        <w:t>0-11</w:t>
      </w:r>
    </w:p>
    <w:p w14:paraId="6465CE2D" w14:textId="5B823270" w:rsidR="000173CE" w:rsidRPr="00AF768D" w:rsidRDefault="000173CE" w:rsidP="00BA3F05">
      <w:pPr>
        <w:spacing w:line="360" w:lineRule="auto"/>
        <w:rPr>
          <w:sz w:val="24"/>
          <w:szCs w:val="24"/>
        </w:rPr>
      </w:pPr>
      <w:r w:rsidRPr="00AF768D">
        <w:rPr>
          <w:sz w:val="24"/>
          <w:szCs w:val="24"/>
        </w:rPr>
        <w:t>6.0 Strategic Evaluation and Recommendations</w:t>
      </w:r>
      <w:r>
        <w:rPr>
          <w:sz w:val="24"/>
          <w:szCs w:val="24"/>
        </w:rPr>
        <w:t>……………………….. 1</w:t>
      </w:r>
      <w:r w:rsidR="0025474E">
        <w:rPr>
          <w:sz w:val="24"/>
          <w:szCs w:val="24"/>
        </w:rPr>
        <w:t>2</w:t>
      </w:r>
      <w:r>
        <w:rPr>
          <w:sz w:val="24"/>
          <w:szCs w:val="24"/>
        </w:rPr>
        <w:t>-</w:t>
      </w:r>
      <w:r w:rsidR="0025474E">
        <w:rPr>
          <w:sz w:val="24"/>
          <w:szCs w:val="24"/>
        </w:rPr>
        <w:t>14</w:t>
      </w:r>
      <w:r w:rsidRPr="00AF768D">
        <w:rPr>
          <w:sz w:val="24"/>
          <w:szCs w:val="24"/>
        </w:rPr>
        <w:br/>
      </w:r>
    </w:p>
    <w:p w14:paraId="30A3936D" w14:textId="77777777" w:rsidR="000173CE" w:rsidRDefault="000173CE" w:rsidP="00BA3F05">
      <w:pPr>
        <w:spacing w:line="360" w:lineRule="auto"/>
        <w:rPr>
          <w:b/>
          <w:bCs/>
          <w:sz w:val="24"/>
          <w:szCs w:val="24"/>
        </w:rPr>
      </w:pPr>
      <w:r w:rsidRPr="00AF768D">
        <w:rPr>
          <w:sz w:val="24"/>
          <w:szCs w:val="24"/>
        </w:rPr>
        <w:t>SECTION 2: Reflective Account</w:t>
      </w:r>
      <w:r w:rsidRPr="00AF768D">
        <w:rPr>
          <w:sz w:val="24"/>
          <w:szCs w:val="24"/>
        </w:rPr>
        <w:br/>
      </w:r>
    </w:p>
    <w:p w14:paraId="0E5B98D6" w14:textId="1F32625E" w:rsidR="000173CE" w:rsidRPr="00AF768D" w:rsidRDefault="000173CE" w:rsidP="00BA3F05">
      <w:pPr>
        <w:spacing w:line="360" w:lineRule="auto"/>
        <w:rPr>
          <w:sz w:val="24"/>
          <w:szCs w:val="24"/>
        </w:rPr>
      </w:pPr>
      <w:r w:rsidRPr="00AF768D">
        <w:rPr>
          <w:sz w:val="24"/>
          <w:szCs w:val="24"/>
        </w:rPr>
        <w:t>The Gibbs Reflective Cycle</w:t>
      </w:r>
      <w:r>
        <w:rPr>
          <w:sz w:val="24"/>
          <w:szCs w:val="24"/>
        </w:rPr>
        <w:t xml:space="preserve">……………………………………………….. </w:t>
      </w:r>
      <w:r w:rsidR="0025474E">
        <w:rPr>
          <w:sz w:val="24"/>
          <w:szCs w:val="24"/>
        </w:rPr>
        <w:t>1</w:t>
      </w:r>
      <w:r w:rsidR="00486FA3">
        <w:rPr>
          <w:sz w:val="24"/>
          <w:szCs w:val="24"/>
        </w:rPr>
        <w:t>4</w:t>
      </w:r>
      <w:r>
        <w:rPr>
          <w:sz w:val="24"/>
          <w:szCs w:val="24"/>
        </w:rPr>
        <w:t>-</w:t>
      </w:r>
      <w:r w:rsidR="0025474E">
        <w:rPr>
          <w:sz w:val="24"/>
          <w:szCs w:val="24"/>
        </w:rPr>
        <w:t>1</w:t>
      </w:r>
      <w:r w:rsidR="00486FA3">
        <w:rPr>
          <w:sz w:val="24"/>
          <w:szCs w:val="24"/>
        </w:rPr>
        <w:t>5</w:t>
      </w:r>
    </w:p>
    <w:p w14:paraId="6B031438" w14:textId="3DA17728" w:rsidR="000173CE" w:rsidRPr="00AF768D" w:rsidRDefault="000173CE" w:rsidP="00BA3F05">
      <w:pPr>
        <w:spacing w:line="360" w:lineRule="auto"/>
        <w:rPr>
          <w:sz w:val="24"/>
          <w:szCs w:val="24"/>
        </w:rPr>
      </w:pPr>
      <w:r w:rsidRPr="00AF768D">
        <w:rPr>
          <w:sz w:val="24"/>
          <w:szCs w:val="24"/>
        </w:rPr>
        <w:t>References</w:t>
      </w:r>
      <w:r>
        <w:rPr>
          <w:sz w:val="24"/>
          <w:szCs w:val="24"/>
        </w:rPr>
        <w:t xml:space="preserve">………………………………………………………………….. </w:t>
      </w:r>
      <w:r w:rsidR="0025474E">
        <w:rPr>
          <w:sz w:val="24"/>
          <w:szCs w:val="24"/>
        </w:rPr>
        <w:t>1</w:t>
      </w:r>
      <w:r w:rsidR="00486FA3">
        <w:rPr>
          <w:sz w:val="24"/>
          <w:szCs w:val="24"/>
        </w:rPr>
        <w:t>6</w:t>
      </w:r>
      <w:r w:rsidR="0025474E">
        <w:rPr>
          <w:sz w:val="24"/>
          <w:szCs w:val="24"/>
        </w:rPr>
        <w:t>-18</w:t>
      </w:r>
    </w:p>
    <w:p w14:paraId="05F98C95" w14:textId="1CAD3113" w:rsidR="00CC2328" w:rsidRDefault="00CC2328" w:rsidP="000173CE">
      <w:pPr>
        <w:rPr>
          <w:b/>
          <w:bCs/>
          <w:sz w:val="24"/>
          <w:szCs w:val="24"/>
        </w:rPr>
      </w:pPr>
    </w:p>
    <w:p w14:paraId="3B4056D5" w14:textId="2E4FF44F" w:rsidR="000173CE" w:rsidRDefault="000173CE" w:rsidP="000173CE">
      <w:pPr>
        <w:rPr>
          <w:b/>
          <w:bCs/>
          <w:sz w:val="24"/>
          <w:szCs w:val="24"/>
        </w:rPr>
      </w:pPr>
    </w:p>
    <w:p w14:paraId="4C5C46C0" w14:textId="0B131B9B" w:rsidR="000173CE" w:rsidRDefault="000173CE" w:rsidP="000173CE">
      <w:pPr>
        <w:rPr>
          <w:b/>
          <w:bCs/>
          <w:sz w:val="24"/>
          <w:szCs w:val="24"/>
        </w:rPr>
      </w:pPr>
    </w:p>
    <w:p w14:paraId="7716B357" w14:textId="3CEB0CFD" w:rsidR="000173CE" w:rsidRDefault="000173CE" w:rsidP="000173CE">
      <w:pPr>
        <w:rPr>
          <w:b/>
          <w:bCs/>
          <w:sz w:val="24"/>
          <w:szCs w:val="24"/>
        </w:rPr>
      </w:pPr>
    </w:p>
    <w:p w14:paraId="205E0D78" w14:textId="533779FA" w:rsidR="000173CE" w:rsidRDefault="000173CE" w:rsidP="000173CE">
      <w:pPr>
        <w:rPr>
          <w:b/>
          <w:bCs/>
          <w:sz w:val="24"/>
          <w:szCs w:val="24"/>
        </w:rPr>
      </w:pPr>
    </w:p>
    <w:p w14:paraId="124F4D4E" w14:textId="075568E1" w:rsidR="000173CE" w:rsidRDefault="000173CE" w:rsidP="000173CE">
      <w:pPr>
        <w:rPr>
          <w:b/>
          <w:bCs/>
          <w:sz w:val="24"/>
          <w:szCs w:val="24"/>
        </w:rPr>
      </w:pPr>
    </w:p>
    <w:p w14:paraId="72A53469" w14:textId="46D89495" w:rsidR="000173CE" w:rsidRDefault="000173CE" w:rsidP="000173CE">
      <w:pPr>
        <w:rPr>
          <w:b/>
          <w:bCs/>
          <w:sz w:val="24"/>
          <w:szCs w:val="24"/>
        </w:rPr>
      </w:pPr>
    </w:p>
    <w:p w14:paraId="7DC8FC74" w14:textId="2289F6A9" w:rsidR="000173CE" w:rsidRDefault="000173CE" w:rsidP="000173CE">
      <w:pPr>
        <w:rPr>
          <w:b/>
          <w:bCs/>
          <w:sz w:val="24"/>
          <w:szCs w:val="24"/>
        </w:rPr>
      </w:pPr>
    </w:p>
    <w:p w14:paraId="21C88970" w14:textId="254D5193" w:rsidR="000173CE" w:rsidRDefault="000173CE" w:rsidP="000173CE">
      <w:pPr>
        <w:rPr>
          <w:b/>
          <w:bCs/>
          <w:sz w:val="24"/>
          <w:szCs w:val="24"/>
        </w:rPr>
      </w:pPr>
    </w:p>
    <w:p w14:paraId="223F3D9C" w14:textId="6F2B4EE7" w:rsidR="000173CE" w:rsidRDefault="000173CE" w:rsidP="000173CE">
      <w:pPr>
        <w:rPr>
          <w:b/>
          <w:bCs/>
          <w:sz w:val="24"/>
          <w:szCs w:val="24"/>
        </w:rPr>
      </w:pPr>
    </w:p>
    <w:p w14:paraId="6B7EEDD3" w14:textId="7F76A5DE" w:rsidR="000173CE" w:rsidRDefault="000173CE" w:rsidP="000173CE">
      <w:pPr>
        <w:rPr>
          <w:b/>
          <w:bCs/>
          <w:sz w:val="24"/>
          <w:szCs w:val="24"/>
        </w:rPr>
      </w:pPr>
    </w:p>
    <w:p w14:paraId="05C63D59" w14:textId="212C3103" w:rsidR="000173CE" w:rsidRDefault="000173CE" w:rsidP="000173CE">
      <w:pPr>
        <w:rPr>
          <w:b/>
          <w:bCs/>
          <w:sz w:val="24"/>
          <w:szCs w:val="24"/>
        </w:rPr>
      </w:pPr>
    </w:p>
    <w:p w14:paraId="376103FA" w14:textId="1FE25707" w:rsidR="000173CE" w:rsidRDefault="000173CE" w:rsidP="000173CE">
      <w:pPr>
        <w:rPr>
          <w:b/>
          <w:bCs/>
          <w:sz w:val="24"/>
          <w:szCs w:val="24"/>
        </w:rPr>
      </w:pPr>
    </w:p>
    <w:p w14:paraId="49316CC7" w14:textId="0826E1D7" w:rsidR="000173CE" w:rsidRDefault="000173CE" w:rsidP="000173CE">
      <w:pPr>
        <w:rPr>
          <w:b/>
          <w:bCs/>
          <w:sz w:val="24"/>
          <w:szCs w:val="24"/>
        </w:rPr>
      </w:pPr>
    </w:p>
    <w:p w14:paraId="56B2BCE3" w14:textId="22052AC1" w:rsidR="000173CE" w:rsidRDefault="000173CE" w:rsidP="000173CE">
      <w:pPr>
        <w:rPr>
          <w:b/>
          <w:bCs/>
          <w:sz w:val="24"/>
          <w:szCs w:val="24"/>
        </w:rPr>
      </w:pPr>
    </w:p>
    <w:p w14:paraId="3B46033C" w14:textId="07F6D577" w:rsidR="000173CE" w:rsidRDefault="000173CE" w:rsidP="000173CE">
      <w:pPr>
        <w:rPr>
          <w:b/>
          <w:bCs/>
          <w:sz w:val="24"/>
          <w:szCs w:val="24"/>
        </w:rPr>
      </w:pPr>
    </w:p>
    <w:p w14:paraId="2367E058" w14:textId="63164697" w:rsidR="000173CE" w:rsidRDefault="000173CE" w:rsidP="000173CE">
      <w:pPr>
        <w:rPr>
          <w:b/>
          <w:bCs/>
          <w:sz w:val="24"/>
          <w:szCs w:val="24"/>
        </w:rPr>
      </w:pPr>
    </w:p>
    <w:p w14:paraId="689EF8A7" w14:textId="35B60ACA" w:rsidR="000173CE" w:rsidRDefault="000173CE" w:rsidP="000173CE">
      <w:pPr>
        <w:rPr>
          <w:b/>
          <w:bCs/>
          <w:sz w:val="24"/>
          <w:szCs w:val="24"/>
        </w:rPr>
      </w:pPr>
    </w:p>
    <w:p w14:paraId="23C8C558" w14:textId="68479244" w:rsidR="000173CE" w:rsidRDefault="000173CE" w:rsidP="000173CE">
      <w:pPr>
        <w:rPr>
          <w:b/>
          <w:bCs/>
          <w:sz w:val="24"/>
          <w:szCs w:val="24"/>
        </w:rPr>
      </w:pPr>
    </w:p>
    <w:p w14:paraId="1CC3179E" w14:textId="036DC4DF" w:rsidR="000173CE" w:rsidRDefault="000173CE" w:rsidP="000173CE">
      <w:pPr>
        <w:rPr>
          <w:b/>
          <w:bCs/>
          <w:sz w:val="24"/>
          <w:szCs w:val="24"/>
        </w:rPr>
      </w:pPr>
    </w:p>
    <w:p w14:paraId="25264288" w14:textId="47D312A1" w:rsidR="000173CE" w:rsidRDefault="000173CE" w:rsidP="000173CE">
      <w:pPr>
        <w:rPr>
          <w:b/>
          <w:bCs/>
          <w:sz w:val="24"/>
          <w:szCs w:val="24"/>
        </w:rPr>
      </w:pPr>
    </w:p>
    <w:p w14:paraId="077E7F50" w14:textId="1AE6C4DB" w:rsidR="000173CE" w:rsidRDefault="000173CE" w:rsidP="000173CE">
      <w:pPr>
        <w:rPr>
          <w:b/>
          <w:bCs/>
          <w:sz w:val="24"/>
          <w:szCs w:val="24"/>
        </w:rPr>
      </w:pPr>
    </w:p>
    <w:p w14:paraId="221AC028" w14:textId="774A73A7" w:rsidR="000173CE" w:rsidRDefault="000173CE" w:rsidP="000173CE">
      <w:pPr>
        <w:rPr>
          <w:b/>
          <w:bCs/>
          <w:sz w:val="24"/>
          <w:szCs w:val="24"/>
        </w:rPr>
      </w:pPr>
    </w:p>
    <w:p w14:paraId="7E43C58D" w14:textId="08FEA40B" w:rsidR="000173CE" w:rsidRDefault="000173CE" w:rsidP="000173CE">
      <w:pPr>
        <w:rPr>
          <w:b/>
          <w:bCs/>
          <w:sz w:val="24"/>
          <w:szCs w:val="24"/>
        </w:rPr>
      </w:pPr>
    </w:p>
    <w:p w14:paraId="2BE7EA2D" w14:textId="7B0F9251" w:rsidR="000173CE" w:rsidRDefault="000173CE" w:rsidP="000173CE">
      <w:pPr>
        <w:rPr>
          <w:b/>
          <w:bCs/>
          <w:sz w:val="24"/>
          <w:szCs w:val="24"/>
        </w:rPr>
      </w:pPr>
    </w:p>
    <w:p w14:paraId="1F6D22B1" w14:textId="38D89E1E" w:rsidR="000173CE" w:rsidRDefault="000173CE" w:rsidP="000173CE">
      <w:pPr>
        <w:rPr>
          <w:b/>
          <w:bCs/>
          <w:sz w:val="24"/>
          <w:szCs w:val="24"/>
        </w:rPr>
      </w:pPr>
    </w:p>
    <w:p w14:paraId="6936B91E" w14:textId="73689407" w:rsidR="000173CE" w:rsidRDefault="000173CE" w:rsidP="000173CE">
      <w:pPr>
        <w:rPr>
          <w:b/>
          <w:bCs/>
          <w:sz w:val="24"/>
          <w:szCs w:val="24"/>
        </w:rPr>
      </w:pPr>
    </w:p>
    <w:p w14:paraId="0B915EB7" w14:textId="77777777" w:rsidR="00CC2328" w:rsidRDefault="00CC2328" w:rsidP="00455E25">
      <w:pPr>
        <w:spacing w:before="300" w:after="200" w:line="320" w:lineRule="auto"/>
        <w:rPr>
          <w:b/>
          <w:bCs/>
          <w:caps/>
          <w:color w:val="1F3864"/>
          <w:sz w:val="34"/>
          <w:szCs w:val="34"/>
        </w:rPr>
      </w:pPr>
    </w:p>
    <w:p w14:paraId="34467C95" w14:textId="0F2622D2" w:rsidR="00455E25" w:rsidRPr="00455E25" w:rsidRDefault="00363275" w:rsidP="00455E25">
      <w:pPr>
        <w:spacing w:before="300" w:after="200" w:line="320" w:lineRule="auto"/>
        <w:jc w:val="center"/>
        <w:rPr>
          <w:sz w:val="32"/>
          <w:szCs w:val="32"/>
        </w:rPr>
      </w:pPr>
      <w:r w:rsidRPr="00CC2328">
        <w:rPr>
          <w:b/>
          <w:bCs/>
          <w:caps/>
          <w:sz w:val="32"/>
          <w:szCs w:val="32"/>
        </w:rPr>
        <w:lastRenderedPageBreak/>
        <w:t>SECTION 1: STRATEGIC ANALYSIS</w:t>
      </w:r>
    </w:p>
    <w:p w14:paraId="431B4619" w14:textId="77777777" w:rsidR="002B2FE6" w:rsidRPr="004562AB" w:rsidRDefault="00363275" w:rsidP="004562AB">
      <w:pPr>
        <w:rPr>
          <w:b/>
          <w:bCs/>
          <w:sz w:val="32"/>
          <w:szCs w:val="32"/>
        </w:rPr>
      </w:pPr>
      <w:r w:rsidRPr="004562AB">
        <w:rPr>
          <w:b/>
          <w:bCs/>
          <w:sz w:val="32"/>
          <w:szCs w:val="32"/>
        </w:rPr>
        <w:t>1.  Organisational Context and Overview</w:t>
      </w:r>
    </w:p>
    <w:p w14:paraId="085D06A0" w14:textId="77777777" w:rsidR="002B2FE6" w:rsidRPr="004562AB" w:rsidRDefault="00363275" w:rsidP="004562AB">
      <w:pPr>
        <w:rPr>
          <w:b/>
          <w:bCs/>
          <w:sz w:val="28"/>
          <w:szCs w:val="28"/>
        </w:rPr>
      </w:pPr>
      <w:r w:rsidRPr="004562AB">
        <w:rPr>
          <w:b/>
          <w:bCs/>
          <w:sz w:val="28"/>
          <w:szCs w:val="28"/>
        </w:rPr>
        <w:t>1.1  Historical Perspective, Mission, Vision and Business Model</w:t>
      </w:r>
    </w:p>
    <w:p w14:paraId="3AA57FE5" w14:textId="77777777" w:rsidR="004562AB" w:rsidRDefault="004562AB" w:rsidP="004562AB">
      <w:pPr>
        <w:spacing w:before="260" w:after="120" w:line="320" w:lineRule="auto"/>
      </w:pPr>
      <w:r>
        <w:t>Nike, Inc. is the biggest company in the world that makes and sells athletic shoes and clothes. It has been able to do this by being a brand leader and coming up with new ideas for six decades. Phil Knight, a track athlete at the University of Oregon, and his coach Bill Bowerman started Blue Ribbon Sports (BRS) on January 25, 1964. At first, the company sold running shoes made in Japan by Onitsuka Tiger (Nike, Inc., 2024). BRS stopped working with its suppliers in 1971, changed its name to Nike, Inc., and added the now-famous Swoosh logo, which student Carolyn Davidson made for $35 (Wikipedia, 2025). Michael Jordan's signing in 1984 changed everything. It started the Air Jordan brand and changed the way that sports, culture, and business interact (Britannica, 2025).</w:t>
      </w:r>
    </w:p>
    <w:p w14:paraId="2C3E4E4D" w14:textId="77777777" w:rsidR="004562AB" w:rsidRDefault="004562AB" w:rsidP="004562AB">
      <w:pPr>
        <w:spacing w:before="260" w:after="120" w:line="320" w:lineRule="auto"/>
      </w:pPr>
      <w:r>
        <w:t>Nike's corporate mission is "to bring inspiration and innovation to every athlete in the world; if you have a body, you are an athlete." This shows that the company wants to make money and has a philosophical identity that includes everyone (Nike, Inc., 2024). The company's FY2025 Annual Report says that its strategic vision is to achieve "sustainable, profitable long-term growth by leading with sport, creating innovative, must-have products, building deep personal consumer connections, and delivering compelling consumer experiences through digital platforms and at retail" (Nike, Inc., 2025). The business model has two main sources of income: wholesale distribution ($25.9 billion in FY2025) and Nike Direct, the direct-to-consumer (DTC) channel ($18.8 billion in FY2025). This shows that the company's Consumer Direct Offense (CDO) strategy is only partially working (DCF Modeling, 2025).</w:t>
      </w:r>
    </w:p>
    <w:p w14:paraId="64B97D79" w14:textId="751E7368" w:rsidR="002B2FE6" w:rsidRPr="004562AB" w:rsidRDefault="00363275" w:rsidP="004562AB">
      <w:pPr>
        <w:spacing w:before="260" w:after="120" w:line="320" w:lineRule="auto"/>
        <w:rPr>
          <w:sz w:val="22"/>
          <w:szCs w:val="22"/>
        </w:rPr>
      </w:pPr>
      <w:r w:rsidRPr="004562AB">
        <w:rPr>
          <w:b/>
          <w:bCs/>
          <w:sz w:val="24"/>
          <w:szCs w:val="24"/>
        </w:rPr>
        <w:t>1.2  Industry, Competitors and Market Position</w:t>
      </w:r>
    </w:p>
    <w:p w14:paraId="4C3F9EA1" w14:textId="52D84748" w:rsidR="004562AB" w:rsidRDefault="004562AB">
      <w:pPr>
        <w:pBdr>
          <w:bottom w:val="single" w:sz="3" w:space="3" w:color="1F3864"/>
        </w:pBdr>
        <w:spacing w:before="360" w:after="160" w:line="320" w:lineRule="auto"/>
      </w:pPr>
      <w:r w:rsidRPr="004562AB">
        <w:t xml:space="preserve">Nike is in a very competitive global sportswear market where technology is changing quickly, brands are very strong, and people's tastes are changing. Nike's highest sales were $51.36 billion in FY2024, but they fell by 9.84% to $46.31 billion in FY2025. This was due to poor digital performance, problems with inventory, and costs associated with resetting the company's strategy (MacroTrends, 2025). Even though this is a drop, Nike's sales are still higher than the combined sales of Adidas (€23.68 billion, +10% YoY in FY2024) and Puma (€8.8 billion), which shows that Nike is still the market leader (FashionBI, 2026; Statista, 2025). Under Armour's problems are still going on$5.2 billion in FY2024, a 9% drop from the year before. This shows how tough the competition is in the industry (FashionBI, 2026). On Running and Hoka, two performance-focused disruptors, have taken a big chunk of Nike's market share in core running categories. This has drawn serious performance athletes to their brands, which used to be the main reason people trusted Nike. The cultural revival of </w:t>
      </w:r>
      <w:r w:rsidRPr="004562AB">
        <w:lastRenderedPageBreak/>
        <w:t>Adidas, which is based on the Samba silhouette and heritage aesthetics, is a direct threat to Nike's lifestyle position among younger consumers. Nike's market share fell by 1.1% in 2024, which was a sign of a strategic turning point (Flexdog, 2025). Because of this, the competitive landscape is split into two groups: large companies that compete on brand investment and channel breadth, and agile, performance-focused challengers that win on product credibility and community-level authenticity. This makes Nike's traditional broad differentiation approach more difficult.</w:t>
      </w:r>
    </w:p>
    <w:p w14:paraId="2ABEF964" w14:textId="77777777" w:rsidR="004562AB" w:rsidRDefault="004562AB">
      <w:pPr>
        <w:pBdr>
          <w:bottom w:val="single" w:sz="3" w:space="3" w:color="1F3864"/>
        </w:pBdr>
        <w:spacing w:before="360" w:after="160" w:line="320" w:lineRule="auto"/>
      </w:pPr>
    </w:p>
    <w:p w14:paraId="59A60BC1" w14:textId="03BF0BA2" w:rsidR="002B2FE6" w:rsidRPr="007332A2" w:rsidRDefault="00363275">
      <w:pPr>
        <w:pBdr>
          <w:bottom w:val="single" w:sz="3" w:space="3" w:color="1F3864"/>
        </w:pBdr>
        <w:spacing w:before="360" w:after="160" w:line="320" w:lineRule="auto"/>
        <w:rPr>
          <w:sz w:val="32"/>
          <w:szCs w:val="32"/>
        </w:rPr>
      </w:pPr>
      <w:r w:rsidRPr="007332A2">
        <w:rPr>
          <w:b/>
          <w:bCs/>
          <w:sz w:val="32"/>
          <w:szCs w:val="32"/>
        </w:rPr>
        <w:t>2.  External and Internal Environment Analysis</w:t>
      </w:r>
    </w:p>
    <w:p w14:paraId="521DC4E0" w14:textId="77777777" w:rsidR="002B2FE6" w:rsidRPr="007332A2" w:rsidRDefault="00363275">
      <w:pPr>
        <w:spacing w:before="260" w:after="120" w:line="320" w:lineRule="auto"/>
        <w:rPr>
          <w:sz w:val="28"/>
          <w:szCs w:val="28"/>
        </w:rPr>
      </w:pPr>
      <w:r w:rsidRPr="007332A2">
        <w:rPr>
          <w:b/>
          <w:bCs/>
          <w:sz w:val="28"/>
          <w:szCs w:val="28"/>
        </w:rPr>
        <w:t>2.1  PESTEL Analysis</w:t>
      </w:r>
    </w:p>
    <w:p w14:paraId="5B16B671" w14:textId="77777777" w:rsidR="002B2FE6" w:rsidRPr="007332A2" w:rsidRDefault="00363275">
      <w:pPr>
        <w:spacing w:before="200" w:after="80" w:line="320" w:lineRule="auto"/>
        <w:rPr>
          <w:sz w:val="24"/>
          <w:szCs w:val="24"/>
        </w:rPr>
      </w:pPr>
      <w:r w:rsidRPr="007332A2">
        <w:rPr>
          <w:b/>
          <w:bCs/>
          <w:sz w:val="24"/>
          <w:szCs w:val="24"/>
        </w:rPr>
        <w:t>Political and Legal Factors</w:t>
      </w:r>
    </w:p>
    <w:p w14:paraId="6B5059DF" w14:textId="77777777" w:rsidR="007332A2" w:rsidRDefault="007332A2" w:rsidP="007332A2">
      <w:pPr>
        <w:spacing w:before="260" w:after="120" w:line="320" w:lineRule="auto"/>
      </w:pPr>
      <w:r>
        <w:t>Nike has factories all over the world, but most of them are in Vietnam, China, Indonesia, and Thailand. This makes the company very vulnerable to geopolitical risk. The return of US protectionist trade policy under the Trump administration in 2025, which could include higher tariffs on Asian imports, is a serious threat to structural costs (PESTLE Analysis, 2024). Tensions between the US and China make this risk worse by disrupting supply chains and lowering consumer demand in Greater China, which fell by 12.71% in FY2025 (DCF Modeling, 2025). Legally, Nike is currently being sued in a class action lawsuit in the Eighth Circuit (April 2025) for allegedly greenwashing more than 2,000 product lines. This puts the company's reputation and finances at risk and requires immediate strategic attention (DCF Modeling, 2025). Following labor laws in more than 190 manufacturing jurisdictions makes the risk of legal problems even higher.</w:t>
      </w:r>
    </w:p>
    <w:p w14:paraId="0494AB2A" w14:textId="77777777" w:rsidR="007332A2" w:rsidRPr="007332A2" w:rsidRDefault="007332A2" w:rsidP="007332A2">
      <w:pPr>
        <w:spacing w:before="260" w:after="120" w:line="320" w:lineRule="auto"/>
        <w:rPr>
          <w:b/>
          <w:bCs/>
        </w:rPr>
      </w:pPr>
      <w:r w:rsidRPr="007332A2">
        <w:rPr>
          <w:b/>
          <w:bCs/>
        </w:rPr>
        <w:t>Factors that affect the economy and society</w:t>
      </w:r>
    </w:p>
    <w:p w14:paraId="56771424" w14:textId="77777777" w:rsidR="007332A2" w:rsidRDefault="007332A2" w:rsidP="007332A2">
      <w:pPr>
        <w:spacing w:before="260" w:after="120" w:line="320" w:lineRule="auto"/>
      </w:pPr>
      <w:r>
        <w:t xml:space="preserve">Nike's mostly discretionary product line makes it very sensitive to changes in the economy as a whole. North America made $19.6 billion (44% of FY2025 revenue), but that was down 9% from the previous year. This was due to problems with consumer spending and the long-term effects of the CDO strategy's wholesale retreat (FashionBI, 2026). Currency fluctuations make things more complicated. A strong US dollar lowers the value of European and Asian revenues when they are converted, which means that hedging is needed. Sociocultural dynamics can be both good and bad for business. For example, the ongoing global health and wellness trend structurally supports demand for athletic apparel. The female consumer segment, which makes up about 30–35% of North American revenue and saw high single-digit growth in Q4 FY2025 despite overall declines, is one of Nike's most </w:t>
      </w:r>
      <w:r>
        <w:lastRenderedPageBreak/>
        <w:t>promising opportunities (DCF Modeling, 2025). However, Millennials and Gen Z are clearly drawn to On, Hoka, and Adidas lines that look different. They see Nike's retro franchises as overexposed and lacking in new ideas.</w:t>
      </w:r>
    </w:p>
    <w:p w14:paraId="314C9786" w14:textId="77777777" w:rsidR="007332A2" w:rsidRDefault="007332A2" w:rsidP="007332A2">
      <w:pPr>
        <w:spacing w:before="260" w:after="120" w:line="320" w:lineRule="auto"/>
      </w:pPr>
    </w:p>
    <w:p w14:paraId="625DBF7A" w14:textId="77777777" w:rsidR="007332A2" w:rsidRPr="007332A2" w:rsidRDefault="007332A2" w:rsidP="007332A2">
      <w:pPr>
        <w:spacing w:before="260" w:after="120" w:line="320" w:lineRule="auto"/>
        <w:rPr>
          <w:b/>
          <w:bCs/>
        </w:rPr>
      </w:pPr>
      <w:r w:rsidRPr="007332A2">
        <w:rPr>
          <w:b/>
          <w:bCs/>
        </w:rPr>
        <w:t>Technological and Environmental Influences</w:t>
      </w:r>
    </w:p>
    <w:p w14:paraId="41879651" w14:textId="77777777" w:rsidR="007332A2" w:rsidRDefault="007332A2" w:rsidP="007332A2">
      <w:pPr>
        <w:spacing w:before="260" w:after="120" w:line="320" w:lineRule="auto"/>
      </w:pPr>
      <w:r>
        <w:t>Nike has spent a lot of money on AI, machine learning, and data analytics to help them predict demand, optimize their inventory, and personalize their products (DCF Modeling, 2025). Nike's digital ecosystem includes the Nike App, SNKRS, NTC, NRC, and .SWOOSH. It collects consented data from more than 500 million members and combines it into unified profiles that allow for hyper-personalized engagement (Techtide Solutions, 2025). RFID technology has been used in almost all clothing and shoes. These investments, on the other hand, have not led to any business returns: Nike Brand's digital sales fell by more than 20% in each of the next two quarters of FY2025 (Zoommetrix, 2025). This shows that having good technology alone is not enough to make a business work. Nike's Scope 3 supply chain emissions are its biggest environmental problem when it comes to sustainability. Climate change, on the other hand, is a threat to the outdoor sports infrastructure that is important to the company's brand.</w:t>
      </w:r>
    </w:p>
    <w:p w14:paraId="099E89F4" w14:textId="77777777" w:rsidR="007332A2" w:rsidRPr="007332A2" w:rsidRDefault="007332A2" w:rsidP="007332A2">
      <w:pPr>
        <w:spacing w:before="260" w:after="120" w:line="320" w:lineRule="auto"/>
        <w:rPr>
          <w:b/>
          <w:bCs/>
        </w:rPr>
      </w:pPr>
      <w:r w:rsidRPr="007332A2">
        <w:rPr>
          <w:b/>
          <w:bCs/>
        </w:rPr>
        <w:t>2.2 Important Factors for Success and Strategic Problems</w:t>
      </w:r>
    </w:p>
    <w:p w14:paraId="221F1807" w14:textId="77777777" w:rsidR="007332A2" w:rsidRDefault="007332A2" w:rsidP="007332A2">
      <w:pPr>
        <w:spacing w:before="260" w:after="120" w:line="320" w:lineRule="auto"/>
      </w:pPr>
      <w:r>
        <w:t>Nike's key success factors (CSFs) are maintaining brand equity and cultural relevance, constantly coming up with new products that are based on performance, having a strong global supply chain, and being able to make money from its digital membership base. The strategic challenges are just as big: running's structural market share erosion; the CDO strategy's failure to deliver long-term digital growth; macroeconomic demand headwinds in North America and China; and the need to prove sustainability credentials without getting into trouble for greenwashing.</w:t>
      </w:r>
    </w:p>
    <w:p w14:paraId="1DE99BD6" w14:textId="77777777" w:rsidR="007332A2" w:rsidRPr="007332A2" w:rsidRDefault="007332A2" w:rsidP="007332A2">
      <w:pPr>
        <w:spacing w:before="260" w:after="120" w:line="320" w:lineRule="auto"/>
        <w:rPr>
          <w:b/>
          <w:bCs/>
        </w:rPr>
      </w:pPr>
      <w:r w:rsidRPr="007332A2">
        <w:rPr>
          <w:b/>
          <w:bCs/>
        </w:rPr>
        <w:t>2.3 Internal Environment: Resources, Skills, and Key Strengths</w:t>
      </w:r>
    </w:p>
    <w:p w14:paraId="260C2BAC" w14:textId="77777777" w:rsidR="007332A2" w:rsidRDefault="007332A2" w:rsidP="007332A2">
      <w:pPr>
        <w:spacing w:before="260" w:after="120" w:line="320" w:lineRule="auto"/>
      </w:pPr>
      <w:r>
        <w:t xml:space="preserve">According to Barney's (1991) resource-based view (RBV), Nike's internal environment is made up of a unique mix of intangible and tangible resources. This view says that long-lasting competitive advantage comes from resources that are valuable, rare, inimitable, and used by the organization at the same time. Nike's brand equity is its most important intangible asset. It has been built up over six decades through iconic marketing (the "Just Do It" campaign in 1988), cultural storytelling, and endorsements from athletes. This capital has the power to charge high prices, build strong customer loyalty, and make it very hard for others to copy it. Core competencies exist in three areas: first, the athlete endorsement </w:t>
      </w:r>
      <w:r>
        <w:lastRenderedPageBreak/>
        <w:t>ecosystem, which creates aspirational associations that no competitor can quickly copy; second, proprietary innovation (Air, Flyknit, React, and Forward materials) that keeps performance differences coming; and third, a digital and data infrastructure that allows for personalization on a large scale. However, this third competency only gives a temporary advantage right now, as rival brands use the same strategies (Cognitute, 2025).</w:t>
      </w:r>
    </w:p>
    <w:p w14:paraId="707B9A90" w14:textId="72CC8A96" w:rsidR="007332A2" w:rsidRDefault="007332A2" w:rsidP="007332A2">
      <w:pPr>
        <w:spacing w:before="260" w:after="120" w:line="320" w:lineRule="auto"/>
      </w:pPr>
      <w:r>
        <w:cr/>
      </w:r>
    </w:p>
    <w:p w14:paraId="7A0B159B" w14:textId="09FAAAEA" w:rsidR="002B2FE6" w:rsidRPr="007332A2" w:rsidRDefault="00363275" w:rsidP="007332A2">
      <w:pPr>
        <w:spacing w:before="260" w:after="120" w:line="320" w:lineRule="auto"/>
        <w:rPr>
          <w:sz w:val="24"/>
          <w:szCs w:val="24"/>
        </w:rPr>
      </w:pPr>
      <w:r w:rsidRPr="007332A2">
        <w:rPr>
          <w:b/>
          <w:bCs/>
          <w:sz w:val="28"/>
          <w:szCs w:val="28"/>
        </w:rPr>
        <w:t>2.4  VRIO Framework Analysis</w:t>
      </w:r>
    </w:p>
    <w:p w14:paraId="1648CD81" w14:textId="77777777" w:rsidR="002B2FE6" w:rsidRDefault="002B2FE6">
      <w:pPr>
        <w:spacing w:before="80"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1250"/>
        <w:gridCol w:w="1200"/>
        <w:gridCol w:w="1200"/>
        <w:gridCol w:w="1200"/>
        <w:gridCol w:w="2076"/>
      </w:tblGrid>
      <w:tr w:rsidR="002B2FE6" w14:paraId="063879C9" w14:textId="77777777">
        <w:trPr>
          <w:tblHeader/>
        </w:trPr>
        <w:tc>
          <w:tcPr>
            <w:tcW w:w="2100" w:type="dxa"/>
            <w:tcBorders>
              <w:top w:val="single" w:sz="3" w:space="0" w:color="1F3864"/>
              <w:left w:val="single" w:sz="3" w:space="0" w:color="1F3864"/>
              <w:bottom w:val="single" w:sz="3" w:space="0" w:color="1F3864"/>
              <w:right w:val="single" w:sz="3" w:space="0" w:color="1F3864"/>
            </w:tcBorders>
            <w:shd w:val="clear" w:color="auto" w:fill="1F3864"/>
            <w:tcMar>
              <w:top w:w="80" w:type="dxa"/>
              <w:left w:w="100" w:type="dxa"/>
              <w:bottom w:w="80" w:type="dxa"/>
              <w:right w:w="100" w:type="dxa"/>
            </w:tcMar>
            <w:vAlign w:val="center"/>
          </w:tcPr>
          <w:p w14:paraId="02007A73" w14:textId="77777777" w:rsidR="002B2FE6" w:rsidRDefault="00363275">
            <w:pPr>
              <w:jc w:val="center"/>
            </w:pPr>
            <w:r>
              <w:rPr>
                <w:b/>
                <w:bCs/>
                <w:color w:val="FFFFFF"/>
                <w:sz w:val="19"/>
                <w:szCs w:val="19"/>
              </w:rPr>
              <w:t>Resource / Capability</w:t>
            </w:r>
          </w:p>
        </w:tc>
        <w:tc>
          <w:tcPr>
            <w:tcW w:w="1250" w:type="dxa"/>
            <w:tcBorders>
              <w:top w:val="single" w:sz="3" w:space="0" w:color="1F3864"/>
              <w:left w:val="single" w:sz="3" w:space="0" w:color="1F3864"/>
              <w:bottom w:val="single" w:sz="3" w:space="0" w:color="1F3864"/>
              <w:right w:val="single" w:sz="3" w:space="0" w:color="1F3864"/>
            </w:tcBorders>
            <w:shd w:val="clear" w:color="auto" w:fill="1F3864"/>
            <w:tcMar>
              <w:top w:w="80" w:type="dxa"/>
              <w:left w:w="100" w:type="dxa"/>
              <w:bottom w:w="80" w:type="dxa"/>
              <w:right w:w="100" w:type="dxa"/>
            </w:tcMar>
            <w:vAlign w:val="center"/>
          </w:tcPr>
          <w:p w14:paraId="6766442C" w14:textId="77777777" w:rsidR="002B2FE6" w:rsidRDefault="00363275">
            <w:pPr>
              <w:jc w:val="center"/>
            </w:pPr>
            <w:r>
              <w:rPr>
                <w:b/>
                <w:bCs/>
                <w:color w:val="FFFFFF"/>
                <w:sz w:val="19"/>
                <w:szCs w:val="19"/>
              </w:rPr>
              <w:t>Valuable</w:t>
            </w:r>
          </w:p>
        </w:tc>
        <w:tc>
          <w:tcPr>
            <w:tcW w:w="1200" w:type="dxa"/>
            <w:tcBorders>
              <w:top w:val="single" w:sz="3" w:space="0" w:color="1F3864"/>
              <w:left w:val="single" w:sz="3" w:space="0" w:color="1F3864"/>
              <w:bottom w:val="single" w:sz="3" w:space="0" w:color="1F3864"/>
              <w:right w:val="single" w:sz="3" w:space="0" w:color="1F3864"/>
            </w:tcBorders>
            <w:shd w:val="clear" w:color="auto" w:fill="1F3864"/>
            <w:tcMar>
              <w:top w:w="80" w:type="dxa"/>
              <w:left w:w="100" w:type="dxa"/>
              <w:bottom w:w="80" w:type="dxa"/>
              <w:right w:w="100" w:type="dxa"/>
            </w:tcMar>
            <w:vAlign w:val="center"/>
          </w:tcPr>
          <w:p w14:paraId="5952473E" w14:textId="77777777" w:rsidR="002B2FE6" w:rsidRDefault="00363275">
            <w:pPr>
              <w:jc w:val="center"/>
            </w:pPr>
            <w:r>
              <w:rPr>
                <w:b/>
                <w:bCs/>
                <w:color w:val="FFFFFF"/>
                <w:sz w:val="19"/>
                <w:szCs w:val="19"/>
              </w:rPr>
              <w:t>Rare</w:t>
            </w:r>
          </w:p>
        </w:tc>
        <w:tc>
          <w:tcPr>
            <w:tcW w:w="1200" w:type="dxa"/>
            <w:tcBorders>
              <w:top w:val="single" w:sz="3" w:space="0" w:color="1F3864"/>
              <w:left w:val="single" w:sz="3" w:space="0" w:color="1F3864"/>
              <w:bottom w:val="single" w:sz="3" w:space="0" w:color="1F3864"/>
              <w:right w:val="single" w:sz="3" w:space="0" w:color="1F3864"/>
            </w:tcBorders>
            <w:shd w:val="clear" w:color="auto" w:fill="1F3864"/>
            <w:tcMar>
              <w:top w:w="80" w:type="dxa"/>
              <w:left w:w="100" w:type="dxa"/>
              <w:bottom w:w="80" w:type="dxa"/>
              <w:right w:w="100" w:type="dxa"/>
            </w:tcMar>
            <w:vAlign w:val="center"/>
          </w:tcPr>
          <w:p w14:paraId="4483FEA6" w14:textId="77777777" w:rsidR="002B2FE6" w:rsidRDefault="00363275">
            <w:pPr>
              <w:jc w:val="center"/>
            </w:pPr>
            <w:r>
              <w:rPr>
                <w:b/>
                <w:bCs/>
                <w:color w:val="FFFFFF"/>
                <w:sz w:val="19"/>
                <w:szCs w:val="19"/>
              </w:rPr>
              <w:t>Inimitable</w:t>
            </w:r>
          </w:p>
        </w:tc>
        <w:tc>
          <w:tcPr>
            <w:tcW w:w="1200" w:type="dxa"/>
            <w:tcBorders>
              <w:top w:val="single" w:sz="3" w:space="0" w:color="1F3864"/>
              <w:left w:val="single" w:sz="3" w:space="0" w:color="1F3864"/>
              <w:bottom w:val="single" w:sz="3" w:space="0" w:color="1F3864"/>
              <w:right w:val="single" w:sz="3" w:space="0" w:color="1F3864"/>
            </w:tcBorders>
            <w:shd w:val="clear" w:color="auto" w:fill="1F3864"/>
            <w:tcMar>
              <w:top w:w="80" w:type="dxa"/>
              <w:left w:w="100" w:type="dxa"/>
              <w:bottom w:w="80" w:type="dxa"/>
              <w:right w:w="100" w:type="dxa"/>
            </w:tcMar>
            <w:vAlign w:val="center"/>
          </w:tcPr>
          <w:p w14:paraId="16CCFA14" w14:textId="77777777" w:rsidR="002B2FE6" w:rsidRDefault="00363275">
            <w:pPr>
              <w:jc w:val="center"/>
            </w:pPr>
            <w:r>
              <w:rPr>
                <w:b/>
                <w:bCs/>
                <w:color w:val="FFFFFF"/>
                <w:sz w:val="19"/>
                <w:szCs w:val="19"/>
              </w:rPr>
              <w:t>Organised</w:t>
            </w:r>
          </w:p>
        </w:tc>
        <w:tc>
          <w:tcPr>
            <w:tcW w:w="2076" w:type="dxa"/>
            <w:tcBorders>
              <w:top w:val="single" w:sz="3" w:space="0" w:color="1F3864"/>
              <w:left w:val="single" w:sz="3" w:space="0" w:color="1F3864"/>
              <w:bottom w:val="single" w:sz="3" w:space="0" w:color="1F3864"/>
              <w:right w:val="single" w:sz="3" w:space="0" w:color="1F3864"/>
            </w:tcBorders>
            <w:shd w:val="clear" w:color="auto" w:fill="1F3864"/>
            <w:tcMar>
              <w:top w:w="80" w:type="dxa"/>
              <w:left w:w="100" w:type="dxa"/>
              <w:bottom w:w="80" w:type="dxa"/>
              <w:right w:w="100" w:type="dxa"/>
            </w:tcMar>
            <w:vAlign w:val="center"/>
          </w:tcPr>
          <w:p w14:paraId="50A28797" w14:textId="77777777" w:rsidR="002B2FE6" w:rsidRDefault="00363275">
            <w:pPr>
              <w:jc w:val="center"/>
            </w:pPr>
            <w:r>
              <w:rPr>
                <w:b/>
                <w:bCs/>
                <w:color w:val="FFFFFF"/>
                <w:sz w:val="19"/>
                <w:szCs w:val="19"/>
              </w:rPr>
              <w:t>Competitive Outcome</w:t>
            </w:r>
          </w:p>
        </w:tc>
      </w:tr>
      <w:tr w:rsidR="002B2FE6" w14:paraId="0A18AC3D" w14:textId="77777777">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3FA4C3E6" w14:textId="77777777" w:rsidR="002B2FE6" w:rsidRDefault="00363275">
            <w:pPr>
              <w:spacing w:before="30" w:after="30" w:line="260" w:lineRule="auto"/>
            </w:pPr>
            <w:r>
              <w:rPr>
                <w:sz w:val="19"/>
                <w:szCs w:val="19"/>
              </w:rPr>
              <w:t>Brand Equity (Swoosh, Jordan)</w:t>
            </w:r>
          </w:p>
        </w:tc>
        <w:tc>
          <w:tcPr>
            <w:tcW w:w="125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2EFC2B04" w14:textId="77777777" w:rsidR="002B2FE6" w:rsidRDefault="00363275">
            <w:pPr>
              <w:spacing w:before="30" w:after="30" w:line="260" w:lineRule="auto"/>
            </w:pPr>
            <w:r>
              <w:rPr>
                <w:sz w:val="19"/>
                <w:szCs w:val="19"/>
              </w:rPr>
              <w:t>Yes</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1B0B17D7" w14:textId="77777777" w:rsidR="002B2FE6" w:rsidRDefault="00363275">
            <w:pPr>
              <w:spacing w:before="30" w:after="30" w:line="260" w:lineRule="auto"/>
            </w:pPr>
            <w:r>
              <w:rPr>
                <w:sz w:val="19"/>
                <w:szCs w:val="19"/>
              </w:rPr>
              <w:t>Yes</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139E4F5A" w14:textId="77777777" w:rsidR="002B2FE6" w:rsidRDefault="00363275">
            <w:pPr>
              <w:spacing w:before="30" w:after="30" w:line="260" w:lineRule="auto"/>
            </w:pPr>
            <w:r>
              <w:rPr>
                <w:sz w:val="19"/>
                <w:szCs w:val="19"/>
              </w:rPr>
              <w:t>Yes</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3B56E4AC" w14:textId="77777777" w:rsidR="002B2FE6" w:rsidRDefault="00363275">
            <w:pPr>
              <w:spacing w:before="30" w:after="30" w:line="260" w:lineRule="auto"/>
            </w:pPr>
            <w:r>
              <w:rPr>
                <w:sz w:val="19"/>
                <w:szCs w:val="19"/>
              </w:rPr>
              <w:t>Yes</w:t>
            </w:r>
          </w:p>
        </w:tc>
        <w:tc>
          <w:tcPr>
            <w:tcW w:w="207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0F8F5E13" w14:textId="77777777" w:rsidR="002B2FE6" w:rsidRDefault="00363275">
            <w:pPr>
              <w:spacing w:before="30" w:after="30" w:line="260" w:lineRule="auto"/>
            </w:pPr>
            <w:r>
              <w:rPr>
                <w:sz w:val="19"/>
                <w:szCs w:val="19"/>
              </w:rPr>
              <w:t>Sustained Advantage</w:t>
            </w:r>
          </w:p>
        </w:tc>
      </w:tr>
      <w:tr w:rsidR="002B2FE6" w14:paraId="021E320B" w14:textId="77777777">
        <w:tc>
          <w:tcPr>
            <w:tcW w:w="21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6F944F83" w14:textId="77777777" w:rsidR="002B2FE6" w:rsidRDefault="00363275">
            <w:pPr>
              <w:spacing w:before="30" w:after="30" w:line="260" w:lineRule="auto"/>
            </w:pPr>
            <w:r>
              <w:rPr>
                <w:sz w:val="19"/>
                <w:szCs w:val="19"/>
              </w:rPr>
              <w:t>Athlete Endorsement Ecosystem</w:t>
            </w:r>
          </w:p>
        </w:tc>
        <w:tc>
          <w:tcPr>
            <w:tcW w:w="125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27BB4D00" w14:textId="77777777" w:rsidR="002B2FE6" w:rsidRDefault="00363275">
            <w:pPr>
              <w:spacing w:before="30" w:after="30" w:line="260" w:lineRule="auto"/>
            </w:pPr>
            <w:r>
              <w:rPr>
                <w:sz w:val="19"/>
                <w:szCs w:val="19"/>
              </w:rPr>
              <w:t>Yes</w:t>
            </w:r>
          </w:p>
        </w:tc>
        <w:tc>
          <w:tcPr>
            <w:tcW w:w="12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5785CEF1" w14:textId="77777777" w:rsidR="002B2FE6" w:rsidRDefault="00363275">
            <w:pPr>
              <w:spacing w:before="30" w:after="30" w:line="260" w:lineRule="auto"/>
            </w:pPr>
            <w:r>
              <w:rPr>
                <w:sz w:val="19"/>
                <w:szCs w:val="19"/>
              </w:rPr>
              <w:t>Yes</w:t>
            </w:r>
          </w:p>
        </w:tc>
        <w:tc>
          <w:tcPr>
            <w:tcW w:w="12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4360DA81" w14:textId="77777777" w:rsidR="002B2FE6" w:rsidRDefault="00363275">
            <w:pPr>
              <w:spacing w:before="30" w:after="30" w:line="260" w:lineRule="auto"/>
            </w:pPr>
            <w:r>
              <w:rPr>
                <w:sz w:val="19"/>
                <w:szCs w:val="19"/>
              </w:rPr>
              <w:t>Yes</w:t>
            </w:r>
          </w:p>
        </w:tc>
        <w:tc>
          <w:tcPr>
            <w:tcW w:w="12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75AB505D" w14:textId="77777777" w:rsidR="002B2FE6" w:rsidRDefault="00363275">
            <w:pPr>
              <w:spacing w:before="30" w:after="30" w:line="260" w:lineRule="auto"/>
            </w:pPr>
            <w:r>
              <w:rPr>
                <w:sz w:val="19"/>
                <w:szCs w:val="19"/>
              </w:rPr>
              <w:t>Yes</w:t>
            </w:r>
          </w:p>
        </w:tc>
        <w:tc>
          <w:tcPr>
            <w:tcW w:w="2076"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48370741" w14:textId="77777777" w:rsidR="002B2FE6" w:rsidRDefault="00363275">
            <w:pPr>
              <w:spacing w:before="30" w:after="30" w:line="260" w:lineRule="auto"/>
            </w:pPr>
            <w:r>
              <w:rPr>
                <w:sz w:val="19"/>
                <w:szCs w:val="19"/>
              </w:rPr>
              <w:t>Sustained Advantage</w:t>
            </w:r>
          </w:p>
        </w:tc>
      </w:tr>
      <w:tr w:rsidR="002B2FE6" w14:paraId="6D3666FD" w14:textId="77777777">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5B7272E9" w14:textId="77777777" w:rsidR="002B2FE6" w:rsidRDefault="00363275">
            <w:pPr>
              <w:spacing w:before="30" w:after="30" w:line="260" w:lineRule="auto"/>
            </w:pPr>
            <w:r>
              <w:rPr>
                <w:sz w:val="19"/>
                <w:szCs w:val="19"/>
              </w:rPr>
              <w:t>Proprietary Technology (Air, Flyknit)</w:t>
            </w:r>
          </w:p>
        </w:tc>
        <w:tc>
          <w:tcPr>
            <w:tcW w:w="125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50AF4736" w14:textId="77777777" w:rsidR="002B2FE6" w:rsidRDefault="00363275">
            <w:pPr>
              <w:spacing w:before="30" w:after="30" w:line="260" w:lineRule="auto"/>
            </w:pPr>
            <w:r>
              <w:rPr>
                <w:sz w:val="19"/>
                <w:szCs w:val="19"/>
              </w:rPr>
              <w:t>Yes</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6F4BC90B" w14:textId="77777777" w:rsidR="002B2FE6" w:rsidRDefault="00363275">
            <w:pPr>
              <w:spacing w:before="30" w:after="30" w:line="260" w:lineRule="auto"/>
            </w:pPr>
            <w:r>
              <w:rPr>
                <w:sz w:val="19"/>
                <w:szCs w:val="19"/>
              </w:rPr>
              <w:t>Yes</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496C9073" w14:textId="77777777" w:rsidR="002B2FE6" w:rsidRDefault="00363275">
            <w:pPr>
              <w:spacing w:before="30" w:after="30" w:line="260" w:lineRule="auto"/>
            </w:pPr>
            <w:r>
              <w:rPr>
                <w:sz w:val="19"/>
                <w:szCs w:val="19"/>
              </w:rPr>
              <w:t>Moderate</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64EE6384" w14:textId="77777777" w:rsidR="002B2FE6" w:rsidRDefault="00363275">
            <w:pPr>
              <w:spacing w:before="30" w:after="30" w:line="260" w:lineRule="auto"/>
            </w:pPr>
            <w:r>
              <w:rPr>
                <w:sz w:val="19"/>
                <w:szCs w:val="19"/>
              </w:rPr>
              <w:t>Yes</w:t>
            </w:r>
          </w:p>
        </w:tc>
        <w:tc>
          <w:tcPr>
            <w:tcW w:w="207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286CB3B1" w14:textId="77777777" w:rsidR="002B2FE6" w:rsidRDefault="00363275">
            <w:pPr>
              <w:spacing w:before="30" w:after="30" w:line="260" w:lineRule="auto"/>
            </w:pPr>
            <w:r>
              <w:rPr>
                <w:sz w:val="19"/>
                <w:szCs w:val="19"/>
              </w:rPr>
              <w:t>Sustained Advantage</w:t>
            </w:r>
          </w:p>
        </w:tc>
      </w:tr>
      <w:tr w:rsidR="002B2FE6" w14:paraId="591B6583" w14:textId="77777777">
        <w:tc>
          <w:tcPr>
            <w:tcW w:w="21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5B19E202" w14:textId="77777777" w:rsidR="002B2FE6" w:rsidRDefault="00363275">
            <w:pPr>
              <w:spacing w:before="30" w:after="30" w:line="260" w:lineRule="auto"/>
            </w:pPr>
            <w:r>
              <w:rPr>
                <w:sz w:val="19"/>
                <w:szCs w:val="19"/>
              </w:rPr>
              <w:t>Digital Ecosystem (500M Members)</w:t>
            </w:r>
          </w:p>
        </w:tc>
        <w:tc>
          <w:tcPr>
            <w:tcW w:w="125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0B00485D" w14:textId="77777777" w:rsidR="002B2FE6" w:rsidRDefault="00363275">
            <w:pPr>
              <w:spacing w:before="30" w:after="30" w:line="260" w:lineRule="auto"/>
            </w:pPr>
            <w:r>
              <w:rPr>
                <w:sz w:val="19"/>
                <w:szCs w:val="19"/>
              </w:rPr>
              <w:t>Yes</w:t>
            </w:r>
          </w:p>
        </w:tc>
        <w:tc>
          <w:tcPr>
            <w:tcW w:w="12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24E4BEE6" w14:textId="77777777" w:rsidR="002B2FE6" w:rsidRDefault="00363275">
            <w:pPr>
              <w:spacing w:before="30" w:after="30" w:line="260" w:lineRule="auto"/>
            </w:pPr>
            <w:r>
              <w:rPr>
                <w:sz w:val="19"/>
                <w:szCs w:val="19"/>
              </w:rPr>
              <w:t>Moderate</w:t>
            </w:r>
          </w:p>
        </w:tc>
        <w:tc>
          <w:tcPr>
            <w:tcW w:w="12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767C5059" w14:textId="77777777" w:rsidR="002B2FE6" w:rsidRDefault="00363275">
            <w:pPr>
              <w:spacing w:before="30" w:after="30" w:line="260" w:lineRule="auto"/>
            </w:pPr>
            <w:r>
              <w:rPr>
                <w:sz w:val="19"/>
                <w:szCs w:val="19"/>
              </w:rPr>
              <w:t>Moderate</w:t>
            </w:r>
          </w:p>
        </w:tc>
        <w:tc>
          <w:tcPr>
            <w:tcW w:w="12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1A235B86" w14:textId="77777777" w:rsidR="002B2FE6" w:rsidRDefault="00363275">
            <w:pPr>
              <w:spacing w:before="30" w:after="30" w:line="260" w:lineRule="auto"/>
            </w:pPr>
            <w:r>
              <w:rPr>
                <w:sz w:val="19"/>
                <w:szCs w:val="19"/>
              </w:rPr>
              <w:t>Yes</w:t>
            </w:r>
          </w:p>
        </w:tc>
        <w:tc>
          <w:tcPr>
            <w:tcW w:w="2076"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597ADA73" w14:textId="77777777" w:rsidR="002B2FE6" w:rsidRDefault="00363275">
            <w:pPr>
              <w:spacing w:before="30" w:after="30" w:line="260" w:lineRule="auto"/>
            </w:pPr>
            <w:r>
              <w:rPr>
                <w:sz w:val="19"/>
                <w:szCs w:val="19"/>
              </w:rPr>
              <w:t>Temporary Advantage</w:t>
            </w:r>
          </w:p>
        </w:tc>
      </w:tr>
      <w:tr w:rsidR="002B2FE6" w14:paraId="0B422778" w14:textId="77777777">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0B123679" w14:textId="77777777" w:rsidR="002B2FE6" w:rsidRDefault="00363275">
            <w:pPr>
              <w:spacing w:before="30" w:after="30" w:line="260" w:lineRule="auto"/>
            </w:pPr>
            <w:r>
              <w:rPr>
                <w:sz w:val="19"/>
                <w:szCs w:val="19"/>
              </w:rPr>
              <w:t>Global Supply Chain Network</w:t>
            </w:r>
          </w:p>
        </w:tc>
        <w:tc>
          <w:tcPr>
            <w:tcW w:w="125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54C0784D" w14:textId="77777777" w:rsidR="002B2FE6" w:rsidRDefault="00363275">
            <w:pPr>
              <w:spacing w:before="30" w:after="30" w:line="260" w:lineRule="auto"/>
            </w:pPr>
            <w:r>
              <w:rPr>
                <w:sz w:val="19"/>
                <w:szCs w:val="19"/>
              </w:rPr>
              <w:t>Yes</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76D41296" w14:textId="77777777" w:rsidR="002B2FE6" w:rsidRDefault="00363275">
            <w:pPr>
              <w:spacing w:before="30" w:after="30" w:line="260" w:lineRule="auto"/>
            </w:pPr>
            <w:r>
              <w:rPr>
                <w:sz w:val="19"/>
                <w:szCs w:val="19"/>
              </w:rPr>
              <w:t>No</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40DA04EB" w14:textId="77777777" w:rsidR="002B2FE6" w:rsidRDefault="00363275">
            <w:pPr>
              <w:spacing w:before="30" w:after="30" w:line="260" w:lineRule="auto"/>
            </w:pPr>
            <w:r>
              <w:rPr>
                <w:sz w:val="19"/>
                <w:szCs w:val="19"/>
              </w:rPr>
              <w:t>No</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06FB921A" w14:textId="77777777" w:rsidR="002B2FE6" w:rsidRDefault="00363275">
            <w:pPr>
              <w:spacing w:before="30" w:after="30" w:line="260" w:lineRule="auto"/>
            </w:pPr>
            <w:r>
              <w:rPr>
                <w:sz w:val="19"/>
                <w:szCs w:val="19"/>
              </w:rPr>
              <w:t>Yes</w:t>
            </w:r>
          </w:p>
        </w:tc>
        <w:tc>
          <w:tcPr>
            <w:tcW w:w="207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7C20A40B" w14:textId="77777777" w:rsidR="002B2FE6" w:rsidRDefault="00363275">
            <w:pPr>
              <w:spacing w:before="30" w:after="30" w:line="260" w:lineRule="auto"/>
            </w:pPr>
            <w:r>
              <w:rPr>
                <w:sz w:val="19"/>
                <w:szCs w:val="19"/>
              </w:rPr>
              <w:t>Competitive Parity</w:t>
            </w:r>
          </w:p>
        </w:tc>
      </w:tr>
      <w:tr w:rsidR="002B2FE6" w14:paraId="289A91F8" w14:textId="77777777">
        <w:tc>
          <w:tcPr>
            <w:tcW w:w="21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03F0E89C" w14:textId="77777777" w:rsidR="002B2FE6" w:rsidRDefault="00363275">
            <w:pPr>
              <w:spacing w:before="30" w:after="30" w:line="260" w:lineRule="auto"/>
            </w:pPr>
            <w:r>
              <w:rPr>
                <w:sz w:val="19"/>
                <w:szCs w:val="19"/>
              </w:rPr>
              <w:t>DTC Channel Infrastructure</w:t>
            </w:r>
          </w:p>
        </w:tc>
        <w:tc>
          <w:tcPr>
            <w:tcW w:w="125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4C185D1F" w14:textId="77777777" w:rsidR="002B2FE6" w:rsidRDefault="00363275">
            <w:pPr>
              <w:spacing w:before="30" w:after="30" w:line="260" w:lineRule="auto"/>
            </w:pPr>
            <w:r>
              <w:rPr>
                <w:sz w:val="19"/>
                <w:szCs w:val="19"/>
              </w:rPr>
              <w:t>Yes</w:t>
            </w:r>
          </w:p>
        </w:tc>
        <w:tc>
          <w:tcPr>
            <w:tcW w:w="12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5DB94DCB" w14:textId="77777777" w:rsidR="002B2FE6" w:rsidRDefault="00363275">
            <w:pPr>
              <w:spacing w:before="30" w:after="30" w:line="260" w:lineRule="auto"/>
            </w:pPr>
            <w:r>
              <w:rPr>
                <w:sz w:val="19"/>
                <w:szCs w:val="19"/>
              </w:rPr>
              <w:t>Moderate</w:t>
            </w:r>
          </w:p>
        </w:tc>
        <w:tc>
          <w:tcPr>
            <w:tcW w:w="12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28EA554A" w14:textId="77777777" w:rsidR="002B2FE6" w:rsidRDefault="00363275">
            <w:pPr>
              <w:spacing w:before="30" w:after="30" w:line="260" w:lineRule="auto"/>
            </w:pPr>
            <w:r>
              <w:rPr>
                <w:sz w:val="19"/>
                <w:szCs w:val="19"/>
              </w:rPr>
              <w:t>Moderate</w:t>
            </w:r>
          </w:p>
        </w:tc>
        <w:tc>
          <w:tcPr>
            <w:tcW w:w="12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40D6CAFB" w14:textId="77777777" w:rsidR="002B2FE6" w:rsidRDefault="00363275">
            <w:pPr>
              <w:spacing w:before="30" w:after="30" w:line="260" w:lineRule="auto"/>
            </w:pPr>
            <w:r>
              <w:rPr>
                <w:sz w:val="19"/>
                <w:szCs w:val="19"/>
              </w:rPr>
              <w:t>Yes</w:t>
            </w:r>
          </w:p>
        </w:tc>
        <w:tc>
          <w:tcPr>
            <w:tcW w:w="2076"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0B35C386" w14:textId="77777777" w:rsidR="002B2FE6" w:rsidRDefault="00363275">
            <w:pPr>
              <w:spacing w:before="30" w:after="30" w:line="260" w:lineRule="auto"/>
            </w:pPr>
            <w:r>
              <w:rPr>
                <w:sz w:val="19"/>
                <w:szCs w:val="19"/>
              </w:rPr>
              <w:t>Temporary Advantage</w:t>
            </w:r>
          </w:p>
        </w:tc>
      </w:tr>
    </w:tbl>
    <w:p w14:paraId="4CDEA9F7" w14:textId="77777777" w:rsidR="002B2FE6" w:rsidRDefault="00363275">
      <w:pPr>
        <w:spacing w:before="60" w:after="120" w:line="280" w:lineRule="auto"/>
        <w:jc w:val="center"/>
      </w:pPr>
      <w:r>
        <w:rPr>
          <w:i/>
          <w:iCs/>
          <w:color w:val="666666"/>
          <w:sz w:val="19"/>
          <w:szCs w:val="19"/>
        </w:rPr>
        <w:t>Table 1: VRIO Analysis of Nike, Inc. (adapted from Barney and Hesterly, 2006)</w:t>
      </w:r>
    </w:p>
    <w:p w14:paraId="152B3E87" w14:textId="77777777" w:rsidR="002B2FE6" w:rsidRDefault="002B2FE6">
      <w:pPr>
        <w:spacing w:before="80" w:after="80"/>
      </w:pPr>
    </w:p>
    <w:p w14:paraId="411C7285" w14:textId="77777777" w:rsidR="007332A2" w:rsidRDefault="007332A2">
      <w:pPr>
        <w:pBdr>
          <w:bottom w:val="single" w:sz="3" w:space="3" w:color="1F3864"/>
        </w:pBdr>
        <w:spacing w:before="360" w:after="160" w:line="320" w:lineRule="auto"/>
      </w:pPr>
      <w:r w:rsidRPr="007332A2">
        <w:t>The VRIO analysis shows that Nike's strongest competitive advantages are its brand equity and its ecosystem of athlete endorsements. These are resources that are deeply rooted in cultural capital and years of relationship-building, making it too expensive for competitors to copy. Proprietary technology approaches sustained advantage, but the moderate imitability rating shows that well-resourced competitors (like Adidas and Asics) can come up with similar new ideas if they have the time and money to do so. Nike's digital ecosystem and direct-to-consumer (DTC) infrastructure are useful and well-organized, but they only give the company a short-term edge because other brands are using the same personalization strategies. The digital results for FY2024-2025 were not very good for business, which makes this capability even less useful in the current market (Cognitute, 2025).</w:t>
      </w:r>
    </w:p>
    <w:p w14:paraId="2705456A" w14:textId="21BBEA69" w:rsidR="002B2FE6" w:rsidRPr="007332A2" w:rsidRDefault="00363275">
      <w:pPr>
        <w:pBdr>
          <w:bottom w:val="single" w:sz="3" w:space="3" w:color="1F3864"/>
        </w:pBdr>
        <w:spacing w:before="360" w:after="160" w:line="320" w:lineRule="auto"/>
        <w:rPr>
          <w:sz w:val="28"/>
          <w:szCs w:val="28"/>
        </w:rPr>
      </w:pPr>
      <w:r w:rsidRPr="007332A2">
        <w:rPr>
          <w:b/>
          <w:bCs/>
          <w:sz w:val="28"/>
          <w:szCs w:val="28"/>
        </w:rPr>
        <w:lastRenderedPageBreak/>
        <w:t>3.  CSR and Sustainability Objectives</w:t>
      </w:r>
    </w:p>
    <w:p w14:paraId="1044AD81" w14:textId="77777777" w:rsidR="002B2FE6" w:rsidRPr="007332A2" w:rsidRDefault="00363275">
      <w:pPr>
        <w:spacing w:before="260" w:after="120" w:line="320" w:lineRule="auto"/>
        <w:rPr>
          <w:sz w:val="24"/>
          <w:szCs w:val="24"/>
        </w:rPr>
      </w:pPr>
      <w:r w:rsidRPr="007332A2">
        <w:rPr>
          <w:b/>
          <w:bCs/>
          <w:sz w:val="24"/>
          <w:szCs w:val="24"/>
        </w:rPr>
        <w:t>3.1  Nike's CSR Strategy and Business Alignment</w:t>
      </w:r>
    </w:p>
    <w:p w14:paraId="1BA40F03" w14:textId="77777777" w:rsidR="007332A2" w:rsidRPr="007332A2" w:rsidRDefault="007332A2" w:rsidP="007332A2">
      <w:pPr>
        <w:pBdr>
          <w:bottom w:val="single" w:sz="3" w:space="3" w:color="1F3864"/>
        </w:pBdr>
        <w:spacing w:before="360" w:after="160" w:line="320" w:lineRule="auto"/>
        <w:rPr>
          <w:sz w:val="24"/>
          <w:szCs w:val="24"/>
        </w:rPr>
      </w:pPr>
      <w:r w:rsidRPr="007332A2">
        <w:rPr>
          <w:sz w:val="24"/>
          <w:szCs w:val="24"/>
        </w:rPr>
        <w:t>The "Move to Zero" program is the main part of Nike's CSR strategy. It is Nike's way of getting to zero carbon and zero waste. Nike believes that "protecting the planet means protecting the future of sport" (Nike, Inc., 2025a). The program covers all of Nike's value chain and works on four environmental pillars: carbon, waste, water, and chemistry. Key quantitative commitments include: a 70% absolute GHG reduction in owned and operated facilities through 100% renewable electricity; a 30% supply chain emissions reduction by 2030 aligned with SBTi frameworks; a 65% Scope 1 and 2 reduction against a 2015 baseline; and diversion of 99% of footwear manufacturing waste from landfills (Nike, Inc., 2025b). Recycled polyester, Flyleather, and Nike Forward are all new materials that help reduce Scope 3 emissions.</w:t>
      </w:r>
    </w:p>
    <w:p w14:paraId="3626AF17" w14:textId="144449E2" w:rsidR="008D7AA8" w:rsidRPr="000173CE" w:rsidRDefault="007332A2" w:rsidP="007332A2">
      <w:pPr>
        <w:pBdr>
          <w:bottom w:val="single" w:sz="3" w:space="3" w:color="1F3864"/>
        </w:pBdr>
        <w:spacing w:before="360" w:after="160" w:line="320" w:lineRule="auto"/>
        <w:rPr>
          <w:sz w:val="24"/>
          <w:szCs w:val="24"/>
        </w:rPr>
      </w:pPr>
      <w:r w:rsidRPr="007332A2">
        <w:rPr>
          <w:sz w:val="24"/>
          <w:szCs w:val="24"/>
        </w:rPr>
        <w:t>There are many ways in which Nike's CSR agenda and business goals are strategically aligned. For example, using sustainable materials lowers long-term input costs and makes the supply chain less vulnerable. The Move to Zero story also appeals to Gen Z and Millennials. Nike is putting growth first, and initiatives like Reuse-A-Shoe in the circular economy get real consumer engagement that paid media can't match. Nike's integrated ESG approach is similar to Elkington's (1994) triple bottom line framework of people, planet, and profit. It tries to balance environmental commitments with social equity programs (like community investment and worker welfare) and financial sustainability. But it is important to look at it closely. The ongoing greenwashing class action lawsuit, which affects more than 2,000 product lines, shows how making claims about sustainability can hurt a company's reputation faster than taking real action (DCF Modeling, 2025). Carroll's (1991) CSR pyramid framework warns that Nike's charitable and moral commitments must be based on real changes in how the company works, not just on how they can help the company sell more products. Nike's 2023 Sustainability Report "Moving Together" admits that some goals weren't met. This is a good thing because it shows that the company is being honest, but it also means that it needs to keep being accountable to others (This Rock ESG, 2024). If Move to Zero is going to be a real strategic asset and not a reputational liability, Nike needs to change how it talks about sustainability. Right now, there is a credibility gap between what Nike says about sustainability and what it does in court.</w:t>
      </w:r>
    </w:p>
    <w:p w14:paraId="7E3F4553" w14:textId="77777777" w:rsidR="008D7AA8" w:rsidRDefault="008D7AA8" w:rsidP="007332A2">
      <w:pPr>
        <w:pBdr>
          <w:bottom w:val="single" w:sz="3" w:space="3" w:color="1F3864"/>
        </w:pBdr>
        <w:spacing w:before="360" w:after="160" w:line="320" w:lineRule="auto"/>
      </w:pPr>
    </w:p>
    <w:p w14:paraId="5A9CA029" w14:textId="5C538EC4" w:rsidR="002B2FE6" w:rsidRPr="008D7AA8" w:rsidRDefault="007332A2" w:rsidP="007332A2">
      <w:pPr>
        <w:pBdr>
          <w:bottom w:val="single" w:sz="3" w:space="3" w:color="1F3864"/>
        </w:pBdr>
        <w:spacing w:before="360" w:after="160" w:line="320" w:lineRule="auto"/>
        <w:rPr>
          <w:sz w:val="28"/>
          <w:szCs w:val="28"/>
        </w:rPr>
      </w:pPr>
      <w:r>
        <w:lastRenderedPageBreak/>
        <w:cr/>
      </w:r>
      <w:r w:rsidR="00363275" w:rsidRPr="008D7AA8">
        <w:rPr>
          <w:b/>
          <w:bCs/>
          <w:sz w:val="28"/>
          <w:szCs w:val="28"/>
        </w:rPr>
        <w:t>4.  Comprehensive and Holistic View: The Balanced Scorecard</w:t>
      </w:r>
    </w:p>
    <w:p w14:paraId="45B93789" w14:textId="77777777" w:rsidR="002B2FE6" w:rsidRPr="008D7AA8" w:rsidRDefault="00363275">
      <w:pPr>
        <w:spacing w:before="260" w:after="120" w:line="320" w:lineRule="auto"/>
        <w:rPr>
          <w:sz w:val="24"/>
          <w:szCs w:val="24"/>
        </w:rPr>
      </w:pPr>
      <w:r w:rsidRPr="008D7AA8">
        <w:rPr>
          <w:b/>
          <w:bCs/>
          <w:sz w:val="24"/>
          <w:szCs w:val="24"/>
        </w:rPr>
        <w:t>4.1  BSC Framework and Nike Application</w:t>
      </w:r>
    </w:p>
    <w:p w14:paraId="6F2D644A" w14:textId="4B532A02" w:rsidR="002B2FE6" w:rsidRDefault="008D7AA8">
      <w:pPr>
        <w:spacing w:before="80" w:after="80"/>
      </w:pPr>
      <w:r w:rsidRPr="008D7AA8">
        <w:t>Kaplan and Norton (1992) came up with the balanced scorecard (BSC), which combines four strategic perspectives that depend on each other: Financial, Customer, Internal Business Processes, and Learning and Growth. This makes it a more complete way to manage performance than just looking at financial metrics. In the context of Nike's strategic plan for FY2025, the BSC shows how to prioritize financial recovery, brand re-engagement, operational excellence, and the growth of the company's capabilities.</w:t>
      </w:r>
    </w:p>
    <w:p w14:paraId="507F59CE" w14:textId="77777777" w:rsidR="008D7AA8" w:rsidRDefault="008D7AA8">
      <w:pPr>
        <w:spacing w:before="80"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2100"/>
        <w:gridCol w:w="1700"/>
        <w:gridCol w:w="1626"/>
        <w:gridCol w:w="2100"/>
      </w:tblGrid>
      <w:tr w:rsidR="002B2FE6" w14:paraId="500C82E4" w14:textId="77777777">
        <w:trPr>
          <w:tblHeader/>
        </w:trPr>
        <w:tc>
          <w:tcPr>
            <w:tcW w:w="1500" w:type="dxa"/>
            <w:tcBorders>
              <w:top w:val="single" w:sz="3" w:space="0" w:color="1F3864"/>
              <w:left w:val="single" w:sz="3" w:space="0" w:color="1F3864"/>
              <w:bottom w:val="single" w:sz="3" w:space="0" w:color="1F3864"/>
              <w:right w:val="single" w:sz="3" w:space="0" w:color="1F3864"/>
            </w:tcBorders>
            <w:shd w:val="clear" w:color="auto" w:fill="1F3864"/>
            <w:tcMar>
              <w:top w:w="80" w:type="dxa"/>
              <w:left w:w="100" w:type="dxa"/>
              <w:bottom w:w="80" w:type="dxa"/>
              <w:right w:w="100" w:type="dxa"/>
            </w:tcMar>
            <w:vAlign w:val="center"/>
          </w:tcPr>
          <w:p w14:paraId="3B6D6863" w14:textId="77777777" w:rsidR="002B2FE6" w:rsidRDefault="00363275">
            <w:pPr>
              <w:jc w:val="center"/>
            </w:pPr>
            <w:r>
              <w:rPr>
                <w:b/>
                <w:bCs/>
                <w:color w:val="FFFFFF"/>
                <w:sz w:val="19"/>
                <w:szCs w:val="19"/>
              </w:rPr>
              <w:t>Perspective</w:t>
            </w:r>
          </w:p>
        </w:tc>
        <w:tc>
          <w:tcPr>
            <w:tcW w:w="2100" w:type="dxa"/>
            <w:tcBorders>
              <w:top w:val="single" w:sz="3" w:space="0" w:color="1F3864"/>
              <w:left w:val="single" w:sz="3" w:space="0" w:color="1F3864"/>
              <w:bottom w:val="single" w:sz="3" w:space="0" w:color="1F3864"/>
              <w:right w:val="single" w:sz="3" w:space="0" w:color="1F3864"/>
            </w:tcBorders>
            <w:shd w:val="clear" w:color="auto" w:fill="1F3864"/>
            <w:tcMar>
              <w:top w:w="80" w:type="dxa"/>
              <w:left w:w="100" w:type="dxa"/>
              <w:bottom w:w="80" w:type="dxa"/>
              <w:right w:w="100" w:type="dxa"/>
            </w:tcMar>
            <w:vAlign w:val="center"/>
          </w:tcPr>
          <w:p w14:paraId="6F4A8164" w14:textId="77777777" w:rsidR="002B2FE6" w:rsidRDefault="00363275">
            <w:pPr>
              <w:jc w:val="center"/>
            </w:pPr>
            <w:r>
              <w:rPr>
                <w:b/>
                <w:bCs/>
                <w:color w:val="FFFFFF"/>
                <w:sz w:val="19"/>
                <w:szCs w:val="19"/>
              </w:rPr>
              <w:t>Objective</w:t>
            </w:r>
          </w:p>
        </w:tc>
        <w:tc>
          <w:tcPr>
            <w:tcW w:w="1700" w:type="dxa"/>
            <w:tcBorders>
              <w:top w:val="single" w:sz="3" w:space="0" w:color="1F3864"/>
              <w:left w:val="single" w:sz="3" w:space="0" w:color="1F3864"/>
              <w:bottom w:val="single" w:sz="3" w:space="0" w:color="1F3864"/>
              <w:right w:val="single" w:sz="3" w:space="0" w:color="1F3864"/>
            </w:tcBorders>
            <w:shd w:val="clear" w:color="auto" w:fill="1F3864"/>
            <w:tcMar>
              <w:top w:w="80" w:type="dxa"/>
              <w:left w:w="100" w:type="dxa"/>
              <w:bottom w:w="80" w:type="dxa"/>
              <w:right w:w="100" w:type="dxa"/>
            </w:tcMar>
            <w:vAlign w:val="center"/>
          </w:tcPr>
          <w:p w14:paraId="1852DAF5" w14:textId="77777777" w:rsidR="002B2FE6" w:rsidRDefault="00363275">
            <w:pPr>
              <w:jc w:val="center"/>
            </w:pPr>
            <w:r>
              <w:rPr>
                <w:b/>
                <w:bCs/>
                <w:color w:val="FFFFFF"/>
                <w:sz w:val="19"/>
                <w:szCs w:val="19"/>
              </w:rPr>
              <w:t>KPI</w:t>
            </w:r>
          </w:p>
        </w:tc>
        <w:tc>
          <w:tcPr>
            <w:tcW w:w="1626" w:type="dxa"/>
            <w:tcBorders>
              <w:top w:val="single" w:sz="3" w:space="0" w:color="1F3864"/>
              <w:left w:val="single" w:sz="3" w:space="0" w:color="1F3864"/>
              <w:bottom w:val="single" w:sz="3" w:space="0" w:color="1F3864"/>
              <w:right w:val="single" w:sz="3" w:space="0" w:color="1F3864"/>
            </w:tcBorders>
            <w:shd w:val="clear" w:color="auto" w:fill="1F3864"/>
            <w:tcMar>
              <w:top w:w="80" w:type="dxa"/>
              <w:left w:w="100" w:type="dxa"/>
              <w:bottom w:w="80" w:type="dxa"/>
              <w:right w:w="100" w:type="dxa"/>
            </w:tcMar>
            <w:vAlign w:val="center"/>
          </w:tcPr>
          <w:p w14:paraId="3DA6A5C5" w14:textId="77777777" w:rsidR="002B2FE6" w:rsidRDefault="00363275">
            <w:pPr>
              <w:jc w:val="center"/>
            </w:pPr>
            <w:r>
              <w:rPr>
                <w:b/>
                <w:bCs/>
                <w:color w:val="FFFFFF"/>
                <w:sz w:val="19"/>
                <w:szCs w:val="19"/>
              </w:rPr>
              <w:t>Target</w:t>
            </w:r>
          </w:p>
        </w:tc>
        <w:tc>
          <w:tcPr>
            <w:tcW w:w="2100" w:type="dxa"/>
            <w:tcBorders>
              <w:top w:val="single" w:sz="3" w:space="0" w:color="1F3864"/>
              <w:left w:val="single" w:sz="3" w:space="0" w:color="1F3864"/>
              <w:bottom w:val="single" w:sz="3" w:space="0" w:color="1F3864"/>
              <w:right w:val="single" w:sz="3" w:space="0" w:color="1F3864"/>
            </w:tcBorders>
            <w:shd w:val="clear" w:color="auto" w:fill="1F3864"/>
            <w:tcMar>
              <w:top w:w="80" w:type="dxa"/>
              <w:left w:w="100" w:type="dxa"/>
              <w:bottom w:w="80" w:type="dxa"/>
              <w:right w:w="100" w:type="dxa"/>
            </w:tcMar>
            <w:vAlign w:val="center"/>
          </w:tcPr>
          <w:p w14:paraId="3D325C52" w14:textId="77777777" w:rsidR="002B2FE6" w:rsidRDefault="00363275">
            <w:pPr>
              <w:jc w:val="center"/>
            </w:pPr>
            <w:r>
              <w:rPr>
                <w:b/>
                <w:bCs/>
                <w:color w:val="FFFFFF"/>
                <w:sz w:val="19"/>
                <w:szCs w:val="19"/>
              </w:rPr>
              <w:t>Initiative</w:t>
            </w:r>
          </w:p>
        </w:tc>
      </w:tr>
      <w:tr w:rsidR="002B2FE6" w14:paraId="60A024A8" w14:textId="77777777">
        <w:tc>
          <w:tcPr>
            <w:tcW w:w="15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0B063B26" w14:textId="77777777" w:rsidR="002B2FE6" w:rsidRDefault="00363275">
            <w:pPr>
              <w:spacing w:before="30" w:after="30" w:line="260" w:lineRule="auto"/>
            </w:pPr>
            <w:r>
              <w:rPr>
                <w:sz w:val="19"/>
                <w:szCs w:val="19"/>
              </w:rPr>
              <w:t>Financial</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0917DDE0" w14:textId="77777777" w:rsidR="002B2FE6" w:rsidRDefault="00363275">
            <w:pPr>
              <w:spacing w:before="30" w:after="30" w:line="260" w:lineRule="auto"/>
            </w:pPr>
            <w:r>
              <w:rPr>
                <w:sz w:val="19"/>
                <w:szCs w:val="19"/>
              </w:rPr>
              <w:t>Restore revenue growth post-FY2025 decline</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73A78F46" w14:textId="77777777" w:rsidR="002B2FE6" w:rsidRDefault="00363275">
            <w:pPr>
              <w:spacing w:before="30" w:after="30" w:line="260" w:lineRule="auto"/>
            </w:pPr>
            <w:r>
              <w:rPr>
                <w:sz w:val="19"/>
                <w:szCs w:val="19"/>
              </w:rPr>
              <w:t>Revenue growth %; Gross margin %</w:t>
            </w:r>
          </w:p>
        </w:tc>
        <w:tc>
          <w:tcPr>
            <w:tcW w:w="162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7E305368" w14:textId="77777777" w:rsidR="002B2FE6" w:rsidRDefault="00363275">
            <w:pPr>
              <w:spacing w:before="30" w:after="30" w:line="260" w:lineRule="auto"/>
            </w:pPr>
            <w:r>
              <w:rPr>
                <w:sz w:val="19"/>
                <w:szCs w:val="19"/>
              </w:rPr>
              <w:t>Growth in FY2026; GM &gt;44%</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1EFCBB0A" w14:textId="77777777" w:rsidR="002B2FE6" w:rsidRDefault="00363275">
            <w:pPr>
              <w:spacing w:before="30" w:after="30" w:line="260" w:lineRule="auto"/>
            </w:pPr>
            <w:r>
              <w:rPr>
                <w:sz w:val="19"/>
                <w:szCs w:val="19"/>
              </w:rPr>
              <w:t>Wholesale rebalancing; inventory rationalisation</w:t>
            </w:r>
          </w:p>
        </w:tc>
      </w:tr>
      <w:tr w:rsidR="002B2FE6" w14:paraId="1BC6F270" w14:textId="77777777">
        <w:tc>
          <w:tcPr>
            <w:tcW w:w="15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7AAB1972" w14:textId="77777777" w:rsidR="002B2FE6" w:rsidRDefault="00363275">
            <w:pPr>
              <w:spacing w:before="30" w:after="30" w:line="260" w:lineRule="auto"/>
            </w:pPr>
            <w:r>
              <w:rPr>
                <w:sz w:val="19"/>
                <w:szCs w:val="19"/>
              </w:rPr>
              <w:t>Financial</w:t>
            </w:r>
          </w:p>
        </w:tc>
        <w:tc>
          <w:tcPr>
            <w:tcW w:w="21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10FC1125" w14:textId="77777777" w:rsidR="002B2FE6" w:rsidRDefault="00363275">
            <w:pPr>
              <w:spacing w:before="30" w:after="30" w:line="260" w:lineRule="auto"/>
            </w:pPr>
            <w:r>
              <w:rPr>
                <w:sz w:val="19"/>
                <w:szCs w:val="19"/>
              </w:rPr>
              <w:t>Improve DTC profitability</w:t>
            </w:r>
          </w:p>
        </w:tc>
        <w:tc>
          <w:tcPr>
            <w:tcW w:w="17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312A6D1E" w14:textId="77777777" w:rsidR="002B2FE6" w:rsidRDefault="00363275">
            <w:pPr>
              <w:spacing w:before="30" w:after="30" w:line="260" w:lineRule="auto"/>
            </w:pPr>
            <w:r>
              <w:rPr>
                <w:sz w:val="19"/>
                <w:szCs w:val="19"/>
              </w:rPr>
              <w:t>DTC revenue %; EBIT margin</w:t>
            </w:r>
          </w:p>
        </w:tc>
        <w:tc>
          <w:tcPr>
            <w:tcW w:w="1626"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43A8E5F9" w14:textId="77777777" w:rsidR="002B2FE6" w:rsidRDefault="00363275">
            <w:pPr>
              <w:spacing w:before="30" w:after="30" w:line="260" w:lineRule="auto"/>
            </w:pPr>
            <w:r>
              <w:rPr>
                <w:sz w:val="19"/>
                <w:szCs w:val="19"/>
              </w:rPr>
              <w:t>DTC &gt;40% of total revenue</w:t>
            </w:r>
          </w:p>
        </w:tc>
        <w:tc>
          <w:tcPr>
            <w:tcW w:w="21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418B65A3" w14:textId="77777777" w:rsidR="002B2FE6" w:rsidRDefault="00363275">
            <w:pPr>
              <w:spacing w:before="30" w:after="30" w:line="260" w:lineRule="auto"/>
            </w:pPr>
            <w:r>
              <w:rPr>
                <w:sz w:val="19"/>
                <w:szCs w:val="19"/>
              </w:rPr>
              <w:t>Re-engage Amazon; premium positioning</w:t>
            </w:r>
          </w:p>
        </w:tc>
      </w:tr>
      <w:tr w:rsidR="002B2FE6" w14:paraId="03FE5608" w14:textId="77777777">
        <w:tc>
          <w:tcPr>
            <w:tcW w:w="15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3A4F6C75" w14:textId="77777777" w:rsidR="002B2FE6" w:rsidRDefault="00363275">
            <w:pPr>
              <w:spacing w:before="30" w:after="30" w:line="260" w:lineRule="auto"/>
            </w:pPr>
            <w:r>
              <w:rPr>
                <w:sz w:val="19"/>
                <w:szCs w:val="19"/>
              </w:rPr>
              <w:t>Customer</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1400A012" w14:textId="77777777" w:rsidR="002B2FE6" w:rsidRDefault="00363275">
            <w:pPr>
              <w:spacing w:before="30" w:after="30" w:line="260" w:lineRule="auto"/>
            </w:pPr>
            <w:r>
              <w:rPr>
                <w:sz w:val="19"/>
                <w:szCs w:val="19"/>
              </w:rPr>
              <w:t>Rebuild Gen Z and performance athlete relevance</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770984AA" w14:textId="77777777" w:rsidR="002B2FE6" w:rsidRDefault="00363275">
            <w:pPr>
              <w:spacing w:before="30" w:after="30" w:line="260" w:lineRule="auto"/>
            </w:pPr>
            <w:r>
              <w:rPr>
                <w:sz w:val="19"/>
                <w:szCs w:val="19"/>
              </w:rPr>
              <w:t>NPS; Membership growth; Digital engagement</w:t>
            </w:r>
          </w:p>
        </w:tc>
        <w:tc>
          <w:tcPr>
            <w:tcW w:w="162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43335B74" w14:textId="77777777" w:rsidR="002B2FE6" w:rsidRDefault="00363275">
            <w:pPr>
              <w:spacing w:before="30" w:after="30" w:line="260" w:lineRule="auto"/>
            </w:pPr>
            <w:r>
              <w:rPr>
                <w:sz w:val="19"/>
                <w:szCs w:val="19"/>
              </w:rPr>
              <w:t>Membership growth &gt;10% p.a.</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244847FC" w14:textId="77777777" w:rsidR="002B2FE6" w:rsidRDefault="00363275">
            <w:pPr>
              <w:spacing w:before="30" w:after="30" w:line="260" w:lineRule="auto"/>
            </w:pPr>
            <w:r>
              <w:rPr>
                <w:sz w:val="19"/>
                <w:szCs w:val="19"/>
              </w:rPr>
              <w:t>Athlete-hero campaigns; SNKRS exclusives</w:t>
            </w:r>
          </w:p>
        </w:tc>
      </w:tr>
      <w:tr w:rsidR="002B2FE6" w14:paraId="190EC426" w14:textId="77777777">
        <w:tc>
          <w:tcPr>
            <w:tcW w:w="15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4F372F52" w14:textId="77777777" w:rsidR="002B2FE6" w:rsidRDefault="00363275">
            <w:pPr>
              <w:spacing w:before="30" w:after="30" w:line="260" w:lineRule="auto"/>
            </w:pPr>
            <w:r>
              <w:rPr>
                <w:sz w:val="19"/>
                <w:szCs w:val="19"/>
              </w:rPr>
              <w:t>Customer</w:t>
            </w:r>
          </w:p>
        </w:tc>
        <w:tc>
          <w:tcPr>
            <w:tcW w:w="21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131F4265" w14:textId="77777777" w:rsidR="002B2FE6" w:rsidRDefault="00363275">
            <w:pPr>
              <w:spacing w:before="30" w:after="30" w:line="260" w:lineRule="auto"/>
            </w:pPr>
            <w:r>
              <w:rPr>
                <w:sz w:val="19"/>
                <w:szCs w:val="19"/>
              </w:rPr>
              <w:t>Lead the women's category</w:t>
            </w:r>
          </w:p>
        </w:tc>
        <w:tc>
          <w:tcPr>
            <w:tcW w:w="17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3142DBDB" w14:textId="77777777" w:rsidR="002B2FE6" w:rsidRDefault="00363275">
            <w:pPr>
              <w:spacing w:before="30" w:after="30" w:line="260" w:lineRule="auto"/>
            </w:pPr>
            <w:r>
              <w:rPr>
                <w:sz w:val="19"/>
                <w:szCs w:val="19"/>
              </w:rPr>
              <w:t>Women's revenue growth; % apparel share</w:t>
            </w:r>
          </w:p>
        </w:tc>
        <w:tc>
          <w:tcPr>
            <w:tcW w:w="1626"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6CF93F1E" w14:textId="77777777" w:rsidR="002B2FE6" w:rsidRDefault="00363275">
            <w:pPr>
              <w:spacing w:before="30" w:after="30" w:line="260" w:lineRule="auto"/>
            </w:pPr>
            <w:r>
              <w:rPr>
                <w:sz w:val="19"/>
                <w:szCs w:val="19"/>
              </w:rPr>
              <w:t>Women's &gt;35% of N. America revenue</w:t>
            </w:r>
          </w:p>
        </w:tc>
        <w:tc>
          <w:tcPr>
            <w:tcW w:w="21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30F74495" w14:textId="77777777" w:rsidR="002B2FE6" w:rsidRDefault="00363275">
            <w:pPr>
              <w:spacing w:before="30" w:after="30" w:line="260" w:lineRule="auto"/>
            </w:pPr>
            <w:r>
              <w:rPr>
                <w:sz w:val="19"/>
                <w:szCs w:val="19"/>
              </w:rPr>
              <w:t>Women-first product lines; community activation</w:t>
            </w:r>
          </w:p>
        </w:tc>
      </w:tr>
      <w:tr w:rsidR="002B2FE6" w14:paraId="3E02AFC6" w14:textId="77777777">
        <w:tc>
          <w:tcPr>
            <w:tcW w:w="15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6687AC3C" w14:textId="77777777" w:rsidR="002B2FE6" w:rsidRDefault="00363275">
            <w:pPr>
              <w:spacing w:before="30" w:after="30" w:line="260" w:lineRule="auto"/>
            </w:pPr>
            <w:r>
              <w:rPr>
                <w:sz w:val="19"/>
                <w:szCs w:val="19"/>
              </w:rPr>
              <w:t>Internal Process</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7DE7701B" w14:textId="77777777" w:rsidR="002B2FE6" w:rsidRDefault="00363275">
            <w:pPr>
              <w:spacing w:before="30" w:after="30" w:line="260" w:lineRule="auto"/>
            </w:pPr>
            <w:r>
              <w:rPr>
                <w:sz w:val="19"/>
                <w:szCs w:val="19"/>
              </w:rPr>
              <w:t>Accelerate product innovation cycle</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32C4B4BE" w14:textId="77777777" w:rsidR="002B2FE6" w:rsidRDefault="00363275">
            <w:pPr>
              <w:spacing w:before="30" w:after="30" w:line="260" w:lineRule="auto"/>
            </w:pPr>
            <w:r>
              <w:rPr>
                <w:sz w:val="19"/>
                <w:szCs w:val="19"/>
              </w:rPr>
              <w:t>Time-to-market (months); SKU success rate</w:t>
            </w:r>
          </w:p>
        </w:tc>
        <w:tc>
          <w:tcPr>
            <w:tcW w:w="162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3F56BD75" w14:textId="77777777" w:rsidR="002B2FE6" w:rsidRDefault="00363275">
            <w:pPr>
              <w:spacing w:before="30" w:after="30" w:line="260" w:lineRule="auto"/>
            </w:pPr>
            <w:r>
              <w:rPr>
                <w:sz w:val="19"/>
                <w:szCs w:val="19"/>
              </w:rPr>
              <w:t>Design-to-shelf reduced: 18 to 12 months</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7DAF0293" w14:textId="77777777" w:rsidR="002B2FE6" w:rsidRDefault="00363275">
            <w:pPr>
              <w:spacing w:before="30" w:after="30" w:line="260" w:lineRule="auto"/>
            </w:pPr>
            <w:r>
              <w:rPr>
                <w:sz w:val="19"/>
                <w:szCs w:val="19"/>
              </w:rPr>
              <w:t>AI demand forecasting; agile design sprints</w:t>
            </w:r>
          </w:p>
        </w:tc>
      </w:tr>
      <w:tr w:rsidR="002B2FE6" w14:paraId="6F7AF6D3" w14:textId="77777777">
        <w:tc>
          <w:tcPr>
            <w:tcW w:w="15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081E07D7" w14:textId="77777777" w:rsidR="002B2FE6" w:rsidRDefault="00363275">
            <w:pPr>
              <w:spacing w:before="30" w:after="30" w:line="260" w:lineRule="auto"/>
            </w:pPr>
            <w:r>
              <w:rPr>
                <w:sz w:val="19"/>
                <w:szCs w:val="19"/>
              </w:rPr>
              <w:t>Internal Process</w:t>
            </w:r>
          </w:p>
        </w:tc>
        <w:tc>
          <w:tcPr>
            <w:tcW w:w="21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031F6C78" w14:textId="77777777" w:rsidR="002B2FE6" w:rsidRDefault="00363275">
            <w:pPr>
              <w:spacing w:before="30" w:after="30" w:line="260" w:lineRule="auto"/>
            </w:pPr>
            <w:r>
              <w:rPr>
                <w:sz w:val="19"/>
                <w:szCs w:val="19"/>
              </w:rPr>
              <w:t>Meet sustainability commitments</w:t>
            </w:r>
          </w:p>
        </w:tc>
        <w:tc>
          <w:tcPr>
            <w:tcW w:w="17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6790F542" w14:textId="77777777" w:rsidR="002B2FE6" w:rsidRDefault="00363275">
            <w:pPr>
              <w:spacing w:before="30" w:after="30" w:line="260" w:lineRule="auto"/>
            </w:pPr>
            <w:r>
              <w:rPr>
                <w:sz w:val="19"/>
                <w:szCs w:val="19"/>
              </w:rPr>
              <w:t>% preferred materials; GHG (Mt CO2)</w:t>
            </w:r>
          </w:p>
        </w:tc>
        <w:tc>
          <w:tcPr>
            <w:tcW w:w="1626"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3F1DD1A0" w14:textId="77777777" w:rsidR="002B2FE6" w:rsidRDefault="00363275">
            <w:pPr>
              <w:spacing w:before="30" w:after="30" w:line="260" w:lineRule="auto"/>
            </w:pPr>
            <w:r>
              <w:rPr>
                <w:sz w:val="19"/>
                <w:szCs w:val="19"/>
              </w:rPr>
              <w:t>50% preferred materials; -30% supply chain by 2030</w:t>
            </w:r>
          </w:p>
        </w:tc>
        <w:tc>
          <w:tcPr>
            <w:tcW w:w="21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75FFC023" w14:textId="77777777" w:rsidR="002B2FE6" w:rsidRDefault="00363275">
            <w:pPr>
              <w:spacing w:before="30" w:after="30" w:line="260" w:lineRule="auto"/>
            </w:pPr>
            <w:r>
              <w:rPr>
                <w:sz w:val="19"/>
                <w:szCs w:val="19"/>
              </w:rPr>
              <w:t>Move to Zero; Reuse-A-Shoe</w:t>
            </w:r>
          </w:p>
        </w:tc>
      </w:tr>
      <w:tr w:rsidR="002B2FE6" w14:paraId="70DEBA91" w14:textId="77777777">
        <w:tc>
          <w:tcPr>
            <w:tcW w:w="15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5B5BDD15" w14:textId="77777777" w:rsidR="002B2FE6" w:rsidRDefault="00363275">
            <w:pPr>
              <w:spacing w:before="30" w:after="30" w:line="260" w:lineRule="auto"/>
            </w:pPr>
            <w:r>
              <w:rPr>
                <w:sz w:val="19"/>
                <w:szCs w:val="19"/>
              </w:rPr>
              <w:t>Learning &amp; Growth</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6E3D6623" w14:textId="77777777" w:rsidR="002B2FE6" w:rsidRDefault="00363275">
            <w:pPr>
              <w:spacing w:before="30" w:after="30" w:line="260" w:lineRule="auto"/>
            </w:pPr>
            <w:r>
              <w:rPr>
                <w:sz w:val="19"/>
                <w:szCs w:val="19"/>
              </w:rPr>
              <w:t>Build AI and data capability</w:t>
            </w:r>
          </w:p>
        </w:tc>
        <w:tc>
          <w:tcPr>
            <w:tcW w:w="17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4484420D" w14:textId="77777777" w:rsidR="002B2FE6" w:rsidRDefault="00363275">
            <w:pPr>
              <w:spacing w:before="30" w:after="30" w:line="260" w:lineRule="auto"/>
            </w:pPr>
            <w:r>
              <w:rPr>
                <w:sz w:val="19"/>
                <w:szCs w:val="19"/>
              </w:rPr>
              <w:t>Data science headcount; AI model deployments</w:t>
            </w:r>
          </w:p>
        </w:tc>
        <w:tc>
          <w:tcPr>
            <w:tcW w:w="1626"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20E6D7F2" w14:textId="77777777" w:rsidR="002B2FE6" w:rsidRDefault="00363275">
            <w:pPr>
              <w:spacing w:before="30" w:after="30" w:line="260" w:lineRule="auto"/>
            </w:pPr>
            <w:r>
              <w:rPr>
                <w:sz w:val="19"/>
                <w:szCs w:val="19"/>
              </w:rPr>
              <w:t>+10% digital talent annually</w:t>
            </w:r>
          </w:p>
        </w:tc>
        <w:tc>
          <w:tcPr>
            <w:tcW w:w="2100" w:type="dxa"/>
            <w:tcBorders>
              <w:top w:val="single" w:sz="1" w:space="0" w:color="CCCCCC"/>
              <w:left w:val="single" w:sz="1" w:space="0" w:color="CCCCCC"/>
              <w:bottom w:val="single" w:sz="1" w:space="0" w:color="CCCCCC"/>
              <w:right w:val="single" w:sz="1" w:space="0" w:color="CCCCCC"/>
            </w:tcBorders>
            <w:shd w:val="clear" w:color="auto" w:fill="FFFFFF"/>
            <w:tcMar>
              <w:top w:w="70" w:type="dxa"/>
              <w:left w:w="100" w:type="dxa"/>
              <w:bottom w:w="70" w:type="dxa"/>
              <w:right w:w="100" w:type="dxa"/>
            </w:tcMar>
          </w:tcPr>
          <w:p w14:paraId="52F735FB" w14:textId="77777777" w:rsidR="002B2FE6" w:rsidRDefault="00363275">
            <w:pPr>
              <w:spacing w:before="30" w:after="30" w:line="260" w:lineRule="auto"/>
            </w:pPr>
            <w:r>
              <w:rPr>
                <w:sz w:val="19"/>
                <w:szCs w:val="19"/>
              </w:rPr>
              <w:t>Atlanta tech centre; AI/ML integration</w:t>
            </w:r>
          </w:p>
        </w:tc>
      </w:tr>
      <w:tr w:rsidR="002B2FE6" w14:paraId="3F8719BC" w14:textId="77777777">
        <w:tc>
          <w:tcPr>
            <w:tcW w:w="15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2BA84B75" w14:textId="77777777" w:rsidR="002B2FE6" w:rsidRDefault="00363275">
            <w:pPr>
              <w:spacing w:before="30" w:after="30" w:line="260" w:lineRule="auto"/>
            </w:pPr>
            <w:r>
              <w:rPr>
                <w:sz w:val="19"/>
                <w:szCs w:val="19"/>
              </w:rPr>
              <w:t>Learning &amp; Growth</w:t>
            </w:r>
          </w:p>
        </w:tc>
        <w:tc>
          <w:tcPr>
            <w:tcW w:w="21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726387DD" w14:textId="77777777" w:rsidR="002B2FE6" w:rsidRDefault="00363275">
            <w:pPr>
              <w:spacing w:before="30" w:after="30" w:line="260" w:lineRule="auto"/>
            </w:pPr>
            <w:r>
              <w:rPr>
                <w:sz w:val="19"/>
                <w:szCs w:val="19"/>
              </w:rPr>
              <w:t>Foster innovation culture</w:t>
            </w:r>
          </w:p>
        </w:tc>
        <w:tc>
          <w:tcPr>
            <w:tcW w:w="17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6F602A9C" w14:textId="77777777" w:rsidR="002B2FE6" w:rsidRDefault="00363275">
            <w:pPr>
              <w:spacing w:before="30" w:after="30" w:line="260" w:lineRule="auto"/>
            </w:pPr>
            <w:r>
              <w:rPr>
                <w:sz w:val="19"/>
                <w:szCs w:val="19"/>
              </w:rPr>
              <w:t>Employee engagement; patent applications</w:t>
            </w:r>
          </w:p>
        </w:tc>
        <w:tc>
          <w:tcPr>
            <w:tcW w:w="1626"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574F904A" w14:textId="77777777" w:rsidR="002B2FE6" w:rsidRDefault="00363275">
            <w:pPr>
              <w:spacing w:before="30" w:after="30" w:line="260" w:lineRule="auto"/>
            </w:pPr>
            <w:r>
              <w:rPr>
                <w:sz w:val="19"/>
                <w:szCs w:val="19"/>
              </w:rPr>
              <w:t>Top-quartile employee satisfaction</w:t>
            </w:r>
          </w:p>
        </w:tc>
        <w:tc>
          <w:tcPr>
            <w:tcW w:w="2100" w:type="dxa"/>
            <w:tcBorders>
              <w:top w:val="single" w:sz="1" w:space="0" w:color="CCCCCC"/>
              <w:left w:val="single" w:sz="1" w:space="0" w:color="CCCCCC"/>
              <w:bottom w:val="single" w:sz="1" w:space="0" w:color="CCCCCC"/>
              <w:right w:val="single" w:sz="1" w:space="0" w:color="CCCCCC"/>
            </w:tcBorders>
            <w:shd w:val="clear" w:color="auto" w:fill="EBF0F8"/>
            <w:tcMar>
              <w:top w:w="70" w:type="dxa"/>
              <w:left w:w="100" w:type="dxa"/>
              <w:bottom w:w="70" w:type="dxa"/>
              <w:right w:w="100" w:type="dxa"/>
            </w:tcMar>
          </w:tcPr>
          <w:p w14:paraId="225F5D32" w14:textId="77777777" w:rsidR="002B2FE6" w:rsidRDefault="00363275">
            <w:pPr>
              <w:spacing w:before="30" w:after="30" w:line="260" w:lineRule="auto"/>
            </w:pPr>
            <w:r>
              <w:rPr>
                <w:sz w:val="19"/>
                <w:szCs w:val="19"/>
              </w:rPr>
              <w:t>Nike University; innovation labs</w:t>
            </w:r>
          </w:p>
        </w:tc>
      </w:tr>
    </w:tbl>
    <w:p w14:paraId="3CF32195" w14:textId="77777777" w:rsidR="002B2FE6" w:rsidRDefault="00363275">
      <w:pPr>
        <w:spacing w:before="60" w:after="120" w:line="280" w:lineRule="auto"/>
        <w:jc w:val="center"/>
      </w:pPr>
      <w:r>
        <w:rPr>
          <w:i/>
          <w:iCs/>
          <w:color w:val="666666"/>
          <w:sz w:val="19"/>
          <w:szCs w:val="19"/>
        </w:rPr>
        <w:t>Table 2: Nike Balanced Scorecard (adapted from Kaplan and Norton, 1992)</w:t>
      </w:r>
    </w:p>
    <w:p w14:paraId="565C1443" w14:textId="77777777" w:rsidR="002B2FE6" w:rsidRDefault="002B2FE6">
      <w:pPr>
        <w:spacing w:before="80" w:after="80"/>
      </w:pPr>
    </w:p>
    <w:p w14:paraId="17103743" w14:textId="77777777" w:rsidR="008D7AA8" w:rsidRDefault="008D7AA8">
      <w:pPr>
        <w:spacing w:before="260" w:after="120" w:line="320" w:lineRule="auto"/>
        <w:rPr>
          <w:b/>
          <w:bCs/>
          <w:color w:val="2E5F8A"/>
          <w:sz w:val="26"/>
          <w:szCs w:val="26"/>
        </w:rPr>
      </w:pPr>
    </w:p>
    <w:p w14:paraId="74454862" w14:textId="77777777" w:rsidR="008D7AA8" w:rsidRDefault="008D7AA8">
      <w:pPr>
        <w:spacing w:before="260" w:after="120" w:line="320" w:lineRule="auto"/>
        <w:rPr>
          <w:b/>
          <w:bCs/>
          <w:color w:val="2E5F8A"/>
          <w:sz w:val="26"/>
          <w:szCs w:val="26"/>
        </w:rPr>
      </w:pPr>
    </w:p>
    <w:p w14:paraId="258244F4" w14:textId="20F6C2AD" w:rsidR="002B2FE6" w:rsidRPr="008D7AA8" w:rsidRDefault="00363275">
      <w:pPr>
        <w:spacing w:before="260" w:after="120" w:line="320" w:lineRule="auto"/>
        <w:rPr>
          <w:sz w:val="28"/>
          <w:szCs w:val="28"/>
        </w:rPr>
      </w:pPr>
      <w:r w:rsidRPr="008D7AA8">
        <w:rPr>
          <w:b/>
          <w:bCs/>
          <w:sz w:val="28"/>
          <w:szCs w:val="28"/>
        </w:rPr>
        <w:lastRenderedPageBreak/>
        <w:t>4.2  Discussion of BSC Perspectives</w:t>
      </w:r>
    </w:p>
    <w:p w14:paraId="50B9F210" w14:textId="77777777" w:rsidR="008D7AA8" w:rsidRDefault="008D7AA8" w:rsidP="008D7AA8">
      <w:pPr>
        <w:pBdr>
          <w:bottom w:val="single" w:sz="3" w:space="3" w:color="1F3864"/>
        </w:pBdr>
        <w:spacing w:before="360" w:after="160" w:line="320" w:lineRule="auto"/>
      </w:pPr>
      <w:r>
        <w:t>The 9.84% drop in revenue in FY2025, the biggest in recent history, requires immediate action to fix the problem. The CDO's goal of 60% direct sales by 2025 was clearly too high. Wholesale sales were $25.9 billion, while Nike Direct sales were $18.8 billion. This shows that third-party retail is still structurally necessary (DCF Modeling, 2025). To pay for new products and marketing, gross margin must stay above 44%.</w:t>
      </w:r>
    </w:p>
    <w:p w14:paraId="088835CB" w14:textId="77777777" w:rsidR="008D7AA8" w:rsidRDefault="008D7AA8" w:rsidP="008D7AA8">
      <w:pPr>
        <w:pBdr>
          <w:bottom w:val="single" w:sz="3" w:space="3" w:color="1F3864"/>
        </w:pBdr>
        <w:spacing w:before="360" w:after="160" w:line="320" w:lineRule="auto"/>
      </w:pPr>
      <w:r>
        <w:t>From the customer's point of view, Nike needs to deal with the split in its customer base: performance athletes are moving to On and Hoka, and lifestyle consumers are drawn to Adidas and New Balance's looks. Kaplan and Norton (1992) say that customer KPIs must be linked to financial results in a way that makes sense. Nike's database of 500 million members is an amazing personalization tool, but only if it leads to measurable business behavior. The women's segment is showing resilience in a market that is getting smaller, so it deserves more strategic investment than the other segments.</w:t>
      </w:r>
    </w:p>
    <w:p w14:paraId="6C846863" w14:textId="77777777" w:rsidR="008D7AA8" w:rsidRDefault="008D7AA8" w:rsidP="008D7AA8">
      <w:pPr>
        <w:pBdr>
          <w:bottom w:val="single" w:sz="3" w:space="3" w:color="1F3864"/>
        </w:pBdr>
        <w:spacing w:before="360" w:after="160" w:line="320" w:lineRule="auto"/>
      </w:pPr>
      <w:r>
        <w:t>For a business to be competitive in the medium term, it needs to make improvements to its internal processes. As DCF Modeling (2025) says very clearly, "you can't afford a 12-month design cycle when a trend lasts six months."The global ERP rollout and the expansion of the multi-node logistics network (in Los Angeles, Bethlehem, Dallas, and Madrid) are necessary but not enough on their own. A new product pipeline is also needed (Techtide Solutions, 2025). Sustainability KPIs need to be built into operations, not just used for corporate reporting. The learning and growth perspective is the most important thing: the Atlanta technology center, RFID deployment, and hiring data science talent all show that the company is serious about improving its capabilities. However, the CDO's partial failure shows that investing in capabilities must be matched with strict change management (Golden Owl, 2025).</w:t>
      </w:r>
    </w:p>
    <w:p w14:paraId="2EA58E49" w14:textId="77777777" w:rsidR="008D7AA8" w:rsidRDefault="008D7AA8" w:rsidP="008D7AA8">
      <w:pPr>
        <w:pBdr>
          <w:bottom w:val="single" w:sz="3" w:space="3" w:color="1F3864"/>
        </w:pBdr>
        <w:spacing w:before="360" w:after="160" w:line="320" w:lineRule="auto"/>
      </w:pPr>
    </w:p>
    <w:p w14:paraId="377FE958" w14:textId="77777777" w:rsidR="008D7AA8" w:rsidRDefault="008D7AA8" w:rsidP="008D7AA8">
      <w:pPr>
        <w:pBdr>
          <w:bottom w:val="single" w:sz="3" w:space="3" w:color="1F3864"/>
        </w:pBdr>
        <w:spacing w:before="360" w:after="160" w:line="320" w:lineRule="auto"/>
      </w:pPr>
      <w:r>
        <w:cr/>
      </w:r>
    </w:p>
    <w:p w14:paraId="2B026605" w14:textId="77777777" w:rsidR="008D7AA8" w:rsidRDefault="008D7AA8" w:rsidP="008D7AA8">
      <w:pPr>
        <w:pBdr>
          <w:bottom w:val="single" w:sz="3" w:space="3" w:color="1F3864"/>
        </w:pBdr>
        <w:spacing w:before="360" w:after="160" w:line="320" w:lineRule="auto"/>
      </w:pPr>
    </w:p>
    <w:p w14:paraId="13EEF865" w14:textId="77777777" w:rsidR="008D7AA8" w:rsidRDefault="008D7AA8" w:rsidP="008D7AA8">
      <w:pPr>
        <w:pBdr>
          <w:bottom w:val="single" w:sz="3" w:space="3" w:color="1F3864"/>
        </w:pBdr>
        <w:spacing w:before="360" w:after="160" w:line="320" w:lineRule="auto"/>
      </w:pPr>
    </w:p>
    <w:p w14:paraId="3056A8AF" w14:textId="77777777" w:rsidR="008D7AA8" w:rsidRDefault="008D7AA8" w:rsidP="008D7AA8">
      <w:pPr>
        <w:pBdr>
          <w:bottom w:val="single" w:sz="3" w:space="3" w:color="1F3864"/>
        </w:pBdr>
        <w:spacing w:before="360" w:after="160" w:line="320" w:lineRule="auto"/>
      </w:pPr>
    </w:p>
    <w:p w14:paraId="7BC4ABF2" w14:textId="51BBE540" w:rsidR="002B2FE6" w:rsidRPr="008D7AA8" w:rsidRDefault="00363275" w:rsidP="008D7AA8">
      <w:pPr>
        <w:pBdr>
          <w:bottom w:val="single" w:sz="3" w:space="3" w:color="1F3864"/>
        </w:pBdr>
        <w:spacing w:before="360" w:after="160" w:line="320" w:lineRule="auto"/>
        <w:rPr>
          <w:sz w:val="24"/>
          <w:szCs w:val="24"/>
        </w:rPr>
      </w:pPr>
      <w:r w:rsidRPr="008D7AA8">
        <w:rPr>
          <w:b/>
          <w:bCs/>
          <w:sz w:val="24"/>
          <w:szCs w:val="24"/>
        </w:rPr>
        <w:lastRenderedPageBreak/>
        <w:t>5.  Strategic Choices and Implementation</w:t>
      </w:r>
    </w:p>
    <w:p w14:paraId="43054BBD" w14:textId="77777777" w:rsidR="002B2FE6" w:rsidRPr="008D7AA8" w:rsidRDefault="00363275">
      <w:pPr>
        <w:spacing w:before="260" w:after="120" w:line="320" w:lineRule="auto"/>
        <w:rPr>
          <w:sz w:val="24"/>
          <w:szCs w:val="24"/>
        </w:rPr>
      </w:pPr>
      <w:r w:rsidRPr="008D7AA8">
        <w:rPr>
          <w:b/>
          <w:bCs/>
          <w:sz w:val="24"/>
          <w:szCs w:val="24"/>
        </w:rPr>
        <w:t>5.1  Business-Level Strategic Options</w:t>
      </w:r>
    </w:p>
    <w:p w14:paraId="056514BE" w14:textId="77777777" w:rsidR="008D7AA8" w:rsidRDefault="008D7AA8" w:rsidP="008D7AA8">
      <w:pPr>
        <w:spacing w:before="100" w:after="100" w:line="340" w:lineRule="auto"/>
        <w:jc w:val="both"/>
      </w:pPr>
      <w:r>
        <w:t>Porter's (1980) generic strategies are used to compare Nike's strategic options at the business level. Nike has historically focused on broad differentiation, using brand equity, technological innovation, and cultural marketing to charge higher prices. This is still the right strategic position, and the VRIO analysis backs it up. Nike's brand and innovation skills give it a competitive edge that cost leadership can't, because operational efficiency strategies come with the risk of imitation. Porter (1980) warns against being "stuck in the middle." Nike's broad differentiation has made it weak by not investing enough in the serious performance athlete segment, which has let On and Hoka take a credible focused differentiation position. The suggested strategy is to revitalize the differentiation approach with a strong focus on three key areas: performance running (to regain lost market share), women's (to take advantage of proven growth momentum), and basketball (where the Jordan Brand has an unassailable cultural authority). This directly aligns with Nike's strategic realignment for FY2025, which is called "sport offense" (DCF Modeling, 2025).</w:t>
      </w:r>
    </w:p>
    <w:p w14:paraId="11D95DD8" w14:textId="77777777" w:rsidR="008D7AA8" w:rsidRPr="008D7AA8" w:rsidRDefault="008D7AA8" w:rsidP="008D7AA8">
      <w:pPr>
        <w:spacing w:before="100" w:after="100" w:line="340" w:lineRule="auto"/>
        <w:jc w:val="both"/>
        <w:rPr>
          <w:b/>
          <w:bCs/>
          <w:sz w:val="24"/>
          <w:szCs w:val="24"/>
        </w:rPr>
      </w:pPr>
      <w:r w:rsidRPr="008D7AA8">
        <w:rPr>
          <w:b/>
          <w:bCs/>
          <w:sz w:val="24"/>
          <w:szCs w:val="24"/>
        </w:rPr>
        <w:t>5.2 Strategic Options at the Corporate Level</w:t>
      </w:r>
    </w:p>
    <w:p w14:paraId="5AF1F05F" w14:textId="77777777" w:rsidR="008D7AA8" w:rsidRDefault="008D7AA8" w:rsidP="008D7AA8">
      <w:pPr>
        <w:spacing w:before="100" w:after="100" w:line="340" w:lineRule="auto"/>
        <w:jc w:val="both"/>
      </w:pPr>
      <w:r>
        <w:t>Ansoff's (1957) matrix serves as the evaluative framework at the corporate level. Because FY2025's revenue is going down, the best short-term strategy is market penetration. This means getting back into existing markets by reinvesting in marketing, coming up with new products, and fixing the wholesale channel, without the risk of diversification or entering a new market that hasn't been tested yet. If the product pipeline is updated, North America (44% of FY2025 revenue) has a lot of room to recover. Market development through APLA (Asia Pacific and Latin America, $6.25 billion in FY2025) is a great chance for the medium term because the population is getting younger, disposable incomes are going up, and the fitness culture is growing (DCF Modeling, 2025). From 2020 on, Nike's strategic distributor model has been used in Brazil, Argentina, Chile, and Uruguay. This shows how organizations can learn to manage complexity in new markets. Diversifying into connected fitness hardware or the broader wellness sector offers potential long-term benefits, but it also comes with execution risks that are not appropriate during the current strategic reset. The best corporate-level strategy for FY2026–2028 is to focus on market penetration (primary) and selective APLA market development (secondary). This strategy has the best risk-return profile.</w:t>
      </w:r>
    </w:p>
    <w:p w14:paraId="0E9F629A" w14:textId="77777777" w:rsidR="008D7AA8" w:rsidRDefault="008D7AA8" w:rsidP="008D7AA8">
      <w:pPr>
        <w:spacing w:before="100" w:after="100" w:line="340" w:lineRule="auto"/>
        <w:jc w:val="both"/>
      </w:pPr>
    </w:p>
    <w:p w14:paraId="13966B9D" w14:textId="77777777" w:rsidR="008D7AA8" w:rsidRDefault="008D7AA8" w:rsidP="008D7AA8">
      <w:pPr>
        <w:spacing w:before="100" w:after="100" w:line="340" w:lineRule="auto"/>
        <w:jc w:val="both"/>
      </w:pPr>
    </w:p>
    <w:p w14:paraId="0CAB2C52" w14:textId="77777777" w:rsidR="008D7AA8" w:rsidRDefault="008D7AA8" w:rsidP="008D7AA8">
      <w:pPr>
        <w:spacing w:before="100" w:after="100" w:line="340" w:lineRule="auto"/>
        <w:jc w:val="both"/>
      </w:pPr>
    </w:p>
    <w:p w14:paraId="3FAA5CCF" w14:textId="77777777" w:rsidR="008D7AA8" w:rsidRDefault="008D7AA8" w:rsidP="008D7AA8">
      <w:pPr>
        <w:spacing w:before="100" w:after="100" w:line="340" w:lineRule="auto"/>
        <w:jc w:val="both"/>
      </w:pPr>
    </w:p>
    <w:p w14:paraId="61CCA710" w14:textId="77777777" w:rsidR="008D7AA8" w:rsidRDefault="008D7AA8" w:rsidP="008D7AA8">
      <w:pPr>
        <w:spacing w:before="100" w:after="100" w:line="340" w:lineRule="auto"/>
        <w:jc w:val="both"/>
      </w:pPr>
    </w:p>
    <w:p w14:paraId="1DD007CE" w14:textId="05B73DDB" w:rsidR="008D7AA8" w:rsidRPr="008D7AA8" w:rsidRDefault="008D7AA8" w:rsidP="008D7AA8">
      <w:pPr>
        <w:spacing w:before="100" w:after="100" w:line="340" w:lineRule="auto"/>
        <w:jc w:val="both"/>
        <w:rPr>
          <w:b/>
          <w:bCs/>
          <w:sz w:val="24"/>
          <w:szCs w:val="24"/>
        </w:rPr>
      </w:pPr>
      <w:r w:rsidRPr="008D7AA8">
        <w:rPr>
          <w:b/>
          <w:bCs/>
          <w:sz w:val="24"/>
          <w:szCs w:val="24"/>
        </w:rPr>
        <w:t>5.3 Evaluation of Change Management</w:t>
      </w:r>
    </w:p>
    <w:p w14:paraId="50C81E49" w14:textId="77777777" w:rsidR="008D7AA8" w:rsidRDefault="008D7AA8" w:rsidP="008D7AA8">
      <w:pPr>
        <w:spacing w:before="100" w:after="100" w:line="340" w:lineRule="auto"/>
        <w:jc w:val="both"/>
      </w:pPr>
      <w:r>
        <w:t>Nike's Consumer Direct Offense (CDO) strategy, which started in 2017 and was changed in FY2024, is a good example of how to make big changes to a company's strategy. The CDO wanted to move Nike to a DTC-led, digitally-driven model by cutting thousands of wholesale accounts and putting proprietary channels first. The first gains came in the form of better gross margins and useful consumer data from DTC growth between FY2021 and FY2022 (HBR, 2024). However, execution failures occurred on three fronts: wholesale withdrawal led to inadequate multi-brand retail representation, prompting consumers to shop for competitor brands; excessive reliance on discounting undermined premium positioning; and a deteriorating product pipeline revealed DTC's structural dependence on product desirability, which wholesale had previously concealed. According to Kotter's (1996) eight-step model, Nike failed to keep the wholesale safety net during the DTC transition at steps 5 and 6, which were "empowering broad-based action" and "generating short-term wins." Nike's change in FY2025, which includes getting back in touch with wholesale partners, going back to Amazon, and focusing on making great products, shows that the company is strong. Lewin's (1947) unfreeze-change-refreeze model places Nike in the "change" phase, meaning that the company has not yet settled into a new strategic configuration. To fully implement, you need to keep spending money on new products, fixing relationships with channels, and moving marketing money from performance channels back to brand-building.</w:t>
      </w:r>
    </w:p>
    <w:p w14:paraId="283EB60E" w14:textId="77777777" w:rsidR="008D7AA8" w:rsidRDefault="008D7AA8" w:rsidP="008D7AA8">
      <w:pPr>
        <w:spacing w:before="100" w:after="100" w:line="340" w:lineRule="auto"/>
        <w:jc w:val="both"/>
      </w:pPr>
    </w:p>
    <w:p w14:paraId="08DB0145" w14:textId="77777777" w:rsidR="008D7AA8" w:rsidRDefault="008D7AA8" w:rsidP="008D7AA8">
      <w:pPr>
        <w:spacing w:before="100" w:after="100" w:line="340" w:lineRule="auto"/>
        <w:jc w:val="both"/>
      </w:pPr>
    </w:p>
    <w:p w14:paraId="5D4835D3" w14:textId="3645D5E4" w:rsidR="008D7AA8" w:rsidRDefault="008D7AA8">
      <w:pPr>
        <w:spacing w:before="100" w:after="100" w:line="340" w:lineRule="auto"/>
        <w:jc w:val="both"/>
      </w:pPr>
    </w:p>
    <w:p w14:paraId="302B576F" w14:textId="09C5FB5E" w:rsidR="008D7AA8" w:rsidRDefault="008D7AA8">
      <w:pPr>
        <w:spacing w:before="100" w:after="100" w:line="340" w:lineRule="auto"/>
        <w:jc w:val="both"/>
      </w:pPr>
    </w:p>
    <w:p w14:paraId="0B4907EA" w14:textId="0BC1496B" w:rsidR="008D7AA8" w:rsidRDefault="008D7AA8">
      <w:pPr>
        <w:spacing w:before="100" w:after="100" w:line="340" w:lineRule="auto"/>
        <w:jc w:val="both"/>
      </w:pPr>
    </w:p>
    <w:p w14:paraId="112A4433" w14:textId="1D870018" w:rsidR="008D7AA8" w:rsidRDefault="008D7AA8">
      <w:pPr>
        <w:spacing w:before="100" w:after="100" w:line="340" w:lineRule="auto"/>
        <w:jc w:val="both"/>
      </w:pPr>
    </w:p>
    <w:p w14:paraId="3139A865" w14:textId="59865ABF" w:rsidR="008D7AA8" w:rsidRDefault="008D7AA8">
      <w:pPr>
        <w:pBdr>
          <w:bottom w:val="single" w:sz="3" w:space="3" w:color="1F3864"/>
        </w:pBdr>
        <w:spacing w:before="360" w:after="160" w:line="320" w:lineRule="auto"/>
      </w:pPr>
    </w:p>
    <w:p w14:paraId="12542E87" w14:textId="42899C0D" w:rsidR="0025474E" w:rsidRDefault="0025474E">
      <w:pPr>
        <w:pBdr>
          <w:bottom w:val="single" w:sz="3" w:space="3" w:color="1F3864"/>
        </w:pBdr>
        <w:spacing w:before="360" w:after="160" w:line="320" w:lineRule="auto"/>
      </w:pPr>
    </w:p>
    <w:p w14:paraId="3434829A" w14:textId="77777777" w:rsidR="0025474E" w:rsidRDefault="0025474E">
      <w:pPr>
        <w:pBdr>
          <w:bottom w:val="single" w:sz="3" w:space="3" w:color="1F3864"/>
        </w:pBdr>
        <w:spacing w:before="360" w:after="160" w:line="320" w:lineRule="auto"/>
        <w:rPr>
          <w:b/>
          <w:bCs/>
          <w:color w:val="1F3864"/>
          <w:sz w:val="30"/>
          <w:szCs w:val="30"/>
        </w:rPr>
      </w:pPr>
    </w:p>
    <w:p w14:paraId="518239CC" w14:textId="77777777" w:rsidR="00486FA3" w:rsidRDefault="00486FA3">
      <w:pPr>
        <w:pBdr>
          <w:bottom w:val="single" w:sz="3" w:space="3" w:color="1F3864"/>
        </w:pBdr>
        <w:spacing w:before="360" w:after="160" w:line="320" w:lineRule="auto"/>
        <w:rPr>
          <w:b/>
          <w:bCs/>
          <w:color w:val="1F3864"/>
          <w:sz w:val="30"/>
          <w:szCs w:val="30"/>
        </w:rPr>
      </w:pPr>
    </w:p>
    <w:p w14:paraId="459428E4" w14:textId="0CFF179D" w:rsidR="002B2FE6" w:rsidRPr="0029795F" w:rsidRDefault="00363275">
      <w:pPr>
        <w:pBdr>
          <w:bottom w:val="single" w:sz="3" w:space="3" w:color="1F3864"/>
        </w:pBdr>
        <w:spacing w:before="360" w:after="160" w:line="320" w:lineRule="auto"/>
        <w:rPr>
          <w:sz w:val="28"/>
          <w:szCs w:val="28"/>
        </w:rPr>
      </w:pPr>
      <w:r w:rsidRPr="0029795F">
        <w:rPr>
          <w:b/>
          <w:bCs/>
          <w:sz w:val="28"/>
          <w:szCs w:val="28"/>
        </w:rPr>
        <w:lastRenderedPageBreak/>
        <w:t>6.  Strategic Evaluation and Recommendations</w:t>
      </w:r>
    </w:p>
    <w:p w14:paraId="36081999" w14:textId="77777777" w:rsidR="00486FA3" w:rsidRDefault="00486FA3" w:rsidP="00486FA3">
      <w:pPr>
        <w:spacing w:before="260" w:after="120" w:line="320" w:lineRule="auto"/>
        <w:rPr>
          <w:b/>
          <w:bCs/>
          <w:sz w:val="24"/>
          <w:szCs w:val="24"/>
        </w:rPr>
      </w:pPr>
    </w:p>
    <w:p w14:paraId="5155064B" w14:textId="188B60AA" w:rsidR="002B2FE6" w:rsidRPr="00486FA3" w:rsidRDefault="00363275" w:rsidP="00486FA3">
      <w:pPr>
        <w:spacing w:before="260" w:after="120" w:line="320" w:lineRule="auto"/>
        <w:rPr>
          <w:sz w:val="24"/>
          <w:szCs w:val="24"/>
        </w:rPr>
      </w:pPr>
      <w:r w:rsidRPr="008D7AA8">
        <w:rPr>
          <w:b/>
          <w:bCs/>
          <w:sz w:val="24"/>
          <w:szCs w:val="24"/>
        </w:rPr>
        <w:t>6.1  SWOT Analysis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2B2FE6" w14:paraId="5EB554FB" w14:textId="77777777">
        <w:tc>
          <w:tcPr>
            <w:tcW w:w="4513" w:type="dxa"/>
            <w:tcBorders>
              <w:top w:val="single" w:sz="1" w:space="0" w:color="CCCCCC"/>
              <w:left w:val="single" w:sz="1" w:space="0" w:color="CCCCCC"/>
              <w:bottom w:val="single" w:sz="1" w:space="0" w:color="CCCCCC"/>
              <w:right w:val="single" w:sz="1" w:space="0" w:color="CCCCCC"/>
            </w:tcBorders>
            <w:shd w:val="clear" w:color="auto" w:fill="EBF3E8"/>
            <w:tcMar>
              <w:top w:w="120" w:type="dxa"/>
              <w:left w:w="140" w:type="dxa"/>
              <w:bottom w:w="120" w:type="dxa"/>
              <w:right w:w="140" w:type="dxa"/>
            </w:tcMar>
          </w:tcPr>
          <w:p w14:paraId="45DF3BCB" w14:textId="77777777" w:rsidR="002B2FE6" w:rsidRDefault="00363275">
            <w:pPr>
              <w:spacing w:after="60" w:line="260" w:lineRule="auto"/>
            </w:pPr>
            <w:r>
              <w:rPr>
                <w:b/>
                <w:bCs/>
                <w:color w:val="2E5F2E"/>
                <w:sz w:val="21"/>
                <w:szCs w:val="21"/>
              </w:rPr>
              <w:t>STRENGTHS</w:t>
            </w:r>
          </w:p>
          <w:p w14:paraId="2005BEB4" w14:textId="77777777" w:rsidR="002B2FE6" w:rsidRDefault="00363275">
            <w:pPr>
              <w:spacing w:before="30" w:after="30" w:line="260" w:lineRule="auto"/>
            </w:pPr>
            <w:r>
              <w:rPr>
                <w:sz w:val="19"/>
                <w:szCs w:val="19"/>
              </w:rPr>
              <w:t>•  World's most valuable sportswear brand</w:t>
            </w:r>
          </w:p>
          <w:p w14:paraId="1771BEB5" w14:textId="77777777" w:rsidR="002B2FE6" w:rsidRDefault="00363275">
            <w:pPr>
              <w:spacing w:before="30" w:after="30" w:line="260" w:lineRule="auto"/>
            </w:pPr>
            <w:r>
              <w:rPr>
                <w:sz w:val="19"/>
                <w:szCs w:val="19"/>
              </w:rPr>
              <w:t>•  Iconic athlete endorsement ecosystem (Jordan, Ronaldo)</w:t>
            </w:r>
          </w:p>
          <w:p w14:paraId="01ADEBE4" w14:textId="77777777" w:rsidR="002B2FE6" w:rsidRDefault="00363275">
            <w:pPr>
              <w:spacing w:before="30" w:after="30" w:line="260" w:lineRule="auto"/>
            </w:pPr>
            <w:r>
              <w:rPr>
                <w:sz w:val="19"/>
                <w:szCs w:val="19"/>
              </w:rPr>
              <w:t>•  Proprietary technology portfolio (Air, Flyknit, React)</w:t>
            </w:r>
          </w:p>
          <w:p w14:paraId="083F3DE8" w14:textId="77777777" w:rsidR="002B2FE6" w:rsidRDefault="00363275">
            <w:pPr>
              <w:spacing w:before="30" w:after="30" w:line="260" w:lineRule="auto"/>
            </w:pPr>
            <w:r>
              <w:rPr>
                <w:sz w:val="19"/>
                <w:szCs w:val="19"/>
              </w:rPr>
              <w:t>•  500M+ member digital infrastructure</w:t>
            </w:r>
          </w:p>
          <w:p w14:paraId="7D36A9F9" w14:textId="77777777" w:rsidR="002B2FE6" w:rsidRDefault="00363275">
            <w:pPr>
              <w:spacing w:before="30" w:after="30" w:line="260" w:lineRule="auto"/>
            </w:pPr>
            <w:r>
              <w:rPr>
                <w:sz w:val="19"/>
                <w:szCs w:val="19"/>
              </w:rPr>
              <w:t>•  Revenue scale ($46.3B) with unmatched investment capacity</w:t>
            </w:r>
          </w:p>
        </w:tc>
        <w:tc>
          <w:tcPr>
            <w:tcW w:w="4513" w:type="dxa"/>
            <w:tcBorders>
              <w:top w:val="single" w:sz="1" w:space="0" w:color="CCCCCC"/>
              <w:left w:val="single" w:sz="1" w:space="0" w:color="CCCCCC"/>
              <w:bottom w:val="single" w:sz="1" w:space="0" w:color="CCCCCC"/>
              <w:right w:val="single" w:sz="1" w:space="0" w:color="CCCCCC"/>
            </w:tcBorders>
            <w:shd w:val="clear" w:color="auto" w:fill="FDECEA"/>
            <w:tcMar>
              <w:top w:w="120" w:type="dxa"/>
              <w:left w:w="140" w:type="dxa"/>
              <w:bottom w:w="120" w:type="dxa"/>
              <w:right w:w="140" w:type="dxa"/>
            </w:tcMar>
          </w:tcPr>
          <w:p w14:paraId="3523AB3C" w14:textId="77777777" w:rsidR="002B2FE6" w:rsidRDefault="00363275">
            <w:pPr>
              <w:spacing w:after="60" w:line="260" w:lineRule="auto"/>
            </w:pPr>
            <w:r>
              <w:rPr>
                <w:b/>
                <w:bCs/>
                <w:color w:val="8B2020"/>
                <w:sz w:val="21"/>
                <w:szCs w:val="21"/>
              </w:rPr>
              <w:t>WEAKNESSES</w:t>
            </w:r>
          </w:p>
          <w:p w14:paraId="346CFC2E" w14:textId="77777777" w:rsidR="002B2FE6" w:rsidRDefault="00363275">
            <w:pPr>
              <w:spacing w:before="30" w:after="30" w:line="260" w:lineRule="auto"/>
            </w:pPr>
            <w:r>
              <w:rPr>
                <w:sz w:val="19"/>
                <w:szCs w:val="19"/>
              </w:rPr>
              <w:t>•  Over-reliance on ageing retro franchise products</w:t>
            </w:r>
          </w:p>
          <w:p w14:paraId="54135351" w14:textId="77777777" w:rsidR="002B2FE6" w:rsidRDefault="00363275">
            <w:pPr>
              <w:spacing w:before="30" w:after="30" w:line="260" w:lineRule="auto"/>
            </w:pPr>
            <w:r>
              <w:rPr>
                <w:sz w:val="19"/>
                <w:szCs w:val="19"/>
              </w:rPr>
              <w:t>•  CDO strategy failure: inventory accumulation FY2022-23</w:t>
            </w:r>
          </w:p>
          <w:p w14:paraId="047025C4" w14:textId="77777777" w:rsidR="002B2FE6" w:rsidRDefault="00363275">
            <w:pPr>
              <w:spacing w:before="30" w:after="30" w:line="260" w:lineRule="auto"/>
            </w:pPr>
            <w:r>
              <w:rPr>
                <w:sz w:val="19"/>
                <w:szCs w:val="19"/>
              </w:rPr>
              <w:t>•  Digital revenue declines exceeding 20% in FY2025</w:t>
            </w:r>
          </w:p>
          <w:p w14:paraId="5D6593C9" w14:textId="77777777" w:rsidR="002B2FE6" w:rsidRDefault="00363275">
            <w:pPr>
              <w:spacing w:before="30" w:after="30" w:line="260" w:lineRule="auto"/>
            </w:pPr>
            <w:r>
              <w:rPr>
                <w:sz w:val="19"/>
                <w:szCs w:val="19"/>
              </w:rPr>
              <w:t>•  Diminished Gen Z performance credibility</w:t>
            </w:r>
          </w:p>
          <w:p w14:paraId="1CE38015" w14:textId="77777777" w:rsidR="002B2FE6" w:rsidRDefault="00363275">
            <w:pPr>
              <w:spacing w:before="30" w:after="30" w:line="260" w:lineRule="auto"/>
            </w:pPr>
            <w:r>
              <w:rPr>
                <w:sz w:val="19"/>
                <w:szCs w:val="19"/>
              </w:rPr>
              <w:t>•  Greater China contraction: -12.71% FY2025</w:t>
            </w:r>
          </w:p>
        </w:tc>
      </w:tr>
      <w:tr w:rsidR="002B2FE6" w14:paraId="7140ECB7" w14:textId="77777777">
        <w:tc>
          <w:tcPr>
            <w:tcW w:w="4513" w:type="dxa"/>
            <w:tcBorders>
              <w:top w:val="single" w:sz="1" w:space="0" w:color="CCCCCC"/>
              <w:left w:val="single" w:sz="1" w:space="0" w:color="CCCCCC"/>
              <w:bottom w:val="single" w:sz="1" w:space="0" w:color="CCCCCC"/>
              <w:right w:val="single" w:sz="1" w:space="0" w:color="CCCCCC"/>
            </w:tcBorders>
            <w:shd w:val="clear" w:color="auto" w:fill="EBF0F8"/>
            <w:tcMar>
              <w:top w:w="120" w:type="dxa"/>
              <w:left w:w="140" w:type="dxa"/>
              <w:bottom w:w="120" w:type="dxa"/>
              <w:right w:w="140" w:type="dxa"/>
            </w:tcMar>
          </w:tcPr>
          <w:p w14:paraId="6D8A1997" w14:textId="77777777" w:rsidR="002B2FE6" w:rsidRDefault="00363275">
            <w:pPr>
              <w:spacing w:after="60" w:line="260" w:lineRule="auto"/>
            </w:pPr>
            <w:r>
              <w:rPr>
                <w:b/>
                <w:bCs/>
                <w:color w:val="1F3864"/>
                <w:sz w:val="21"/>
                <w:szCs w:val="21"/>
              </w:rPr>
              <w:t>OPPORTUNITIES</w:t>
            </w:r>
          </w:p>
          <w:p w14:paraId="6604B216" w14:textId="77777777" w:rsidR="002B2FE6" w:rsidRDefault="00363275">
            <w:pPr>
              <w:spacing w:before="30" w:after="30" w:line="260" w:lineRule="auto"/>
            </w:pPr>
            <w:r>
              <w:rPr>
                <w:sz w:val="19"/>
                <w:szCs w:val="19"/>
              </w:rPr>
              <w:t>•  Women's segment: resilient growth in declining market</w:t>
            </w:r>
          </w:p>
          <w:p w14:paraId="5D30D620" w14:textId="77777777" w:rsidR="002B2FE6" w:rsidRDefault="00363275">
            <w:pPr>
              <w:spacing w:before="30" w:after="30" w:line="260" w:lineRule="auto"/>
            </w:pPr>
            <w:r>
              <w:rPr>
                <w:sz w:val="19"/>
                <w:szCs w:val="19"/>
              </w:rPr>
              <w:t>•  AI personalisation leveraging 500M member base</w:t>
            </w:r>
          </w:p>
          <w:p w14:paraId="35936530" w14:textId="77777777" w:rsidR="002B2FE6" w:rsidRDefault="00363275">
            <w:pPr>
              <w:spacing w:before="30" w:after="30" w:line="260" w:lineRule="auto"/>
            </w:pPr>
            <w:r>
              <w:rPr>
                <w:sz w:val="19"/>
                <w:szCs w:val="19"/>
              </w:rPr>
              <w:t>•  APLA emerging markets: young demographics, rising income</w:t>
            </w:r>
          </w:p>
          <w:p w14:paraId="729DBAED" w14:textId="77777777" w:rsidR="002B2FE6" w:rsidRDefault="00363275">
            <w:pPr>
              <w:spacing w:before="30" w:after="30" w:line="260" w:lineRule="auto"/>
            </w:pPr>
            <w:r>
              <w:rPr>
                <w:sz w:val="19"/>
                <w:szCs w:val="19"/>
              </w:rPr>
              <w:t>•  Global health and wellness macro-trend acceleration</w:t>
            </w:r>
          </w:p>
          <w:p w14:paraId="281903CB" w14:textId="77777777" w:rsidR="002B2FE6" w:rsidRDefault="00363275">
            <w:pPr>
              <w:spacing w:before="30" w:after="30" w:line="260" w:lineRule="auto"/>
            </w:pPr>
            <w:r>
              <w:rPr>
                <w:sz w:val="19"/>
                <w:szCs w:val="19"/>
              </w:rPr>
              <w:t>•  Sustainable innovation as differentiation driver</w:t>
            </w:r>
          </w:p>
        </w:tc>
        <w:tc>
          <w:tcPr>
            <w:tcW w:w="4513" w:type="dxa"/>
            <w:tcBorders>
              <w:top w:val="single" w:sz="1" w:space="0" w:color="CCCCCC"/>
              <w:left w:val="single" w:sz="1" w:space="0" w:color="CCCCCC"/>
              <w:bottom w:val="single" w:sz="1" w:space="0" w:color="CCCCCC"/>
              <w:right w:val="single" w:sz="1" w:space="0" w:color="CCCCCC"/>
            </w:tcBorders>
            <w:shd w:val="clear" w:color="auto" w:fill="FFF8E1"/>
            <w:tcMar>
              <w:top w:w="120" w:type="dxa"/>
              <w:left w:w="140" w:type="dxa"/>
              <w:bottom w:w="120" w:type="dxa"/>
              <w:right w:w="140" w:type="dxa"/>
            </w:tcMar>
          </w:tcPr>
          <w:p w14:paraId="62B35996" w14:textId="77777777" w:rsidR="002B2FE6" w:rsidRDefault="00363275">
            <w:pPr>
              <w:spacing w:after="60" w:line="260" w:lineRule="auto"/>
            </w:pPr>
            <w:r>
              <w:rPr>
                <w:b/>
                <w:bCs/>
                <w:color w:val="8B5A00"/>
                <w:sz w:val="21"/>
                <w:szCs w:val="21"/>
              </w:rPr>
              <w:t>THREATS</w:t>
            </w:r>
          </w:p>
          <w:p w14:paraId="1580BD57" w14:textId="77777777" w:rsidR="002B2FE6" w:rsidRDefault="00363275">
            <w:pPr>
              <w:spacing w:before="30" w:after="30" w:line="260" w:lineRule="auto"/>
            </w:pPr>
            <w:r>
              <w:rPr>
                <w:sz w:val="19"/>
                <w:szCs w:val="19"/>
              </w:rPr>
              <w:t>•  On Running and Hoka structural disruption in running</w:t>
            </w:r>
          </w:p>
          <w:p w14:paraId="06EC7106" w14:textId="77777777" w:rsidR="002B2FE6" w:rsidRDefault="00363275">
            <w:pPr>
              <w:spacing w:before="30" w:after="30" w:line="260" w:lineRule="auto"/>
            </w:pPr>
            <w:r>
              <w:rPr>
                <w:sz w:val="19"/>
                <w:szCs w:val="19"/>
              </w:rPr>
              <w:t>•  Adidas cultural resurgence (+10% revenue FY2024)</w:t>
            </w:r>
          </w:p>
          <w:p w14:paraId="37B8B26C" w14:textId="77777777" w:rsidR="002B2FE6" w:rsidRDefault="00363275">
            <w:pPr>
              <w:spacing w:before="30" w:after="30" w:line="260" w:lineRule="auto"/>
            </w:pPr>
            <w:r>
              <w:rPr>
                <w:sz w:val="19"/>
                <w:szCs w:val="19"/>
              </w:rPr>
              <w:t>•  US-China tariff escalation and supply chain risk</w:t>
            </w:r>
          </w:p>
          <w:p w14:paraId="43A19866" w14:textId="77777777" w:rsidR="002B2FE6" w:rsidRDefault="00363275">
            <w:pPr>
              <w:spacing w:before="30" w:after="30" w:line="260" w:lineRule="auto"/>
            </w:pPr>
            <w:r>
              <w:rPr>
                <w:sz w:val="19"/>
                <w:szCs w:val="19"/>
              </w:rPr>
              <w:t>•  Greenwashing litigation: 2,000+ product lines</w:t>
            </w:r>
          </w:p>
          <w:p w14:paraId="29605F9E" w14:textId="77777777" w:rsidR="002B2FE6" w:rsidRDefault="00363275">
            <w:pPr>
              <w:spacing w:before="30" w:after="30" w:line="260" w:lineRule="auto"/>
            </w:pPr>
            <w:r>
              <w:rPr>
                <w:sz w:val="19"/>
                <w:szCs w:val="19"/>
              </w:rPr>
              <w:t>•  Macroeconomic consumer discretionary spending contraction</w:t>
            </w:r>
          </w:p>
        </w:tc>
      </w:tr>
    </w:tbl>
    <w:p w14:paraId="62C60AC9" w14:textId="77777777" w:rsidR="002B2FE6" w:rsidRDefault="00363275">
      <w:pPr>
        <w:spacing w:before="60" w:after="120" w:line="280" w:lineRule="auto"/>
        <w:jc w:val="center"/>
      </w:pPr>
      <w:r>
        <w:rPr>
          <w:i/>
          <w:iCs/>
          <w:color w:val="666666"/>
          <w:sz w:val="19"/>
          <w:szCs w:val="19"/>
        </w:rPr>
        <w:t>Table 3: SWOT Analysis of Nike, Inc.</w:t>
      </w:r>
    </w:p>
    <w:p w14:paraId="6298A6D8" w14:textId="77777777" w:rsidR="002B2FE6" w:rsidRDefault="002B2FE6">
      <w:pPr>
        <w:spacing w:before="80" w:after="80"/>
      </w:pPr>
    </w:p>
    <w:p w14:paraId="1545A6E8" w14:textId="77777777" w:rsidR="002B2FE6" w:rsidRPr="0029795F" w:rsidRDefault="00363275">
      <w:pPr>
        <w:spacing w:before="260" w:after="120" w:line="320" w:lineRule="auto"/>
        <w:rPr>
          <w:sz w:val="24"/>
          <w:szCs w:val="24"/>
        </w:rPr>
      </w:pPr>
      <w:r w:rsidRPr="0029795F">
        <w:rPr>
          <w:b/>
          <w:bCs/>
          <w:sz w:val="24"/>
          <w:szCs w:val="24"/>
        </w:rPr>
        <w:t>6.2  BCG Matrix Assessment</w:t>
      </w:r>
    </w:p>
    <w:p w14:paraId="65FDCBF1" w14:textId="77777777" w:rsidR="0029795F" w:rsidRDefault="0029795F" w:rsidP="0029795F">
      <w:pPr>
        <w:spacing w:before="280" w:after="180" w:line="320" w:lineRule="auto"/>
      </w:pPr>
      <w:r>
        <w:t>Using the Boston Consulting Group (BCG) matrix on Nike's portfolio shows clear signs of where to put money. The Jordan Brand is a "Cash Cow" because it makes a lot of money with little extra investment because it is so deeply rooted in culture. The women's segment and APLA markets are considered "Stars," which means they are growing quickly and need ongoing investment to solidify their leadership positions. Nike's retro running franchises (Air Force 1, legacy Air Max colorways) are in danger of moving from "Cash Cow" to "Dog" as people get tired of them faster. The BCG framework says that putting more money into products that are losing popularity is a waste of money because it takes money away from products that are growing faster. Converse is in a stable but strategically peripheral "Question Mark" position. It isn't growing very quickly, so it needs to make a clear strategic decision: either invest to grow or manage for cash. This BCG study makes it clear that capital and management need to focus less on old retro franchises and more on performance innovation and the women's category, where growth is still clearly on the rise.</w:t>
      </w:r>
    </w:p>
    <w:p w14:paraId="53127CF1" w14:textId="77777777" w:rsidR="00486FA3" w:rsidRDefault="00486FA3" w:rsidP="0029795F">
      <w:pPr>
        <w:spacing w:before="280" w:after="180" w:line="320" w:lineRule="auto"/>
      </w:pPr>
    </w:p>
    <w:p w14:paraId="256AD04F" w14:textId="77777777" w:rsidR="00486FA3" w:rsidRDefault="00486FA3" w:rsidP="0029795F">
      <w:pPr>
        <w:spacing w:before="280" w:after="180" w:line="320" w:lineRule="auto"/>
      </w:pPr>
    </w:p>
    <w:p w14:paraId="5485CC0B" w14:textId="07500F62" w:rsidR="0029795F" w:rsidRDefault="0029795F" w:rsidP="0029795F">
      <w:pPr>
        <w:spacing w:before="280" w:after="180" w:line="320" w:lineRule="auto"/>
      </w:pPr>
      <w:r>
        <w:t>6.3 Suggestions for Strategy</w:t>
      </w:r>
    </w:p>
    <w:p w14:paraId="70921FCA" w14:textId="0DC638E6" w:rsidR="0029795F" w:rsidRDefault="0029795F" w:rsidP="0029795F">
      <w:pPr>
        <w:spacing w:before="280" w:after="180" w:line="320" w:lineRule="auto"/>
      </w:pPr>
      <w:r>
        <w:t>Recommendation 1: Make a new commitment to performance innovation. Nike needs to quickly regain the trust of serious athletes by putting more money into research and development in the running, training, and outdoor categories. AI-assisted design can cut the time it takes to develop a product from 18 months to 12 months. Re-engaging the running community through programs for both elite and grassroots athletes, and launching truly competitive performance footwear are all things that must happen. On and Hoka pose a structural, not cyclical, competitive threat, which means that a long-term product-led response is needed (Johnson et al., 2023).</w:t>
      </w:r>
    </w:p>
    <w:p w14:paraId="30DA7627" w14:textId="77777777" w:rsidR="0029795F" w:rsidRDefault="0029795F" w:rsidP="0029795F">
      <w:pPr>
        <w:spacing w:before="280" w:after="180" w:line="320" w:lineRule="auto"/>
      </w:pPr>
      <w:r>
        <w:t>Recommendation 2: Change the Channel Architecture. The CDO needs to stop going too far in the direction of DTC and move toward a balanced omni-channel model. Wholesale sales of $25.9 billion in FY2025 show that third-party retail is still important for reaching customers and helping them find new products (Cognitute, 2025). Nike should start working with strategic wholesalers again to sell a lot of products to the general public. At the same time, they should keep DTC channels for high-end, exclusive, and personalized customer experiences. This way, they can protect their margins and get back to having a wide range of distribution.</w:t>
      </w:r>
    </w:p>
    <w:p w14:paraId="47F3940E" w14:textId="77777777" w:rsidR="0029795F" w:rsidRDefault="0029795F" w:rsidP="0029795F">
      <w:pPr>
        <w:spacing w:before="280" w:after="180" w:line="320" w:lineRule="auto"/>
      </w:pPr>
      <w:r>
        <w:t>Recommendation 3: Make the Women's Category a Strategic Business Unit. Despite a 12% drop in overall revenue, the women's segment had high single-digit growth in Q4 FY2025. This is one of Nike's best short-term opportunities (DCF Modeling, 2025). Nike should make women's a separate strategic business unit with its own product development leadership, marketing budget, and consumer insight infrastructure, not just a part of the Nike Brand.</w:t>
      </w:r>
    </w:p>
    <w:p w14:paraId="6683A76A" w14:textId="29533A87" w:rsidR="0029795F" w:rsidRDefault="00486FA3" w:rsidP="0029795F">
      <w:pPr>
        <w:spacing w:before="280" w:after="180" w:line="320" w:lineRule="auto"/>
      </w:pPr>
      <w:r>
        <w:t>Recommendation 4</w:t>
      </w:r>
      <w:r w:rsidR="0029795F">
        <w:t>: Make money from the digital members. Nike's database of 500 million members is a business asset that isn't being used enough. To boost conversion rates, purchase frequency, and lifetime value (Techtide Solutions, 2025), AI-driven personalization should be used across NTC, NRC, SNKRS, and the Nike App. Investing in predictive analytics should come before building more infrastructure. This will turn digital reach into measurable business results.</w:t>
      </w:r>
    </w:p>
    <w:p w14:paraId="63BA6E8A" w14:textId="77777777" w:rsidR="0029795F" w:rsidRDefault="0029795F" w:rsidP="0029795F">
      <w:pPr>
        <w:spacing w:before="280" w:after="180" w:line="320" w:lineRule="auto"/>
      </w:pPr>
      <w:r>
        <w:t xml:space="preserve">Recommendation 5: Prove your credentials for sustainability. Because there is a real risk of greenwashing lawsuits, Nike needs to make sure that its messages about sustainability are in line with its independently verified environmental performance. Move to Zero needs to go from being a marketing story to a board-level operational transformation program, with SBTi-verified milestones and clear annual progress reports. Carroll's (1991) CSR pyramid </w:t>
      </w:r>
      <w:r>
        <w:lastRenderedPageBreak/>
        <w:t>framework stresses that ethical and charitable duties must be carried out in practice, not just talked about in business.</w:t>
      </w:r>
    </w:p>
    <w:p w14:paraId="744B1C41" w14:textId="770857DB" w:rsidR="0029795F" w:rsidRDefault="0029795F" w:rsidP="0029795F">
      <w:pPr>
        <w:spacing w:before="280" w:after="180" w:line="320" w:lineRule="auto"/>
      </w:pPr>
    </w:p>
    <w:p w14:paraId="672DAC44" w14:textId="78F9290D" w:rsidR="002B2FE6" w:rsidRPr="0029795F" w:rsidRDefault="00363275" w:rsidP="00486FA3">
      <w:pPr>
        <w:spacing w:before="280" w:after="180" w:line="320" w:lineRule="auto"/>
        <w:ind w:left="1440" w:firstLine="720"/>
        <w:rPr>
          <w:sz w:val="28"/>
          <w:szCs w:val="28"/>
        </w:rPr>
      </w:pPr>
      <w:r w:rsidRPr="0029795F">
        <w:rPr>
          <w:b/>
          <w:bCs/>
          <w:caps/>
          <w:sz w:val="32"/>
          <w:szCs w:val="32"/>
        </w:rPr>
        <w:t>SECTION 2: REFLECTIVE ACCOUNT</w:t>
      </w:r>
    </w:p>
    <w:p w14:paraId="5E369B12" w14:textId="77777777" w:rsidR="002B2FE6" w:rsidRPr="0029795F" w:rsidRDefault="002B2FE6">
      <w:pPr>
        <w:pBdr>
          <w:bottom w:val="single" w:sz="6" w:space="1" w:color="1F3864"/>
        </w:pBdr>
        <w:spacing w:before="160" w:after="160"/>
        <w:rPr>
          <w:sz w:val="28"/>
          <w:szCs w:val="28"/>
        </w:rPr>
      </w:pPr>
    </w:p>
    <w:p w14:paraId="6FE7F0BB" w14:textId="77777777" w:rsidR="002B2FE6" w:rsidRPr="0029795F" w:rsidRDefault="00363275">
      <w:pPr>
        <w:pBdr>
          <w:bottom w:val="single" w:sz="3" w:space="3" w:color="1F3864"/>
        </w:pBdr>
        <w:spacing w:before="360" w:after="160" w:line="320" w:lineRule="auto"/>
        <w:rPr>
          <w:sz w:val="28"/>
          <w:szCs w:val="28"/>
        </w:rPr>
      </w:pPr>
      <w:r w:rsidRPr="0029795F">
        <w:rPr>
          <w:b/>
          <w:bCs/>
          <w:sz w:val="28"/>
          <w:szCs w:val="28"/>
        </w:rPr>
        <w:t>Section 2:  Reflective Account Using the Gibbs Reflective Cycle</w:t>
      </w:r>
    </w:p>
    <w:p w14:paraId="347BA58C" w14:textId="4E338134" w:rsidR="0029795F" w:rsidRDefault="0029795F" w:rsidP="0029795F">
      <w:pPr>
        <w:spacing w:before="80" w:after="80"/>
      </w:pPr>
      <w:r>
        <w:t>The following reflective account chronicles my methodology in researching, analyzing, and formulating this strategic management evaluation of Nike, Inc. I have utilized Gibbs' (1988) Reflective Cycle, which consists of six iterative stages: Description, Feelings, Evaluation, Analysis, Conclusion, and Action Plan. This framework transcends mere retrospective description, necessitating critical evaluation and future-oriented learningattributes essential to Level 7 postgraduate practice.</w:t>
      </w:r>
    </w:p>
    <w:p w14:paraId="068AAD33" w14:textId="77777777" w:rsidR="0029795F" w:rsidRDefault="0029795F" w:rsidP="0029795F">
      <w:pPr>
        <w:spacing w:before="80" w:after="80"/>
      </w:pPr>
      <w:r>
        <w:t>Step 1: What Happened?</w:t>
      </w:r>
    </w:p>
    <w:p w14:paraId="11233FFE" w14:textId="77777777" w:rsidR="0029795F" w:rsidRDefault="0029795F" w:rsidP="0029795F">
      <w:pPr>
        <w:spacing w:before="80" w:after="80"/>
      </w:pPr>
      <w:r>
        <w:t>The evaluation necessitated an extensive strategic analysis of Nike utilizing various theoretical frameworks, including PESTEL, VRIO, the Balanced Scorecard (Kaplan and Norton, 1992), Porter's (1980) generic strategies, Ansoff's (1957) matrix, and the BCG matrix, within a dynamic real-world organizational context. I started by building a broad base for my research by reading Nike's FY2024 and FY2025 Annual Reports, peer-reviewed strategic management journals, and reliable industry sources. I then organized the analysis step by step, starting with the macro-environmental context (PESTEL), then moving on to the internal capability evaluation (VRIO), and finally to the holistic performance management (BSC) and forward-looking strategy formulation. There were many drafts, and each one was revised several times to get the right analytical tone for Level 7 work.</w:t>
      </w:r>
    </w:p>
    <w:p w14:paraId="105AAB2C" w14:textId="77777777" w:rsidR="0029795F" w:rsidRDefault="0029795F" w:rsidP="0029795F">
      <w:pPr>
        <w:spacing w:before="80" w:after="80"/>
      </w:pPr>
    </w:p>
    <w:p w14:paraId="01657DCC" w14:textId="28F07EE2" w:rsidR="0029795F" w:rsidRDefault="0029795F" w:rsidP="0029795F">
      <w:pPr>
        <w:spacing w:before="80" w:after="80"/>
      </w:pPr>
      <w:r>
        <w:t>Step 2: EmotionsHow Did I Feel and What Was I Thinking?</w:t>
      </w:r>
    </w:p>
    <w:p w14:paraId="2D97A12D" w14:textId="77777777" w:rsidR="0029795F" w:rsidRDefault="0029795F" w:rsidP="0029795F">
      <w:pPr>
        <w:spacing w:before="80" w:after="80"/>
      </w:pPr>
      <w:r>
        <w:t>At first, I was intellectually anxious because Nike has a lot of information about it, which is both a good thing (having a lot of data) and a bad thing (falling into the trap of describing things). I was very aware of the Level 7 requirement to "evaluate critically current research and advanced scholarship" instead of just listing facts (UWTSD Assessment Brief, 2025). As I moved forward, I found the tension between Nike's big goals and its recent operational failures to be very interesting. This was especially true of the CDO strategy's shift from being a visionary to a cautionary tale. This complexity required a more in-depth exploration of change management theory (Kotter, 1996; Lewin, 1947) than I had originally expected, which ultimately made the assessment more analytically coherent.</w:t>
      </w:r>
    </w:p>
    <w:p w14:paraId="2D0EF951" w14:textId="77777777" w:rsidR="0029795F" w:rsidRDefault="0029795F" w:rsidP="0029795F">
      <w:pPr>
        <w:spacing w:before="80" w:after="80"/>
      </w:pPr>
    </w:p>
    <w:p w14:paraId="327F5FB9" w14:textId="2D407985" w:rsidR="0029795F" w:rsidRDefault="0029795F" w:rsidP="0029795F">
      <w:pPr>
        <w:spacing w:before="80" w:after="80"/>
      </w:pPr>
      <w:r>
        <w:t>Step 3: EvaluationWhat Was Good and What Was Bad About the Experience?</w:t>
      </w:r>
    </w:p>
    <w:p w14:paraId="5B87FC62" w14:textId="07DC39E7" w:rsidR="0029795F" w:rsidRDefault="0029795F" w:rsidP="0029795F">
      <w:pPr>
        <w:spacing w:before="80" w:after="80"/>
      </w:pPr>
      <w:r>
        <w:t xml:space="preserve">The research process provided several useful insights. Nike's extensive public strategic communications, including annual reports, investor presentations, and sustainability documentation, provided a strong empirical basis. The coming together of different frameworks around the same strategic themes (the need to update products quickly, the need to rebalance channels, and the opportunity to reach women) made my recommendations more convincing. The VRIO analysis gave me a lot of intellectual </w:t>
      </w:r>
      <w:r>
        <w:lastRenderedPageBreak/>
        <w:t>satisfaction because it looked at the ways that competitive advantage works in a way that was more precise than the SWOT framework alone would have allowed. On the other hand, the amount of information that was available made it hard to put everything together. Cottrell (2019) points out that the urge to put more emphasis on covering all the facts than on going deeper into the analysis is a common mistake in academic writing at all levels. I made a point of pushing myself at every step to go from "what" to "why" and "so what." Instead of just reporting the evidence, I asked myself how it was important to the strategy.</w:t>
      </w:r>
    </w:p>
    <w:p w14:paraId="26A60B7E" w14:textId="77777777" w:rsidR="0029795F" w:rsidRDefault="0029795F" w:rsidP="0029795F">
      <w:pPr>
        <w:spacing w:before="80" w:after="80"/>
      </w:pPr>
    </w:p>
    <w:p w14:paraId="0AEA1854" w14:textId="1D82BFDB" w:rsidR="0029795F" w:rsidRDefault="0029795F" w:rsidP="0029795F">
      <w:pPr>
        <w:spacing w:before="80" w:after="80"/>
      </w:pPr>
      <w:r>
        <w:t>Step 4: AnalysisHow Can I Understand What's Going On?</w:t>
      </w:r>
    </w:p>
    <w:p w14:paraId="51B40CB5" w14:textId="4B139992" w:rsidR="0029795F" w:rsidRDefault="0029795F" w:rsidP="0029795F">
      <w:pPr>
        <w:spacing w:before="80" w:after="80"/>
      </w:pPr>
      <w:r>
        <w:t>Upon analytical reflection, I acknowledge that my initial characterization of Nike's strategic challenges was somewhat superficial, influenced by media coverage that highlighted the DTC digital failures. A more in-depth look at Nike's strategy using the PESTEL and VRIO frameworks showed that it is more complicated than it first appeared. Nike is dealing with multiple issues at once, including renewing its product pipeline, staying relevant to different age groups, changing the way it sells products, and proving that it is environmentally friendly. Each of these issues affects the others and makes them worse. This showed again how important it is to use multiple frameworks for strategic analysis. Each model added a different level of analysis: PESTEL showed macro-environmental limits; VRIO showed how to set up capabilities to keep a competitive edge; the BSC turned strategy into operational measurement; and Ansoff's matrix gave structured vocabulary for growth options. Johnson et al. (2023) assert that strategic analysis necessitates the integration of various analytical perspectives; consequently, the convergence of frameworks resulted in conclusions possessing superior explanatory capacity compared to any singular model.</w:t>
      </w:r>
    </w:p>
    <w:p w14:paraId="49F743BD" w14:textId="77777777" w:rsidR="0029795F" w:rsidRDefault="0029795F" w:rsidP="0029795F">
      <w:pPr>
        <w:spacing w:before="80" w:after="80"/>
      </w:pPr>
    </w:p>
    <w:p w14:paraId="03584C75" w14:textId="7AE8112A" w:rsidR="0029795F" w:rsidRDefault="0029795F" w:rsidP="0029795F">
      <w:pPr>
        <w:spacing w:before="80" w:after="80"/>
      </w:pPr>
      <w:r>
        <w:t>Stage 5: ConclusionWhat Other Options Were Available to Me?</w:t>
      </w:r>
    </w:p>
    <w:p w14:paraId="6D79C9AA" w14:textId="503EED0C" w:rsidR="0029795F" w:rsidRDefault="0029795F" w:rsidP="0029795F">
      <w:pPr>
        <w:spacing w:before="80" w:after="80"/>
      </w:pPr>
      <w:r>
        <w:t>Looking back, I would make the analysis stronger in three ways. First, primary researchsuch as consumer survey data, employee engagement studies, and supplier assessmentswould have offered a more robust empirical foundation than secondary sources alone, especially for the VRIO and BSC analyses that inherently depended on industry estimates. Second, a more thorough examination of sector-specific academic literature would have anchored the theoretical frameworks in empirical research from the sportswear industry instead of relying on generic strategic theory. Third, and most importantly, I would be more open about how the frameworks themselves have problems. People have said that the BSC gives a false sense of strategic coherence by aligning measures without real causal relationships (Norreklit, 2000). At Level 7, having epistemic humility about the limits of methods is a sign of academic excellence in and of itself.</w:t>
      </w:r>
    </w:p>
    <w:p w14:paraId="344B5F3F" w14:textId="77777777" w:rsidR="0029795F" w:rsidRDefault="0029795F" w:rsidP="0029795F">
      <w:pPr>
        <w:spacing w:before="80" w:after="80"/>
      </w:pPr>
    </w:p>
    <w:p w14:paraId="743A828E" w14:textId="1918C4AC" w:rsidR="0029795F" w:rsidRDefault="0029795F" w:rsidP="0029795F">
      <w:pPr>
        <w:spacing w:before="80" w:after="80"/>
      </w:pPr>
      <w:r>
        <w:t>Step 6: Make a plan of actionWhat would I do if it happened again?</w:t>
      </w:r>
    </w:p>
    <w:p w14:paraId="2960A1AE" w14:textId="345C9BBF" w:rsidR="0029795F" w:rsidRPr="0025474E" w:rsidRDefault="0029795F" w:rsidP="0025474E">
      <w:pPr>
        <w:spacing w:before="80" w:after="80"/>
      </w:pPr>
      <w:r>
        <w:t>If I were to do a similar evaluation in the future, I would make four specific changes. First, I would start the structured literature review sooner, making sure that academic sources meet theoretical needs before writing starts. Second, I would keep a disciplined analytical journal throughout the research process, writing down new ideas and contradictions as they come up to make the link between research and argument stronger (Cottrell, 2019). Third, I would intentionally pursue contrarian viewpoints, examining whether the rationale behind the CDO strategy was fundamentally flawed yet poorly implemented, or indicative of a more profound market misinterpretation, instead of passively accepting the dominant cautionary narrative. Fourth, I would devote extra time to developing recommendations, creating quantifiable implementation roadmaps and risk-adjusted assessments of alternative actions, in line with the Level 7 standard of "decision-making in complex and unpredictable contexts" (UWTSD Assessment Brief, 2025).</w:t>
      </w:r>
    </w:p>
    <w:p w14:paraId="2B8B5FC4" w14:textId="623A6BE5" w:rsidR="002B2FE6" w:rsidRDefault="00363275">
      <w:pPr>
        <w:pBdr>
          <w:bottom w:val="single" w:sz="3" w:space="3" w:color="1F3864"/>
        </w:pBdr>
        <w:spacing w:before="360" w:after="160" w:line="320" w:lineRule="auto"/>
      </w:pPr>
      <w:r>
        <w:rPr>
          <w:b/>
          <w:bCs/>
          <w:color w:val="1F3864"/>
          <w:sz w:val="30"/>
          <w:szCs w:val="30"/>
        </w:rPr>
        <w:lastRenderedPageBreak/>
        <w:t>References</w:t>
      </w:r>
    </w:p>
    <w:p w14:paraId="78FE0165" w14:textId="21576345"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Ansoff, H.I. (1957) 'Strategies for diversification', </w:t>
      </w:r>
      <w:r w:rsidRPr="0040726A">
        <w:rPr>
          <w:i/>
          <w:iCs/>
          <w:sz w:val="24"/>
          <w:szCs w:val="24"/>
        </w:rPr>
        <w:t>Harvard Business Review</w:t>
      </w:r>
      <w:r w:rsidRPr="0040726A">
        <w:rPr>
          <w:sz w:val="24"/>
          <w:szCs w:val="24"/>
        </w:rPr>
        <w:t xml:space="preserve">, 35(5), pp. 113–124. Available at: </w:t>
      </w:r>
      <w:hyperlink r:id="rId9" w:tgtFrame="_blank" w:history="1">
        <w:r w:rsidRPr="0040726A">
          <w:rPr>
            <w:rStyle w:val="Hyperlink"/>
            <w:sz w:val="24"/>
            <w:szCs w:val="24"/>
          </w:rPr>
          <w:t>https://hbr.org/1957/09/strategies-for-diversification</w:t>
        </w:r>
      </w:hyperlink>
      <w:r w:rsidRPr="0040726A">
        <w:rPr>
          <w:sz w:val="24"/>
          <w:szCs w:val="24"/>
        </w:rPr>
        <w:t xml:space="preserve"> (Accessed: 1 April 2026).</w:t>
      </w:r>
    </w:p>
    <w:p w14:paraId="35AAE961" w14:textId="77777777" w:rsidR="0040726A" w:rsidRPr="0040726A" w:rsidRDefault="0040726A" w:rsidP="00966AF4">
      <w:pPr>
        <w:pStyle w:val="ListParagraph"/>
        <w:spacing w:line="360" w:lineRule="auto"/>
        <w:ind w:left="1080"/>
        <w:jc w:val="both"/>
        <w:rPr>
          <w:sz w:val="24"/>
          <w:szCs w:val="24"/>
        </w:rPr>
      </w:pPr>
    </w:p>
    <w:p w14:paraId="438868E4" w14:textId="4E7D73DA"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Barney, J.B. (1991) 'Firm resources and sustained competitive advantage', </w:t>
      </w:r>
      <w:r w:rsidRPr="0040726A">
        <w:rPr>
          <w:i/>
          <w:iCs/>
          <w:sz w:val="24"/>
          <w:szCs w:val="24"/>
        </w:rPr>
        <w:t>Journal of Management</w:t>
      </w:r>
      <w:r w:rsidRPr="0040726A">
        <w:rPr>
          <w:sz w:val="24"/>
          <w:szCs w:val="24"/>
        </w:rPr>
        <w:t xml:space="preserve">, 17(1), pp. 99–120. Available at: </w:t>
      </w:r>
      <w:hyperlink r:id="rId10" w:tgtFrame="_blank" w:history="1">
        <w:r w:rsidRPr="0040726A">
          <w:rPr>
            <w:rStyle w:val="Hyperlink"/>
            <w:sz w:val="24"/>
            <w:szCs w:val="24"/>
          </w:rPr>
          <w:t>https://doi.org/10.1177/014920639101700108</w:t>
        </w:r>
      </w:hyperlink>
      <w:r w:rsidRPr="0040726A">
        <w:rPr>
          <w:sz w:val="24"/>
          <w:szCs w:val="24"/>
        </w:rPr>
        <w:t xml:space="preserve"> (Accessed: 1 April 2026).</w:t>
      </w:r>
    </w:p>
    <w:p w14:paraId="2BB16709" w14:textId="77777777" w:rsidR="0040726A" w:rsidRPr="0040726A" w:rsidRDefault="0040726A" w:rsidP="00966AF4">
      <w:pPr>
        <w:pStyle w:val="ListParagraph"/>
        <w:spacing w:line="360" w:lineRule="auto"/>
        <w:ind w:left="1080"/>
        <w:jc w:val="both"/>
        <w:rPr>
          <w:sz w:val="24"/>
          <w:szCs w:val="24"/>
        </w:rPr>
      </w:pPr>
    </w:p>
    <w:p w14:paraId="632CCD91" w14:textId="364DED42"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Barney, J.B. and Hesterly, W.S. (2006) </w:t>
      </w:r>
      <w:r w:rsidRPr="0040726A">
        <w:rPr>
          <w:i/>
          <w:iCs/>
          <w:sz w:val="24"/>
          <w:szCs w:val="24"/>
        </w:rPr>
        <w:t>Strategic management and competitive advantage: concepts and cases</w:t>
      </w:r>
      <w:r w:rsidRPr="0040726A">
        <w:rPr>
          <w:sz w:val="24"/>
          <w:szCs w:val="24"/>
        </w:rPr>
        <w:t xml:space="preserve">. Upper Saddle River, NJ: Pearson Prentice Hall. Available at: </w:t>
      </w:r>
      <w:hyperlink r:id="rId11" w:tgtFrame="_blank" w:history="1">
        <w:r w:rsidRPr="0040726A">
          <w:rPr>
            <w:rStyle w:val="Hyperlink"/>
            <w:sz w:val="24"/>
            <w:szCs w:val="24"/>
          </w:rPr>
          <w:t>https://www.pearson.com/en-us/subject-catalog/p/strategic-management-and-competitive-advantage-concepts-and-cases/P200000005955</w:t>
        </w:r>
      </w:hyperlink>
      <w:r w:rsidRPr="0040726A">
        <w:rPr>
          <w:sz w:val="24"/>
          <w:szCs w:val="24"/>
        </w:rPr>
        <w:t xml:space="preserve"> (Accessed: 1 April 2026).</w:t>
      </w:r>
    </w:p>
    <w:p w14:paraId="2965BDC3" w14:textId="77777777" w:rsidR="0040726A" w:rsidRPr="0040726A" w:rsidRDefault="0040726A" w:rsidP="00966AF4">
      <w:pPr>
        <w:pStyle w:val="ListParagraph"/>
        <w:spacing w:line="360" w:lineRule="auto"/>
        <w:ind w:left="1080"/>
        <w:jc w:val="both"/>
        <w:rPr>
          <w:sz w:val="24"/>
          <w:szCs w:val="24"/>
        </w:rPr>
      </w:pPr>
    </w:p>
    <w:p w14:paraId="48D70C3E" w14:textId="36098B3B"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Britannica (2025) </w:t>
      </w:r>
      <w:r w:rsidRPr="0040726A">
        <w:rPr>
          <w:i/>
          <w:iCs/>
          <w:sz w:val="24"/>
          <w:szCs w:val="24"/>
        </w:rPr>
        <w:t>Nike, Inc.</w:t>
      </w:r>
      <w:r w:rsidRPr="0040726A">
        <w:rPr>
          <w:sz w:val="24"/>
          <w:szCs w:val="24"/>
        </w:rPr>
        <w:t xml:space="preserve"> Available at: </w:t>
      </w:r>
      <w:hyperlink r:id="rId12" w:tgtFrame="_blank" w:history="1">
        <w:r w:rsidRPr="0040726A">
          <w:rPr>
            <w:rStyle w:val="Hyperlink"/>
            <w:sz w:val="24"/>
            <w:szCs w:val="24"/>
          </w:rPr>
          <w:t>https://www.britannica.com/topic/Nike-Inc</w:t>
        </w:r>
      </w:hyperlink>
      <w:r w:rsidRPr="0040726A">
        <w:rPr>
          <w:sz w:val="24"/>
          <w:szCs w:val="24"/>
        </w:rPr>
        <w:t xml:space="preserve"> (Accessed: 1 April 2026).</w:t>
      </w:r>
    </w:p>
    <w:p w14:paraId="55D3F2EC" w14:textId="77777777" w:rsidR="0040726A" w:rsidRPr="0040726A" w:rsidRDefault="0040726A" w:rsidP="00966AF4">
      <w:pPr>
        <w:pStyle w:val="ListParagraph"/>
        <w:spacing w:line="360" w:lineRule="auto"/>
        <w:ind w:left="1080"/>
        <w:jc w:val="both"/>
        <w:rPr>
          <w:sz w:val="24"/>
          <w:szCs w:val="24"/>
        </w:rPr>
      </w:pPr>
    </w:p>
    <w:p w14:paraId="7CFD74D2" w14:textId="73138986"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Carroll, A.B. (1991) 'The pyramid of corporate social responsibility: toward the moral management of organizational stakeholders', </w:t>
      </w:r>
      <w:r w:rsidRPr="0040726A">
        <w:rPr>
          <w:i/>
          <w:iCs/>
          <w:sz w:val="24"/>
          <w:szCs w:val="24"/>
        </w:rPr>
        <w:t>Business Horizons</w:t>
      </w:r>
      <w:r w:rsidRPr="0040726A">
        <w:rPr>
          <w:sz w:val="24"/>
          <w:szCs w:val="24"/>
        </w:rPr>
        <w:t xml:space="preserve">, 34(4), pp. 39–48. Available at: </w:t>
      </w:r>
      <w:hyperlink r:id="rId13" w:tgtFrame="_blank" w:history="1">
        <w:r w:rsidRPr="0040726A">
          <w:rPr>
            <w:rStyle w:val="Hyperlink"/>
            <w:sz w:val="24"/>
            <w:szCs w:val="24"/>
          </w:rPr>
          <w:t>https://doi.org/10.1016/0007-6813(91)90005-G</w:t>
        </w:r>
      </w:hyperlink>
      <w:r w:rsidRPr="0040726A">
        <w:rPr>
          <w:sz w:val="24"/>
          <w:szCs w:val="24"/>
        </w:rPr>
        <w:t xml:space="preserve"> (Accessed: 1 April 2026).</w:t>
      </w:r>
    </w:p>
    <w:p w14:paraId="0D90A557" w14:textId="77777777" w:rsidR="0040726A" w:rsidRPr="0040726A" w:rsidRDefault="0040726A" w:rsidP="00966AF4">
      <w:pPr>
        <w:pStyle w:val="ListParagraph"/>
        <w:spacing w:line="360" w:lineRule="auto"/>
        <w:ind w:left="1080"/>
        <w:jc w:val="both"/>
        <w:rPr>
          <w:sz w:val="24"/>
          <w:szCs w:val="24"/>
        </w:rPr>
      </w:pPr>
    </w:p>
    <w:p w14:paraId="22779560" w14:textId="3F87369C"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Cognitute (2025) </w:t>
      </w:r>
      <w:r w:rsidRPr="0040726A">
        <w:rPr>
          <w:i/>
          <w:iCs/>
          <w:sz w:val="24"/>
          <w:szCs w:val="24"/>
        </w:rPr>
        <w:t>Nike digital business transformation case study</w:t>
      </w:r>
      <w:r w:rsidRPr="0040726A">
        <w:rPr>
          <w:sz w:val="24"/>
          <w:szCs w:val="24"/>
        </w:rPr>
        <w:t xml:space="preserve">. Available at: </w:t>
      </w:r>
      <w:hyperlink r:id="rId14" w:tgtFrame="_blank" w:history="1">
        <w:r w:rsidRPr="0040726A">
          <w:rPr>
            <w:rStyle w:val="Hyperlink"/>
            <w:sz w:val="24"/>
            <w:szCs w:val="24"/>
          </w:rPr>
          <w:t>https://www.cognitute.org/case-study/running-forward-how-nike-rewired-its-business-for-the-digital-age</w:t>
        </w:r>
      </w:hyperlink>
      <w:r w:rsidRPr="0040726A">
        <w:rPr>
          <w:sz w:val="24"/>
          <w:szCs w:val="24"/>
        </w:rPr>
        <w:t xml:space="preserve"> (Accessed: 1 April 2026).</w:t>
      </w:r>
    </w:p>
    <w:p w14:paraId="4EEBC38B" w14:textId="77777777" w:rsidR="0040726A" w:rsidRPr="0040726A" w:rsidRDefault="0040726A" w:rsidP="00966AF4">
      <w:pPr>
        <w:pStyle w:val="ListParagraph"/>
        <w:spacing w:line="360" w:lineRule="auto"/>
        <w:ind w:left="1080"/>
        <w:jc w:val="both"/>
        <w:rPr>
          <w:sz w:val="24"/>
          <w:szCs w:val="24"/>
        </w:rPr>
      </w:pPr>
    </w:p>
    <w:p w14:paraId="60AA4BBB" w14:textId="21DECBBA"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Cottrell, S. (2019) </w:t>
      </w:r>
      <w:r w:rsidRPr="0040726A">
        <w:rPr>
          <w:i/>
          <w:iCs/>
          <w:sz w:val="24"/>
          <w:szCs w:val="24"/>
        </w:rPr>
        <w:t>The study skills handbook</w:t>
      </w:r>
      <w:r w:rsidRPr="0040726A">
        <w:rPr>
          <w:sz w:val="24"/>
          <w:szCs w:val="24"/>
        </w:rPr>
        <w:t xml:space="preserve">. 5th edn. London: Red Globe Press. Available at: </w:t>
      </w:r>
      <w:hyperlink r:id="rId15" w:tgtFrame="_blank" w:history="1">
        <w:r w:rsidRPr="0040726A">
          <w:rPr>
            <w:rStyle w:val="Hyperlink"/>
            <w:sz w:val="24"/>
            <w:szCs w:val="24"/>
          </w:rPr>
          <w:t>https://www.bloomsbury.com/uk/study-skills-handbook-9781352007718/</w:t>
        </w:r>
      </w:hyperlink>
      <w:r w:rsidRPr="0040726A">
        <w:rPr>
          <w:sz w:val="24"/>
          <w:szCs w:val="24"/>
        </w:rPr>
        <w:t xml:space="preserve"> (Accessed: 1 April 2026).</w:t>
      </w:r>
    </w:p>
    <w:p w14:paraId="7BE93298" w14:textId="77777777" w:rsidR="0040726A" w:rsidRPr="0040726A" w:rsidRDefault="0040726A" w:rsidP="00966AF4">
      <w:pPr>
        <w:pStyle w:val="ListParagraph"/>
        <w:spacing w:line="360" w:lineRule="auto"/>
        <w:ind w:left="1080"/>
        <w:jc w:val="both"/>
        <w:rPr>
          <w:sz w:val="24"/>
          <w:szCs w:val="24"/>
        </w:rPr>
      </w:pPr>
    </w:p>
    <w:p w14:paraId="00282632" w14:textId="5FE88111" w:rsidR="0040726A" w:rsidRDefault="0040726A" w:rsidP="0040726A">
      <w:pPr>
        <w:pStyle w:val="ListParagraph"/>
        <w:numPr>
          <w:ilvl w:val="0"/>
          <w:numId w:val="5"/>
        </w:numPr>
        <w:spacing w:line="360" w:lineRule="auto"/>
        <w:jc w:val="both"/>
        <w:rPr>
          <w:sz w:val="24"/>
          <w:szCs w:val="24"/>
        </w:rPr>
      </w:pPr>
      <w:r w:rsidRPr="0040726A">
        <w:rPr>
          <w:sz w:val="24"/>
          <w:szCs w:val="24"/>
        </w:rPr>
        <w:lastRenderedPageBreak/>
        <w:t xml:space="preserve">DCF Modeling (2025) </w:t>
      </w:r>
      <w:r w:rsidRPr="0040726A">
        <w:rPr>
          <w:i/>
          <w:iCs/>
          <w:sz w:val="24"/>
          <w:szCs w:val="24"/>
        </w:rPr>
        <w:t>Nike PESTEL analysis</w:t>
      </w:r>
      <w:r w:rsidRPr="0040726A">
        <w:rPr>
          <w:sz w:val="24"/>
          <w:szCs w:val="24"/>
        </w:rPr>
        <w:t xml:space="preserve">. Available at: </w:t>
      </w:r>
      <w:hyperlink r:id="rId16" w:tgtFrame="_blank" w:history="1">
        <w:r w:rsidRPr="0040726A">
          <w:rPr>
            <w:rStyle w:val="Hyperlink"/>
            <w:sz w:val="24"/>
            <w:szCs w:val="24"/>
          </w:rPr>
          <w:t>https://www.dcfmodeling.com/products/nke-pestel-analysis</w:t>
        </w:r>
      </w:hyperlink>
      <w:r w:rsidRPr="0040726A">
        <w:rPr>
          <w:sz w:val="24"/>
          <w:szCs w:val="24"/>
        </w:rPr>
        <w:t xml:space="preserve"> (Accessed: 1 April 2026).</w:t>
      </w:r>
    </w:p>
    <w:p w14:paraId="09E1DFD0" w14:textId="77777777" w:rsidR="0040726A" w:rsidRPr="0040726A" w:rsidRDefault="0040726A" w:rsidP="00966AF4">
      <w:pPr>
        <w:pStyle w:val="ListParagraph"/>
        <w:spacing w:line="360" w:lineRule="auto"/>
        <w:ind w:left="1080"/>
        <w:jc w:val="both"/>
        <w:rPr>
          <w:sz w:val="24"/>
          <w:szCs w:val="24"/>
        </w:rPr>
      </w:pPr>
    </w:p>
    <w:p w14:paraId="1F4DF6CD" w14:textId="5873AE68"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FashionBI (2026) </w:t>
      </w:r>
      <w:r w:rsidRPr="0040726A">
        <w:rPr>
          <w:i/>
          <w:iCs/>
          <w:sz w:val="24"/>
          <w:szCs w:val="24"/>
        </w:rPr>
        <w:t>Nike Inc. FY2025 financial performance: resetting scale, channels and brand momentum</w:t>
      </w:r>
      <w:r w:rsidRPr="0040726A">
        <w:rPr>
          <w:sz w:val="24"/>
          <w:szCs w:val="24"/>
        </w:rPr>
        <w:t xml:space="preserve">. Available at: </w:t>
      </w:r>
      <w:hyperlink r:id="rId17" w:tgtFrame="_blank" w:history="1">
        <w:r w:rsidRPr="0040726A">
          <w:rPr>
            <w:rStyle w:val="Hyperlink"/>
            <w:sz w:val="24"/>
            <w:szCs w:val="24"/>
          </w:rPr>
          <w:t>https://fashionbi.com/insights/nike-inc-fy-2025-financial-performance-resetting-scale-channels-and-brand-momentum</w:t>
        </w:r>
      </w:hyperlink>
      <w:r w:rsidRPr="0040726A">
        <w:rPr>
          <w:sz w:val="24"/>
          <w:szCs w:val="24"/>
        </w:rPr>
        <w:t xml:space="preserve"> (Accessed: 1 April 2026).</w:t>
      </w:r>
    </w:p>
    <w:p w14:paraId="63AE78CF" w14:textId="77777777" w:rsidR="0040726A" w:rsidRPr="0040726A" w:rsidRDefault="0040726A" w:rsidP="00966AF4">
      <w:pPr>
        <w:pStyle w:val="ListParagraph"/>
        <w:spacing w:line="360" w:lineRule="auto"/>
        <w:ind w:left="1080"/>
        <w:jc w:val="both"/>
        <w:rPr>
          <w:sz w:val="24"/>
          <w:szCs w:val="24"/>
        </w:rPr>
      </w:pPr>
    </w:p>
    <w:p w14:paraId="0D01D784" w14:textId="6E1ADAF1"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Flexdog (2025) </w:t>
      </w:r>
      <w:r w:rsidRPr="0040726A">
        <w:rPr>
          <w:i/>
          <w:iCs/>
          <w:sz w:val="24"/>
          <w:szCs w:val="24"/>
        </w:rPr>
        <w:t>Nike vs Adidas: who's winning in 2025?</w:t>
      </w:r>
      <w:r w:rsidRPr="0040726A">
        <w:rPr>
          <w:sz w:val="24"/>
          <w:szCs w:val="24"/>
        </w:rPr>
        <w:t xml:space="preserve"> Available at: </w:t>
      </w:r>
      <w:hyperlink r:id="rId18" w:tgtFrame="_blank" w:history="1">
        <w:r w:rsidRPr="0040726A">
          <w:rPr>
            <w:rStyle w:val="Hyperlink"/>
            <w:sz w:val="24"/>
            <w:szCs w:val="24"/>
          </w:rPr>
          <w:t>https://www.flexdog.com/magazine/nike-vs-adidas-whos-winning-in-2025</w:t>
        </w:r>
      </w:hyperlink>
      <w:r w:rsidRPr="0040726A">
        <w:rPr>
          <w:sz w:val="24"/>
          <w:szCs w:val="24"/>
        </w:rPr>
        <w:t xml:space="preserve"> (Accessed: 1 April 2026).</w:t>
      </w:r>
    </w:p>
    <w:p w14:paraId="1B4742CB" w14:textId="77777777" w:rsidR="0040726A" w:rsidRPr="0040726A" w:rsidRDefault="0040726A" w:rsidP="00966AF4">
      <w:pPr>
        <w:pStyle w:val="ListParagraph"/>
        <w:spacing w:line="360" w:lineRule="auto"/>
        <w:ind w:left="1080"/>
        <w:jc w:val="both"/>
        <w:rPr>
          <w:sz w:val="24"/>
          <w:szCs w:val="24"/>
        </w:rPr>
      </w:pPr>
    </w:p>
    <w:p w14:paraId="1AB597EE" w14:textId="0CA6C582"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Gibbs, G. (1988) </w:t>
      </w:r>
      <w:r w:rsidRPr="0040726A">
        <w:rPr>
          <w:i/>
          <w:iCs/>
          <w:sz w:val="24"/>
          <w:szCs w:val="24"/>
        </w:rPr>
        <w:t>Learning by doing: a guide to teaching and learning methods</w:t>
      </w:r>
      <w:r w:rsidRPr="0040726A">
        <w:rPr>
          <w:sz w:val="24"/>
          <w:szCs w:val="24"/>
        </w:rPr>
        <w:t xml:space="preserve">. Oxford: Oxford Polytechnic. Available at: </w:t>
      </w:r>
      <w:hyperlink r:id="rId19" w:tgtFrame="_blank" w:history="1">
        <w:r w:rsidRPr="0040726A">
          <w:rPr>
            <w:rStyle w:val="Hyperlink"/>
            <w:sz w:val="24"/>
            <w:szCs w:val="24"/>
          </w:rPr>
          <w:t>https://archive.org/details/learningbydoingg0000gibb</w:t>
        </w:r>
      </w:hyperlink>
      <w:r w:rsidRPr="0040726A">
        <w:rPr>
          <w:sz w:val="24"/>
          <w:szCs w:val="24"/>
        </w:rPr>
        <w:t xml:space="preserve"> (Accessed: 1 April 2026).</w:t>
      </w:r>
    </w:p>
    <w:p w14:paraId="27EEEFE3" w14:textId="77777777" w:rsidR="0040726A" w:rsidRPr="0040726A" w:rsidRDefault="0040726A" w:rsidP="00966AF4">
      <w:pPr>
        <w:pStyle w:val="ListParagraph"/>
        <w:spacing w:line="360" w:lineRule="auto"/>
        <w:ind w:left="1080"/>
        <w:jc w:val="both"/>
        <w:rPr>
          <w:sz w:val="24"/>
          <w:szCs w:val="24"/>
        </w:rPr>
      </w:pPr>
    </w:p>
    <w:p w14:paraId="4392490C" w14:textId="00962723"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Golden Owl (2025) </w:t>
      </w:r>
      <w:r w:rsidRPr="0040726A">
        <w:rPr>
          <w:i/>
          <w:iCs/>
          <w:sz w:val="24"/>
          <w:szCs w:val="24"/>
        </w:rPr>
        <w:t>Nike digital transformation: real examples</w:t>
      </w:r>
      <w:r w:rsidRPr="0040726A">
        <w:rPr>
          <w:sz w:val="24"/>
          <w:szCs w:val="24"/>
        </w:rPr>
        <w:t xml:space="preserve">. Available at: </w:t>
      </w:r>
      <w:hyperlink r:id="rId20" w:tgtFrame="_blank" w:history="1">
        <w:r w:rsidRPr="0040726A">
          <w:rPr>
            <w:rStyle w:val="Hyperlink"/>
            <w:sz w:val="24"/>
            <w:szCs w:val="24"/>
          </w:rPr>
          <w:t>https://goldenowl.asia/blog/nikes-digital-transformation-real-examples</w:t>
        </w:r>
      </w:hyperlink>
      <w:r w:rsidRPr="0040726A">
        <w:rPr>
          <w:sz w:val="24"/>
          <w:szCs w:val="24"/>
        </w:rPr>
        <w:t xml:space="preserve"> (Accessed: 1 April 2026).</w:t>
      </w:r>
    </w:p>
    <w:p w14:paraId="7D54663A" w14:textId="77777777" w:rsidR="0040726A" w:rsidRPr="0040726A" w:rsidRDefault="0040726A" w:rsidP="00966AF4">
      <w:pPr>
        <w:pStyle w:val="ListParagraph"/>
        <w:spacing w:line="360" w:lineRule="auto"/>
        <w:ind w:left="1080"/>
        <w:jc w:val="both"/>
        <w:rPr>
          <w:sz w:val="24"/>
          <w:szCs w:val="24"/>
        </w:rPr>
      </w:pPr>
    </w:p>
    <w:p w14:paraId="5E09250E" w14:textId="4DF2E3E2"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Harvard Business Review (HBR) (2024) </w:t>
      </w:r>
      <w:r w:rsidRPr="0040726A">
        <w:rPr>
          <w:i/>
          <w:iCs/>
          <w:sz w:val="24"/>
          <w:szCs w:val="24"/>
        </w:rPr>
        <w:t>Nike's Consumer Direct Offense strategy: a hit or a miss?</w:t>
      </w:r>
      <w:r w:rsidRPr="0040726A">
        <w:rPr>
          <w:sz w:val="24"/>
          <w:szCs w:val="24"/>
        </w:rPr>
        <w:t xml:space="preserve"> Case Study 176SMU. Boston: Harvard Business Publishing. Available at: </w:t>
      </w:r>
      <w:hyperlink r:id="rId21" w:tgtFrame="_blank" w:history="1">
        <w:r w:rsidRPr="0040726A">
          <w:rPr>
            <w:rStyle w:val="Hyperlink"/>
            <w:sz w:val="24"/>
            <w:szCs w:val="24"/>
          </w:rPr>
          <w:t>https://hbsp.harvard.edu/cases/</w:t>
        </w:r>
      </w:hyperlink>
      <w:r w:rsidRPr="0040726A">
        <w:rPr>
          <w:sz w:val="24"/>
          <w:szCs w:val="24"/>
        </w:rPr>
        <w:t xml:space="preserve"> (Accessed: 1 April 2026).</w:t>
      </w:r>
    </w:p>
    <w:p w14:paraId="79FEDBB0" w14:textId="77777777" w:rsidR="0040726A" w:rsidRPr="0040726A" w:rsidRDefault="0040726A" w:rsidP="00966AF4">
      <w:pPr>
        <w:pStyle w:val="ListParagraph"/>
        <w:spacing w:line="360" w:lineRule="auto"/>
        <w:ind w:left="1080"/>
        <w:jc w:val="both"/>
        <w:rPr>
          <w:sz w:val="24"/>
          <w:szCs w:val="24"/>
        </w:rPr>
      </w:pPr>
    </w:p>
    <w:p w14:paraId="1FDF5FCE" w14:textId="46729342"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Johnson, G., Whittington, R., Scholes, K., Angwin, D. and Regner, P. (2023) </w:t>
      </w:r>
      <w:r w:rsidRPr="0040726A">
        <w:rPr>
          <w:i/>
          <w:iCs/>
          <w:sz w:val="24"/>
          <w:szCs w:val="24"/>
        </w:rPr>
        <w:t>Exploring strategy: text and cases</w:t>
      </w:r>
      <w:r w:rsidRPr="0040726A">
        <w:rPr>
          <w:sz w:val="24"/>
          <w:szCs w:val="24"/>
        </w:rPr>
        <w:t xml:space="preserve">. 13th edn. Harlow: Pearson Education. Available at: </w:t>
      </w:r>
      <w:hyperlink r:id="rId22" w:tgtFrame="_blank" w:history="1">
        <w:r w:rsidRPr="0040726A">
          <w:rPr>
            <w:rStyle w:val="Hyperlink"/>
            <w:sz w:val="24"/>
            <w:szCs w:val="24"/>
          </w:rPr>
          <w:t>https://www.pearson.com/en-gb/subject-catalog/p/exploring-strategy/P200000003759</w:t>
        </w:r>
      </w:hyperlink>
      <w:r w:rsidRPr="0040726A">
        <w:rPr>
          <w:sz w:val="24"/>
          <w:szCs w:val="24"/>
        </w:rPr>
        <w:t xml:space="preserve"> (Accessed: 1 April 2026).</w:t>
      </w:r>
    </w:p>
    <w:p w14:paraId="27859D19" w14:textId="77777777" w:rsidR="0040726A" w:rsidRPr="00966AF4" w:rsidRDefault="0040726A" w:rsidP="00966AF4">
      <w:pPr>
        <w:spacing w:line="360" w:lineRule="auto"/>
        <w:ind w:left="720"/>
        <w:jc w:val="both"/>
        <w:rPr>
          <w:sz w:val="24"/>
          <w:szCs w:val="24"/>
        </w:rPr>
      </w:pPr>
    </w:p>
    <w:p w14:paraId="576B33E2" w14:textId="6DA3E6AC"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Kaplan, R.S. and Norton, D.P. (1992) 'The balanced scorecard: measures that drive performance', </w:t>
      </w:r>
      <w:r w:rsidRPr="0040726A">
        <w:rPr>
          <w:i/>
          <w:iCs/>
          <w:sz w:val="24"/>
          <w:szCs w:val="24"/>
        </w:rPr>
        <w:t>Harvard Business Review</w:t>
      </w:r>
      <w:r w:rsidRPr="0040726A">
        <w:rPr>
          <w:sz w:val="24"/>
          <w:szCs w:val="24"/>
        </w:rPr>
        <w:t xml:space="preserve">, 70(1), pp. 71–79. Available at: </w:t>
      </w:r>
      <w:hyperlink r:id="rId23" w:tgtFrame="_blank" w:history="1">
        <w:r w:rsidRPr="0040726A">
          <w:rPr>
            <w:rStyle w:val="Hyperlink"/>
            <w:sz w:val="24"/>
            <w:szCs w:val="24"/>
          </w:rPr>
          <w:t>https://hbr.org/1992/01/the-balanced-scorecard-measures-that-drive-performance-2</w:t>
        </w:r>
      </w:hyperlink>
      <w:r w:rsidRPr="0040726A">
        <w:rPr>
          <w:sz w:val="24"/>
          <w:szCs w:val="24"/>
        </w:rPr>
        <w:t xml:space="preserve"> (Accessed: 1 April 2026).</w:t>
      </w:r>
    </w:p>
    <w:p w14:paraId="34F7DF29" w14:textId="77777777" w:rsidR="0040726A" w:rsidRPr="0040726A" w:rsidRDefault="0040726A" w:rsidP="00966AF4">
      <w:pPr>
        <w:pStyle w:val="ListParagraph"/>
        <w:spacing w:line="360" w:lineRule="auto"/>
        <w:ind w:left="1080"/>
        <w:jc w:val="both"/>
        <w:rPr>
          <w:sz w:val="24"/>
          <w:szCs w:val="24"/>
        </w:rPr>
      </w:pPr>
    </w:p>
    <w:p w14:paraId="46B23AF8" w14:textId="382350DF"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Kotter, J.P. (1996) </w:t>
      </w:r>
      <w:r w:rsidRPr="0040726A">
        <w:rPr>
          <w:i/>
          <w:iCs/>
          <w:sz w:val="24"/>
          <w:szCs w:val="24"/>
        </w:rPr>
        <w:t>Leading change</w:t>
      </w:r>
      <w:r w:rsidRPr="0040726A">
        <w:rPr>
          <w:sz w:val="24"/>
          <w:szCs w:val="24"/>
        </w:rPr>
        <w:t xml:space="preserve">. Boston: Harvard Business School Press. Available at: </w:t>
      </w:r>
      <w:hyperlink r:id="rId24" w:tgtFrame="_blank" w:history="1">
        <w:r w:rsidRPr="0040726A">
          <w:rPr>
            <w:rStyle w:val="Hyperlink"/>
            <w:sz w:val="24"/>
            <w:szCs w:val="24"/>
          </w:rPr>
          <w:t>https://www.hbs.edu/faculty/Pages/item.aspx?num=383</w:t>
        </w:r>
      </w:hyperlink>
      <w:r w:rsidRPr="0040726A">
        <w:rPr>
          <w:sz w:val="24"/>
          <w:szCs w:val="24"/>
        </w:rPr>
        <w:t xml:space="preserve"> (Accessed: 1 April 2026).</w:t>
      </w:r>
    </w:p>
    <w:p w14:paraId="378357CF" w14:textId="77777777" w:rsidR="0040726A" w:rsidRPr="0040726A" w:rsidRDefault="0040726A" w:rsidP="00966AF4">
      <w:pPr>
        <w:pStyle w:val="ListParagraph"/>
        <w:spacing w:line="360" w:lineRule="auto"/>
        <w:ind w:left="1080"/>
        <w:jc w:val="both"/>
        <w:rPr>
          <w:sz w:val="24"/>
          <w:szCs w:val="24"/>
        </w:rPr>
      </w:pPr>
    </w:p>
    <w:p w14:paraId="3E8D1C14" w14:textId="2C83FE63"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Lewin, K. (1947) 'Frontiers in group dynamics: concept, method and reality in social science', </w:t>
      </w:r>
      <w:r w:rsidRPr="0040726A">
        <w:rPr>
          <w:i/>
          <w:iCs/>
          <w:sz w:val="24"/>
          <w:szCs w:val="24"/>
        </w:rPr>
        <w:t>Human Relations</w:t>
      </w:r>
      <w:r w:rsidRPr="0040726A">
        <w:rPr>
          <w:sz w:val="24"/>
          <w:szCs w:val="24"/>
        </w:rPr>
        <w:t xml:space="preserve">, 1(1), pp. 5–41. Available at: </w:t>
      </w:r>
      <w:hyperlink r:id="rId25" w:tgtFrame="_blank" w:history="1">
        <w:r w:rsidRPr="0040726A">
          <w:rPr>
            <w:rStyle w:val="Hyperlink"/>
            <w:sz w:val="24"/>
            <w:szCs w:val="24"/>
          </w:rPr>
          <w:t>https://doi.org/10.1177/001872674700100103</w:t>
        </w:r>
      </w:hyperlink>
      <w:r w:rsidRPr="0040726A">
        <w:rPr>
          <w:sz w:val="24"/>
          <w:szCs w:val="24"/>
        </w:rPr>
        <w:t xml:space="preserve"> (Accessed: 1 April 2026).</w:t>
      </w:r>
    </w:p>
    <w:p w14:paraId="731F470D" w14:textId="77777777" w:rsidR="0040726A" w:rsidRPr="0040726A" w:rsidRDefault="0040726A" w:rsidP="00966AF4">
      <w:pPr>
        <w:pStyle w:val="ListParagraph"/>
        <w:spacing w:line="360" w:lineRule="auto"/>
        <w:ind w:left="1080"/>
        <w:jc w:val="both"/>
        <w:rPr>
          <w:sz w:val="24"/>
          <w:szCs w:val="24"/>
        </w:rPr>
      </w:pPr>
    </w:p>
    <w:p w14:paraId="467AF8E4" w14:textId="643DD0CC"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MacroTrends (2025) </w:t>
      </w:r>
      <w:r w:rsidRPr="0040726A">
        <w:rPr>
          <w:i/>
          <w:iCs/>
          <w:sz w:val="24"/>
          <w:szCs w:val="24"/>
        </w:rPr>
        <w:t>Nike revenue 2012-2025</w:t>
      </w:r>
      <w:r w:rsidRPr="0040726A">
        <w:rPr>
          <w:sz w:val="24"/>
          <w:szCs w:val="24"/>
        </w:rPr>
        <w:t xml:space="preserve">. Available at: </w:t>
      </w:r>
      <w:hyperlink r:id="rId26" w:tgtFrame="_blank" w:history="1">
        <w:r w:rsidRPr="0040726A">
          <w:rPr>
            <w:rStyle w:val="Hyperlink"/>
            <w:sz w:val="24"/>
            <w:szCs w:val="24"/>
          </w:rPr>
          <w:t>https://www.macrotrends.net/stocks/charts/NKE/nike/revenue</w:t>
        </w:r>
      </w:hyperlink>
      <w:r w:rsidRPr="0040726A">
        <w:rPr>
          <w:sz w:val="24"/>
          <w:szCs w:val="24"/>
        </w:rPr>
        <w:t xml:space="preserve"> (Accessed: 1 April 2026).</w:t>
      </w:r>
    </w:p>
    <w:p w14:paraId="1C1C57EB" w14:textId="77777777" w:rsidR="0040726A" w:rsidRPr="0040726A" w:rsidRDefault="0040726A" w:rsidP="00966AF4">
      <w:pPr>
        <w:pStyle w:val="ListParagraph"/>
        <w:spacing w:line="360" w:lineRule="auto"/>
        <w:ind w:left="1080"/>
        <w:jc w:val="both"/>
        <w:rPr>
          <w:sz w:val="24"/>
          <w:szCs w:val="24"/>
        </w:rPr>
      </w:pPr>
    </w:p>
    <w:p w14:paraId="76AB238F" w14:textId="36E36FDC"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Nike, Inc. (2024) </w:t>
      </w:r>
      <w:r w:rsidRPr="0040726A">
        <w:rPr>
          <w:i/>
          <w:iCs/>
          <w:sz w:val="24"/>
          <w:szCs w:val="24"/>
        </w:rPr>
        <w:t>Nike, Inc. FY2024 annual report</w:t>
      </w:r>
      <w:r w:rsidRPr="0040726A">
        <w:rPr>
          <w:sz w:val="24"/>
          <w:szCs w:val="24"/>
        </w:rPr>
        <w:t xml:space="preserve">. Beaverton, OR: Nike, Inc. Available at: </w:t>
      </w:r>
      <w:hyperlink r:id="rId27" w:tgtFrame="_blank" w:history="1">
        <w:r w:rsidRPr="0040726A">
          <w:rPr>
            <w:rStyle w:val="Hyperlink"/>
            <w:sz w:val="24"/>
            <w:szCs w:val="24"/>
          </w:rPr>
          <w:t>https://investors.nike.com/investors/news-events-and-reports/</w:t>
        </w:r>
      </w:hyperlink>
      <w:r w:rsidRPr="0040726A">
        <w:rPr>
          <w:sz w:val="24"/>
          <w:szCs w:val="24"/>
        </w:rPr>
        <w:t xml:space="preserve"> (Accessed: 1 April 2026).</w:t>
      </w:r>
    </w:p>
    <w:p w14:paraId="017EB3FB" w14:textId="77777777" w:rsidR="0040726A" w:rsidRPr="0040726A" w:rsidRDefault="0040726A" w:rsidP="00966AF4">
      <w:pPr>
        <w:pStyle w:val="ListParagraph"/>
        <w:spacing w:line="360" w:lineRule="auto"/>
        <w:ind w:left="1080"/>
        <w:jc w:val="both"/>
        <w:rPr>
          <w:sz w:val="24"/>
          <w:szCs w:val="24"/>
        </w:rPr>
      </w:pPr>
    </w:p>
    <w:p w14:paraId="1E8011E6" w14:textId="2845C5A6"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Nike, Inc. (2025a) </w:t>
      </w:r>
      <w:r w:rsidRPr="0040726A">
        <w:rPr>
          <w:i/>
          <w:iCs/>
          <w:sz w:val="24"/>
          <w:szCs w:val="24"/>
        </w:rPr>
        <w:t>Move to Zero: our sustainability journey</w:t>
      </w:r>
      <w:r w:rsidRPr="0040726A">
        <w:rPr>
          <w:sz w:val="24"/>
          <w:szCs w:val="24"/>
        </w:rPr>
        <w:t xml:space="preserve">. Available at: </w:t>
      </w:r>
      <w:hyperlink r:id="rId28" w:tgtFrame="_blank" w:history="1">
        <w:r w:rsidRPr="0040726A">
          <w:rPr>
            <w:rStyle w:val="Hyperlink"/>
            <w:sz w:val="24"/>
            <w:szCs w:val="24"/>
          </w:rPr>
          <w:t>https://www.nike.com/sustainability</w:t>
        </w:r>
      </w:hyperlink>
      <w:r w:rsidRPr="0040726A">
        <w:rPr>
          <w:sz w:val="24"/>
          <w:szCs w:val="24"/>
        </w:rPr>
        <w:t xml:space="preserve"> (Accessed: 1 April 2026).</w:t>
      </w:r>
    </w:p>
    <w:p w14:paraId="3698AF75" w14:textId="77777777" w:rsidR="0040726A" w:rsidRPr="0040726A" w:rsidRDefault="0040726A" w:rsidP="00966AF4">
      <w:pPr>
        <w:pStyle w:val="ListParagraph"/>
        <w:spacing w:line="360" w:lineRule="auto"/>
        <w:ind w:left="1080"/>
        <w:jc w:val="both"/>
        <w:rPr>
          <w:sz w:val="24"/>
          <w:szCs w:val="24"/>
        </w:rPr>
      </w:pPr>
    </w:p>
    <w:p w14:paraId="323B5C3A" w14:textId="1526A901"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Nike, Inc. (2025b) </w:t>
      </w:r>
      <w:r w:rsidRPr="0040726A">
        <w:rPr>
          <w:i/>
          <w:iCs/>
          <w:sz w:val="24"/>
          <w:szCs w:val="24"/>
        </w:rPr>
        <w:t>FY2025 annual report</w:t>
      </w:r>
      <w:r w:rsidRPr="0040726A">
        <w:rPr>
          <w:sz w:val="24"/>
          <w:szCs w:val="24"/>
        </w:rPr>
        <w:t xml:space="preserve">. Beaverton, OR: Nike, Inc. Available at: </w:t>
      </w:r>
      <w:hyperlink r:id="rId29" w:tgtFrame="_blank" w:history="1">
        <w:r w:rsidRPr="0040726A">
          <w:rPr>
            <w:rStyle w:val="Hyperlink"/>
            <w:sz w:val="24"/>
            <w:szCs w:val="24"/>
          </w:rPr>
          <w:t>https://investors.nike.com/investors/news-events-and-reports/</w:t>
        </w:r>
      </w:hyperlink>
      <w:r w:rsidRPr="0040726A">
        <w:rPr>
          <w:sz w:val="24"/>
          <w:szCs w:val="24"/>
        </w:rPr>
        <w:t xml:space="preserve"> (Accessed: 1 April 2026).</w:t>
      </w:r>
    </w:p>
    <w:p w14:paraId="20313DBA" w14:textId="77777777" w:rsidR="0040726A" w:rsidRPr="0040726A" w:rsidRDefault="0040726A" w:rsidP="00966AF4">
      <w:pPr>
        <w:pStyle w:val="ListParagraph"/>
        <w:spacing w:line="360" w:lineRule="auto"/>
        <w:ind w:left="1080"/>
        <w:jc w:val="both"/>
        <w:rPr>
          <w:sz w:val="24"/>
          <w:szCs w:val="24"/>
        </w:rPr>
      </w:pPr>
    </w:p>
    <w:p w14:paraId="2A4DF556" w14:textId="34B7A591"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Norreklit, H. (2000) 'The balance on the balanced scorecard: a critical analysis of some of its assumptions', </w:t>
      </w:r>
      <w:r w:rsidRPr="0040726A">
        <w:rPr>
          <w:i/>
          <w:iCs/>
          <w:sz w:val="24"/>
          <w:szCs w:val="24"/>
        </w:rPr>
        <w:t>Management Accounting Research</w:t>
      </w:r>
      <w:r w:rsidRPr="0040726A">
        <w:rPr>
          <w:sz w:val="24"/>
          <w:szCs w:val="24"/>
        </w:rPr>
        <w:t xml:space="preserve">, 11(1), pp. 65–88. Available at: </w:t>
      </w:r>
      <w:hyperlink r:id="rId30" w:tgtFrame="_blank" w:history="1">
        <w:r w:rsidRPr="0040726A">
          <w:rPr>
            <w:rStyle w:val="Hyperlink"/>
            <w:sz w:val="24"/>
            <w:szCs w:val="24"/>
          </w:rPr>
          <w:t>https://doi.org/10.1006/mare.1999.0121</w:t>
        </w:r>
      </w:hyperlink>
      <w:r w:rsidRPr="0040726A">
        <w:rPr>
          <w:sz w:val="24"/>
          <w:szCs w:val="24"/>
        </w:rPr>
        <w:t xml:space="preserve"> (Accessed: 1 April 2026).</w:t>
      </w:r>
    </w:p>
    <w:p w14:paraId="2785AE07" w14:textId="77777777" w:rsidR="0040726A" w:rsidRPr="0040726A" w:rsidRDefault="0040726A" w:rsidP="00966AF4">
      <w:pPr>
        <w:pStyle w:val="ListParagraph"/>
        <w:spacing w:line="360" w:lineRule="auto"/>
        <w:ind w:left="1080"/>
        <w:jc w:val="both"/>
        <w:rPr>
          <w:sz w:val="24"/>
          <w:szCs w:val="24"/>
        </w:rPr>
      </w:pPr>
    </w:p>
    <w:p w14:paraId="0BC9BD09" w14:textId="051D293E" w:rsidR="0040726A" w:rsidRPr="0040726A" w:rsidRDefault="0040726A" w:rsidP="0040726A">
      <w:pPr>
        <w:pStyle w:val="ListParagraph"/>
        <w:numPr>
          <w:ilvl w:val="0"/>
          <w:numId w:val="5"/>
        </w:numPr>
        <w:spacing w:line="360" w:lineRule="auto"/>
        <w:jc w:val="both"/>
        <w:rPr>
          <w:sz w:val="24"/>
          <w:szCs w:val="24"/>
        </w:rPr>
      </w:pPr>
      <w:r w:rsidRPr="0040726A">
        <w:rPr>
          <w:sz w:val="24"/>
          <w:szCs w:val="24"/>
        </w:rPr>
        <w:t xml:space="preserve">PESTLE Analysis (2024) </w:t>
      </w:r>
      <w:r w:rsidRPr="0040726A">
        <w:rPr>
          <w:i/>
          <w:iCs/>
          <w:sz w:val="24"/>
          <w:szCs w:val="24"/>
        </w:rPr>
        <w:t>PESTLE analysis of Nike (2024 updated)</w:t>
      </w:r>
      <w:r w:rsidRPr="0040726A">
        <w:rPr>
          <w:sz w:val="24"/>
          <w:szCs w:val="24"/>
        </w:rPr>
        <w:t xml:space="preserve">. Available at: </w:t>
      </w:r>
      <w:hyperlink r:id="rId31" w:tgtFrame="_blank" w:history="1">
        <w:r w:rsidRPr="0040726A">
          <w:rPr>
            <w:rStyle w:val="Hyperlink"/>
            <w:sz w:val="24"/>
            <w:szCs w:val="24"/>
          </w:rPr>
          <w:t>https://pestleanalysis.com/pestle-analysis-of-nike/</w:t>
        </w:r>
      </w:hyperlink>
      <w:r w:rsidRPr="0040726A">
        <w:rPr>
          <w:sz w:val="24"/>
          <w:szCs w:val="24"/>
        </w:rPr>
        <w:t xml:space="preserve"> (Accessed: 1 April 2026).</w:t>
      </w:r>
    </w:p>
    <w:p w14:paraId="5565BF1C" w14:textId="29CA487B" w:rsidR="0040726A" w:rsidRDefault="0040726A" w:rsidP="0040726A">
      <w:pPr>
        <w:pStyle w:val="ListParagraph"/>
        <w:numPr>
          <w:ilvl w:val="0"/>
          <w:numId w:val="5"/>
        </w:numPr>
        <w:spacing w:line="360" w:lineRule="auto"/>
        <w:jc w:val="both"/>
        <w:rPr>
          <w:sz w:val="24"/>
          <w:szCs w:val="24"/>
        </w:rPr>
      </w:pPr>
      <w:r w:rsidRPr="0040726A">
        <w:rPr>
          <w:sz w:val="24"/>
          <w:szCs w:val="24"/>
        </w:rPr>
        <w:lastRenderedPageBreak/>
        <w:t xml:space="preserve">Porter, M.E. (1980) </w:t>
      </w:r>
      <w:r w:rsidRPr="0040726A">
        <w:rPr>
          <w:i/>
          <w:iCs/>
          <w:sz w:val="24"/>
          <w:szCs w:val="24"/>
        </w:rPr>
        <w:t>Competitive strategy: techniques for analyzing industries and competitors</w:t>
      </w:r>
      <w:r w:rsidRPr="0040726A">
        <w:rPr>
          <w:sz w:val="24"/>
          <w:szCs w:val="24"/>
        </w:rPr>
        <w:t xml:space="preserve">. New York: Free Press. Available at: </w:t>
      </w:r>
      <w:hyperlink r:id="rId32" w:tgtFrame="_blank" w:history="1">
        <w:r w:rsidRPr="0040726A">
          <w:rPr>
            <w:rStyle w:val="Hyperlink"/>
            <w:sz w:val="24"/>
            <w:szCs w:val="24"/>
          </w:rPr>
          <w:t>https://www.google.co.uk/books/edition/_/H_6_AAAAMAAJ</w:t>
        </w:r>
      </w:hyperlink>
      <w:r w:rsidRPr="0040726A">
        <w:rPr>
          <w:sz w:val="24"/>
          <w:szCs w:val="24"/>
        </w:rPr>
        <w:t xml:space="preserve"> (Accessed: 1 April 2026).</w:t>
      </w:r>
    </w:p>
    <w:p w14:paraId="3B6181E5" w14:textId="731055D3"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Scribd (2023) </w:t>
      </w:r>
      <w:r w:rsidRPr="0040726A">
        <w:rPr>
          <w:i/>
          <w:iCs/>
          <w:sz w:val="24"/>
          <w:szCs w:val="24"/>
        </w:rPr>
        <w:t>Nike's core competency</w:t>
      </w:r>
      <w:r w:rsidRPr="0040726A">
        <w:rPr>
          <w:sz w:val="24"/>
          <w:szCs w:val="24"/>
        </w:rPr>
        <w:t xml:space="preserve">. Available at: </w:t>
      </w:r>
      <w:hyperlink r:id="rId33" w:tgtFrame="_blank" w:history="1">
        <w:r w:rsidRPr="0040726A">
          <w:rPr>
            <w:rStyle w:val="Hyperlink"/>
            <w:sz w:val="24"/>
            <w:szCs w:val="24"/>
          </w:rPr>
          <w:t>https://www.scribd.com/document/400985010/Nike-s-Core-Competency</w:t>
        </w:r>
      </w:hyperlink>
      <w:r w:rsidRPr="0040726A">
        <w:rPr>
          <w:sz w:val="24"/>
          <w:szCs w:val="24"/>
        </w:rPr>
        <w:t xml:space="preserve"> (Accessed: 1 April 2026).</w:t>
      </w:r>
    </w:p>
    <w:p w14:paraId="5CC920B3" w14:textId="77777777" w:rsidR="0040726A" w:rsidRPr="0040726A" w:rsidRDefault="0040726A" w:rsidP="00966AF4">
      <w:pPr>
        <w:pStyle w:val="ListParagraph"/>
        <w:spacing w:line="360" w:lineRule="auto"/>
        <w:ind w:left="1080"/>
        <w:jc w:val="both"/>
        <w:rPr>
          <w:sz w:val="24"/>
          <w:szCs w:val="24"/>
        </w:rPr>
      </w:pPr>
    </w:p>
    <w:p w14:paraId="26C0F72C" w14:textId="6F92800C"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Statista (2025) </w:t>
      </w:r>
      <w:r w:rsidRPr="0040726A">
        <w:rPr>
          <w:i/>
          <w:iCs/>
          <w:sz w:val="24"/>
          <w:szCs w:val="24"/>
        </w:rPr>
        <w:t>Sportswear: largest companies by revenue 2024</w:t>
      </w:r>
      <w:r w:rsidRPr="0040726A">
        <w:rPr>
          <w:sz w:val="24"/>
          <w:szCs w:val="24"/>
        </w:rPr>
        <w:t xml:space="preserve">. Available at: </w:t>
      </w:r>
      <w:hyperlink r:id="rId34" w:tgtFrame="_blank" w:history="1">
        <w:r w:rsidRPr="0040726A">
          <w:rPr>
            <w:rStyle w:val="Hyperlink"/>
            <w:sz w:val="24"/>
            <w:szCs w:val="24"/>
          </w:rPr>
          <w:t>https://www.statista.com/statistics/900271/leading-sportswear-and-performance-wear-companies-by-sales-worldwide/</w:t>
        </w:r>
      </w:hyperlink>
      <w:r w:rsidRPr="0040726A">
        <w:rPr>
          <w:sz w:val="24"/>
          <w:szCs w:val="24"/>
        </w:rPr>
        <w:t xml:space="preserve"> (Accessed: 1 April 2026).</w:t>
      </w:r>
    </w:p>
    <w:p w14:paraId="177DBAB7" w14:textId="77777777" w:rsidR="0040726A" w:rsidRPr="0040726A" w:rsidRDefault="0040726A" w:rsidP="00966AF4">
      <w:pPr>
        <w:pStyle w:val="ListParagraph"/>
        <w:spacing w:line="360" w:lineRule="auto"/>
        <w:ind w:left="1080"/>
        <w:jc w:val="both"/>
        <w:rPr>
          <w:sz w:val="24"/>
          <w:szCs w:val="24"/>
        </w:rPr>
      </w:pPr>
    </w:p>
    <w:p w14:paraId="53D729AD" w14:textId="72CA6147"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Techtide Solutions (2025) </w:t>
      </w:r>
      <w:r w:rsidRPr="0040726A">
        <w:rPr>
          <w:i/>
          <w:iCs/>
          <w:sz w:val="24"/>
          <w:szCs w:val="24"/>
        </w:rPr>
        <w:t>Nike digital transformation</w:t>
      </w:r>
      <w:r w:rsidRPr="0040726A">
        <w:rPr>
          <w:sz w:val="24"/>
          <w:szCs w:val="24"/>
        </w:rPr>
        <w:t xml:space="preserve">. Available at: </w:t>
      </w:r>
      <w:hyperlink r:id="rId35" w:tgtFrame="_blank" w:history="1">
        <w:r w:rsidRPr="0040726A">
          <w:rPr>
            <w:rStyle w:val="Hyperlink"/>
            <w:sz w:val="24"/>
            <w:szCs w:val="24"/>
          </w:rPr>
          <w:t>https://techtidesolutions.com/blog/nike-digital-transformation/</w:t>
        </w:r>
      </w:hyperlink>
      <w:r w:rsidRPr="0040726A">
        <w:rPr>
          <w:sz w:val="24"/>
          <w:szCs w:val="24"/>
        </w:rPr>
        <w:t xml:space="preserve"> (Accessed: 1 April 2026).</w:t>
      </w:r>
    </w:p>
    <w:p w14:paraId="763CE31F" w14:textId="77777777" w:rsidR="0040726A" w:rsidRPr="0040726A" w:rsidRDefault="0040726A" w:rsidP="00966AF4">
      <w:pPr>
        <w:pStyle w:val="ListParagraph"/>
        <w:spacing w:line="360" w:lineRule="auto"/>
        <w:ind w:left="1080"/>
        <w:jc w:val="both"/>
        <w:rPr>
          <w:sz w:val="24"/>
          <w:szCs w:val="24"/>
        </w:rPr>
      </w:pPr>
    </w:p>
    <w:p w14:paraId="0066B1C3" w14:textId="0B142D73"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The Strategy Story (2024) </w:t>
      </w:r>
      <w:r w:rsidRPr="0040726A">
        <w:rPr>
          <w:i/>
          <w:iCs/>
          <w:sz w:val="24"/>
          <w:szCs w:val="24"/>
        </w:rPr>
        <w:t>Nike PESTEL analysis</w:t>
      </w:r>
      <w:r w:rsidRPr="0040726A">
        <w:rPr>
          <w:sz w:val="24"/>
          <w:szCs w:val="24"/>
        </w:rPr>
        <w:t xml:space="preserve">. Available at: </w:t>
      </w:r>
      <w:hyperlink r:id="rId36" w:tgtFrame="_blank" w:history="1">
        <w:r w:rsidRPr="0040726A">
          <w:rPr>
            <w:rStyle w:val="Hyperlink"/>
            <w:sz w:val="24"/>
            <w:szCs w:val="24"/>
          </w:rPr>
          <w:t>https://thestrategystory.com/blog/nike-pestel-analysis/</w:t>
        </w:r>
      </w:hyperlink>
      <w:r w:rsidRPr="0040726A">
        <w:rPr>
          <w:sz w:val="24"/>
          <w:szCs w:val="24"/>
        </w:rPr>
        <w:t xml:space="preserve"> (Accessed: 1 April 2026).</w:t>
      </w:r>
    </w:p>
    <w:p w14:paraId="36568860" w14:textId="77777777" w:rsidR="0040726A" w:rsidRPr="0040726A" w:rsidRDefault="0040726A" w:rsidP="00966AF4">
      <w:pPr>
        <w:pStyle w:val="ListParagraph"/>
        <w:spacing w:line="360" w:lineRule="auto"/>
        <w:ind w:left="1080"/>
        <w:jc w:val="both"/>
        <w:rPr>
          <w:sz w:val="24"/>
          <w:szCs w:val="24"/>
        </w:rPr>
      </w:pPr>
    </w:p>
    <w:p w14:paraId="7EBE2621" w14:textId="149316B6"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This Rock ESG (2024) </w:t>
      </w:r>
      <w:r w:rsidRPr="0040726A">
        <w:rPr>
          <w:i/>
          <w:iCs/>
          <w:sz w:val="24"/>
          <w:szCs w:val="24"/>
        </w:rPr>
        <w:t>Nike's sustainability report: strengths and opportunities</w:t>
      </w:r>
      <w:r w:rsidRPr="0040726A">
        <w:rPr>
          <w:sz w:val="24"/>
          <w:szCs w:val="24"/>
        </w:rPr>
        <w:t xml:space="preserve">. Available at: </w:t>
      </w:r>
      <w:hyperlink r:id="rId37" w:tgtFrame="_blank" w:history="1">
        <w:r w:rsidRPr="0040726A">
          <w:rPr>
            <w:rStyle w:val="Hyperlink"/>
            <w:sz w:val="24"/>
            <w:szCs w:val="24"/>
          </w:rPr>
          <w:t>https://thisrockesg.com/sustainability/nike-sustainability-report/</w:t>
        </w:r>
      </w:hyperlink>
      <w:r w:rsidRPr="0040726A">
        <w:rPr>
          <w:sz w:val="24"/>
          <w:szCs w:val="24"/>
        </w:rPr>
        <w:t xml:space="preserve"> (Accessed: 1 April 2026).</w:t>
      </w:r>
    </w:p>
    <w:p w14:paraId="7FA1DC70" w14:textId="77777777" w:rsidR="0040726A" w:rsidRPr="0040726A" w:rsidRDefault="0040726A" w:rsidP="00966AF4">
      <w:pPr>
        <w:pStyle w:val="ListParagraph"/>
        <w:spacing w:line="360" w:lineRule="auto"/>
        <w:ind w:left="1080"/>
        <w:jc w:val="both"/>
        <w:rPr>
          <w:sz w:val="24"/>
          <w:szCs w:val="24"/>
        </w:rPr>
      </w:pPr>
    </w:p>
    <w:p w14:paraId="5FC9CB34" w14:textId="313525DD"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UWTSD (2025) </w:t>
      </w:r>
      <w:r w:rsidRPr="0040726A">
        <w:rPr>
          <w:i/>
          <w:iCs/>
          <w:sz w:val="24"/>
          <w:szCs w:val="24"/>
        </w:rPr>
        <w:t>Strategic management assessment brief</w:t>
      </w:r>
      <w:r w:rsidRPr="0040726A">
        <w:rPr>
          <w:sz w:val="24"/>
          <w:szCs w:val="24"/>
        </w:rPr>
        <w:t xml:space="preserve">. Swansea: University of Wales Trinity Saint David. Available at: </w:t>
      </w:r>
      <w:hyperlink r:id="rId38" w:tgtFrame="_blank" w:history="1">
        <w:r w:rsidRPr="0040726A">
          <w:rPr>
            <w:rStyle w:val="Hyperlink"/>
            <w:sz w:val="24"/>
            <w:szCs w:val="24"/>
          </w:rPr>
          <w:t>https://www.uwtsd.ac.uk/</w:t>
        </w:r>
      </w:hyperlink>
      <w:r w:rsidRPr="0040726A">
        <w:rPr>
          <w:sz w:val="24"/>
          <w:szCs w:val="24"/>
        </w:rPr>
        <w:t xml:space="preserve"> (Accessed: 1 April 2026).</w:t>
      </w:r>
    </w:p>
    <w:p w14:paraId="3ADBF905" w14:textId="77777777" w:rsidR="0040726A" w:rsidRPr="0040726A" w:rsidRDefault="0040726A" w:rsidP="00966AF4">
      <w:pPr>
        <w:pStyle w:val="ListParagraph"/>
        <w:spacing w:line="360" w:lineRule="auto"/>
        <w:ind w:left="1080"/>
        <w:jc w:val="both"/>
        <w:rPr>
          <w:sz w:val="24"/>
          <w:szCs w:val="24"/>
        </w:rPr>
      </w:pPr>
    </w:p>
    <w:p w14:paraId="5B8584D9" w14:textId="33D2BCC0" w:rsidR="0040726A" w:rsidRDefault="0040726A" w:rsidP="0040726A">
      <w:pPr>
        <w:pStyle w:val="ListParagraph"/>
        <w:numPr>
          <w:ilvl w:val="0"/>
          <w:numId w:val="5"/>
        </w:numPr>
        <w:spacing w:line="360" w:lineRule="auto"/>
        <w:jc w:val="both"/>
        <w:rPr>
          <w:sz w:val="24"/>
          <w:szCs w:val="24"/>
        </w:rPr>
      </w:pPr>
      <w:r w:rsidRPr="0040726A">
        <w:rPr>
          <w:sz w:val="24"/>
          <w:szCs w:val="24"/>
        </w:rPr>
        <w:t xml:space="preserve">Wikipedia (2025) </w:t>
      </w:r>
      <w:r w:rsidRPr="0040726A">
        <w:rPr>
          <w:i/>
          <w:iCs/>
          <w:sz w:val="24"/>
          <w:szCs w:val="24"/>
        </w:rPr>
        <w:t>Nike, Inc.</w:t>
      </w:r>
      <w:r w:rsidRPr="0040726A">
        <w:rPr>
          <w:sz w:val="24"/>
          <w:szCs w:val="24"/>
        </w:rPr>
        <w:t xml:space="preserve"> Available at: </w:t>
      </w:r>
      <w:hyperlink r:id="rId39" w:tgtFrame="_blank" w:history="1">
        <w:r w:rsidRPr="0040726A">
          <w:rPr>
            <w:rStyle w:val="Hyperlink"/>
            <w:sz w:val="24"/>
            <w:szCs w:val="24"/>
          </w:rPr>
          <w:t>https://en.wikipedia.org/wiki/Nike,_Inc.</w:t>
        </w:r>
      </w:hyperlink>
      <w:r w:rsidRPr="0040726A">
        <w:rPr>
          <w:sz w:val="24"/>
          <w:szCs w:val="24"/>
        </w:rPr>
        <w:t xml:space="preserve"> (Accessed: 1 April 2026).</w:t>
      </w:r>
    </w:p>
    <w:p w14:paraId="586F13AB" w14:textId="77777777" w:rsidR="0040726A" w:rsidRPr="0040726A" w:rsidRDefault="0040726A" w:rsidP="00966AF4">
      <w:pPr>
        <w:pStyle w:val="ListParagraph"/>
        <w:spacing w:line="360" w:lineRule="auto"/>
        <w:ind w:left="1080"/>
        <w:jc w:val="both"/>
        <w:rPr>
          <w:sz w:val="24"/>
          <w:szCs w:val="24"/>
        </w:rPr>
      </w:pPr>
    </w:p>
    <w:p w14:paraId="2C465572" w14:textId="529759E0" w:rsidR="0040726A" w:rsidRPr="0040726A" w:rsidRDefault="0040726A" w:rsidP="0040726A">
      <w:pPr>
        <w:pStyle w:val="ListParagraph"/>
        <w:numPr>
          <w:ilvl w:val="0"/>
          <w:numId w:val="5"/>
        </w:numPr>
        <w:spacing w:line="360" w:lineRule="auto"/>
        <w:jc w:val="both"/>
        <w:rPr>
          <w:sz w:val="24"/>
          <w:szCs w:val="24"/>
        </w:rPr>
      </w:pPr>
      <w:r w:rsidRPr="0040726A">
        <w:rPr>
          <w:sz w:val="24"/>
          <w:szCs w:val="24"/>
        </w:rPr>
        <w:t xml:space="preserve">Zoommetrix (2025) </w:t>
      </w:r>
      <w:r w:rsidRPr="0040726A">
        <w:rPr>
          <w:i/>
          <w:iCs/>
          <w:sz w:val="24"/>
          <w:szCs w:val="24"/>
        </w:rPr>
        <w:t>Nike's DTC journey: ambition, challenges and realignment</w:t>
      </w:r>
      <w:r w:rsidRPr="0040726A">
        <w:rPr>
          <w:sz w:val="24"/>
          <w:szCs w:val="24"/>
        </w:rPr>
        <w:t xml:space="preserve">. Available at: </w:t>
      </w:r>
      <w:hyperlink r:id="rId40" w:tgtFrame="_blank" w:history="1">
        <w:r w:rsidRPr="0040726A">
          <w:rPr>
            <w:rStyle w:val="Hyperlink"/>
            <w:sz w:val="24"/>
            <w:szCs w:val="24"/>
          </w:rPr>
          <w:t>https://zoommetrix.com/marketing-strategy/nike-dtc-journey-ambition-challenges-and-realignment/</w:t>
        </w:r>
      </w:hyperlink>
      <w:r w:rsidRPr="0040726A">
        <w:rPr>
          <w:sz w:val="24"/>
          <w:szCs w:val="24"/>
        </w:rPr>
        <w:t xml:space="preserve"> (Accessed: 1 April 2026).</w:t>
      </w:r>
    </w:p>
    <w:p w14:paraId="55BBB928" w14:textId="77777777" w:rsidR="002B2FE6" w:rsidRPr="005579F2" w:rsidRDefault="002B2FE6" w:rsidP="0040726A">
      <w:pPr>
        <w:ind w:left="360"/>
        <w:jc w:val="both"/>
        <w:rPr>
          <w:sz w:val="24"/>
          <w:szCs w:val="24"/>
        </w:rPr>
      </w:pPr>
    </w:p>
    <w:sectPr w:rsidR="002B2FE6" w:rsidRPr="005579F2">
      <w:headerReference w:type="default" r:id="rId41"/>
      <w:footerReference w:type="default" r:id="rId42"/>
      <w:pgSz w:w="11906" w:h="16838"/>
      <w:pgMar w:top="1200" w:right="1260" w:bottom="120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CB6FA" w14:textId="77777777" w:rsidR="001F384D" w:rsidRDefault="001F384D">
      <w:r>
        <w:separator/>
      </w:r>
    </w:p>
  </w:endnote>
  <w:endnote w:type="continuationSeparator" w:id="0">
    <w:p w14:paraId="1D18278A" w14:textId="77777777" w:rsidR="001F384D" w:rsidRDefault="001F3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9794921"/>
      <w:docPartObj>
        <w:docPartGallery w:val="Page Numbers (Bottom of Page)"/>
        <w:docPartUnique/>
      </w:docPartObj>
    </w:sdtPr>
    <w:sdtEndPr>
      <w:rPr>
        <w:noProof/>
      </w:rPr>
    </w:sdtEndPr>
    <w:sdtContent>
      <w:p w14:paraId="1C6498B1" w14:textId="42950B25" w:rsidR="000173CE" w:rsidRDefault="000173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FC19F2" w14:textId="5EF760E8" w:rsidR="002B2FE6" w:rsidRDefault="002B2FE6">
    <w:pPr>
      <w:pBdr>
        <w:top w:val="single" w:sz="2" w:space="3" w:color="CCCCCC"/>
      </w:pBdr>
      <w:tabs>
        <w:tab w:val="right" w:pos="9026"/>
      </w:tabs>
      <w:spacing w:before="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999DF" w14:textId="77777777" w:rsidR="001F384D" w:rsidRDefault="001F384D">
      <w:r>
        <w:separator/>
      </w:r>
    </w:p>
  </w:footnote>
  <w:footnote w:type="continuationSeparator" w:id="0">
    <w:p w14:paraId="33BEF59E" w14:textId="77777777" w:rsidR="001F384D" w:rsidRDefault="001F38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B4A5D" w14:textId="1E8516E8" w:rsidR="004562AB" w:rsidRDefault="00486FA3">
    <w:pPr>
      <w:pStyle w:val="Header"/>
    </w:pPr>
    <w:r>
      <w:t>Strategic Management</w:t>
    </w:r>
  </w:p>
  <w:p w14:paraId="514A5671" w14:textId="37C2134D" w:rsidR="002B2FE6" w:rsidRDefault="002B2FE6">
    <w:pPr>
      <w:pBdr>
        <w:bottom w:val="single" w:sz="4" w:space="3" w:color="1F3864"/>
      </w:pBdr>
      <w:tabs>
        <w:tab w:val="right" w:pos="9026"/>
      </w:tabs>
      <w:spacing w:after="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D6792"/>
    <w:multiLevelType w:val="hybridMultilevel"/>
    <w:tmpl w:val="AA2618AC"/>
    <w:lvl w:ilvl="0" w:tplc="11ECF20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B2925"/>
    <w:multiLevelType w:val="hybridMultilevel"/>
    <w:tmpl w:val="04C40B0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5716723"/>
    <w:multiLevelType w:val="hybridMultilevel"/>
    <w:tmpl w:val="047A2C3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25222C5"/>
    <w:multiLevelType w:val="hybridMultilevel"/>
    <w:tmpl w:val="28D4B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41573B"/>
    <w:multiLevelType w:val="hybridMultilevel"/>
    <w:tmpl w:val="24E0F29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18A1611"/>
    <w:multiLevelType w:val="hybridMultilevel"/>
    <w:tmpl w:val="797C037C"/>
    <w:lvl w:ilvl="0" w:tplc="FFFFFFFF">
      <w:start w:val="1"/>
      <w:numFmt w:val="bullet"/>
      <w:lvlText w:val="●"/>
      <w:lvlJc w:val="left"/>
      <w:pPr>
        <w:ind w:left="720" w:hanging="360"/>
      </w:p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6" w15:restartNumberingAfterBreak="0">
    <w:nsid w:val="7EBD5AD0"/>
    <w:multiLevelType w:val="hybridMultilevel"/>
    <w:tmpl w:val="304ACC08"/>
    <w:lvl w:ilvl="0" w:tplc="FFFFFFFF">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61179652">
    <w:abstractNumId w:val="5"/>
    <w:lvlOverride w:ilvl="0">
      <w:startOverride w:val="1"/>
    </w:lvlOverride>
  </w:num>
  <w:num w:numId="2" w16cid:durableId="1096485667">
    <w:abstractNumId w:val="3"/>
  </w:num>
  <w:num w:numId="3" w16cid:durableId="870151092">
    <w:abstractNumId w:val="1"/>
  </w:num>
  <w:num w:numId="4" w16cid:durableId="1194881995">
    <w:abstractNumId w:val="4"/>
  </w:num>
  <w:num w:numId="5" w16cid:durableId="614797737">
    <w:abstractNumId w:val="2"/>
  </w:num>
  <w:num w:numId="6" w16cid:durableId="2025203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E6"/>
    <w:rsid w:val="000173CE"/>
    <w:rsid w:val="001F384D"/>
    <w:rsid w:val="0025474E"/>
    <w:rsid w:val="0029795F"/>
    <w:rsid w:val="002B2FE6"/>
    <w:rsid w:val="00363275"/>
    <w:rsid w:val="003A592F"/>
    <w:rsid w:val="0040726A"/>
    <w:rsid w:val="00425894"/>
    <w:rsid w:val="00455E25"/>
    <w:rsid w:val="004562AB"/>
    <w:rsid w:val="00486FA3"/>
    <w:rsid w:val="004D2AE8"/>
    <w:rsid w:val="005579F2"/>
    <w:rsid w:val="007332A2"/>
    <w:rsid w:val="007C04EB"/>
    <w:rsid w:val="008D7AA8"/>
    <w:rsid w:val="00966AF4"/>
    <w:rsid w:val="009812A1"/>
    <w:rsid w:val="00BA3F05"/>
    <w:rsid w:val="00CC2328"/>
    <w:rsid w:val="00CD6E44"/>
    <w:rsid w:val="00D22286"/>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B23A1B"/>
  <w15:docId w15:val="{3635C205-EDAD-43FF-83D3-8B9CAB66D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3"/>
        <w:szCs w:val="23"/>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60" w:line="320" w:lineRule="auto"/>
      <w:outlineLvl w:val="0"/>
    </w:pPr>
    <w:rPr>
      <w:b/>
      <w:bCs/>
      <w:color w:val="1F3864"/>
      <w:sz w:val="30"/>
      <w:szCs w:val="30"/>
    </w:rPr>
  </w:style>
  <w:style w:type="paragraph" w:styleId="Heading2">
    <w:name w:val="heading 2"/>
    <w:uiPriority w:val="9"/>
    <w:semiHidden/>
    <w:unhideWhenUsed/>
    <w:qFormat/>
    <w:pPr>
      <w:spacing w:before="260" w:after="120" w:line="320" w:lineRule="auto"/>
      <w:outlineLvl w:val="1"/>
    </w:pPr>
    <w:rPr>
      <w:b/>
      <w:bCs/>
      <w:color w:val="2E5F8A"/>
      <w:sz w:val="26"/>
      <w:szCs w:val="26"/>
    </w:rPr>
  </w:style>
  <w:style w:type="paragraph" w:styleId="Heading3">
    <w:name w:val="heading 3"/>
    <w:uiPriority w:val="9"/>
    <w:semiHidden/>
    <w:unhideWhenUsed/>
    <w:qFormat/>
    <w:pPr>
      <w:spacing w:before="200" w:after="80" w:line="320" w:lineRule="auto"/>
      <w:outlineLvl w:val="2"/>
    </w:pPr>
    <w:rPr>
      <w:b/>
      <w:bCs/>
      <w:color w:val="1F3864"/>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4562AB"/>
    <w:pPr>
      <w:tabs>
        <w:tab w:val="center" w:pos="4680"/>
        <w:tab w:val="right" w:pos="9360"/>
      </w:tabs>
    </w:pPr>
  </w:style>
  <w:style w:type="character" w:customStyle="1" w:styleId="HeaderChar">
    <w:name w:val="Header Char"/>
    <w:basedOn w:val="DefaultParagraphFont"/>
    <w:link w:val="Header"/>
    <w:uiPriority w:val="99"/>
    <w:rsid w:val="004562AB"/>
  </w:style>
  <w:style w:type="paragraph" w:styleId="Footer">
    <w:name w:val="footer"/>
    <w:basedOn w:val="Normal"/>
    <w:link w:val="FooterChar"/>
    <w:uiPriority w:val="99"/>
    <w:unhideWhenUsed/>
    <w:rsid w:val="004562AB"/>
    <w:pPr>
      <w:tabs>
        <w:tab w:val="center" w:pos="4680"/>
        <w:tab w:val="right" w:pos="9360"/>
      </w:tabs>
    </w:pPr>
  </w:style>
  <w:style w:type="character" w:customStyle="1" w:styleId="FooterChar">
    <w:name w:val="Footer Char"/>
    <w:basedOn w:val="DefaultParagraphFont"/>
    <w:link w:val="Footer"/>
    <w:uiPriority w:val="99"/>
    <w:rsid w:val="004562AB"/>
  </w:style>
  <w:style w:type="character" w:styleId="UnresolvedMention">
    <w:name w:val="Unresolved Mention"/>
    <w:basedOn w:val="DefaultParagraphFont"/>
    <w:uiPriority w:val="99"/>
    <w:semiHidden/>
    <w:unhideWhenUsed/>
    <w:rsid w:val="004072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16/0007-6813(91)90005-G" TargetMode="External"/><Relationship Id="rId18" Type="http://schemas.openxmlformats.org/officeDocument/2006/relationships/hyperlink" Target="https://www.flexdog.com/magazine/nike-vs-adidas-whos-winning-in-2025" TargetMode="External"/><Relationship Id="rId26" Type="http://schemas.openxmlformats.org/officeDocument/2006/relationships/hyperlink" Target="https://www.macrotrends.net/stocks/charts/NKE/nike/revenue" TargetMode="External"/><Relationship Id="rId39" Type="http://schemas.openxmlformats.org/officeDocument/2006/relationships/hyperlink" Target="https://en.wikipedia.org/wiki/Nike,_Inc." TargetMode="External"/><Relationship Id="rId21" Type="http://schemas.openxmlformats.org/officeDocument/2006/relationships/hyperlink" Target="https://hbsp.harvard.edu/cases/" TargetMode="External"/><Relationship Id="rId34" Type="http://schemas.openxmlformats.org/officeDocument/2006/relationships/hyperlink" Target="https://www.statista.com/statistics/900271/leading-sportswear-and-performance-wear-companies-by-sales-worldwide/"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cfmodeling.com/products/nke-pestel-analysis" TargetMode="External"/><Relationship Id="rId20" Type="http://schemas.openxmlformats.org/officeDocument/2006/relationships/hyperlink" Target="https://goldenowl.asia/blog/nikes-digital-transformation-real-examples" TargetMode="External"/><Relationship Id="rId29" Type="http://schemas.openxmlformats.org/officeDocument/2006/relationships/hyperlink" Target="https://investors.nike.com/investors/news-events-and-reports/"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https://www.pearson.com/en-us/subject-catalog/p/strategic-management-and-competitive-advantage-concepts-and-cases/P200000005955" TargetMode="External"/><Relationship Id="rId24" Type="http://schemas.openxmlformats.org/officeDocument/2006/relationships/hyperlink" Target="https://www.hbs.edu/faculty/Pages/item.aspx?num=383" TargetMode="External"/><Relationship Id="rId32" Type="http://schemas.openxmlformats.org/officeDocument/2006/relationships/hyperlink" Target="https://www.google.com/search?q=https://www.google.co.uk/books/edition/_/H_6_AAAAMAAJ" TargetMode="External"/><Relationship Id="rId37" Type="http://schemas.openxmlformats.org/officeDocument/2006/relationships/hyperlink" Target="https://thisrockesg.com/sustainability/nike-sustainability-report/" TargetMode="External"/><Relationship Id="rId40" Type="http://schemas.openxmlformats.org/officeDocument/2006/relationships/hyperlink" Target="https://zoommetrix.com/marketing-strategy/nike-dtc-journey-ambition-challenges-and-realignment/" TargetMode="External"/><Relationship Id="rId5" Type="http://schemas.openxmlformats.org/officeDocument/2006/relationships/webSettings" Target="webSettings.xml"/><Relationship Id="rId15" Type="http://schemas.openxmlformats.org/officeDocument/2006/relationships/hyperlink" Target="https://www.google.com/search?q=https://www.bloomsbury.com/uk/study-skills-handbook-9781352007718/" TargetMode="External"/><Relationship Id="rId23" Type="http://schemas.openxmlformats.org/officeDocument/2006/relationships/hyperlink" Target="https://hbr.org/1992/01/the-balanced-scorecard-measures-that-drive-performance-2" TargetMode="External"/><Relationship Id="rId28" Type="http://schemas.openxmlformats.org/officeDocument/2006/relationships/hyperlink" Target="https://www.nike.com/sustainability" TargetMode="External"/><Relationship Id="rId36" Type="http://schemas.openxmlformats.org/officeDocument/2006/relationships/hyperlink" Target="https://thestrategystory.com/blog/nike-pestel-analysis/" TargetMode="External"/><Relationship Id="rId10" Type="http://schemas.openxmlformats.org/officeDocument/2006/relationships/hyperlink" Target="https://doi.org/10.1177/014920639101700108" TargetMode="External"/><Relationship Id="rId19" Type="http://schemas.openxmlformats.org/officeDocument/2006/relationships/hyperlink" Target="https://www.google.com/search?q=https://archive.org/details/learningbydoingg0000gibb" TargetMode="External"/><Relationship Id="rId31" Type="http://schemas.openxmlformats.org/officeDocument/2006/relationships/hyperlink" Target="https://pestleanalysis.com/pestle-analysis-of-nike/"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ogle.com/search?q=https://hbr.org/1957/09/strategies-for-diversification" TargetMode="External"/><Relationship Id="rId14" Type="http://schemas.openxmlformats.org/officeDocument/2006/relationships/hyperlink" Target="https://www.cognitute.org/case-study/running-forward-how-nike-rewired-its-business-for-the-digital-age" TargetMode="External"/><Relationship Id="rId22" Type="http://schemas.openxmlformats.org/officeDocument/2006/relationships/hyperlink" Target="https://www.google.com/search?q=https://www.pearson.com/en-gb/subject-catalog/p/exploring-strategy/P200000003759" TargetMode="External"/><Relationship Id="rId27" Type="http://schemas.openxmlformats.org/officeDocument/2006/relationships/hyperlink" Target="https://investors.nike.com/investors/news-events-and-reports/" TargetMode="External"/><Relationship Id="rId30" Type="http://schemas.openxmlformats.org/officeDocument/2006/relationships/hyperlink" Target="https://doi.org/10.1006/mare.1999.0121" TargetMode="External"/><Relationship Id="rId35" Type="http://schemas.openxmlformats.org/officeDocument/2006/relationships/hyperlink" Target="https://techtidesolutions.com/blog/nike-digital-transformation/"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britannica.com/topic/Nike-Inc" TargetMode="External"/><Relationship Id="rId17" Type="http://schemas.openxmlformats.org/officeDocument/2006/relationships/hyperlink" Target="https://www.google.com/search?q=https://fashionbi.com/insights/nike-inc-fy-2025-financial-performance-resetting-scale-channels-and-brand-momentum" TargetMode="External"/><Relationship Id="rId25" Type="http://schemas.openxmlformats.org/officeDocument/2006/relationships/hyperlink" Target="https://doi.org/10.1177/001872674700100103" TargetMode="External"/><Relationship Id="rId33" Type="http://schemas.openxmlformats.org/officeDocument/2006/relationships/hyperlink" Target="https://www.google.com/search?q=https://www.scribd.com/document/400985010/Nike-s-Core-Competency" TargetMode="External"/><Relationship Id="rId38" Type="http://schemas.openxmlformats.org/officeDocument/2006/relationships/hyperlink" Target="https://www.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B691B-14B7-47B4-A16A-6C79A928D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6454</Words>
  <Characters>36794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Nihar Devani</cp:lastModifiedBy>
  <cp:revision>8</cp:revision>
  <dcterms:created xsi:type="dcterms:W3CDTF">2026-04-01T01:37:00Z</dcterms:created>
  <dcterms:modified xsi:type="dcterms:W3CDTF">2026-04-01T01:55:00Z</dcterms:modified>
</cp:coreProperties>
</file>