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59FEB9" w14:textId="46C0E8C0" w:rsidR="002F0165" w:rsidRDefault="002F0165" w:rsidP="00AB1AD1">
      <w:pPr>
        <w:pStyle w:val="BodyText"/>
        <w:spacing w:before="162" w:line="360" w:lineRule="auto"/>
        <w:ind w:right="283"/>
        <w:jc w:val="both"/>
        <w:rPr>
          <w:rFonts w:ascii="Calibri" w:hAnsi="Calibri" w:cs="Calibri"/>
          <w:b/>
          <w:bCs/>
          <w:sz w:val="24"/>
          <w:szCs w:val="24"/>
          <w:u w:val="single"/>
        </w:rPr>
      </w:pPr>
      <w:r w:rsidRPr="002F0165">
        <w:rPr>
          <w:rFonts w:ascii="Calibri" w:hAnsi="Calibri" w:cs="Calibri"/>
          <w:b/>
          <w:bCs/>
          <w:sz w:val="24"/>
          <w:szCs w:val="24"/>
          <w:u w:val="single"/>
        </w:rPr>
        <w:t>CIPD 5C</w:t>
      </w:r>
      <w:r>
        <w:rPr>
          <w:rFonts w:ascii="Calibri" w:hAnsi="Calibri" w:cs="Calibri"/>
          <w:b/>
          <w:bCs/>
          <w:sz w:val="24"/>
          <w:szCs w:val="24"/>
          <w:u w:val="single"/>
        </w:rPr>
        <w:t>O</w:t>
      </w:r>
      <w:r w:rsidRPr="002F0165">
        <w:rPr>
          <w:rFonts w:ascii="Calibri" w:hAnsi="Calibri" w:cs="Calibri"/>
          <w:b/>
          <w:bCs/>
          <w:sz w:val="24"/>
          <w:szCs w:val="24"/>
          <w:u w:val="single"/>
        </w:rPr>
        <w:t>02 – Evidence-based practice</w:t>
      </w:r>
      <w:r>
        <w:rPr>
          <w:rFonts w:ascii="Calibri" w:hAnsi="Calibri" w:cs="Calibri"/>
          <w:b/>
          <w:bCs/>
          <w:sz w:val="24"/>
          <w:szCs w:val="24"/>
          <w:u w:val="single"/>
        </w:rPr>
        <w:t xml:space="preserve"> </w:t>
      </w:r>
    </w:p>
    <w:p w14:paraId="35ABF3C6" w14:textId="07E5DD81" w:rsidR="002F0165" w:rsidRPr="002F0165" w:rsidRDefault="002F0165" w:rsidP="00AB1AD1">
      <w:pPr>
        <w:pStyle w:val="BodyText"/>
        <w:spacing w:before="162" w:line="360" w:lineRule="auto"/>
        <w:ind w:right="283"/>
        <w:jc w:val="both"/>
        <w:rPr>
          <w:rFonts w:ascii="Calibri" w:hAnsi="Calibri" w:cs="Calibri"/>
          <w:b/>
          <w:bCs/>
          <w:sz w:val="24"/>
          <w:szCs w:val="24"/>
          <w:u w:val="single"/>
        </w:rPr>
      </w:pPr>
      <w:r>
        <w:rPr>
          <w:rFonts w:ascii="Calibri" w:hAnsi="Calibri" w:cs="Calibri"/>
          <w:b/>
          <w:bCs/>
          <w:sz w:val="24"/>
          <w:szCs w:val="24"/>
          <w:u w:val="single"/>
        </w:rPr>
        <w:t>Section One - report</w:t>
      </w:r>
    </w:p>
    <w:p w14:paraId="0A029CBC" w14:textId="33EC7687" w:rsidR="0039206B" w:rsidRDefault="0039206B" w:rsidP="002F0165">
      <w:pPr>
        <w:pStyle w:val="BodyText"/>
        <w:spacing w:before="162" w:line="360" w:lineRule="auto"/>
        <w:ind w:right="283"/>
        <w:jc w:val="both"/>
        <w:rPr>
          <w:rFonts w:ascii="Calibri" w:hAnsi="Calibri" w:cs="Calibri"/>
          <w:b/>
          <w:bCs/>
        </w:rPr>
      </w:pPr>
      <w:r w:rsidRPr="00AB1AD1">
        <w:rPr>
          <w:rFonts w:ascii="Calibri" w:hAnsi="Calibri" w:cs="Calibri"/>
          <w:b/>
          <w:bCs/>
        </w:rPr>
        <w:t>Evaluate the concept of evidence-based practice and assess how approaches to evidence-based practice can be used to provide insight that supports sound decision-making across a range of people practices and organisational issues. (AC 1.1)</w:t>
      </w:r>
    </w:p>
    <w:p w14:paraId="443DDC3B" w14:textId="77777777" w:rsidR="002F0165" w:rsidRPr="00AB1AD1" w:rsidRDefault="002F0165" w:rsidP="002F0165">
      <w:pPr>
        <w:pStyle w:val="BodyText"/>
        <w:spacing w:before="162" w:line="360" w:lineRule="auto"/>
        <w:ind w:right="283"/>
        <w:jc w:val="both"/>
        <w:rPr>
          <w:rFonts w:ascii="Calibri" w:hAnsi="Calibri" w:cs="Calibri"/>
          <w:b/>
          <w:bCs/>
        </w:rPr>
      </w:pPr>
    </w:p>
    <w:p w14:paraId="6F13FB33" w14:textId="7D881EDE" w:rsidR="009E7756" w:rsidRPr="00AB1AD1" w:rsidRDefault="0039206B" w:rsidP="002F0165">
      <w:pPr>
        <w:spacing w:line="360" w:lineRule="auto"/>
        <w:jc w:val="both"/>
        <w:rPr>
          <w:rFonts w:ascii="Calibri" w:hAnsi="Calibri" w:cs="Calibri"/>
        </w:rPr>
      </w:pPr>
      <w:r w:rsidRPr="00AB1AD1">
        <w:rPr>
          <w:rFonts w:ascii="Calibri" w:hAnsi="Calibri" w:cs="Calibri"/>
        </w:rPr>
        <w:t xml:space="preserve">Evidence-Based </w:t>
      </w:r>
      <w:r w:rsidR="00D5202F" w:rsidRPr="00AB1AD1">
        <w:rPr>
          <w:rFonts w:ascii="Calibri" w:hAnsi="Calibri" w:cs="Calibri"/>
        </w:rPr>
        <w:t>practice</w:t>
      </w:r>
      <w:r w:rsidR="009E65CA" w:rsidRPr="00AB1AD1">
        <w:rPr>
          <w:rFonts w:ascii="Calibri" w:hAnsi="Calibri" w:cs="Calibri"/>
        </w:rPr>
        <w:t xml:space="preserve"> (EBP)</w:t>
      </w:r>
      <w:r w:rsidR="00D5202F" w:rsidRPr="00AB1AD1">
        <w:rPr>
          <w:rFonts w:ascii="Calibri" w:hAnsi="Calibri" w:cs="Calibri"/>
        </w:rPr>
        <w:t xml:space="preserve"> involves making a</w:t>
      </w:r>
      <w:r w:rsidR="009E65CA" w:rsidRPr="00AB1AD1">
        <w:rPr>
          <w:rFonts w:ascii="Calibri" w:hAnsi="Calibri" w:cs="Calibri"/>
        </w:rPr>
        <w:t>n effective</w:t>
      </w:r>
      <w:r w:rsidR="00D5202F" w:rsidRPr="00AB1AD1">
        <w:rPr>
          <w:rFonts w:ascii="Calibri" w:hAnsi="Calibri" w:cs="Calibri"/>
        </w:rPr>
        <w:t xml:space="preserve"> decision by using good quality evidence and critical thinking. </w:t>
      </w:r>
      <w:r w:rsidR="00A43B34" w:rsidRPr="00AB1AD1">
        <w:rPr>
          <w:rFonts w:ascii="Calibri" w:hAnsi="Calibri" w:cs="Calibri"/>
        </w:rPr>
        <w:t xml:space="preserve">EBP increases the likelihood of a favourable outcome; it doesn’t guarantee a certain outcome, but it will aid toward making a more informed decision and </w:t>
      </w:r>
      <w:r w:rsidR="00292829" w:rsidRPr="00AB1AD1">
        <w:rPr>
          <w:rFonts w:ascii="Calibri" w:hAnsi="Calibri" w:cs="Calibri"/>
        </w:rPr>
        <w:t>reduce</w:t>
      </w:r>
      <w:r w:rsidR="00A43B34" w:rsidRPr="00AB1AD1">
        <w:rPr>
          <w:rFonts w:ascii="Calibri" w:hAnsi="Calibri" w:cs="Calibri"/>
        </w:rPr>
        <w:t xml:space="preserve"> uncertainty</w:t>
      </w:r>
      <w:r w:rsidR="00292829" w:rsidRPr="00AB1AD1">
        <w:rPr>
          <w:rFonts w:ascii="Calibri" w:hAnsi="Calibri" w:cs="Calibri"/>
        </w:rPr>
        <w:t xml:space="preserve"> (Gifford</w:t>
      </w:r>
      <w:r w:rsidR="001A0FD9">
        <w:rPr>
          <w:rFonts w:ascii="Calibri" w:hAnsi="Calibri" w:cs="Calibri"/>
        </w:rPr>
        <w:t xml:space="preserve">, </w:t>
      </w:r>
      <w:r w:rsidR="00E83D62">
        <w:rPr>
          <w:rFonts w:ascii="Calibri" w:hAnsi="Calibri" w:cs="Calibri"/>
        </w:rPr>
        <w:t>Barends</w:t>
      </w:r>
      <w:r w:rsidR="001A0FD9">
        <w:rPr>
          <w:rFonts w:ascii="Calibri" w:hAnsi="Calibri" w:cs="Calibri"/>
        </w:rPr>
        <w:t xml:space="preserve"> and </w:t>
      </w:r>
      <w:r w:rsidR="00E83D62">
        <w:rPr>
          <w:rFonts w:ascii="Calibri" w:hAnsi="Calibri" w:cs="Calibri"/>
        </w:rPr>
        <w:t>Young</w:t>
      </w:r>
      <w:r w:rsidR="001A0FD9">
        <w:rPr>
          <w:rFonts w:ascii="Calibri" w:hAnsi="Calibri" w:cs="Calibri"/>
        </w:rPr>
        <w:t>,</w:t>
      </w:r>
      <w:r w:rsidR="00292829" w:rsidRPr="00AB1AD1">
        <w:rPr>
          <w:rFonts w:ascii="Calibri" w:hAnsi="Calibri" w:cs="Calibri"/>
        </w:rPr>
        <w:t xml:space="preserve"> 2023</w:t>
      </w:r>
      <w:r w:rsidR="00A43B34" w:rsidRPr="00AB1AD1">
        <w:rPr>
          <w:rFonts w:ascii="Calibri" w:hAnsi="Calibri" w:cs="Calibri"/>
        </w:rPr>
        <w:t>)</w:t>
      </w:r>
      <w:r w:rsidR="00292829" w:rsidRPr="00AB1AD1">
        <w:rPr>
          <w:rFonts w:ascii="Calibri" w:hAnsi="Calibri" w:cs="Calibri"/>
        </w:rPr>
        <w:t>.</w:t>
      </w:r>
      <w:r w:rsidR="00A43B34" w:rsidRPr="00AB1AD1">
        <w:rPr>
          <w:rFonts w:ascii="Calibri" w:hAnsi="Calibri" w:cs="Calibri"/>
        </w:rPr>
        <w:t xml:space="preserve"> </w:t>
      </w:r>
      <w:r w:rsidR="00D5202F" w:rsidRPr="00AB1AD1">
        <w:rPr>
          <w:rFonts w:ascii="Calibri" w:hAnsi="Calibri" w:cs="Calibri"/>
        </w:rPr>
        <w:t xml:space="preserve"> </w:t>
      </w:r>
      <w:r w:rsidR="0040294F" w:rsidRPr="00AB1AD1">
        <w:rPr>
          <w:rFonts w:ascii="Calibri" w:hAnsi="Calibri" w:cs="Calibri"/>
        </w:rPr>
        <w:t xml:space="preserve">Briner (2019) emphasises the importance of making a conscientious, explicit, and judicious use of the best available evidence, rather than relying on any random evidence we might encounter. </w:t>
      </w:r>
      <w:r w:rsidR="00BF7995" w:rsidRPr="00AB1AD1">
        <w:rPr>
          <w:rFonts w:ascii="Calibri" w:hAnsi="Calibri" w:cs="Calibri"/>
        </w:rPr>
        <w:t xml:space="preserve">By using EBP, </w:t>
      </w:r>
      <w:r w:rsidR="006B327A" w:rsidRPr="00AB1AD1">
        <w:rPr>
          <w:rFonts w:ascii="Calibri" w:hAnsi="Calibri" w:cs="Calibri"/>
        </w:rPr>
        <w:t>we ensure</w:t>
      </w:r>
      <w:r w:rsidR="00BF7995" w:rsidRPr="00AB1AD1">
        <w:rPr>
          <w:rFonts w:ascii="Calibri" w:hAnsi="Calibri" w:cs="Calibri"/>
        </w:rPr>
        <w:t xml:space="preserve"> </w:t>
      </w:r>
      <w:r w:rsidR="006B327A" w:rsidRPr="00AB1AD1">
        <w:rPr>
          <w:rFonts w:ascii="Calibri" w:hAnsi="Calibri" w:cs="Calibri"/>
        </w:rPr>
        <w:t>we</w:t>
      </w:r>
      <w:r w:rsidR="00BF7995" w:rsidRPr="00AB1AD1">
        <w:rPr>
          <w:rFonts w:ascii="Calibri" w:hAnsi="Calibri" w:cs="Calibri"/>
        </w:rPr>
        <w:t xml:space="preserve"> mak</w:t>
      </w:r>
      <w:r w:rsidR="006B327A" w:rsidRPr="00AB1AD1">
        <w:rPr>
          <w:rFonts w:ascii="Calibri" w:hAnsi="Calibri" w:cs="Calibri"/>
        </w:rPr>
        <w:t>e</w:t>
      </w:r>
      <w:r w:rsidR="00BF7995" w:rsidRPr="00AB1AD1">
        <w:rPr>
          <w:rFonts w:ascii="Calibri" w:hAnsi="Calibri" w:cs="Calibri"/>
        </w:rPr>
        <w:t xml:space="preserve"> decisions based on fact rather than </w:t>
      </w:r>
      <w:r w:rsidR="00A50F6B" w:rsidRPr="00AB1AD1">
        <w:rPr>
          <w:rFonts w:ascii="Calibri" w:hAnsi="Calibri" w:cs="Calibri"/>
        </w:rPr>
        <w:t xml:space="preserve">factors such as </w:t>
      </w:r>
      <w:r w:rsidR="00BF7995" w:rsidRPr="00AB1AD1">
        <w:rPr>
          <w:rFonts w:ascii="Calibri" w:hAnsi="Calibri" w:cs="Calibri"/>
        </w:rPr>
        <w:t>natural bias, outdated insights and ‘so call</w:t>
      </w:r>
      <w:r w:rsidR="00E83D62">
        <w:rPr>
          <w:rFonts w:ascii="Calibri" w:hAnsi="Calibri" w:cs="Calibri"/>
        </w:rPr>
        <w:t>e</w:t>
      </w:r>
      <w:r w:rsidR="00BF7995" w:rsidRPr="00AB1AD1">
        <w:rPr>
          <w:rFonts w:ascii="Calibri" w:hAnsi="Calibri" w:cs="Calibri"/>
        </w:rPr>
        <w:t>d’ best practice</w:t>
      </w:r>
      <w:r w:rsidR="00A50F6B" w:rsidRPr="00AB1AD1">
        <w:rPr>
          <w:rFonts w:ascii="Calibri" w:hAnsi="Calibri" w:cs="Calibri"/>
        </w:rPr>
        <w:t xml:space="preserve"> (Young, 2023).</w:t>
      </w:r>
      <w:r w:rsidR="009E65CA" w:rsidRPr="00AB1AD1">
        <w:rPr>
          <w:rFonts w:ascii="Calibri" w:hAnsi="Calibri" w:cs="Calibri"/>
        </w:rPr>
        <w:t xml:space="preserve"> </w:t>
      </w:r>
    </w:p>
    <w:p w14:paraId="284FB310" w14:textId="158872C2" w:rsidR="00F258E9" w:rsidRPr="00AB1AD1" w:rsidRDefault="00F258E9" w:rsidP="00AB1AD1">
      <w:pPr>
        <w:spacing w:line="360" w:lineRule="auto"/>
        <w:jc w:val="both"/>
        <w:rPr>
          <w:rFonts w:ascii="Calibri" w:hAnsi="Calibri" w:cs="Calibri"/>
        </w:rPr>
      </w:pPr>
      <w:r w:rsidRPr="00AB1AD1">
        <w:rPr>
          <w:rFonts w:ascii="Calibri" w:hAnsi="Calibri" w:cs="Calibri"/>
        </w:rPr>
        <w:t>There are four defined sources of evidence used by evidence-based people professional</w:t>
      </w:r>
      <w:r w:rsidR="006366AD" w:rsidRPr="00AB1AD1">
        <w:rPr>
          <w:rFonts w:ascii="Calibri" w:hAnsi="Calibri" w:cs="Calibri"/>
        </w:rPr>
        <w:t>s</w:t>
      </w:r>
      <w:r w:rsidRPr="00AB1AD1">
        <w:rPr>
          <w:rFonts w:ascii="Calibri" w:hAnsi="Calibri" w:cs="Calibri"/>
        </w:rPr>
        <w:t xml:space="preserve"> to provide a more rounded view when making decisions: scientific literature, organisational data, stakeholder evidence, and practitioner expertise. The CIPD Profession Map emphasises the importance of evidence-based decision-making, setting a standard for individuals in the people profession to ensure they utilise evidence from multiple sources to optimise decisions (Young, 2023).</w:t>
      </w:r>
      <w:r w:rsidR="006E222C" w:rsidRPr="00AB1AD1">
        <w:rPr>
          <w:rFonts w:ascii="Calibri" w:hAnsi="Calibri" w:cs="Calibri"/>
        </w:rPr>
        <w:t xml:space="preserve"> Young continues by stating that collating evidence from different sources is important and encourages this through six steps: </w:t>
      </w:r>
      <w:r w:rsidR="006E222C" w:rsidRPr="00AB1AD1">
        <w:rPr>
          <w:rFonts w:ascii="Calibri" w:hAnsi="Calibri" w:cs="Calibri"/>
        </w:rPr>
        <w:t>ask, acquire, appraise, aggregate, apply and assess</w:t>
      </w:r>
      <w:r w:rsidR="006E222C" w:rsidRPr="00AB1AD1">
        <w:rPr>
          <w:rFonts w:ascii="Calibri" w:hAnsi="Calibri" w:cs="Calibri"/>
        </w:rPr>
        <w:t xml:space="preserve">. </w:t>
      </w:r>
    </w:p>
    <w:p w14:paraId="1D71FBC5" w14:textId="044D80AD" w:rsidR="00B65780" w:rsidRPr="00AB1AD1" w:rsidRDefault="00A50F6B" w:rsidP="00AB1AD1">
      <w:pPr>
        <w:spacing w:line="360" w:lineRule="auto"/>
        <w:jc w:val="both"/>
        <w:rPr>
          <w:rFonts w:ascii="Calibri" w:hAnsi="Calibri" w:cs="Calibri"/>
        </w:rPr>
      </w:pPr>
      <w:r w:rsidRPr="00AB1AD1">
        <w:rPr>
          <w:rFonts w:ascii="Calibri" w:hAnsi="Calibri" w:cs="Calibri"/>
        </w:rPr>
        <w:t xml:space="preserve">Although there are many benefits to using EBP, there </w:t>
      </w:r>
      <w:r w:rsidR="00302F47" w:rsidRPr="00AB1AD1">
        <w:rPr>
          <w:rFonts w:ascii="Calibri" w:hAnsi="Calibri" w:cs="Calibri"/>
        </w:rPr>
        <w:t>is also some resistance</w:t>
      </w:r>
      <w:r w:rsidRPr="00AB1AD1">
        <w:rPr>
          <w:rFonts w:ascii="Calibri" w:hAnsi="Calibri" w:cs="Calibri"/>
        </w:rPr>
        <w:t>.</w:t>
      </w:r>
      <w:r w:rsidR="00302F47" w:rsidRPr="00AB1AD1">
        <w:rPr>
          <w:rFonts w:ascii="Calibri" w:hAnsi="Calibri" w:cs="Calibri"/>
        </w:rPr>
        <w:t xml:space="preserve"> </w:t>
      </w:r>
      <w:r w:rsidR="006F0F54" w:rsidRPr="00AB1AD1">
        <w:rPr>
          <w:rFonts w:ascii="Calibri" w:hAnsi="Calibri" w:cs="Calibri"/>
        </w:rPr>
        <w:t>Firstly, EBP can be a more complex process, though it's not necessary for every decision. However, it is highly beneficial when reaching a significant outcome for the organisation. EBP</w:t>
      </w:r>
      <w:r w:rsidR="00687898" w:rsidRPr="00AB1AD1">
        <w:rPr>
          <w:rFonts w:ascii="Calibri" w:hAnsi="Calibri" w:cs="Calibri"/>
        </w:rPr>
        <w:t xml:space="preserve"> can </w:t>
      </w:r>
      <w:r w:rsidR="006F0F54" w:rsidRPr="00AB1AD1">
        <w:rPr>
          <w:rFonts w:ascii="Calibri" w:hAnsi="Calibri" w:cs="Calibri"/>
        </w:rPr>
        <w:t xml:space="preserve">also </w:t>
      </w:r>
      <w:r w:rsidR="00687898" w:rsidRPr="00AB1AD1">
        <w:rPr>
          <w:rFonts w:ascii="Calibri" w:hAnsi="Calibri" w:cs="Calibri"/>
        </w:rPr>
        <w:t xml:space="preserve">be a time-consuming process, which conflicts with the need to make a quick decision; gathering, processing and analysing organisation data can be </w:t>
      </w:r>
      <w:r w:rsidR="00302F47" w:rsidRPr="00AB1AD1">
        <w:rPr>
          <w:rFonts w:ascii="Calibri" w:hAnsi="Calibri" w:cs="Calibri"/>
        </w:rPr>
        <w:t>time intensive</w:t>
      </w:r>
      <w:r w:rsidR="00687898" w:rsidRPr="00AB1AD1">
        <w:rPr>
          <w:rFonts w:ascii="Calibri" w:hAnsi="Calibri" w:cs="Calibri"/>
        </w:rPr>
        <w:t xml:space="preserve">. </w:t>
      </w:r>
      <w:r w:rsidR="00864FEE" w:rsidRPr="00AB1AD1">
        <w:rPr>
          <w:rFonts w:ascii="Calibri" w:hAnsi="Calibri" w:cs="Calibri"/>
        </w:rPr>
        <w:t>Yet</w:t>
      </w:r>
      <w:r w:rsidR="00687898" w:rsidRPr="00AB1AD1">
        <w:rPr>
          <w:rFonts w:ascii="Calibri" w:hAnsi="Calibri" w:cs="Calibri"/>
        </w:rPr>
        <w:t xml:space="preserve">, EBP is designed to make the best decision, not necessarily the quickest. </w:t>
      </w:r>
    </w:p>
    <w:p w14:paraId="56380570" w14:textId="0CE21A1E" w:rsidR="0099254D" w:rsidRPr="00AB1AD1" w:rsidRDefault="005D5089" w:rsidP="00AB1AD1">
      <w:pPr>
        <w:spacing w:line="360" w:lineRule="auto"/>
        <w:jc w:val="both"/>
        <w:rPr>
          <w:rFonts w:ascii="Calibri" w:hAnsi="Calibri" w:cs="Calibri"/>
        </w:rPr>
      </w:pPr>
      <w:r w:rsidRPr="00AB1AD1">
        <w:rPr>
          <w:rFonts w:ascii="Calibri" w:hAnsi="Calibri" w:cs="Calibri"/>
        </w:rPr>
        <w:t xml:space="preserve">Within </w:t>
      </w:r>
      <w:r w:rsidR="00006B6D" w:rsidRPr="00AB1AD1">
        <w:rPr>
          <w:rFonts w:ascii="Calibri" w:hAnsi="Calibri" w:cs="Calibri"/>
        </w:rPr>
        <w:t>evidence-based</w:t>
      </w:r>
      <w:r w:rsidRPr="00AB1AD1">
        <w:rPr>
          <w:rFonts w:ascii="Calibri" w:hAnsi="Calibri" w:cs="Calibri"/>
        </w:rPr>
        <w:t xml:space="preserve"> practice, there are a variety of different models for decision making</w:t>
      </w:r>
      <w:r w:rsidR="00006B6D" w:rsidRPr="00AB1AD1">
        <w:rPr>
          <w:rFonts w:ascii="Calibri" w:hAnsi="Calibri" w:cs="Calibri"/>
        </w:rPr>
        <w:t xml:space="preserve"> such as t</w:t>
      </w:r>
      <w:r w:rsidRPr="00AB1AD1">
        <w:rPr>
          <w:rFonts w:ascii="Calibri" w:hAnsi="Calibri" w:cs="Calibri"/>
        </w:rPr>
        <w:t>he Rational Model</w:t>
      </w:r>
      <w:r w:rsidR="00006B6D" w:rsidRPr="00AB1AD1">
        <w:rPr>
          <w:rFonts w:ascii="Calibri" w:hAnsi="Calibri" w:cs="Calibri"/>
        </w:rPr>
        <w:t>. This model</w:t>
      </w:r>
      <w:r w:rsidRPr="00AB1AD1">
        <w:rPr>
          <w:rFonts w:ascii="Calibri" w:hAnsi="Calibri" w:cs="Calibri"/>
        </w:rPr>
        <w:t xml:space="preserve"> involves </w:t>
      </w:r>
      <w:r w:rsidR="006366AD" w:rsidRPr="00AB1AD1">
        <w:rPr>
          <w:rFonts w:ascii="Calibri" w:hAnsi="Calibri" w:cs="Calibri"/>
        </w:rPr>
        <w:t>several</w:t>
      </w:r>
      <w:r w:rsidRPr="00AB1AD1">
        <w:rPr>
          <w:rFonts w:ascii="Calibri" w:hAnsi="Calibri" w:cs="Calibri"/>
        </w:rPr>
        <w:t xml:space="preserve"> methodical steps to </w:t>
      </w:r>
      <w:r w:rsidR="00006B6D" w:rsidRPr="00AB1AD1">
        <w:rPr>
          <w:rFonts w:ascii="Calibri" w:hAnsi="Calibri" w:cs="Calibri"/>
        </w:rPr>
        <w:t xml:space="preserve">support decision making, starting with identifying a problem, to gathering </w:t>
      </w:r>
      <w:proofErr w:type="gramStart"/>
      <w:r w:rsidR="00006B6D" w:rsidRPr="00AB1AD1">
        <w:rPr>
          <w:rFonts w:ascii="Calibri" w:hAnsi="Calibri" w:cs="Calibri"/>
        </w:rPr>
        <w:t>factual information</w:t>
      </w:r>
      <w:proofErr w:type="gramEnd"/>
      <w:r w:rsidR="00006B6D" w:rsidRPr="00AB1AD1">
        <w:rPr>
          <w:rFonts w:ascii="Calibri" w:hAnsi="Calibri" w:cs="Calibri"/>
        </w:rPr>
        <w:t xml:space="preserve"> before arriving at a decision. </w:t>
      </w:r>
      <w:r w:rsidR="0099254D" w:rsidRPr="00AB1AD1">
        <w:rPr>
          <w:rFonts w:ascii="Calibri" w:hAnsi="Calibri" w:cs="Calibri"/>
        </w:rPr>
        <w:t xml:space="preserve">Although the rational model offers a structured framework for decision-making, it is a more advanced method that can be time-consuming and costly. Therefore, it is </w:t>
      </w:r>
      <w:r w:rsidR="006B327A" w:rsidRPr="00AB1AD1">
        <w:rPr>
          <w:rFonts w:ascii="Calibri" w:hAnsi="Calibri" w:cs="Calibri"/>
        </w:rPr>
        <w:t>highly</w:t>
      </w:r>
      <w:r w:rsidR="0099254D" w:rsidRPr="00AB1AD1">
        <w:rPr>
          <w:rFonts w:ascii="Calibri" w:hAnsi="Calibri" w:cs="Calibri"/>
        </w:rPr>
        <w:t xml:space="preserve"> beneficial and effective when high stakes are involved (</w:t>
      </w:r>
      <w:proofErr w:type="spellStart"/>
      <w:r w:rsidR="0099254D" w:rsidRPr="00AB1AD1">
        <w:rPr>
          <w:rFonts w:ascii="Calibri" w:hAnsi="Calibri" w:cs="Calibri"/>
        </w:rPr>
        <w:t>Uzonwanne</w:t>
      </w:r>
      <w:proofErr w:type="spellEnd"/>
      <w:r w:rsidR="0099254D" w:rsidRPr="00AB1AD1">
        <w:rPr>
          <w:rFonts w:ascii="Calibri" w:hAnsi="Calibri" w:cs="Calibri"/>
        </w:rPr>
        <w:t xml:space="preserve">, 2016). </w:t>
      </w:r>
      <w:r w:rsidR="006B327A" w:rsidRPr="00AB1AD1">
        <w:rPr>
          <w:rFonts w:ascii="Calibri" w:hAnsi="Calibri" w:cs="Calibri"/>
        </w:rPr>
        <w:t xml:space="preserve">Challenging the rational model is Simon’s Bounded Rationality theory, </w:t>
      </w:r>
      <w:r w:rsidR="006B327A" w:rsidRPr="00AB1AD1">
        <w:rPr>
          <w:rFonts w:ascii="Calibri" w:hAnsi="Calibri" w:cs="Calibri"/>
        </w:rPr>
        <w:lastRenderedPageBreak/>
        <w:t xml:space="preserve">which argues that individuals have limited cognitive abilities to process and analyse information </w:t>
      </w:r>
      <w:r w:rsidR="000A36AC" w:rsidRPr="00AB1AD1">
        <w:rPr>
          <w:rFonts w:ascii="Calibri" w:hAnsi="Calibri" w:cs="Calibri"/>
        </w:rPr>
        <w:t>to</w:t>
      </w:r>
      <w:r w:rsidR="006B327A" w:rsidRPr="00AB1AD1">
        <w:rPr>
          <w:rFonts w:ascii="Calibri" w:hAnsi="Calibri" w:cs="Calibri"/>
        </w:rPr>
        <w:t xml:space="preserve"> make decisions, instead relying on heuristics and satisficing strategies.  </w:t>
      </w:r>
    </w:p>
    <w:p w14:paraId="47A83FAB" w14:textId="359DFD74" w:rsidR="00B65780" w:rsidRPr="00AB1AD1" w:rsidRDefault="002D2746" w:rsidP="00584A88">
      <w:pPr>
        <w:spacing w:line="360" w:lineRule="auto"/>
        <w:jc w:val="both"/>
        <w:rPr>
          <w:rFonts w:ascii="Calibri" w:hAnsi="Calibri" w:cs="Calibri"/>
        </w:rPr>
      </w:pPr>
      <w:r w:rsidRPr="00AB1AD1">
        <w:rPr>
          <w:rFonts w:ascii="Calibri" w:hAnsi="Calibri" w:cs="Calibri"/>
        </w:rPr>
        <w:t>Evidence-based practice can be utilised in the people profession to address organisational challenges like absence, performance issues, and employee engagement. Organisations with high turnover rates can benefit from implementing evidence-based strategies. By analysing data such as leaver statistics and exit interviews, trends can be identified to understand why employees are leaving. This information might reveal external factors, such as competitive market rates, or internal issues, such as ineffective management.</w:t>
      </w:r>
    </w:p>
    <w:p w14:paraId="7C9A2B83" w14:textId="77777777" w:rsidR="00584A88" w:rsidRDefault="00584A88" w:rsidP="00584A88">
      <w:pPr>
        <w:spacing w:before="120" w:after="0" w:line="360" w:lineRule="auto"/>
        <w:jc w:val="both"/>
        <w:rPr>
          <w:rFonts w:ascii="Calibri" w:hAnsi="Calibri" w:cs="Calibri"/>
          <w:b/>
          <w:bCs/>
          <w:color w:val="000000" w:themeColor="text1"/>
        </w:rPr>
      </w:pPr>
    </w:p>
    <w:p w14:paraId="450A751C" w14:textId="5FFE21FE" w:rsidR="003C72A9" w:rsidRDefault="003C72A9" w:rsidP="00584A88">
      <w:pPr>
        <w:spacing w:before="120" w:after="0" w:line="360" w:lineRule="auto"/>
        <w:jc w:val="both"/>
        <w:rPr>
          <w:rFonts w:ascii="Calibri" w:hAnsi="Calibri" w:cs="Calibri"/>
          <w:b/>
          <w:bCs/>
        </w:rPr>
      </w:pPr>
      <w:r w:rsidRPr="00AB1AD1">
        <w:rPr>
          <w:rFonts w:ascii="Calibri" w:hAnsi="Calibri" w:cs="Calibri"/>
          <w:b/>
          <w:bCs/>
          <w:color w:val="000000" w:themeColor="text1"/>
        </w:rPr>
        <w:t xml:space="preserve">Evaluate one appropriate analysis tool and one appropriate analysis method that might be </w:t>
      </w:r>
      <w:r w:rsidR="00584A88">
        <w:rPr>
          <w:rFonts w:ascii="Calibri" w:hAnsi="Calibri" w:cs="Calibri"/>
          <w:b/>
          <w:bCs/>
          <w:color w:val="000000" w:themeColor="text1"/>
        </w:rPr>
        <w:t>a</w:t>
      </w:r>
      <w:r w:rsidRPr="00AB1AD1">
        <w:rPr>
          <w:rFonts w:ascii="Calibri" w:hAnsi="Calibri" w:cs="Calibri"/>
          <w:b/>
          <w:bCs/>
          <w:color w:val="000000" w:themeColor="text1"/>
        </w:rPr>
        <w:t xml:space="preserve">pplied by organisations to recognise and diagnose issues, challenges, and opportunities. </w:t>
      </w:r>
      <w:r w:rsidRPr="00AB1AD1">
        <w:rPr>
          <w:rFonts w:ascii="Calibri" w:hAnsi="Calibri" w:cs="Calibri"/>
          <w:b/>
          <w:bCs/>
        </w:rPr>
        <w:t>(AC 1.2)</w:t>
      </w:r>
    </w:p>
    <w:p w14:paraId="2986FA4F" w14:textId="77777777" w:rsidR="00584A88" w:rsidRPr="00584A88" w:rsidRDefault="00584A88" w:rsidP="00584A88">
      <w:pPr>
        <w:spacing w:before="120" w:after="0" w:line="360" w:lineRule="auto"/>
        <w:jc w:val="both"/>
        <w:rPr>
          <w:rFonts w:ascii="Calibri" w:hAnsi="Calibri" w:cs="Calibri"/>
          <w:b/>
          <w:bCs/>
          <w:color w:val="000000" w:themeColor="text1"/>
        </w:rPr>
      </w:pPr>
    </w:p>
    <w:p w14:paraId="3A17FB24" w14:textId="20DBB066" w:rsidR="003C72A9" w:rsidRPr="00AB1AD1" w:rsidRDefault="003C72A9" w:rsidP="00584A88">
      <w:pPr>
        <w:spacing w:line="360" w:lineRule="auto"/>
        <w:jc w:val="both"/>
        <w:rPr>
          <w:rFonts w:ascii="Calibri" w:hAnsi="Calibri" w:cs="Calibri"/>
        </w:rPr>
      </w:pPr>
      <w:r w:rsidRPr="00AB1AD1">
        <w:rPr>
          <w:rFonts w:ascii="Calibri" w:hAnsi="Calibri" w:cs="Calibri"/>
        </w:rPr>
        <w:t xml:space="preserve">In people practice, a range of analysis tools are </w:t>
      </w:r>
      <w:r w:rsidR="007206F2" w:rsidRPr="00AB1AD1">
        <w:rPr>
          <w:rFonts w:ascii="Calibri" w:hAnsi="Calibri" w:cs="Calibri"/>
        </w:rPr>
        <w:t>used to identify organisational issues</w:t>
      </w:r>
      <w:r w:rsidRPr="00AB1AD1">
        <w:rPr>
          <w:rFonts w:ascii="Calibri" w:hAnsi="Calibri" w:cs="Calibri"/>
        </w:rPr>
        <w:t xml:space="preserve">, including environmental tools such as Porter's Five Forces, PESTLE, Fishbone analysis, and SWOT. </w:t>
      </w:r>
    </w:p>
    <w:p w14:paraId="0C1FBBD9" w14:textId="50700F2E" w:rsidR="003C72A9" w:rsidRPr="00AB1AD1" w:rsidRDefault="003C72A9" w:rsidP="00AB1AD1">
      <w:pPr>
        <w:spacing w:line="360" w:lineRule="auto"/>
        <w:jc w:val="both"/>
        <w:rPr>
          <w:rFonts w:ascii="Calibri" w:hAnsi="Calibri" w:cs="Calibri"/>
        </w:rPr>
      </w:pPr>
      <w:r w:rsidRPr="00AB1AD1">
        <w:rPr>
          <w:rFonts w:ascii="Calibri" w:hAnsi="Calibri" w:cs="Calibri"/>
        </w:rPr>
        <w:t xml:space="preserve">PESTLE stands for </w:t>
      </w:r>
      <w:r w:rsidR="007206F2" w:rsidRPr="00AB1AD1">
        <w:rPr>
          <w:rFonts w:ascii="Calibri" w:hAnsi="Calibri" w:cs="Calibri"/>
        </w:rPr>
        <w:t>Political, Economic, Sociological, Technological, Legal and Environmental. A PESTLE analysis is a tool that explores external factors that influence organisations which can subsequently impact strategy and business decisions</w:t>
      </w:r>
      <w:r w:rsidR="00AA0AD6" w:rsidRPr="00AB1AD1">
        <w:rPr>
          <w:rFonts w:ascii="Calibri" w:hAnsi="Calibri" w:cs="Calibri"/>
        </w:rPr>
        <w:t xml:space="preserve"> (Battista, 2024). </w:t>
      </w:r>
      <w:r w:rsidR="00D859E9" w:rsidRPr="00AB1AD1">
        <w:rPr>
          <w:rFonts w:ascii="Calibri" w:hAnsi="Calibri" w:cs="Calibri"/>
        </w:rPr>
        <w:t xml:space="preserve">PESTLE can </w:t>
      </w:r>
      <w:r w:rsidR="005B5CC5" w:rsidRPr="00AB1AD1">
        <w:rPr>
          <w:rFonts w:ascii="Calibri" w:hAnsi="Calibri" w:cs="Calibri"/>
        </w:rPr>
        <w:t>highlight</w:t>
      </w:r>
      <w:r w:rsidR="00D859E9" w:rsidRPr="00AB1AD1">
        <w:rPr>
          <w:rFonts w:ascii="Calibri" w:hAnsi="Calibri" w:cs="Calibri"/>
        </w:rPr>
        <w:t xml:space="preserve"> organisational risks and factors such as additional costs, which enables people practitioners to make informed decisions</w:t>
      </w:r>
      <w:r w:rsidR="005B5CC5" w:rsidRPr="00AB1AD1">
        <w:rPr>
          <w:rFonts w:ascii="Calibri" w:hAnsi="Calibri" w:cs="Calibri"/>
        </w:rPr>
        <w:t xml:space="preserve">, states Battista (2024). </w:t>
      </w:r>
    </w:p>
    <w:p w14:paraId="70E44CF1" w14:textId="62234851" w:rsidR="002D2746" w:rsidRPr="00AB1AD1" w:rsidRDefault="00EC5E1A" w:rsidP="00AB1AD1">
      <w:pPr>
        <w:spacing w:line="360" w:lineRule="auto"/>
        <w:jc w:val="both"/>
        <w:rPr>
          <w:rFonts w:ascii="Calibri" w:hAnsi="Calibri" w:cs="Calibri"/>
        </w:rPr>
      </w:pPr>
      <w:r w:rsidRPr="00AB1AD1">
        <w:rPr>
          <w:rFonts w:ascii="Calibri" w:hAnsi="Calibri" w:cs="Calibri"/>
        </w:rPr>
        <w:t>One significant external factor that can directly impact an organisation is the Government, particularly if there is a change in Government</w:t>
      </w:r>
      <w:r w:rsidR="006F2313" w:rsidRPr="00AB1AD1">
        <w:rPr>
          <w:rFonts w:ascii="Calibri" w:hAnsi="Calibri" w:cs="Calibri"/>
        </w:rPr>
        <w:t xml:space="preserve"> (Cadle</w:t>
      </w:r>
      <w:r w:rsidR="00E679B6">
        <w:rPr>
          <w:rFonts w:ascii="Calibri" w:hAnsi="Calibri" w:cs="Calibri"/>
        </w:rPr>
        <w:t>, Paul and Turner</w:t>
      </w:r>
      <w:r w:rsidR="006F2313" w:rsidRPr="00AB1AD1">
        <w:rPr>
          <w:rFonts w:ascii="Calibri" w:hAnsi="Calibri" w:cs="Calibri"/>
        </w:rPr>
        <w:t>, 2010).</w:t>
      </w:r>
      <w:r w:rsidRPr="00AB1AD1">
        <w:rPr>
          <w:rFonts w:ascii="Calibri" w:hAnsi="Calibri" w:cs="Calibri"/>
        </w:rPr>
        <w:t xml:space="preserve"> Such change can lead to several potential implications such as regulatory and legislative changes, employment law revisions and tax implications. </w:t>
      </w:r>
      <w:r w:rsidR="006366AD" w:rsidRPr="00AB1AD1">
        <w:rPr>
          <w:rFonts w:ascii="Calibri" w:hAnsi="Calibri" w:cs="Calibri"/>
        </w:rPr>
        <w:t xml:space="preserve">Economic factors that can have </w:t>
      </w:r>
      <w:r w:rsidR="002D6C93" w:rsidRPr="00AB1AD1">
        <w:rPr>
          <w:rFonts w:ascii="Calibri" w:hAnsi="Calibri" w:cs="Calibri"/>
        </w:rPr>
        <w:t xml:space="preserve">direct </w:t>
      </w:r>
      <w:r w:rsidR="006366AD" w:rsidRPr="00AB1AD1">
        <w:rPr>
          <w:rFonts w:ascii="Calibri" w:hAnsi="Calibri" w:cs="Calibri"/>
        </w:rPr>
        <w:t xml:space="preserve">impact on </w:t>
      </w:r>
      <w:r w:rsidR="002D6C93" w:rsidRPr="00AB1AD1">
        <w:rPr>
          <w:rFonts w:ascii="Calibri" w:hAnsi="Calibri" w:cs="Calibri"/>
        </w:rPr>
        <w:t>organisations include inflation rates, cost of living and interest rates</w:t>
      </w:r>
      <w:r w:rsidR="0077046E" w:rsidRPr="00AB1AD1">
        <w:rPr>
          <w:rFonts w:ascii="Calibri" w:hAnsi="Calibri" w:cs="Calibri"/>
        </w:rPr>
        <w:t>; potentially leading to organisational issues involving recruitment and retention</w:t>
      </w:r>
      <w:r w:rsidR="00296DA5" w:rsidRPr="00AB1AD1">
        <w:rPr>
          <w:rFonts w:ascii="Calibri" w:hAnsi="Calibri" w:cs="Calibri"/>
        </w:rPr>
        <w:t xml:space="preserve">. </w:t>
      </w:r>
      <w:r w:rsidR="008B4AF2" w:rsidRPr="00AB1AD1">
        <w:rPr>
          <w:rFonts w:ascii="Calibri" w:hAnsi="Calibri" w:cs="Calibri"/>
        </w:rPr>
        <w:t xml:space="preserve">Understanding social factors such as an ageing workforce and adapting to cultural trends like hybrid working is vital for HR to effectively adapt workforce planning and recruitment strategies. </w:t>
      </w:r>
    </w:p>
    <w:p w14:paraId="14FB2FD3" w14:textId="56D417D7" w:rsidR="008B4AF2" w:rsidRPr="00AB1AD1" w:rsidRDefault="008B4AF2" w:rsidP="00AB1AD1">
      <w:pPr>
        <w:spacing w:line="360" w:lineRule="auto"/>
        <w:jc w:val="both"/>
        <w:rPr>
          <w:rFonts w:ascii="Calibri" w:hAnsi="Calibri" w:cs="Calibri"/>
        </w:rPr>
      </w:pPr>
      <w:r w:rsidRPr="00AB1AD1">
        <w:rPr>
          <w:rFonts w:ascii="Calibri" w:hAnsi="Calibri" w:cs="Calibri"/>
        </w:rPr>
        <w:t xml:space="preserve">Technological </w:t>
      </w:r>
      <w:r w:rsidR="002C707A" w:rsidRPr="00AB1AD1">
        <w:rPr>
          <w:rFonts w:ascii="Calibri" w:hAnsi="Calibri" w:cs="Calibri"/>
        </w:rPr>
        <w:t>factors</w:t>
      </w:r>
      <w:r w:rsidRPr="00AB1AD1">
        <w:rPr>
          <w:rFonts w:ascii="Calibri" w:hAnsi="Calibri" w:cs="Calibri"/>
        </w:rPr>
        <w:t xml:space="preserve">, like the emerging use of </w:t>
      </w:r>
      <w:r w:rsidR="00925201" w:rsidRPr="00AB1AD1">
        <w:rPr>
          <w:rFonts w:ascii="Calibri" w:hAnsi="Calibri" w:cs="Calibri"/>
        </w:rPr>
        <w:t xml:space="preserve">automation and </w:t>
      </w:r>
      <w:r w:rsidRPr="00AB1AD1">
        <w:rPr>
          <w:rFonts w:ascii="Calibri" w:hAnsi="Calibri" w:cs="Calibri"/>
        </w:rPr>
        <w:t>artificial intelligence,</w:t>
      </w:r>
      <w:r w:rsidR="002C707A" w:rsidRPr="00AB1AD1">
        <w:rPr>
          <w:rFonts w:ascii="Calibri" w:hAnsi="Calibri" w:cs="Calibri"/>
        </w:rPr>
        <w:t xml:space="preserve"> could result in workforce changes</w:t>
      </w:r>
      <w:r w:rsidR="00925201" w:rsidRPr="00AB1AD1">
        <w:rPr>
          <w:rFonts w:ascii="Calibri" w:hAnsi="Calibri" w:cs="Calibri"/>
        </w:rPr>
        <w:t xml:space="preserve">; historic roles could be displaced with new roles created. </w:t>
      </w:r>
      <w:r w:rsidR="00F1719D" w:rsidRPr="00AB1AD1">
        <w:rPr>
          <w:rFonts w:ascii="Calibri" w:hAnsi="Calibri" w:cs="Calibri"/>
        </w:rPr>
        <w:t xml:space="preserve">Laws and regulations continuously evolve over time and can impact employment, so HR need to understand how these can affect policies within their organisations. Environmental </w:t>
      </w:r>
      <w:r w:rsidR="008C76B5" w:rsidRPr="00AB1AD1">
        <w:rPr>
          <w:rFonts w:ascii="Calibri" w:hAnsi="Calibri" w:cs="Calibri"/>
        </w:rPr>
        <w:t xml:space="preserve">disruptions, such as the COVID-19 pandemic, are a huge challenge to organisations and </w:t>
      </w:r>
      <w:r w:rsidR="00D859E9" w:rsidRPr="00AB1AD1">
        <w:rPr>
          <w:rFonts w:ascii="Calibri" w:hAnsi="Calibri" w:cs="Calibri"/>
        </w:rPr>
        <w:t>can redefine the way organisation’s function (</w:t>
      </w:r>
      <w:proofErr w:type="spellStart"/>
      <w:r w:rsidR="00D859E9" w:rsidRPr="00AB1AD1">
        <w:rPr>
          <w:rFonts w:ascii="Calibri" w:hAnsi="Calibri" w:cs="Calibri"/>
        </w:rPr>
        <w:t>Minbaeva</w:t>
      </w:r>
      <w:proofErr w:type="spellEnd"/>
      <w:r w:rsidR="00D859E9" w:rsidRPr="00AB1AD1">
        <w:rPr>
          <w:rFonts w:ascii="Calibri" w:hAnsi="Calibri" w:cs="Calibri"/>
        </w:rPr>
        <w:t xml:space="preserve"> </w:t>
      </w:r>
      <w:r w:rsidR="00AA1957">
        <w:rPr>
          <w:rFonts w:ascii="Calibri" w:hAnsi="Calibri" w:cs="Calibri"/>
        </w:rPr>
        <w:t>and</w:t>
      </w:r>
      <w:r w:rsidR="00D859E9" w:rsidRPr="00AB1AD1">
        <w:rPr>
          <w:rFonts w:ascii="Calibri" w:hAnsi="Calibri" w:cs="Calibri"/>
        </w:rPr>
        <w:t xml:space="preserve"> </w:t>
      </w:r>
      <w:r w:rsidR="00D859E9" w:rsidRPr="00AB1AD1">
        <w:rPr>
          <w:rFonts w:ascii="Calibri" w:hAnsi="Calibri" w:cs="Calibri"/>
        </w:rPr>
        <w:lastRenderedPageBreak/>
        <w:t>Navrbjerg, 2023). Other environmental factors include global warming and natural occurring elements which could results in needing to switch to sustainable resources (Battista, 2024).</w:t>
      </w:r>
      <w:r w:rsidR="00D859E9" w:rsidRPr="00AB1AD1">
        <w:rPr>
          <w:rStyle w:val="Strong"/>
          <w:rFonts w:ascii="Calibri" w:hAnsi="Calibri" w:cs="Calibri"/>
          <w:color w:val="202020"/>
          <w:sz w:val="27"/>
          <w:szCs w:val="27"/>
          <w:shd w:val="clear" w:color="auto" w:fill="FFFFFF"/>
        </w:rPr>
        <w:t xml:space="preserve">  </w:t>
      </w:r>
    </w:p>
    <w:p w14:paraId="78E25B2F" w14:textId="790BEA34" w:rsidR="00B65780" w:rsidRPr="00AB1AD1" w:rsidRDefault="0049792B" w:rsidP="00AB1AD1">
      <w:pPr>
        <w:spacing w:line="360" w:lineRule="auto"/>
        <w:jc w:val="both"/>
        <w:rPr>
          <w:rFonts w:ascii="Calibri" w:hAnsi="Calibri" w:cs="Calibri"/>
        </w:rPr>
      </w:pPr>
      <w:r w:rsidRPr="00AB1AD1">
        <w:rPr>
          <w:rFonts w:ascii="Calibri" w:hAnsi="Calibri" w:cs="Calibri"/>
        </w:rPr>
        <w:t>Using PESTLE as a people practitioner offers many advantages, including a deeper understanding of the business environment, encouraging strategic thinking, and enabling organisations to identify opportunities and anticipate threats. However, it also has limitations: data can be oversimplified, the process can become complex due to data overload, and it is time-intensive, requiring regular updates (Battista, 2024).</w:t>
      </w:r>
    </w:p>
    <w:p w14:paraId="2533E69F" w14:textId="1EF320E2" w:rsidR="00013E94" w:rsidRPr="00AB1AD1" w:rsidRDefault="00DF1E0D" w:rsidP="00584A88">
      <w:pPr>
        <w:spacing w:line="360" w:lineRule="auto"/>
        <w:jc w:val="both"/>
        <w:rPr>
          <w:rFonts w:ascii="Calibri" w:hAnsi="Calibri" w:cs="Calibri"/>
        </w:rPr>
      </w:pPr>
      <w:r w:rsidRPr="00AB1AD1">
        <w:rPr>
          <w:rFonts w:ascii="Calibri" w:hAnsi="Calibri" w:cs="Calibri"/>
        </w:rPr>
        <w:t xml:space="preserve">HR can utilise various methods to identify issues, challenges, and opportunities, including interviews, benchmarking, questionnaires, and people analytics. Employee questionnaires are particularly effective for gathering information from </w:t>
      </w:r>
      <w:proofErr w:type="gramStart"/>
      <w:r w:rsidRPr="00AB1AD1">
        <w:rPr>
          <w:rFonts w:ascii="Calibri" w:hAnsi="Calibri" w:cs="Calibri"/>
        </w:rPr>
        <w:t>a large number of</w:t>
      </w:r>
      <w:proofErr w:type="gramEnd"/>
      <w:r w:rsidRPr="00AB1AD1">
        <w:rPr>
          <w:rFonts w:ascii="Calibri" w:hAnsi="Calibri" w:cs="Calibri"/>
        </w:rPr>
        <w:t xml:space="preserve"> employees, ensuring diverse perspectives are captured</w:t>
      </w:r>
      <w:r w:rsidR="00013E94" w:rsidRPr="00AB1AD1">
        <w:rPr>
          <w:rFonts w:ascii="Calibri" w:hAnsi="Calibri" w:cs="Calibri"/>
        </w:rPr>
        <w:t xml:space="preserve"> and feedback tends to be more honest due to anonymity</w:t>
      </w:r>
      <w:r w:rsidRPr="00AB1AD1">
        <w:rPr>
          <w:rFonts w:ascii="Calibri" w:hAnsi="Calibri" w:cs="Calibri"/>
        </w:rPr>
        <w:t>. They can be used to identify a wide range of organisational issues and challenges, such as a disengaged workforce, low morale, and skills gaps or training needs</w:t>
      </w:r>
      <w:r w:rsidR="00013E94" w:rsidRPr="00AB1AD1">
        <w:rPr>
          <w:rFonts w:ascii="Calibri" w:hAnsi="Calibri" w:cs="Calibri"/>
        </w:rPr>
        <w:t>. However, while questionnaires offer numerous benefits for analysis, such as scalability and broad data collection, they also have drawbacks. These include lower engagement levels, feedback that may be less detailed compared to face-to-face interviews, and misinterpretation of questions and responses.</w:t>
      </w:r>
    </w:p>
    <w:p w14:paraId="65086DB1" w14:textId="77777777" w:rsidR="00584A88" w:rsidRDefault="00584A88" w:rsidP="00584A88">
      <w:pPr>
        <w:spacing w:line="360" w:lineRule="auto"/>
        <w:jc w:val="both"/>
        <w:rPr>
          <w:rFonts w:ascii="Calibri" w:hAnsi="Calibri" w:cs="Calibri"/>
          <w:b/>
          <w:bCs/>
        </w:rPr>
      </w:pPr>
    </w:p>
    <w:p w14:paraId="624D67AB" w14:textId="7C18F8A9" w:rsidR="009F295D" w:rsidRDefault="009F295D" w:rsidP="00584A88">
      <w:pPr>
        <w:spacing w:line="360" w:lineRule="auto"/>
        <w:jc w:val="both"/>
        <w:rPr>
          <w:rFonts w:ascii="Calibri" w:hAnsi="Calibri" w:cs="Calibri"/>
          <w:b/>
          <w:bCs/>
        </w:rPr>
      </w:pPr>
      <w:r w:rsidRPr="00AB1AD1">
        <w:rPr>
          <w:rFonts w:ascii="Calibri" w:hAnsi="Calibri" w:cs="Calibri"/>
          <w:b/>
          <w:bCs/>
        </w:rPr>
        <w:t>Explain the principles of critical thinking and how they might apply to individual and work colleagues’ ideas to assist objective and rational debate. (1.3)</w:t>
      </w:r>
    </w:p>
    <w:p w14:paraId="6DA38B28" w14:textId="0F651AB6" w:rsidR="009F295D" w:rsidRPr="00AB1AD1" w:rsidRDefault="007C20BA" w:rsidP="00584A88">
      <w:pPr>
        <w:spacing w:line="360" w:lineRule="auto"/>
        <w:jc w:val="both"/>
        <w:rPr>
          <w:rFonts w:ascii="Calibri" w:hAnsi="Calibri" w:cs="Calibri"/>
        </w:rPr>
      </w:pPr>
      <w:r w:rsidRPr="00AB1AD1">
        <w:rPr>
          <w:rFonts w:ascii="Calibri" w:hAnsi="Calibri" w:cs="Calibri"/>
        </w:rPr>
        <w:t xml:space="preserve">Critical thinking is the ability to think clearly and rationally, engaging in reflective and independent thinking. It involves the evaluation of ideas, opinions, and arguments of others, as well as one's own, to form a well-reasoned judgment (Howlett and Coburn, 2019). </w:t>
      </w:r>
      <w:r w:rsidR="00F166A4" w:rsidRPr="00AB1AD1">
        <w:rPr>
          <w:rFonts w:ascii="Calibri" w:hAnsi="Calibri" w:cs="Calibri"/>
        </w:rPr>
        <w:t xml:space="preserve">There are many critical thinking principles such as validity of sources and evidence, objective rational thinking, well-reasoned argument and awareness of bias. </w:t>
      </w:r>
    </w:p>
    <w:p w14:paraId="02E420D7" w14:textId="7EFAADFF" w:rsidR="00067194" w:rsidRPr="00AB1AD1" w:rsidRDefault="00067194" w:rsidP="00AB1AD1">
      <w:pPr>
        <w:spacing w:line="360" w:lineRule="auto"/>
        <w:jc w:val="both"/>
        <w:rPr>
          <w:rFonts w:ascii="Calibri" w:hAnsi="Calibri" w:cs="Calibri"/>
        </w:rPr>
      </w:pPr>
      <w:r w:rsidRPr="00AB1AD1">
        <w:rPr>
          <w:rFonts w:ascii="Calibri" w:hAnsi="Calibri" w:cs="Calibri"/>
        </w:rPr>
        <w:t>A critical thinker remains objective, basing thoughts on facts rather than opinions or biases, and doesn’t take anything for granted. Decisions are driven by reason and logic, and they question evidence to gain deeper insight. By using analytical skills to present arguments</w:t>
      </w:r>
      <w:r w:rsidR="00ED7012" w:rsidRPr="00AB1AD1">
        <w:rPr>
          <w:rFonts w:ascii="Calibri" w:hAnsi="Calibri" w:cs="Calibri"/>
        </w:rPr>
        <w:t xml:space="preserve">, </w:t>
      </w:r>
      <w:r w:rsidRPr="00AB1AD1">
        <w:rPr>
          <w:rFonts w:ascii="Calibri" w:hAnsi="Calibri" w:cs="Calibri"/>
        </w:rPr>
        <w:t>critical thinkers prioritise facts over personal beliefs or interests.</w:t>
      </w:r>
    </w:p>
    <w:p w14:paraId="01FA1667" w14:textId="77777777" w:rsidR="00584A88" w:rsidRDefault="001C7F91" w:rsidP="00584A88">
      <w:pPr>
        <w:spacing w:line="360" w:lineRule="auto"/>
        <w:jc w:val="both"/>
        <w:rPr>
          <w:rFonts w:ascii="Calibri" w:hAnsi="Calibri" w:cs="Calibri"/>
        </w:rPr>
      </w:pPr>
      <w:r w:rsidRPr="00AB1AD1">
        <w:rPr>
          <w:rFonts w:ascii="Calibri" w:hAnsi="Calibri" w:cs="Calibri"/>
        </w:rPr>
        <w:t xml:space="preserve">In my role, I regularly apply critical thinking principles. Recently, I assisted a client struggling to fill a learning and development role. After discussing with the hiring manager, I identified that their offered salary was below market rates. However, they were unwilling to increase it, assuming it aligned with the market salary. I used various </w:t>
      </w:r>
      <w:r w:rsidR="00ED7012" w:rsidRPr="00AB1AD1">
        <w:rPr>
          <w:rFonts w:ascii="Calibri" w:hAnsi="Calibri" w:cs="Calibri"/>
        </w:rPr>
        <w:t xml:space="preserve">analysis </w:t>
      </w:r>
      <w:r w:rsidRPr="00AB1AD1">
        <w:rPr>
          <w:rFonts w:ascii="Calibri" w:hAnsi="Calibri" w:cs="Calibri"/>
        </w:rPr>
        <w:t xml:space="preserve">methods to gather salary data, including interviews, surveys, </w:t>
      </w:r>
      <w:r w:rsidRPr="00AB1AD1">
        <w:rPr>
          <w:rFonts w:ascii="Calibri" w:hAnsi="Calibri" w:cs="Calibri"/>
        </w:rPr>
        <w:lastRenderedPageBreak/>
        <w:t>and data aggregator tools, to back up my thoughts and experience as a HR recruitment specialist. Presenting this data to the client, I challenged their salary perspective and demonstrated where the market stood for L&amp;D roles at the desired level. By remaining objective and providing valid evidence, the client agreed to be flexible with the salary, and we successfully filled the vacancy after it had been open for nine months.</w:t>
      </w:r>
    </w:p>
    <w:p w14:paraId="4FF26363" w14:textId="77777777" w:rsidR="00584A88" w:rsidRDefault="00584A88" w:rsidP="00584A88">
      <w:pPr>
        <w:spacing w:line="360" w:lineRule="auto"/>
        <w:jc w:val="both"/>
        <w:rPr>
          <w:rFonts w:ascii="Calibri" w:hAnsi="Calibri" w:cs="Calibri"/>
          <w:b/>
          <w:bCs/>
        </w:rPr>
      </w:pPr>
    </w:p>
    <w:p w14:paraId="288624E8" w14:textId="1D4A8C3B" w:rsidR="00D50BF9" w:rsidRPr="00584A88" w:rsidRDefault="009F295D" w:rsidP="00584A88">
      <w:pPr>
        <w:spacing w:line="360" w:lineRule="auto"/>
        <w:jc w:val="both"/>
        <w:rPr>
          <w:rFonts w:ascii="Calibri" w:hAnsi="Calibri" w:cs="Calibri"/>
        </w:rPr>
      </w:pPr>
      <w:r w:rsidRPr="00AB1AD1">
        <w:rPr>
          <w:rFonts w:ascii="Calibri" w:hAnsi="Calibri" w:cs="Calibri"/>
          <w:b/>
          <w:bCs/>
        </w:rPr>
        <w:t xml:space="preserve">Explain three decision-making processes that can be applied to ensure that effective outcomes are achieved. (AC 1.4) </w:t>
      </w:r>
    </w:p>
    <w:p w14:paraId="29F7201F" w14:textId="3D50576B" w:rsidR="00D456CA" w:rsidRPr="00AB1AD1" w:rsidRDefault="00D456CA" w:rsidP="00584A88">
      <w:pPr>
        <w:spacing w:line="360" w:lineRule="auto"/>
        <w:jc w:val="both"/>
        <w:rPr>
          <w:rFonts w:ascii="Calibri" w:hAnsi="Calibri" w:cs="Calibri"/>
        </w:rPr>
      </w:pPr>
      <w:r w:rsidRPr="00AB1AD1">
        <w:rPr>
          <w:rFonts w:ascii="Calibri" w:hAnsi="Calibri" w:cs="Calibri"/>
        </w:rPr>
        <w:t xml:space="preserve">HR professionals and management play a crucial role in organisational decision-making, so it's essential to ensure these decisions are made effectively. Various approaches can be taken; some involve gathering extensive information and being analytical, while others rely solely on intuition (CMI, 2015). HR must apply their skills to determine the most appropriate approach based on the specific decision that needs to be made. </w:t>
      </w:r>
    </w:p>
    <w:p w14:paraId="0DBC2E6D" w14:textId="2F7B9593" w:rsidR="0032683F" w:rsidRPr="00AB1AD1" w:rsidRDefault="00D456CA" w:rsidP="00AB1AD1">
      <w:pPr>
        <w:spacing w:line="360" w:lineRule="auto"/>
        <w:jc w:val="both"/>
        <w:rPr>
          <w:rFonts w:ascii="Calibri" w:hAnsi="Calibri" w:cs="Calibri"/>
        </w:rPr>
      </w:pPr>
      <w:r w:rsidRPr="00AB1AD1">
        <w:rPr>
          <w:rFonts w:ascii="Calibri" w:hAnsi="Calibri" w:cs="Calibri"/>
        </w:rPr>
        <w:t>De Bono (six thinking hats) is an approach that Edward De Bono developed in 1985</w:t>
      </w:r>
      <w:r w:rsidR="008E2E64" w:rsidRPr="00AB1AD1">
        <w:rPr>
          <w:rFonts w:ascii="Calibri" w:hAnsi="Calibri" w:cs="Calibri"/>
        </w:rPr>
        <w:t>, which can be used individually or as a group</w:t>
      </w:r>
      <w:r w:rsidRPr="00AB1AD1">
        <w:rPr>
          <w:rFonts w:ascii="Calibri" w:hAnsi="Calibri" w:cs="Calibri"/>
        </w:rPr>
        <w:t xml:space="preserve">. The six coloured hats (Black, Blue, Green, Red, White, and Yellow) represent a different </w:t>
      </w:r>
      <w:r w:rsidR="00403E80" w:rsidRPr="00AB1AD1">
        <w:rPr>
          <w:rFonts w:ascii="Calibri" w:hAnsi="Calibri" w:cs="Calibri"/>
        </w:rPr>
        <w:t>mode</w:t>
      </w:r>
      <w:r w:rsidRPr="00AB1AD1">
        <w:rPr>
          <w:rFonts w:ascii="Calibri" w:hAnsi="Calibri" w:cs="Calibri"/>
        </w:rPr>
        <w:t xml:space="preserve"> of</w:t>
      </w:r>
      <w:r w:rsidR="00403E80" w:rsidRPr="00AB1AD1">
        <w:rPr>
          <w:rFonts w:ascii="Calibri" w:hAnsi="Calibri" w:cs="Calibri"/>
        </w:rPr>
        <w:t xml:space="preserve"> thinking</w:t>
      </w:r>
      <w:r w:rsidR="008E2E64" w:rsidRPr="00AB1AD1">
        <w:rPr>
          <w:rFonts w:ascii="Calibri" w:hAnsi="Calibri" w:cs="Calibri"/>
        </w:rPr>
        <w:t xml:space="preserve">; the Blue Hat focuses on processes and </w:t>
      </w:r>
      <w:r w:rsidR="00AC285B" w:rsidRPr="00AB1AD1">
        <w:rPr>
          <w:rFonts w:ascii="Calibri" w:hAnsi="Calibri" w:cs="Calibri"/>
        </w:rPr>
        <w:t>summarises all approaches together</w:t>
      </w:r>
      <w:r w:rsidR="008E2E64" w:rsidRPr="00AB1AD1">
        <w:rPr>
          <w:rFonts w:ascii="Calibri" w:hAnsi="Calibri" w:cs="Calibri"/>
        </w:rPr>
        <w:t>. The Green Hat encourages creative thinking, generating new ideas. The Red Hat addresses feelings and instincts, gathering emotional responses. The Yellow Hat highlights benefits and values, focusing on positives and optimism. The Black Hat involves looking at risks, identifying potential issues and weaknesses. The White Hat is about information gathering, providing details and facts of the problem.</w:t>
      </w:r>
      <w:r w:rsidR="00AC285B" w:rsidRPr="00AB1AD1">
        <w:rPr>
          <w:rFonts w:ascii="Calibri" w:hAnsi="Calibri" w:cs="Calibri"/>
        </w:rPr>
        <w:t xml:space="preserve"> According to Payette and Barnes (2017), de Bono encouraged thinkers to consider not only "what is" (the current situation or status quo) but also "what can be" (potential future possibilities). </w:t>
      </w:r>
      <w:r w:rsidR="0032683F" w:rsidRPr="00AB1AD1">
        <w:rPr>
          <w:rFonts w:ascii="Calibri" w:hAnsi="Calibri" w:cs="Calibri"/>
        </w:rPr>
        <w:t>This decision-making approach is valuable in people practice as it enables a deep understanding of organisational issues and considers all aspects of a decision are considered. This could be advantageous in recruitment, particularly during interview processes. As an interviewer or an interview panel, adopting different "hats" allows a comprehensive assessment from multiple perspectives, ensuring well-informed decisions regarding new hires.</w:t>
      </w:r>
    </w:p>
    <w:p w14:paraId="5305E3A5" w14:textId="77A52012" w:rsidR="0032683F" w:rsidRPr="00AB1AD1" w:rsidRDefault="0032683F" w:rsidP="00AB1AD1">
      <w:pPr>
        <w:spacing w:line="360" w:lineRule="auto"/>
        <w:jc w:val="both"/>
        <w:rPr>
          <w:rFonts w:ascii="Calibri" w:hAnsi="Calibri" w:cs="Calibri"/>
        </w:rPr>
      </w:pPr>
      <w:r w:rsidRPr="00AB1AD1">
        <w:rPr>
          <w:rFonts w:ascii="Calibri" w:hAnsi="Calibri" w:cs="Calibri"/>
        </w:rPr>
        <w:t xml:space="preserve">Another </w:t>
      </w:r>
      <w:r w:rsidR="00386F83" w:rsidRPr="00AB1AD1">
        <w:rPr>
          <w:rFonts w:ascii="Calibri" w:hAnsi="Calibri" w:cs="Calibri"/>
        </w:rPr>
        <w:t>decision-making</w:t>
      </w:r>
      <w:r w:rsidRPr="00AB1AD1">
        <w:rPr>
          <w:rFonts w:ascii="Calibri" w:hAnsi="Calibri" w:cs="Calibri"/>
        </w:rPr>
        <w:t xml:space="preserve"> </w:t>
      </w:r>
      <w:r w:rsidR="00386F83" w:rsidRPr="00AB1AD1">
        <w:rPr>
          <w:rFonts w:ascii="Calibri" w:hAnsi="Calibri" w:cs="Calibri"/>
        </w:rPr>
        <w:t xml:space="preserve">approach is the ‘best fit’ approach. The 'Best Fit' approach aids in making challenging decisions, especially in a </w:t>
      </w:r>
      <w:r w:rsidR="00AF1D6E" w:rsidRPr="00AB1AD1">
        <w:rPr>
          <w:rFonts w:ascii="Calibri" w:hAnsi="Calibri" w:cs="Calibri"/>
        </w:rPr>
        <w:t>fast-changing</w:t>
      </w:r>
      <w:r w:rsidR="00386F83" w:rsidRPr="00AB1AD1">
        <w:rPr>
          <w:rFonts w:ascii="Calibri" w:hAnsi="Calibri" w:cs="Calibri"/>
        </w:rPr>
        <w:t xml:space="preserve"> work environment. As stated by Clark (2015), there is no ‘best practice’ or algorithm for making decisions, so we can use evidence-based practice to identify the best fit solution</w:t>
      </w:r>
      <w:r w:rsidR="00AF1D6E" w:rsidRPr="00AB1AD1">
        <w:rPr>
          <w:rFonts w:ascii="Calibri" w:hAnsi="Calibri" w:cs="Calibri"/>
        </w:rPr>
        <w:t xml:space="preserve"> for the organisation</w:t>
      </w:r>
      <w:r w:rsidR="00386F83" w:rsidRPr="00AB1AD1">
        <w:rPr>
          <w:rFonts w:ascii="Calibri" w:hAnsi="Calibri" w:cs="Calibri"/>
        </w:rPr>
        <w:t xml:space="preserve">. </w:t>
      </w:r>
      <w:r w:rsidR="00516173" w:rsidRPr="00AB1AD1">
        <w:rPr>
          <w:rFonts w:ascii="Calibri" w:hAnsi="Calibri" w:cs="Calibri"/>
        </w:rPr>
        <w:t xml:space="preserve">For example, in a recent recruitment campaign I supported, the organisation used a 'scoring' interview process which focused on technical skills and </w:t>
      </w:r>
      <w:r w:rsidR="00516173" w:rsidRPr="00AB1AD1">
        <w:rPr>
          <w:rFonts w:ascii="Calibri" w:hAnsi="Calibri" w:cs="Calibri"/>
        </w:rPr>
        <w:lastRenderedPageBreak/>
        <w:t>relevant experience to the job post. Two candidates were interviewed: one scored higher on the scored interview, but the interviewers also considered cultural fit and long-term growth potential. Ultimately, they chose the candidate with the lower technical score because they were more aligned with the organisation's values and goals.</w:t>
      </w:r>
    </w:p>
    <w:p w14:paraId="19494762" w14:textId="7292C492" w:rsidR="004F232D" w:rsidRPr="00AB1AD1" w:rsidRDefault="001E3BC0" w:rsidP="00AB1AD1">
      <w:pPr>
        <w:spacing w:line="360" w:lineRule="auto"/>
        <w:jc w:val="both"/>
        <w:rPr>
          <w:rFonts w:ascii="Calibri" w:hAnsi="Calibri" w:cs="Calibri"/>
        </w:rPr>
      </w:pPr>
      <w:r w:rsidRPr="00AB1AD1">
        <w:rPr>
          <w:rFonts w:ascii="Calibri" w:hAnsi="Calibri" w:cs="Calibri"/>
        </w:rPr>
        <w:t xml:space="preserve">Action learning can also be a useful method when it comes to making decisions in an organisation. Action learning involves a small group of people working together to tackle problems of all size. They collaborate by discussing these issues in detail, developing plans to address the situation, and working towards a solution (Pounder, 2009). </w:t>
      </w:r>
      <w:r w:rsidR="004F232D" w:rsidRPr="00AB1AD1">
        <w:rPr>
          <w:rFonts w:ascii="Calibri" w:hAnsi="Calibri" w:cs="Calibri"/>
        </w:rPr>
        <w:t>This method offers several benefits for organisations, including enhancing teamwork, developing critical thinking skills, and increasing awareness of behaviours and assumptions in individual decision-making. From a HR perspective, Pounder (2009) notes that action learning can play an important part for talent development and succession planning, as it helps prepare candidates for promotion.</w:t>
      </w:r>
    </w:p>
    <w:p w14:paraId="33235510" w14:textId="3262F477" w:rsidR="009F295D" w:rsidRPr="00AB1AD1" w:rsidRDefault="004F232D" w:rsidP="00AB1AD1">
      <w:pPr>
        <w:spacing w:line="360" w:lineRule="auto"/>
        <w:jc w:val="both"/>
        <w:rPr>
          <w:rFonts w:ascii="Calibri" w:hAnsi="Calibri" w:cs="Calibri"/>
        </w:rPr>
      </w:pPr>
      <w:r w:rsidRPr="00AB1AD1">
        <w:rPr>
          <w:rFonts w:ascii="Calibri" w:hAnsi="Calibri" w:cs="Calibri"/>
        </w:rPr>
        <w:t xml:space="preserve"> </w:t>
      </w:r>
    </w:p>
    <w:p w14:paraId="2F9073A9" w14:textId="0E2B6DE3" w:rsidR="009F295D" w:rsidRPr="00AB1AD1" w:rsidRDefault="009F295D" w:rsidP="00AB1AD1">
      <w:pPr>
        <w:pStyle w:val="BodyText"/>
        <w:spacing w:before="162" w:line="360" w:lineRule="auto"/>
        <w:ind w:right="283"/>
        <w:jc w:val="both"/>
        <w:rPr>
          <w:rFonts w:ascii="Calibri" w:eastAsiaTheme="minorEastAsia" w:hAnsi="Calibri" w:cs="Calibri"/>
          <w:b/>
          <w:bCs/>
        </w:rPr>
      </w:pPr>
      <w:r w:rsidRPr="00AB1AD1">
        <w:rPr>
          <w:rFonts w:ascii="Calibri" w:hAnsi="Calibri" w:cs="Calibri"/>
          <w:b/>
          <w:bCs/>
        </w:rPr>
        <w:t xml:space="preserve">Assess three different ethical </w:t>
      </w:r>
      <w:r w:rsidRPr="00AB1AD1">
        <w:rPr>
          <w:rFonts w:ascii="Calibri" w:hAnsi="Calibri" w:cs="Calibri"/>
          <w:b/>
          <w:bCs/>
          <w:color w:val="000000" w:themeColor="text1"/>
        </w:rPr>
        <w:t xml:space="preserve">perspectives and explain </w:t>
      </w:r>
      <w:r w:rsidRPr="00AB1AD1">
        <w:rPr>
          <w:rFonts w:ascii="Calibri" w:hAnsi="Calibri" w:cs="Calibri"/>
          <w:b/>
          <w:bCs/>
        </w:rPr>
        <w:t>how understanding of these can be used to inform and influence moral decision-making. (AC 1.5)</w:t>
      </w:r>
    </w:p>
    <w:p w14:paraId="2AE6A0B3" w14:textId="77777777" w:rsidR="00584A88" w:rsidRDefault="00584A88" w:rsidP="00AB1AD1">
      <w:pPr>
        <w:spacing w:line="360" w:lineRule="auto"/>
        <w:jc w:val="both"/>
        <w:rPr>
          <w:rFonts w:ascii="Calibri" w:hAnsi="Calibri" w:cs="Calibri"/>
        </w:rPr>
      </w:pPr>
    </w:p>
    <w:p w14:paraId="63302D12" w14:textId="5193B72A" w:rsidR="00A475E8" w:rsidRPr="00AB1AD1" w:rsidRDefault="008879C5" w:rsidP="00AB1AD1">
      <w:pPr>
        <w:spacing w:line="360" w:lineRule="auto"/>
        <w:jc w:val="both"/>
        <w:rPr>
          <w:rFonts w:ascii="Calibri" w:hAnsi="Calibri" w:cs="Calibri"/>
        </w:rPr>
      </w:pPr>
      <w:r w:rsidRPr="00AB1AD1">
        <w:rPr>
          <w:rFonts w:ascii="Calibri" w:hAnsi="Calibri" w:cs="Calibri"/>
        </w:rPr>
        <w:t xml:space="preserve">Various ethical theories and perspectives exist to guide and shape moral decision-making. </w:t>
      </w:r>
      <w:r w:rsidRPr="00AB1AD1">
        <w:rPr>
          <w:rFonts w:ascii="Calibri" w:hAnsi="Calibri" w:cs="Calibri"/>
        </w:rPr>
        <w:t>Understanding</w:t>
      </w:r>
      <w:r w:rsidRPr="00AB1AD1">
        <w:rPr>
          <w:rFonts w:ascii="Calibri" w:hAnsi="Calibri" w:cs="Calibri"/>
        </w:rPr>
        <w:t xml:space="preserve"> these theories enable </w:t>
      </w:r>
      <w:r w:rsidRPr="00AB1AD1">
        <w:rPr>
          <w:rFonts w:ascii="Calibri" w:hAnsi="Calibri" w:cs="Calibri"/>
        </w:rPr>
        <w:t>HR professionals</w:t>
      </w:r>
      <w:r w:rsidRPr="00AB1AD1">
        <w:rPr>
          <w:rFonts w:ascii="Calibri" w:hAnsi="Calibri" w:cs="Calibri"/>
        </w:rPr>
        <w:t xml:space="preserve"> and organi</w:t>
      </w:r>
      <w:r w:rsidRPr="00AB1AD1">
        <w:rPr>
          <w:rFonts w:ascii="Calibri" w:hAnsi="Calibri" w:cs="Calibri"/>
        </w:rPr>
        <w:t>sa</w:t>
      </w:r>
      <w:r w:rsidRPr="00AB1AD1">
        <w:rPr>
          <w:rFonts w:ascii="Calibri" w:hAnsi="Calibri" w:cs="Calibri"/>
        </w:rPr>
        <w:t>tions to align their decisions with their values and ethical standards effectively</w:t>
      </w:r>
      <w:r w:rsidRPr="00AB1AD1">
        <w:rPr>
          <w:rFonts w:ascii="Calibri" w:hAnsi="Calibri" w:cs="Calibri"/>
        </w:rPr>
        <w:t>.</w:t>
      </w:r>
    </w:p>
    <w:p w14:paraId="7B6C2D0B" w14:textId="7A8EB782" w:rsidR="00C52B4A" w:rsidRPr="00AB1AD1" w:rsidRDefault="00C52B4A" w:rsidP="00AB1AD1">
      <w:pPr>
        <w:spacing w:line="360" w:lineRule="auto"/>
        <w:jc w:val="both"/>
        <w:rPr>
          <w:rFonts w:ascii="Calibri" w:hAnsi="Calibri" w:cs="Calibri"/>
        </w:rPr>
      </w:pPr>
      <w:r w:rsidRPr="00AB1AD1">
        <w:rPr>
          <w:rFonts w:ascii="Calibri" w:hAnsi="Calibri" w:cs="Calibri"/>
        </w:rPr>
        <w:t>U</w:t>
      </w:r>
      <w:r w:rsidR="00EE71FF" w:rsidRPr="00AB1AD1">
        <w:rPr>
          <w:rFonts w:ascii="Calibri" w:hAnsi="Calibri" w:cs="Calibri"/>
        </w:rPr>
        <w:t xml:space="preserve">tilitarianism is an ethical theory </w:t>
      </w:r>
      <w:r w:rsidR="00EE71FF" w:rsidRPr="00AB1AD1">
        <w:rPr>
          <w:rFonts w:ascii="Calibri" w:hAnsi="Calibri" w:cs="Calibri"/>
        </w:rPr>
        <w:t xml:space="preserve">that </w:t>
      </w:r>
      <w:r w:rsidR="00EE71FF" w:rsidRPr="00AB1AD1">
        <w:rPr>
          <w:rFonts w:ascii="Calibri" w:hAnsi="Calibri" w:cs="Calibri"/>
        </w:rPr>
        <w:t>states decisions</w:t>
      </w:r>
      <w:r w:rsidR="00EE71FF" w:rsidRPr="00AB1AD1">
        <w:rPr>
          <w:rFonts w:ascii="Calibri" w:hAnsi="Calibri" w:cs="Calibri"/>
        </w:rPr>
        <w:t xml:space="preserve"> should be judged based on </w:t>
      </w:r>
      <w:r w:rsidR="00EE71FF" w:rsidRPr="00AB1AD1">
        <w:rPr>
          <w:rFonts w:ascii="Calibri" w:hAnsi="Calibri" w:cs="Calibri"/>
        </w:rPr>
        <w:t>the</w:t>
      </w:r>
      <w:r w:rsidR="00EE71FF" w:rsidRPr="00AB1AD1">
        <w:rPr>
          <w:rFonts w:ascii="Calibri" w:hAnsi="Calibri" w:cs="Calibri"/>
        </w:rPr>
        <w:t xml:space="preserve"> ability to produce the greatest overall happiness or well-being for the greatest number of people</w:t>
      </w:r>
      <w:r w:rsidR="00EE71FF" w:rsidRPr="00AB1AD1">
        <w:rPr>
          <w:rFonts w:ascii="Calibri" w:hAnsi="Calibri" w:cs="Calibri"/>
        </w:rPr>
        <w:t xml:space="preserve"> (Greenwood, 2002). </w:t>
      </w:r>
      <w:r w:rsidR="00317E7A" w:rsidRPr="00AB1AD1">
        <w:rPr>
          <w:rFonts w:ascii="Calibri" w:hAnsi="Calibri" w:cs="Calibri"/>
        </w:rPr>
        <w:t xml:space="preserve">For example, when deciding on the implementation of a </w:t>
      </w:r>
      <w:r w:rsidR="00317E7A" w:rsidRPr="00AB1AD1">
        <w:rPr>
          <w:rFonts w:ascii="Calibri" w:hAnsi="Calibri" w:cs="Calibri"/>
        </w:rPr>
        <w:t xml:space="preserve">new flexible working </w:t>
      </w:r>
      <w:r w:rsidR="00317E7A" w:rsidRPr="00AB1AD1">
        <w:rPr>
          <w:rFonts w:ascii="Calibri" w:hAnsi="Calibri" w:cs="Calibri"/>
        </w:rPr>
        <w:t xml:space="preserve">policy, HR </w:t>
      </w:r>
      <w:r w:rsidR="00317E7A" w:rsidRPr="00AB1AD1">
        <w:rPr>
          <w:rFonts w:ascii="Calibri" w:hAnsi="Calibri" w:cs="Calibri"/>
        </w:rPr>
        <w:t>professionals</w:t>
      </w:r>
      <w:r w:rsidR="00317E7A" w:rsidRPr="00AB1AD1">
        <w:rPr>
          <w:rFonts w:ascii="Calibri" w:hAnsi="Calibri" w:cs="Calibri"/>
        </w:rPr>
        <w:t xml:space="preserve"> would consider how it affects </w:t>
      </w:r>
      <w:proofErr w:type="gramStart"/>
      <w:r w:rsidR="00317E7A" w:rsidRPr="00AB1AD1">
        <w:rPr>
          <w:rFonts w:ascii="Calibri" w:hAnsi="Calibri" w:cs="Calibri"/>
        </w:rPr>
        <w:t xml:space="preserve">the majority </w:t>
      </w:r>
      <w:r w:rsidR="00317E7A" w:rsidRPr="00AB1AD1">
        <w:rPr>
          <w:rFonts w:ascii="Calibri" w:hAnsi="Calibri" w:cs="Calibri"/>
        </w:rPr>
        <w:t>of</w:t>
      </w:r>
      <w:proofErr w:type="gramEnd"/>
      <w:r w:rsidR="00317E7A" w:rsidRPr="00AB1AD1">
        <w:rPr>
          <w:rFonts w:ascii="Calibri" w:hAnsi="Calibri" w:cs="Calibri"/>
        </w:rPr>
        <w:t xml:space="preserve"> employees. If offering </w:t>
      </w:r>
      <w:r w:rsidR="00317E7A" w:rsidRPr="00AB1AD1">
        <w:rPr>
          <w:rFonts w:ascii="Calibri" w:hAnsi="Calibri" w:cs="Calibri"/>
        </w:rPr>
        <w:t>flexible working</w:t>
      </w:r>
      <w:r w:rsidR="00317E7A" w:rsidRPr="00AB1AD1">
        <w:rPr>
          <w:rFonts w:ascii="Calibri" w:hAnsi="Calibri" w:cs="Calibri"/>
        </w:rPr>
        <w:t xml:space="preserve"> leads to increased job satisfaction, reduced turnover, and improved employee morale overall, then this policy would be justified from a utilitarian perspective.</w:t>
      </w:r>
      <w:r w:rsidR="00AB1AD1">
        <w:rPr>
          <w:rFonts w:ascii="Calibri" w:hAnsi="Calibri" w:cs="Calibri"/>
        </w:rPr>
        <w:t xml:space="preserve"> </w:t>
      </w:r>
      <w:r w:rsidR="00AB1AD1">
        <w:t>This theory does not consider principles of justice or individual rights.</w:t>
      </w:r>
    </w:p>
    <w:p w14:paraId="3D34D954" w14:textId="7B0ACE6D" w:rsidR="00445B46" w:rsidRPr="00AB1AD1" w:rsidRDefault="00445B46" w:rsidP="00AB1AD1">
      <w:pPr>
        <w:spacing w:line="360" w:lineRule="auto"/>
        <w:jc w:val="both"/>
        <w:rPr>
          <w:rFonts w:ascii="Calibri" w:hAnsi="Calibri" w:cs="Calibri"/>
        </w:rPr>
      </w:pPr>
      <w:r w:rsidRPr="00AB1AD1">
        <w:rPr>
          <w:rFonts w:ascii="Calibri" w:hAnsi="Calibri" w:cs="Calibri"/>
        </w:rPr>
        <w:t xml:space="preserve">Deontology emphasises the importance of morals, duties, rules and respect (Legge, 1998), believing that what is right for one is right for all. </w:t>
      </w:r>
      <w:proofErr w:type="gramStart"/>
      <w:r w:rsidR="00333FF2" w:rsidRPr="00AB1AD1">
        <w:rPr>
          <w:rFonts w:ascii="Calibri" w:hAnsi="Calibri" w:cs="Calibri"/>
        </w:rPr>
        <w:t>Making a decision</w:t>
      </w:r>
      <w:proofErr w:type="gramEnd"/>
      <w:r w:rsidR="00333FF2" w:rsidRPr="00AB1AD1">
        <w:rPr>
          <w:rFonts w:ascii="Calibri" w:hAnsi="Calibri" w:cs="Calibri"/>
        </w:rPr>
        <w:t xml:space="preserve"> with a deontological approach ensures fairness. For example, if I, as the employer, forgot to process a temp's payroll for the week, despite </w:t>
      </w:r>
      <w:r w:rsidR="00333FF2" w:rsidRPr="00AB1AD1">
        <w:rPr>
          <w:rFonts w:ascii="Calibri" w:hAnsi="Calibri" w:cs="Calibri"/>
        </w:rPr>
        <w:t>the timesheet being</w:t>
      </w:r>
      <w:r w:rsidR="00333FF2" w:rsidRPr="00AB1AD1">
        <w:rPr>
          <w:rFonts w:ascii="Calibri" w:hAnsi="Calibri" w:cs="Calibri"/>
        </w:rPr>
        <w:t xml:space="preserve"> submitted on time, it would be fair to process an emergency payment and incur the costs on the business rather than delay the candidate's payment. This decision respects the employee's right to timely </w:t>
      </w:r>
      <w:r w:rsidR="00333FF2" w:rsidRPr="00AB1AD1">
        <w:rPr>
          <w:rFonts w:ascii="Calibri" w:hAnsi="Calibri" w:cs="Calibri"/>
        </w:rPr>
        <w:t>wages</w:t>
      </w:r>
      <w:r w:rsidR="00333FF2" w:rsidRPr="00AB1AD1">
        <w:rPr>
          <w:rFonts w:ascii="Calibri" w:hAnsi="Calibri" w:cs="Calibri"/>
        </w:rPr>
        <w:t xml:space="preserve"> and adheres to the ethical principle of treating individuals </w:t>
      </w:r>
      <w:r w:rsidR="00333FF2" w:rsidRPr="00AB1AD1">
        <w:rPr>
          <w:rFonts w:ascii="Calibri" w:hAnsi="Calibri" w:cs="Calibri"/>
        </w:rPr>
        <w:t>fairly</w:t>
      </w:r>
      <w:r w:rsidR="00333FF2" w:rsidRPr="00AB1AD1">
        <w:rPr>
          <w:rFonts w:ascii="Calibri" w:hAnsi="Calibri" w:cs="Calibri"/>
        </w:rPr>
        <w:t>.</w:t>
      </w:r>
    </w:p>
    <w:p w14:paraId="18DD73CF" w14:textId="5C6164C0" w:rsidR="00333FF2" w:rsidRPr="00AB1AD1" w:rsidRDefault="00796421" w:rsidP="00AB1AD1">
      <w:pPr>
        <w:spacing w:line="360" w:lineRule="auto"/>
        <w:jc w:val="both"/>
        <w:rPr>
          <w:rFonts w:ascii="Calibri" w:hAnsi="Calibri" w:cs="Calibri"/>
        </w:rPr>
      </w:pPr>
      <w:r w:rsidRPr="00AB1AD1">
        <w:rPr>
          <w:rFonts w:ascii="Calibri" w:hAnsi="Calibri" w:cs="Calibri"/>
        </w:rPr>
        <w:lastRenderedPageBreak/>
        <w:t xml:space="preserve">Altruism </w:t>
      </w:r>
      <w:r w:rsidRPr="00AB1AD1">
        <w:rPr>
          <w:rFonts w:ascii="Calibri" w:hAnsi="Calibri" w:cs="Calibri"/>
        </w:rPr>
        <w:t>involves considering the well-being and rights of others, experiencing empathy and concern for their welfare, and taking actions that benefit them</w:t>
      </w:r>
      <w:r w:rsidRPr="00AB1AD1">
        <w:rPr>
          <w:rFonts w:ascii="Calibri" w:hAnsi="Calibri" w:cs="Calibri"/>
        </w:rPr>
        <w:t xml:space="preserve"> </w:t>
      </w:r>
      <w:r w:rsidR="00097136" w:rsidRPr="00AB1AD1">
        <w:rPr>
          <w:rFonts w:ascii="Calibri" w:hAnsi="Calibri" w:cs="Calibri"/>
        </w:rPr>
        <w:t>(</w:t>
      </w:r>
      <w:r w:rsidR="00097136" w:rsidRPr="00AB1AD1">
        <w:rPr>
          <w:rFonts w:ascii="Calibri" w:hAnsi="Calibri" w:cs="Calibri"/>
        </w:rPr>
        <w:t>Van Emmerik et al., 2005</w:t>
      </w:r>
      <w:r w:rsidR="00097136" w:rsidRPr="00AB1AD1">
        <w:rPr>
          <w:rFonts w:ascii="Calibri" w:hAnsi="Calibri" w:cs="Calibri"/>
        </w:rPr>
        <w:t xml:space="preserve">). </w:t>
      </w:r>
      <w:r w:rsidR="00097136" w:rsidRPr="00AB1AD1">
        <w:rPr>
          <w:rFonts w:ascii="Calibri" w:hAnsi="Calibri" w:cs="Calibri"/>
        </w:rPr>
        <w:t xml:space="preserve">An example where altruism </w:t>
      </w:r>
      <w:r w:rsidR="00097136" w:rsidRPr="00AB1AD1">
        <w:rPr>
          <w:rFonts w:ascii="Calibri" w:hAnsi="Calibri" w:cs="Calibri"/>
        </w:rPr>
        <w:t>has</w:t>
      </w:r>
      <w:r w:rsidR="00097136" w:rsidRPr="00AB1AD1">
        <w:rPr>
          <w:rFonts w:ascii="Calibri" w:hAnsi="Calibri" w:cs="Calibri"/>
        </w:rPr>
        <w:t xml:space="preserve"> applied in </w:t>
      </w:r>
      <w:r w:rsidR="00097136" w:rsidRPr="00AB1AD1">
        <w:rPr>
          <w:rFonts w:ascii="Calibri" w:hAnsi="Calibri" w:cs="Calibri"/>
        </w:rPr>
        <w:t>my organisation,</w:t>
      </w:r>
      <w:r w:rsidR="00097136" w:rsidRPr="00AB1AD1">
        <w:rPr>
          <w:rFonts w:ascii="Calibri" w:hAnsi="Calibri" w:cs="Calibri"/>
        </w:rPr>
        <w:t xml:space="preserve"> was when a new starter joined the team. </w:t>
      </w:r>
      <w:r w:rsidR="00097136" w:rsidRPr="00AB1AD1">
        <w:rPr>
          <w:rFonts w:ascii="Calibri" w:hAnsi="Calibri" w:cs="Calibri"/>
        </w:rPr>
        <w:t>As the</w:t>
      </w:r>
      <w:r w:rsidR="00097136" w:rsidRPr="00AB1AD1">
        <w:rPr>
          <w:rFonts w:ascii="Calibri" w:hAnsi="Calibri" w:cs="Calibri"/>
        </w:rPr>
        <w:t xml:space="preserve"> senior member of the team</w:t>
      </w:r>
      <w:r w:rsidR="00097136" w:rsidRPr="00AB1AD1">
        <w:rPr>
          <w:rFonts w:ascii="Calibri" w:hAnsi="Calibri" w:cs="Calibri"/>
        </w:rPr>
        <w:t>, I</w:t>
      </w:r>
      <w:r w:rsidR="00097136" w:rsidRPr="00AB1AD1">
        <w:rPr>
          <w:rFonts w:ascii="Calibri" w:hAnsi="Calibri" w:cs="Calibri"/>
        </w:rPr>
        <w:t xml:space="preserve"> volunteered </w:t>
      </w:r>
      <w:r w:rsidR="00097136" w:rsidRPr="00AB1AD1">
        <w:rPr>
          <w:rFonts w:ascii="Calibri" w:hAnsi="Calibri" w:cs="Calibri"/>
        </w:rPr>
        <w:t>my</w:t>
      </w:r>
      <w:r w:rsidR="00097136" w:rsidRPr="00AB1AD1">
        <w:rPr>
          <w:rFonts w:ascii="Calibri" w:hAnsi="Calibri" w:cs="Calibri"/>
        </w:rPr>
        <w:t xml:space="preserve"> time to mentor her, </w:t>
      </w:r>
      <w:r w:rsidR="00097136" w:rsidRPr="00AB1AD1">
        <w:rPr>
          <w:rFonts w:ascii="Calibri" w:hAnsi="Calibri" w:cs="Calibri"/>
        </w:rPr>
        <w:t xml:space="preserve">requiring me </w:t>
      </w:r>
      <w:r w:rsidR="00097136" w:rsidRPr="00AB1AD1">
        <w:rPr>
          <w:rFonts w:ascii="Calibri" w:hAnsi="Calibri" w:cs="Calibri"/>
        </w:rPr>
        <w:t xml:space="preserve">to work additional hours beyond </w:t>
      </w:r>
      <w:r w:rsidR="00097136" w:rsidRPr="00AB1AD1">
        <w:rPr>
          <w:rFonts w:ascii="Calibri" w:hAnsi="Calibri" w:cs="Calibri"/>
        </w:rPr>
        <w:t>my</w:t>
      </w:r>
      <w:r w:rsidR="00097136" w:rsidRPr="00AB1AD1">
        <w:rPr>
          <w:rFonts w:ascii="Calibri" w:hAnsi="Calibri" w:cs="Calibri"/>
        </w:rPr>
        <w:t xml:space="preserve"> usual responsibilities to ensure she received adequate guidance and support.</w:t>
      </w:r>
      <w:r w:rsidR="00097136" w:rsidRPr="00AB1AD1">
        <w:rPr>
          <w:rFonts w:ascii="Calibri" w:hAnsi="Calibri" w:cs="Calibri"/>
        </w:rPr>
        <w:t xml:space="preserve"> </w:t>
      </w:r>
    </w:p>
    <w:p w14:paraId="217FD276" w14:textId="56B037D0" w:rsidR="00317E7A" w:rsidRDefault="00785E1C" w:rsidP="00AB1AD1">
      <w:pPr>
        <w:spacing w:line="360" w:lineRule="auto"/>
        <w:jc w:val="both"/>
        <w:rPr>
          <w:rFonts w:ascii="Calibri" w:hAnsi="Calibri" w:cs="Calibri"/>
        </w:rPr>
      </w:pPr>
      <w:r w:rsidRPr="00AB1AD1">
        <w:rPr>
          <w:rFonts w:ascii="Calibri" w:hAnsi="Calibri" w:cs="Calibri"/>
        </w:rPr>
        <w:drawing>
          <wp:anchor distT="0" distB="0" distL="114300" distR="114300" simplePos="0" relativeHeight="251658240" behindDoc="0" locked="0" layoutInCell="1" allowOverlap="1" wp14:anchorId="608D3213" wp14:editId="11F0FD24">
            <wp:simplePos x="0" y="0"/>
            <wp:positionH relativeFrom="margin">
              <wp:align>left</wp:align>
            </wp:positionH>
            <wp:positionV relativeFrom="paragraph">
              <wp:posOffset>971521</wp:posOffset>
            </wp:positionV>
            <wp:extent cx="5731510" cy="3423285"/>
            <wp:effectExtent l="0" t="0" r="2540" b="5715"/>
            <wp:wrapSquare wrapText="bothSides"/>
            <wp:docPr id="5" name="Content Placeholder 4" descr="A screenshot of a computer screen&#10;&#10;Description automatically generated">
              <a:extLst xmlns:a="http://schemas.openxmlformats.org/drawingml/2006/main">
                <a:ext uri="{FF2B5EF4-FFF2-40B4-BE49-F238E27FC236}">
                  <a16:creationId xmlns:a16="http://schemas.microsoft.com/office/drawing/2014/main" id="{5F8AA83D-034C-05C3-2285-76817B7D4A1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omputer screen&#10;&#10;Description automatically generated">
                      <a:extLst>
                        <a:ext uri="{FF2B5EF4-FFF2-40B4-BE49-F238E27FC236}">
                          <a16:creationId xmlns:a16="http://schemas.microsoft.com/office/drawing/2014/main" id="{5F8AA83D-034C-05C3-2285-76817B7D4A15}"/>
                        </a:ext>
                      </a:extLst>
                    </pic:cNvPr>
                    <pic:cNvPicPr>
                      <a:picLocks noGrp="1"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731510" cy="3423285"/>
                    </a:xfrm>
                    <a:prstGeom prst="rect">
                      <a:avLst/>
                    </a:prstGeom>
                  </pic:spPr>
                </pic:pic>
              </a:graphicData>
            </a:graphic>
            <wp14:sizeRelH relativeFrom="page">
              <wp14:pctWidth>0</wp14:pctWidth>
            </wp14:sizeRelH>
            <wp14:sizeRelV relativeFrom="page">
              <wp14:pctHeight>0</wp14:pctHeight>
            </wp14:sizeRelV>
          </wp:anchor>
        </w:drawing>
      </w:r>
      <w:r w:rsidRPr="00AB1AD1">
        <w:rPr>
          <w:rFonts w:ascii="Calibri" w:hAnsi="Calibri" w:cs="Calibri"/>
        </w:rPr>
        <w:t xml:space="preserve">The CIPD introduced eight </w:t>
      </w:r>
      <w:r w:rsidRPr="00AB1AD1">
        <w:rPr>
          <w:rFonts w:ascii="Calibri" w:hAnsi="Calibri" w:cs="Calibri"/>
        </w:rPr>
        <w:t>different</w:t>
      </w:r>
      <w:r w:rsidRPr="00AB1AD1">
        <w:rPr>
          <w:rFonts w:ascii="Calibri" w:hAnsi="Calibri" w:cs="Calibri"/>
        </w:rPr>
        <w:t xml:space="preserve"> perspectives, </w:t>
      </w:r>
      <w:r w:rsidRPr="00AB1AD1">
        <w:rPr>
          <w:rFonts w:ascii="Calibri" w:hAnsi="Calibri" w:cs="Calibri"/>
        </w:rPr>
        <w:t>or</w:t>
      </w:r>
      <w:r w:rsidRPr="00AB1AD1">
        <w:rPr>
          <w:rFonts w:ascii="Calibri" w:hAnsi="Calibri" w:cs="Calibri"/>
        </w:rPr>
        <w:t xml:space="preserve"> 'lenses', to </w:t>
      </w:r>
      <w:r w:rsidRPr="00AB1AD1">
        <w:rPr>
          <w:rFonts w:ascii="Calibri" w:hAnsi="Calibri" w:cs="Calibri"/>
        </w:rPr>
        <w:t>consider</w:t>
      </w:r>
      <w:r w:rsidRPr="00AB1AD1">
        <w:rPr>
          <w:rFonts w:ascii="Calibri" w:hAnsi="Calibri" w:cs="Calibri"/>
        </w:rPr>
        <w:t xml:space="preserve"> when making workplace decisions. These perspectives offer alternative viewpoints beyond simple 'right' or 'wrong' judgments, providing a broader way of understanding a situation.</w:t>
      </w:r>
      <w:r w:rsidRPr="00AB1AD1">
        <w:rPr>
          <w:rFonts w:ascii="Calibri" w:hAnsi="Calibri" w:cs="Calibri"/>
        </w:rPr>
        <w:t xml:space="preserve"> </w:t>
      </w:r>
    </w:p>
    <w:p w14:paraId="243DAF53" w14:textId="77777777" w:rsidR="00AB1AD1" w:rsidRDefault="00AB1AD1" w:rsidP="00AB1AD1">
      <w:pPr>
        <w:spacing w:line="360" w:lineRule="auto"/>
        <w:jc w:val="both"/>
        <w:rPr>
          <w:rFonts w:ascii="Calibri" w:hAnsi="Calibri" w:cs="Calibri"/>
        </w:rPr>
      </w:pPr>
    </w:p>
    <w:p w14:paraId="16F2C187" w14:textId="77777777" w:rsidR="00AB1AD1" w:rsidRPr="00AB1AD1" w:rsidRDefault="00AB1AD1" w:rsidP="00AB1AD1">
      <w:pPr>
        <w:spacing w:line="360" w:lineRule="auto"/>
        <w:jc w:val="both"/>
        <w:rPr>
          <w:rFonts w:ascii="Calibri" w:hAnsi="Calibri" w:cs="Calibri"/>
        </w:rPr>
      </w:pPr>
    </w:p>
    <w:p w14:paraId="0503B899" w14:textId="7A16A3B8" w:rsidR="009F295D" w:rsidRPr="00AB1AD1" w:rsidRDefault="00785E1C" w:rsidP="00AB1AD1">
      <w:pPr>
        <w:spacing w:line="360" w:lineRule="auto"/>
        <w:jc w:val="both"/>
        <w:rPr>
          <w:rFonts w:ascii="Calibri" w:hAnsi="Calibri" w:cs="Calibri"/>
        </w:rPr>
      </w:pPr>
      <w:r w:rsidRPr="00AB1AD1">
        <w:rPr>
          <w:rFonts w:ascii="Calibri" w:hAnsi="Calibri" w:cs="Calibri"/>
        </w:rPr>
        <w:t xml:space="preserve">Photo </w:t>
      </w:r>
      <w:r w:rsidR="00EE127E" w:rsidRPr="00AB1AD1">
        <w:rPr>
          <w:rFonts w:ascii="Calibri" w:hAnsi="Calibri" w:cs="Calibri"/>
        </w:rPr>
        <w:t xml:space="preserve">obtained </w:t>
      </w:r>
      <w:r w:rsidRPr="00AB1AD1">
        <w:rPr>
          <w:rFonts w:ascii="Calibri" w:hAnsi="Calibri" w:cs="Calibri"/>
        </w:rPr>
        <w:t>from CIPD (2015)</w:t>
      </w:r>
      <w:r w:rsidR="00584A88">
        <w:rPr>
          <w:rFonts w:ascii="Calibri" w:hAnsi="Calibri" w:cs="Calibri"/>
        </w:rPr>
        <w:t>.</w:t>
      </w:r>
    </w:p>
    <w:p w14:paraId="3FA017EE" w14:textId="77777777" w:rsidR="002F0165" w:rsidRDefault="002F0165" w:rsidP="00AB1AD1">
      <w:pPr>
        <w:pStyle w:val="BodyText"/>
        <w:spacing w:before="162" w:line="360" w:lineRule="auto"/>
        <w:ind w:right="283"/>
        <w:jc w:val="both"/>
        <w:rPr>
          <w:rFonts w:ascii="Calibri" w:hAnsi="Calibri" w:cs="Calibri"/>
          <w:b/>
          <w:bCs/>
        </w:rPr>
      </w:pPr>
    </w:p>
    <w:p w14:paraId="30E89FBF" w14:textId="21A7DB98" w:rsidR="009F295D" w:rsidRPr="00AB1AD1" w:rsidRDefault="009F295D" w:rsidP="00AB1AD1">
      <w:pPr>
        <w:pStyle w:val="BodyText"/>
        <w:spacing w:before="162" w:line="360" w:lineRule="auto"/>
        <w:ind w:right="283"/>
        <w:jc w:val="both"/>
        <w:rPr>
          <w:rFonts w:ascii="Calibri" w:hAnsi="Calibri" w:cs="Calibri"/>
          <w:b/>
          <w:bCs/>
        </w:rPr>
      </w:pPr>
      <w:r w:rsidRPr="00AB1AD1">
        <w:rPr>
          <w:rFonts w:ascii="Calibri" w:hAnsi="Calibri" w:cs="Calibri"/>
          <w:b/>
          <w:bCs/>
        </w:rPr>
        <w:t xml:space="preserve">Appraise </w:t>
      </w:r>
      <w:r w:rsidRPr="00AB1AD1">
        <w:rPr>
          <w:rFonts w:ascii="Calibri" w:eastAsia="Times New Roman" w:hAnsi="Calibri" w:cs="Calibri"/>
          <w:b/>
          <w:bCs/>
        </w:rPr>
        <w:t>two different ways organisations measure financial and non-financial performance, providing one example of each.</w:t>
      </w:r>
      <w:r w:rsidRPr="00AB1AD1">
        <w:rPr>
          <w:rFonts w:ascii="Calibri" w:hAnsi="Calibri" w:cs="Calibri"/>
          <w:b/>
          <w:bCs/>
        </w:rPr>
        <w:t xml:space="preserve"> (AC 3.1)</w:t>
      </w:r>
    </w:p>
    <w:p w14:paraId="082C8830" w14:textId="603B419B" w:rsidR="003E71C2" w:rsidRPr="00AB1AD1" w:rsidRDefault="003E71C2" w:rsidP="00AB1AD1">
      <w:pPr>
        <w:pStyle w:val="BodyText"/>
        <w:spacing w:before="162" w:line="360" w:lineRule="auto"/>
        <w:ind w:right="283"/>
        <w:jc w:val="both"/>
        <w:rPr>
          <w:rFonts w:ascii="Calibri" w:hAnsi="Calibri" w:cs="Calibri"/>
        </w:rPr>
      </w:pPr>
      <w:r w:rsidRPr="00AB1AD1">
        <w:rPr>
          <w:rFonts w:ascii="Calibri" w:hAnsi="Calibri" w:cs="Calibri"/>
        </w:rPr>
        <w:t>Measuring performance within an organisation is crucial for success, and there are many ways to utilise data for this purpose, including business performance data, customer data, employee data, and financial/non-financial data.</w:t>
      </w:r>
      <w:r w:rsidRPr="00AB1AD1">
        <w:rPr>
          <w:rFonts w:ascii="Calibri" w:hAnsi="Calibri" w:cs="Calibri"/>
        </w:rPr>
        <w:t xml:space="preserve"> </w:t>
      </w:r>
      <w:r w:rsidRPr="00AB1AD1">
        <w:rPr>
          <w:rFonts w:ascii="Calibri" w:hAnsi="Calibri" w:cs="Calibri"/>
        </w:rPr>
        <w:t xml:space="preserve">Organisations can measure financial performance through various </w:t>
      </w:r>
      <w:r w:rsidR="000B474D" w:rsidRPr="00AB1AD1">
        <w:rPr>
          <w:rFonts w:ascii="Calibri" w:hAnsi="Calibri" w:cs="Calibri"/>
        </w:rPr>
        <w:t xml:space="preserve">key performance </w:t>
      </w:r>
      <w:r w:rsidR="002023DD" w:rsidRPr="00AB1AD1">
        <w:rPr>
          <w:rFonts w:ascii="Calibri" w:hAnsi="Calibri" w:cs="Calibri"/>
        </w:rPr>
        <w:t>indicators</w:t>
      </w:r>
      <w:r w:rsidR="000B474D" w:rsidRPr="00AB1AD1">
        <w:rPr>
          <w:rFonts w:ascii="Calibri" w:hAnsi="Calibri" w:cs="Calibri"/>
        </w:rPr>
        <w:t xml:space="preserve"> (KPIs)</w:t>
      </w:r>
      <w:r w:rsidRPr="00AB1AD1">
        <w:rPr>
          <w:rFonts w:ascii="Calibri" w:hAnsi="Calibri" w:cs="Calibri"/>
        </w:rPr>
        <w:t xml:space="preserve"> such as revenue, gross and net profit margin, return on </w:t>
      </w:r>
      <w:r w:rsidRPr="00AB1AD1">
        <w:rPr>
          <w:rFonts w:ascii="Calibri" w:hAnsi="Calibri" w:cs="Calibri"/>
        </w:rPr>
        <w:lastRenderedPageBreak/>
        <w:t>investment (ROI), and cash flow.</w:t>
      </w:r>
    </w:p>
    <w:p w14:paraId="7C30CC93" w14:textId="7CEDD7E8" w:rsidR="009F295D" w:rsidRPr="00AB1AD1" w:rsidRDefault="002171D6" w:rsidP="00AB1AD1">
      <w:pPr>
        <w:pStyle w:val="BodyText"/>
        <w:spacing w:before="162" w:line="360" w:lineRule="auto"/>
        <w:ind w:right="283"/>
        <w:jc w:val="both"/>
        <w:rPr>
          <w:rFonts w:ascii="Calibri" w:hAnsi="Calibri" w:cs="Calibri"/>
        </w:rPr>
      </w:pPr>
      <w:r w:rsidRPr="00AB1AD1">
        <w:rPr>
          <w:rFonts w:ascii="Calibri" w:hAnsi="Calibri" w:cs="Calibri"/>
        </w:rPr>
        <w:t>ROI is a commonly used metric in recruitment because it effectively monitors the efficiency and productivity of recruitment strategies both organi</w:t>
      </w:r>
      <w:r w:rsidRPr="00AB1AD1">
        <w:rPr>
          <w:rFonts w:ascii="Calibri" w:hAnsi="Calibri" w:cs="Calibri"/>
        </w:rPr>
        <w:t>s</w:t>
      </w:r>
      <w:r w:rsidRPr="00AB1AD1">
        <w:rPr>
          <w:rFonts w:ascii="Calibri" w:hAnsi="Calibri" w:cs="Calibri"/>
        </w:rPr>
        <w:t>ationally and individually. ROI can be tracked over different periods, such as quarterly or annually, depending on the desired business outcomes. For example, in assessing a recruitment marketing strategy, ROI can help determine how much money is being invested in various job boards and identify which job boards attract, engage, and hire quality candidates</w:t>
      </w:r>
      <w:r w:rsidRPr="00AB1AD1">
        <w:rPr>
          <w:rFonts w:ascii="Calibri" w:hAnsi="Calibri" w:cs="Calibri"/>
        </w:rPr>
        <w:t xml:space="preserve"> (Talk et al, 2019). </w:t>
      </w:r>
      <w:r w:rsidRPr="00AB1AD1">
        <w:rPr>
          <w:rFonts w:ascii="Calibri" w:hAnsi="Calibri" w:cs="Calibri"/>
        </w:rPr>
        <w:t>This measurement allows organi</w:t>
      </w:r>
      <w:r w:rsidRPr="00AB1AD1">
        <w:rPr>
          <w:rFonts w:ascii="Calibri" w:hAnsi="Calibri" w:cs="Calibri"/>
        </w:rPr>
        <w:t>s</w:t>
      </w:r>
      <w:r w:rsidRPr="00AB1AD1">
        <w:rPr>
          <w:rFonts w:ascii="Calibri" w:hAnsi="Calibri" w:cs="Calibri"/>
        </w:rPr>
        <w:t>ations to pinpoint the most successful job boards and decide which ones to continue using or discontinue.</w:t>
      </w:r>
      <w:r w:rsidR="00A3003C" w:rsidRPr="00AB1AD1">
        <w:rPr>
          <w:rFonts w:ascii="Calibri" w:hAnsi="Calibri" w:cs="Calibri"/>
        </w:rPr>
        <w:t xml:space="preserve"> </w:t>
      </w:r>
      <w:r w:rsidR="00BB2E52" w:rsidRPr="00AB1AD1">
        <w:rPr>
          <w:rFonts w:ascii="Calibri" w:hAnsi="Calibri" w:cs="Calibri"/>
        </w:rPr>
        <w:t xml:space="preserve">There are many advantages to using ROI as a performance measurement, such as providing quantifiable data that can be easily interpreted, efficient data tracking, and allowing for </w:t>
      </w:r>
      <w:r w:rsidR="00BB2E52" w:rsidRPr="00AB1AD1">
        <w:rPr>
          <w:rFonts w:ascii="Calibri" w:hAnsi="Calibri" w:cs="Calibri"/>
        </w:rPr>
        <w:t>easy</w:t>
      </w:r>
      <w:r w:rsidR="00BB2E52" w:rsidRPr="00AB1AD1">
        <w:rPr>
          <w:rFonts w:ascii="Calibri" w:hAnsi="Calibri" w:cs="Calibri"/>
        </w:rPr>
        <w:t xml:space="preserve"> performance benchmarking (e.g., year-on-year performance). However, there are drawbacks to using ROI (among other financial measures) as the sole measurement. These include short-termism, where decisions are based on short-term financial performance rather than considering long-term benefits, and an exclusive focus on quantitative data, which overlooks the bigger picture, such as employee satisfaction and culture—factors that drive long-term success</w:t>
      </w:r>
      <w:r w:rsidR="00BB2E52" w:rsidRPr="00AB1AD1">
        <w:rPr>
          <w:rFonts w:ascii="Calibri" w:hAnsi="Calibri" w:cs="Calibri"/>
        </w:rPr>
        <w:t xml:space="preserve"> (Kaplan Financial Knowledge Bank, 2020). </w:t>
      </w:r>
    </w:p>
    <w:p w14:paraId="405F2652" w14:textId="2A8D0510" w:rsidR="003E71C2" w:rsidRPr="00AB1AD1" w:rsidRDefault="00681D99" w:rsidP="00AB1AD1">
      <w:pPr>
        <w:pStyle w:val="BodyText"/>
        <w:spacing w:before="162" w:line="360" w:lineRule="auto"/>
        <w:ind w:right="283"/>
        <w:jc w:val="both"/>
        <w:rPr>
          <w:rFonts w:ascii="Calibri" w:hAnsi="Calibri" w:cs="Calibri"/>
        </w:rPr>
      </w:pPr>
      <w:r w:rsidRPr="00AB1AD1">
        <w:rPr>
          <w:rFonts w:ascii="Calibri" w:hAnsi="Calibri" w:cs="Calibri"/>
        </w:rPr>
        <w:t xml:space="preserve">Non-financial performance measures are parameters to evaluate </w:t>
      </w:r>
      <w:r w:rsidR="00D0012D" w:rsidRPr="00AB1AD1">
        <w:rPr>
          <w:rFonts w:ascii="Calibri" w:hAnsi="Calibri" w:cs="Calibri"/>
        </w:rPr>
        <w:t>companies’</w:t>
      </w:r>
      <w:r w:rsidRPr="00AB1AD1">
        <w:rPr>
          <w:rFonts w:ascii="Calibri" w:hAnsi="Calibri" w:cs="Calibri"/>
        </w:rPr>
        <w:t xml:space="preserve"> success, not directly linked to financial performance and can be descriptive (</w:t>
      </w:r>
      <w:proofErr w:type="spellStart"/>
      <w:r w:rsidRPr="00AB1AD1">
        <w:rPr>
          <w:rFonts w:ascii="Calibri" w:hAnsi="Calibri" w:cs="Calibri"/>
        </w:rPr>
        <w:t>Milost</w:t>
      </w:r>
      <w:proofErr w:type="spellEnd"/>
      <w:r w:rsidRPr="00AB1AD1">
        <w:rPr>
          <w:rFonts w:ascii="Calibri" w:hAnsi="Calibri" w:cs="Calibri"/>
        </w:rPr>
        <w:t xml:space="preserve">, 2013). Non-financial performance measurements include </w:t>
      </w:r>
      <w:r w:rsidR="000B3D10" w:rsidRPr="00AB1AD1">
        <w:rPr>
          <w:rFonts w:ascii="Calibri" w:hAnsi="Calibri" w:cs="Calibri"/>
        </w:rPr>
        <w:t xml:space="preserve">employee/customer satisfaction ratings, service level-agreements and balanced scorecard. </w:t>
      </w:r>
      <w:r w:rsidR="005A627D" w:rsidRPr="00AB1AD1">
        <w:rPr>
          <w:rFonts w:ascii="Calibri" w:hAnsi="Calibri" w:cs="Calibri"/>
        </w:rPr>
        <w:t>Employee satisfaction surveys are a valuable tool for measuring organisational performance as they focus on the feelings and attitudes of employees, which are pivotal to the long-term success and growth of a business. These surveys enable HR professionals to monitor factors such as engagement and job satisfaction. By identifying and addressing issues highlighted in these surveys, organisations can enhance employee retention, boost productivity, and improve overall success.</w:t>
      </w:r>
      <w:r w:rsidR="00D0012D" w:rsidRPr="00AB1AD1">
        <w:rPr>
          <w:rFonts w:ascii="Calibri" w:hAnsi="Calibri" w:cs="Calibri"/>
        </w:rPr>
        <w:t xml:space="preserve"> </w:t>
      </w:r>
      <w:r w:rsidR="00D0012D" w:rsidRPr="00AB1AD1">
        <w:rPr>
          <w:rFonts w:ascii="Calibri" w:hAnsi="Calibri" w:cs="Calibri"/>
        </w:rPr>
        <w:t>In our organisation, we routinely collect customer satisfaction ratings. After completing each recruitment round, every candidate and client receives a satisfaction survey to fill out. This practice has proven invaluable as a performance management tool, enabling us to monitor critical factors such as communication effectiveness, relationship building, service quality, and specific feedback related to job experiences.</w:t>
      </w:r>
      <w:r w:rsidR="00D0012D" w:rsidRPr="00AB1AD1">
        <w:rPr>
          <w:rFonts w:ascii="Calibri" w:hAnsi="Calibri" w:cs="Calibri"/>
        </w:rPr>
        <w:t xml:space="preserve"> </w:t>
      </w:r>
      <w:r w:rsidR="00D0012D" w:rsidRPr="00AB1AD1">
        <w:rPr>
          <w:rFonts w:ascii="Calibri" w:hAnsi="Calibri" w:cs="Calibri"/>
        </w:rPr>
        <w:t xml:space="preserve">It not only helps </w:t>
      </w:r>
      <w:r w:rsidR="00D0012D" w:rsidRPr="00AB1AD1">
        <w:rPr>
          <w:rFonts w:ascii="Calibri" w:hAnsi="Calibri" w:cs="Calibri"/>
        </w:rPr>
        <w:t>us</w:t>
      </w:r>
      <w:r w:rsidR="00D0012D" w:rsidRPr="00AB1AD1">
        <w:rPr>
          <w:rFonts w:ascii="Calibri" w:hAnsi="Calibri" w:cs="Calibri"/>
        </w:rPr>
        <w:t xml:space="preserve"> recognise </w:t>
      </w:r>
      <w:r w:rsidR="00D0012D" w:rsidRPr="00AB1AD1">
        <w:rPr>
          <w:rFonts w:ascii="Calibri" w:hAnsi="Calibri" w:cs="Calibri"/>
        </w:rPr>
        <w:t>our</w:t>
      </w:r>
      <w:r w:rsidR="00D0012D" w:rsidRPr="00AB1AD1">
        <w:rPr>
          <w:rFonts w:ascii="Calibri" w:hAnsi="Calibri" w:cs="Calibri"/>
        </w:rPr>
        <w:t xml:space="preserve"> strengths but also pinpoints areas where </w:t>
      </w:r>
      <w:r w:rsidR="00D0012D" w:rsidRPr="00AB1AD1">
        <w:rPr>
          <w:rFonts w:ascii="Calibri" w:hAnsi="Calibri" w:cs="Calibri"/>
        </w:rPr>
        <w:t>we</w:t>
      </w:r>
      <w:r w:rsidR="00D0012D" w:rsidRPr="00AB1AD1">
        <w:rPr>
          <w:rFonts w:ascii="Calibri" w:hAnsi="Calibri" w:cs="Calibri"/>
        </w:rPr>
        <w:t xml:space="preserve"> can improve to enhance performance.</w:t>
      </w:r>
      <w:r w:rsidR="00D0012D" w:rsidRPr="00AB1AD1">
        <w:rPr>
          <w:rFonts w:ascii="Calibri" w:hAnsi="Calibri" w:cs="Calibri"/>
        </w:rPr>
        <w:t xml:space="preserve"> </w:t>
      </w:r>
      <w:r w:rsidR="009F7054" w:rsidRPr="00AB1AD1">
        <w:rPr>
          <w:rFonts w:ascii="Calibri" w:hAnsi="Calibri" w:cs="Calibri"/>
        </w:rPr>
        <w:t xml:space="preserve">There are some drawbacks to using non-financial performance measures as a sole performance indicator, such as the information is subjective – based on opinions rather than facts, qualitative data can be harder to interpret and analyse and it can also be quite a time intensive task (Kaplan Financial Knowledge Bank, 2020). </w:t>
      </w:r>
    </w:p>
    <w:p w14:paraId="52B71999" w14:textId="77777777" w:rsidR="003E71C2" w:rsidRPr="00AB1AD1" w:rsidRDefault="003E71C2" w:rsidP="00AB1AD1">
      <w:pPr>
        <w:pStyle w:val="BodyText"/>
        <w:spacing w:before="162" w:line="360" w:lineRule="auto"/>
        <w:ind w:right="283"/>
        <w:jc w:val="both"/>
        <w:rPr>
          <w:rFonts w:ascii="Calibri" w:hAnsi="Calibri" w:cs="Calibri"/>
        </w:rPr>
      </w:pPr>
    </w:p>
    <w:p w14:paraId="68B49D94" w14:textId="740E31DF" w:rsidR="00E42A2F" w:rsidRPr="00AB1AD1" w:rsidRDefault="009F295D" w:rsidP="00AB1AD1">
      <w:pPr>
        <w:pStyle w:val="BodyText"/>
        <w:spacing w:before="162" w:line="360" w:lineRule="auto"/>
        <w:ind w:right="283"/>
        <w:jc w:val="both"/>
        <w:rPr>
          <w:rFonts w:ascii="Calibri" w:hAnsi="Calibri" w:cs="Calibri"/>
          <w:b/>
          <w:bCs/>
        </w:rPr>
      </w:pPr>
      <w:r w:rsidRPr="00AB1AD1">
        <w:rPr>
          <w:rFonts w:ascii="Calibri" w:hAnsi="Calibri" w:cs="Calibri"/>
          <w:b/>
          <w:bCs/>
        </w:rPr>
        <w:t>Explain how people practices add value in an organisation and identify two methods that might be used to measure the impact of people practices. (AC 3.2)</w:t>
      </w:r>
    </w:p>
    <w:p w14:paraId="57F81B62" w14:textId="57A9A7A2" w:rsidR="00B65780" w:rsidRPr="00AB1AD1" w:rsidRDefault="00A9211D" w:rsidP="00AB1AD1">
      <w:pPr>
        <w:pStyle w:val="BodyText"/>
        <w:spacing w:before="162" w:line="360" w:lineRule="auto"/>
        <w:ind w:right="283"/>
        <w:jc w:val="both"/>
        <w:rPr>
          <w:rFonts w:ascii="Calibri" w:hAnsi="Calibri" w:cs="Calibri"/>
        </w:rPr>
      </w:pPr>
      <w:r w:rsidRPr="00AB1AD1">
        <w:rPr>
          <w:rFonts w:ascii="Calibri" w:hAnsi="Calibri" w:cs="Calibri"/>
        </w:rPr>
        <w:t>Value refers to something's worth or usefulness</w:t>
      </w:r>
      <w:r w:rsidR="00235AF7" w:rsidRPr="00AB1AD1">
        <w:rPr>
          <w:rFonts w:ascii="Calibri" w:hAnsi="Calibri" w:cs="Calibri"/>
        </w:rPr>
        <w:t xml:space="preserve"> whereas impact refers to a change on something</w:t>
      </w:r>
      <w:r w:rsidRPr="00AB1AD1">
        <w:rPr>
          <w:rFonts w:ascii="Calibri" w:hAnsi="Calibri" w:cs="Calibri"/>
        </w:rPr>
        <w:t>. Within people practices, creating value can include developing human capital, which encompasses the knowledge and skills that people bring to the organisation, and structural capital, which includes systems, processes, and databases (Waite et al., 2021).</w:t>
      </w:r>
      <w:r w:rsidRPr="00AB1AD1">
        <w:rPr>
          <w:rFonts w:ascii="Calibri" w:hAnsi="Calibri" w:cs="Calibri"/>
        </w:rPr>
        <w:t xml:space="preserve"> </w:t>
      </w:r>
      <w:r w:rsidR="00E42A2F" w:rsidRPr="00AB1AD1">
        <w:rPr>
          <w:rFonts w:ascii="Calibri" w:hAnsi="Calibri" w:cs="Calibri"/>
        </w:rPr>
        <w:t>HR professionals contribute significant value to an organisation by aligning strategic people plans with company goals. According to Stewart and Brown (2019), HR can enhance organisational value through various roles across different competency areas: the functional expert, the employee advocate, the human capital developer, and the strategic partner. Key competency areas include strategic positioning, credible activism, change management, traditional HR functions, and advocating for technology.</w:t>
      </w:r>
      <w:r w:rsidR="00235AF7" w:rsidRPr="00AB1AD1">
        <w:rPr>
          <w:rFonts w:ascii="Calibri" w:hAnsi="Calibri" w:cs="Calibri"/>
        </w:rPr>
        <w:t xml:space="preserve"> To summarise, HR practitioners can add value to organisation across various areas including creating a positive culture, employee engagement, recruitment and change management.  </w:t>
      </w:r>
    </w:p>
    <w:p w14:paraId="066D31E6" w14:textId="5ACA8CB6" w:rsidR="00C8621C" w:rsidRPr="00AB1AD1" w:rsidRDefault="00C8621C" w:rsidP="00AB1AD1">
      <w:pPr>
        <w:pStyle w:val="BodyText"/>
        <w:spacing w:before="162" w:line="360" w:lineRule="auto"/>
        <w:ind w:right="283"/>
        <w:jc w:val="both"/>
        <w:rPr>
          <w:rFonts w:ascii="Calibri" w:hAnsi="Calibri" w:cs="Calibri"/>
        </w:rPr>
      </w:pPr>
      <w:r w:rsidRPr="00AB1AD1">
        <w:rPr>
          <w:rFonts w:ascii="Calibri" w:hAnsi="Calibri" w:cs="Calibri"/>
        </w:rPr>
        <w:t>Measuring the impact of people practices within organisations is crucial for assessing the effectiveness of strategies and identifying areas for improvement. This process ensures that objectives are being met, enables evidence-based decisions to enhance HR practices, justifies the financial and social return on investment (ROI) of people initiatives, and identifies gaps and training needs</w:t>
      </w:r>
      <w:r w:rsidRPr="00AB1AD1">
        <w:rPr>
          <w:rFonts w:ascii="Calibri" w:hAnsi="Calibri" w:cs="Calibri"/>
        </w:rPr>
        <w:t xml:space="preserve"> (</w:t>
      </w:r>
      <w:r w:rsidR="00A86E4E" w:rsidRPr="00AB1AD1">
        <w:rPr>
          <w:rFonts w:ascii="Calibri" w:hAnsi="Calibri" w:cs="Calibri"/>
        </w:rPr>
        <w:t xml:space="preserve">Hill and Houghton, 2023). </w:t>
      </w:r>
    </w:p>
    <w:p w14:paraId="48594624" w14:textId="2C855CA9" w:rsidR="0086393B" w:rsidRPr="00AB1AD1" w:rsidRDefault="0086393B" w:rsidP="00AB1AD1">
      <w:pPr>
        <w:pStyle w:val="BodyText"/>
        <w:spacing w:before="162" w:line="360" w:lineRule="auto"/>
        <w:ind w:right="283"/>
        <w:jc w:val="both"/>
        <w:rPr>
          <w:rFonts w:ascii="Calibri" w:hAnsi="Calibri" w:cs="Calibri"/>
        </w:rPr>
      </w:pPr>
      <w:r w:rsidRPr="00AB1AD1">
        <w:rPr>
          <w:rFonts w:ascii="Calibri" w:hAnsi="Calibri" w:cs="Calibri"/>
        </w:rPr>
        <w:t xml:space="preserve">One approach to measure this is through a cost-benefit analysis, which </w:t>
      </w:r>
      <w:r w:rsidR="002023DD" w:rsidRPr="00AB1AD1">
        <w:rPr>
          <w:rFonts w:ascii="Calibri" w:hAnsi="Calibri" w:cs="Calibri"/>
        </w:rPr>
        <w:t>involves</w:t>
      </w:r>
      <w:r w:rsidRPr="00AB1AD1">
        <w:rPr>
          <w:rFonts w:ascii="Calibri" w:hAnsi="Calibri" w:cs="Calibri"/>
        </w:rPr>
        <w:t xml:space="preserve"> comparing the anticipated</w:t>
      </w:r>
      <w:r w:rsidR="002023DD" w:rsidRPr="00AB1AD1">
        <w:rPr>
          <w:rFonts w:ascii="Calibri" w:hAnsi="Calibri" w:cs="Calibri"/>
        </w:rPr>
        <w:t xml:space="preserve"> costs/</w:t>
      </w:r>
      <w:r w:rsidRPr="00AB1AD1">
        <w:rPr>
          <w:rFonts w:ascii="Calibri" w:hAnsi="Calibri" w:cs="Calibri"/>
        </w:rPr>
        <w:t xml:space="preserve">benefits of a decision or action with the associated costs (Stobierski, 2019). For instance, in people practice, this can be applied to assess the </w:t>
      </w:r>
      <w:r w:rsidRPr="00AB1AD1">
        <w:rPr>
          <w:rFonts w:ascii="Calibri" w:hAnsi="Calibri" w:cs="Calibri"/>
        </w:rPr>
        <w:t>effectiveness</w:t>
      </w:r>
      <w:r w:rsidRPr="00AB1AD1">
        <w:rPr>
          <w:rFonts w:ascii="Calibri" w:hAnsi="Calibri" w:cs="Calibri"/>
        </w:rPr>
        <w:t xml:space="preserve"> of an employee engagement initiative. A more engaged workforce is typically linked to improved employee performance, reduced turnover rates, and decreased absenteeism (</w:t>
      </w:r>
      <w:r w:rsidR="00EE127E" w:rsidRPr="00AB1AD1">
        <w:rPr>
          <w:rFonts w:ascii="Calibri" w:hAnsi="Calibri" w:cs="Calibri"/>
        </w:rPr>
        <w:t>Markos and Sridevi, 2010</w:t>
      </w:r>
      <w:r w:rsidRPr="00AB1AD1">
        <w:rPr>
          <w:rFonts w:ascii="Calibri" w:hAnsi="Calibri" w:cs="Calibri"/>
        </w:rPr>
        <w:t>). Consequently, this could lead to savings in recruitment and training expenses, lower costs related to sick leave, and enhanced productivity and efficiency.</w:t>
      </w:r>
    </w:p>
    <w:p w14:paraId="2F2D8DDE" w14:textId="32E96638" w:rsidR="000D305C" w:rsidRDefault="000D305C" w:rsidP="00AB1AD1">
      <w:pPr>
        <w:pStyle w:val="BodyText"/>
        <w:spacing w:before="162" w:line="360" w:lineRule="auto"/>
        <w:ind w:right="283"/>
        <w:jc w:val="both"/>
        <w:rPr>
          <w:rFonts w:ascii="Calibri" w:hAnsi="Calibri" w:cs="Calibri"/>
        </w:rPr>
      </w:pPr>
      <w:r w:rsidRPr="00AB1AD1">
        <w:rPr>
          <w:rFonts w:ascii="Calibri" w:hAnsi="Calibri" w:cs="Calibri"/>
        </w:rPr>
        <w:t>Evaluation methods such as staff satisfaction surveys are effective for measuring the impact of people practices. They offer valuable insights into employee morale, engagement levels, and overall job satisfaction, which are essential for cultivating a positive work environment (</w:t>
      </w:r>
      <w:proofErr w:type="spellStart"/>
      <w:r w:rsidR="00AB1AD1" w:rsidRPr="00AB1AD1">
        <w:rPr>
          <w:rFonts w:ascii="Calibri" w:hAnsi="Calibri" w:cs="Calibri"/>
        </w:rPr>
        <w:t>Badre</w:t>
      </w:r>
      <w:proofErr w:type="spellEnd"/>
      <w:r w:rsidR="00AB1AD1" w:rsidRPr="00AB1AD1">
        <w:rPr>
          <w:rFonts w:ascii="Calibri" w:hAnsi="Calibri" w:cs="Calibri"/>
        </w:rPr>
        <w:t>, 2021</w:t>
      </w:r>
      <w:r w:rsidRPr="00AB1AD1">
        <w:rPr>
          <w:rFonts w:ascii="Calibri" w:hAnsi="Calibri" w:cs="Calibri"/>
        </w:rPr>
        <w:t>). Additionally, these surveys can pinpoint</w:t>
      </w:r>
      <w:r w:rsidRPr="00AB1AD1">
        <w:rPr>
          <w:rFonts w:ascii="Calibri" w:hAnsi="Calibri" w:cs="Calibri"/>
        </w:rPr>
        <w:t xml:space="preserve"> additional</w:t>
      </w:r>
      <w:r w:rsidRPr="00AB1AD1">
        <w:rPr>
          <w:rFonts w:ascii="Calibri" w:hAnsi="Calibri" w:cs="Calibri"/>
        </w:rPr>
        <w:t xml:space="preserve"> training needs and highlight potential issues that may inform the development of targeted training programmes, such as Leadership and Management training if specific </w:t>
      </w:r>
      <w:r w:rsidRPr="00AB1AD1">
        <w:rPr>
          <w:rFonts w:ascii="Calibri" w:hAnsi="Calibri" w:cs="Calibri"/>
        </w:rPr>
        <w:t>weaknesses</w:t>
      </w:r>
      <w:r w:rsidRPr="00AB1AD1">
        <w:rPr>
          <w:rFonts w:ascii="Calibri" w:hAnsi="Calibri" w:cs="Calibri"/>
        </w:rPr>
        <w:t xml:space="preserve"> are identified.</w:t>
      </w:r>
      <w:r w:rsidRPr="00AB1AD1">
        <w:rPr>
          <w:rFonts w:ascii="Calibri" w:hAnsi="Calibri" w:cs="Calibri"/>
        </w:rPr>
        <w:t xml:space="preserve"> This can </w:t>
      </w:r>
      <w:r w:rsidR="006E222C" w:rsidRPr="00AB1AD1">
        <w:rPr>
          <w:rFonts w:ascii="Calibri" w:hAnsi="Calibri" w:cs="Calibri"/>
        </w:rPr>
        <w:t>reduce staff turnover to benefit</w:t>
      </w:r>
      <w:r w:rsidRPr="00AB1AD1">
        <w:rPr>
          <w:rFonts w:ascii="Calibri" w:hAnsi="Calibri" w:cs="Calibri"/>
        </w:rPr>
        <w:t xml:space="preserve"> </w:t>
      </w:r>
      <w:r w:rsidRPr="00AB1AD1">
        <w:rPr>
          <w:rFonts w:ascii="Calibri" w:hAnsi="Calibri" w:cs="Calibri"/>
        </w:rPr>
        <w:lastRenderedPageBreak/>
        <w:t>retention</w:t>
      </w:r>
      <w:r w:rsidR="006E222C" w:rsidRPr="00AB1AD1">
        <w:rPr>
          <w:rFonts w:ascii="Calibri" w:hAnsi="Calibri" w:cs="Calibri"/>
        </w:rPr>
        <w:t xml:space="preserve"> and improve wellbeing. </w:t>
      </w:r>
    </w:p>
    <w:p w14:paraId="45A2A0BD" w14:textId="4D36158A" w:rsidR="002F0165" w:rsidRPr="002F0165" w:rsidRDefault="002F0165" w:rsidP="00AB1AD1">
      <w:pPr>
        <w:pStyle w:val="BodyText"/>
        <w:spacing w:before="162" w:line="360" w:lineRule="auto"/>
        <w:ind w:right="283"/>
        <w:jc w:val="both"/>
        <w:rPr>
          <w:rFonts w:ascii="Calibri" w:hAnsi="Calibri" w:cs="Calibri"/>
          <w:b/>
          <w:bCs/>
          <w:u w:val="single"/>
        </w:rPr>
      </w:pPr>
      <w:r w:rsidRPr="002F0165">
        <w:rPr>
          <w:rFonts w:ascii="Calibri" w:hAnsi="Calibri" w:cs="Calibri"/>
          <w:b/>
          <w:bCs/>
          <w:u w:val="single"/>
        </w:rPr>
        <w:t xml:space="preserve">Section Two - </w:t>
      </w:r>
      <w:r w:rsidRPr="002F0165">
        <w:rPr>
          <w:rFonts w:ascii="Calibri" w:hAnsi="Calibri" w:cs="Calibri"/>
          <w:b/>
          <w:bCs/>
          <w:u w:val="single"/>
        </w:rPr>
        <w:t>Quantitative and qualitative analysis review</w:t>
      </w:r>
    </w:p>
    <w:p w14:paraId="539E3EC4" w14:textId="77777777" w:rsidR="00584A88" w:rsidRDefault="00584A88" w:rsidP="0039206B"/>
    <w:p w14:paraId="275016F9" w14:textId="058EE1F4" w:rsidR="005F64B4" w:rsidRPr="005F64B4" w:rsidRDefault="005F64B4" w:rsidP="0039206B">
      <w:pPr>
        <w:rPr>
          <w:u w:val="single"/>
        </w:rPr>
      </w:pPr>
      <w:r w:rsidRPr="005F64B4">
        <w:rPr>
          <w:u w:val="single"/>
        </w:rPr>
        <w:t>Table One – Equality, Diversity and Inclusion</w:t>
      </w:r>
      <w:r w:rsidR="006E174B">
        <w:rPr>
          <w:u w:val="single"/>
        </w:rPr>
        <w:t xml:space="preserve"> salary data</w:t>
      </w:r>
    </w:p>
    <w:p w14:paraId="74F8C312" w14:textId="77777777" w:rsidR="005F64B4" w:rsidRPr="005F64B4" w:rsidRDefault="005F64B4" w:rsidP="005F64B4">
      <w:pPr>
        <w:spacing w:line="360" w:lineRule="auto"/>
        <w:jc w:val="both"/>
        <w:rPr>
          <w:rFonts w:ascii="Calibri" w:hAnsi="Calibri" w:cs="Calibri"/>
          <w:b/>
          <w:bCs/>
        </w:rPr>
      </w:pPr>
    </w:p>
    <w:p w14:paraId="231FCCCB" w14:textId="6B354083" w:rsidR="002F0165" w:rsidRPr="005F64B4" w:rsidRDefault="002F0165" w:rsidP="005F64B4">
      <w:pPr>
        <w:pStyle w:val="ListParagraph"/>
        <w:numPr>
          <w:ilvl w:val="0"/>
          <w:numId w:val="4"/>
        </w:numPr>
        <w:spacing w:line="360" w:lineRule="auto"/>
        <w:jc w:val="both"/>
        <w:rPr>
          <w:rFonts w:ascii="Calibri" w:hAnsi="Calibri" w:cs="Calibri"/>
          <w:b/>
          <w:bCs/>
        </w:rPr>
      </w:pPr>
      <w:r w:rsidRPr="005F64B4">
        <w:rPr>
          <w:rFonts w:ascii="Calibri" w:hAnsi="Calibri" w:cs="Calibri"/>
          <w:b/>
          <w:bCs/>
        </w:rPr>
        <w:t>With reference to a people practice issue, interpret analytical data using appropriate analysis tools and methods</w:t>
      </w:r>
      <w:r w:rsidR="005F64B4">
        <w:rPr>
          <w:rFonts w:ascii="Calibri" w:hAnsi="Calibri" w:cs="Calibri"/>
          <w:b/>
          <w:bCs/>
        </w:rPr>
        <w:t xml:space="preserve"> (</w:t>
      </w:r>
      <w:r w:rsidR="005F64B4" w:rsidRPr="005F64B4">
        <w:rPr>
          <w:rFonts w:ascii="Calibri" w:hAnsi="Calibri" w:cs="Calibri"/>
          <w:b/>
          <w:bCs/>
        </w:rPr>
        <w:t>AC 2.1</w:t>
      </w:r>
      <w:r w:rsidR="005F64B4">
        <w:rPr>
          <w:rFonts w:ascii="Calibri" w:hAnsi="Calibri" w:cs="Calibri"/>
          <w:b/>
          <w:bCs/>
        </w:rPr>
        <w:t>)</w:t>
      </w:r>
    </w:p>
    <w:p w14:paraId="5647D7BB" w14:textId="1DAF0C11" w:rsidR="002F0165" w:rsidRPr="005F64B4" w:rsidRDefault="002F0165" w:rsidP="005F64B4">
      <w:pPr>
        <w:pStyle w:val="ListParagraph"/>
        <w:numPr>
          <w:ilvl w:val="0"/>
          <w:numId w:val="4"/>
        </w:numPr>
        <w:spacing w:line="360" w:lineRule="auto"/>
        <w:jc w:val="both"/>
        <w:rPr>
          <w:rFonts w:ascii="Calibri" w:hAnsi="Calibri" w:cs="Calibri"/>
          <w:b/>
          <w:bCs/>
        </w:rPr>
      </w:pPr>
      <w:r w:rsidRPr="005F64B4">
        <w:rPr>
          <w:rFonts w:ascii="Calibri" w:hAnsi="Calibri" w:cs="Calibri"/>
          <w:b/>
          <w:bCs/>
        </w:rPr>
        <w:t xml:space="preserve">Present key findings for stakeholders from people practice activities and initiatives. (AC 2.2) </w:t>
      </w:r>
    </w:p>
    <w:p w14:paraId="12764E1D" w14:textId="4EAEE0F6" w:rsidR="005F64B4" w:rsidRDefault="002F0165" w:rsidP="005F64B4">
      <w:pPr>
        <w:pStyle w:val="ListParagraph"/>
        <w:numPr>
          <w:ilvl w:val="0"/>
          <w:numId w:val="4"/>
        </w:numPr>
        <w:spacing w:line="360" w:lineRule="auto"/>
        <w:jc w:val="both"/>
        <w:rPr>
          <w:rFonts w:ascii="Calibri" w:hAnsi="Calibri" w:cs="Calibri"/>
          <w:b/>
          <w:bCs/>
        </w:rPr>
      </w:pPr>
      <w:r w:rsidRPr="005F64B4">
        <w:rPr>
          <w:rFonts w:ascii="Calibri" w:hAnsi="Calibri" w:cs="Calibri"/>
          <w:b/>
          <w:bCs/>
        </w:rPr>
        <w:t xml:space="preserve">Make justified recommendations based on evaluation of the benefits, risks and financial implications of potential solutions. (AC 2.3) </w:t>
      </w:r>
    </w:p>
    <w:p w14:paraId="629F9F88" w14:textId="77777777" w:rsidR="005F64B4" w:rsidRPr="005F64B4" w:rsidRDefault="005F64B4" w:rsidP="005F64B4">
      <w:pPr>
        <w:pStyle w:val="ListParagraph"/>
        <w:spacing w:line="360" w:lineRule="auto"/>
        <w:jc w:val="both"/>
        <w:rPr>
          <w:rFonts w:ascii="Calibri" w:hAnsi="Calibri" w:cs="Calibri"/>
          <w:b/>
          <w:bCs/>
        </w:rPr>
      </w:pPr>
    </w:p>
    <w:p w14:paraId="16005EE4" w14:textId="77777777" w:rsidR="002F0165" w:rsidRPr="005F64B4" w:rsidRDefault="002F0165" w:rsidP="002F0165">
      <w:pPr>
        <w:pStyle w:val="ListParagraph"/>
        <w:numPr>
          <w:ilvl w:val="0"/>
          <w:numId w:val="2"/>
        </w:numPr>
        <w:spacing w:line="360" w:lineRule="auto"/>
        <w:jc w:val="both"/>
        <w:rPr>
          <w:rFonts w:ascii="Calibri" w:hAnsi="Calibri" w:cs="Calibri"/>
          <w:b/>
          <w:bCs/>
        </w:rPr>
      </w:pPr>
      <w:r w:rsidRPr="005F64B4">
        <w:rPr>
          <w:rFonts w:ascii="Calibri" w:hAnsi="Calibri" w:cs="Calibri"/>
          <w:b/>
          <w:bCs/>
        </w:rPr>
        <w:t>Percentage of each gender by type</w:t>
      </w:r>
    </w:p>
    <w:p w14:paraId="27450DD2" w14:textId="77777777" w:rsidR="002F0165" w:rsidRPr="002F0165" w:rsidRDefault="002F0165" w:rsidP="002F0165">
      <w:pPr>
        <w:spacing w:line="360" w:lineRule="auto"/>
        <w:jc w:val="both"/>
        <w:rPr>
          <w:rFonts w:ascii="Calibri" w:hAnsi="Calibri" w:cs="Calibri"/>
        </w:rPr>
      </w:pPr>
      <w:r w:rsidRPr="002F0165">
        <w:rPr>
          <w:rFonts w:ascii="Calibri" w:hAnsi="Calibri" w:cs="Calibri"/>
          <w:noProof/>
        </w:rPr>
        <w:drawing>
          <wp:anchor distT="0" distB="0" distL="114300" distR="114300" simplePos="0" relativeHeight="251663360" behindDoc="0" locked="0" layoutInCell="1" allowOverlap="1" wp14:anchorId="7FED14B9" wp14:editId="4540E7AE">
            <wp:simplePos x="0" y="0"/>
            <wp:positionH relativeFrom="margin">
              <wp:align>left</wp:align>
            </wp:positionH>
            <wp:positionV relativeFrom="paragraph">
              <wp:posOffset>14605</wp:posOffset>
            </wp:positionV>
            <wp:extent cx="4584700" cy="2780030"/>
            <wp:effectExtent l="0" t="0" r="6350" b="1270"/>
            <wp:wrapSquare wrapText="bothSides"/>
            <wp:docPr id="1974836051" name="Picture 1" descr="A pie chart of gend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36051" name="Picture 1" descr="A pie chart of gende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4700" cy="2780030"/>
                    </a:xfrm>
                    <a:prstGeom prst="rect">
                      <a:avLst/>
                    </a:prstGeom>
                    <a:noFill/>
                  </pic:spPr>
                </pic:pic>
              </a:graphicData>
            </a:graphic>
            <wp14:sizeRelH relativeFrom="page">
              <wp14:pctWidth>0</wp14:pctWidth>
            </wp14:sizeRelH>
            <wp14:sizeRelV relativeFrom="page">
              <wp14:pctHeight>0</wp14:pctHeight>
            </wp14:sizeRelV>
          </wp:anchor>
        </w:drawing>
      </w:r>
    </w:p>
    <w:p w14:paraId="1F300596" w14:textId="77777777" w:rsidR="002F0165" w:rsidRPr="002F0165" w:rsidRDefault="002F0165" w:rsidP="002F0165">
      <w:pPr>
        <w:spacing w:line="360" w:lineRule="auto"/>
        <w:jc w:val="both"/>
        <w:rPr>
          <w:rFonts w:ascii="Calibri" w:hAnsi="Calibri" w:cs="Calibri"/>
        </w:rPr>
      </w:pPr>
    </w:p>
    <w:p w14:paraId="10530C3C" w14:textId="77777777" w:rsidR="002F0165" w:rsidRPr="002F0165" w:rsidRDefault="002F0165" w:rsidP="002F0165">
      <w:pPr>
        <w:spacing w:line="360" w:lineRule="auto"/>
        <w:jc w:val="both"/>
        <w:rPr>
          <w:rFonts w:ascii="Calibri" w:hAnsi="Calibri" w:cs="Calibri"/>
        </w:rPr>
      </w:pPr>
    </w:p>
    <w:p w14:paraId="5D090AE0" w14:textId="77777777" w:rsidR="002F0165" w:rsidRPr="002F0165" w:rsidRDefault="002F0165" w:rsidP="002F0165">
      <w:pPr>
        <w:spacing w:line="360" w:lineRule="auto"/>
        <w:jc w:val="both"/>
        <w:rPr>
          <w:rFonts w:ascii="Calibri" w:hAnsi="Calibri" w:cs="Calibri"/>
        </w:rPr>
      </w:pPr>
    </w:p>
    <w:p w14:paraId="3EF30C3E" w14:textId="77777777" w:rsidR="002F0165" w:rsidRPr="002F0165" w:rsidRDefault="002F0165" w:rsidP="002F0165">
      <w:pPr>
        <w:spacing w:line="360" w:lineRule="auto"/>
        <w:jc w:val="both"/>
        <w:rPr>
          <w:rFonts w:ascii="Calibri" w:hAnsi="Calibri" w:cs="Calibri"/>
        </w:rPr>
      </w:pPr>
    </w:p>
    <w:p w14:paraId="0D296A56" w14:textId="77777777" w:rsidR="002F0165" w:rsidRPr="002F0165" w:rsidRDefault="002F0165" w:rsidP="002F0165">
      <w:pPr>
        <w:spacing w:line="360" w:lineRule="auto"/>
        <w:jc w:val="both"/>
        <w:rPr>
          <w:rFonts w:ascii="Calibri" w:hAnsi="Calibri" w:cs="Calibri"/>
        </w:rPr>
      </w:pPr>
    </w:p>
    <w:p w14:paraId="08E1277C" w14:textId="77777777" w:rsidR="002F0165" w:rsidRPr="002F0165" w:rsidRDefault="002F0165" w:rsidP="002F0165">
      <w:pPr>
        <w:spacing w:line="360" w:lineRule="auto"/>
        <w:jc w:val="both"/>
        <w:rPr>
          <w:rFonts w:ascii="Calibri" w:hAnsi="Calibri" w:cs="Calibri"/>
        </w:rPr>
      </w:pPr>
    </w:p>
    <w:p w14:paraId="40B4630A" w14:textId="77777777" w:rsidR="002F0165" w:rsidRPr="002F0165" w:rsidRDefault="002F0165" w:rsidP="002F0165">
      <w:pPr>
        <w:spacing w:line="360" w:lineRule="auto"/>
        <w:jc w:val="both"/>
        <w:rPr>
          <w:rFonts w:ascii="Calibri" w:hAnsi="Calibri" w:cs="Calibri"/>
        </w:rPr>
      </w:pPr>
    </w:p>
    <w:p w14:paraId="51E8B749" w14:textId="77777777" w:rsidR="005F64B4" w:rsidRDefault="005F64B4" w:rsidP="002F0165">
      <w:pPr>
        <w:spacing w:line="360" w:lineRule="auto"/>
        <w:jc w:val="both"/>
        <w:rPr>
          <w:rFonts w:ascii="Calibri" w:hAnsi="Calibri" w:cs="Calibri"/>
        </w:rPr>
      </w:pPr>
    </w:p>
    <w:p w14:paraId="1FA873EB" w14:textId="7B35FD86" w:rsidR="002F0165" w:rsidRPr="002F0165" w:rsidRDefault="002F0165" w:rsidP="002F0165">
      <w:pPr>
        <w:spacing w:line="360" w:lineRule="auto"/>
        <w:jc w:val="both"/>
        <w:rPr>
          <w:rFonts w:ascii="Calibri" w:hAnsi="Calibri" w:cs="Calibri"/>
        </w:rPr>
      </w:pPr>
      <w:r w:rsidRPr="002F0165">
        <w:rPr>
          <w:rFonts w:ascii="Calibri" w:hAnsi="Calibri" w:cs="Calibri"/>
        </w:rPr>
        <w:t>From the data provided, there is generally an even split across the workforce, with 45% female, 54% male, and a small proportion (less tha</w:t>
      </w:r>
      <w:r w:rsidR="00203496">
        <w:rPr>
          <w:rFonts w:ascii="Calibri" w:hAnsi="Calibri" w:cs="Calibri"/>
        </w:rPr>
        <w:t>n</w:t>
      </w:r>
      <w:r w:rsidRPr="002F0165">
        <w:rPr>
          <w:rFonts w:ascii="Calibri" w:hAnsi="Calibri" w:cs="Calibri"/>
        </w:rPr>
        <w:t xml:space="preserve"> 1%) of non-binary employees. This small difference in gender distribution indicates </w:t>
      </w:r>
      <w:proofErr w:type="gramStart"/>
      <w:r w:rsidRPr="002F0165">
        <w:rPr>
          <w:rFonts w:ascii="Calibri" w:hAnsi="Calibri" w:cs="Calibri"/>
        </w:rPr>
        <w:t>a fairly equal</w:t>
      </w:r>
      <w:proofErr w:type="gramEnd"/>
      <w:r w:rsidRPr="002F0165">
        <w:rPr>
          <w:rFonts w:ascii="Calibri" w:hAnsi="Calibri" w:cs="Calibri"/>
        </w:rPr>
        <w:t xml:space="preserve"> workforce. I’d recommend continuing to review the gender split regularly to ensure it remains evenly weighted.</w:t>
      </w:r>
    </w:p>
    <w:p w14:paraId="1C73D0A5" w14:textId="77777777" w:rsidR="002F0165" w:rsidRPr="002F0165" w:rsidRDefault="002F0165" w:rsidP="002F0165">
      <w:pPr>
        <w:spacing w:line="360" w:lineRule="auto"/>
        <w:jc w:val="both"/>
        <w:rPr>
          <w:rFonts w:ascii="Calibri" w:hAnsi="Calibri" w:cs="Calibri"/>
        </w:rPr>
      </w:pPr>
    </w:p>
    <w:p w14:paraId="22E6C816" w14:textId="435155A5" w:rsidR="005F64B4" w:rsidRPr="005F64B4" w:rsidRDefault="002F0165" w:rsidP="005F64B4">
      <w:pPr>
        <w:pStyle w:val="ListParagraph"/>
        <w:numPr>
          <w:ilvl w:val="0"/>
          <w:numId w:val="2"/>
        </w:numPr>
        <w:spacing w:line="360" w:lineRule="auto"/>
        <w:jc w:val="both"/>
        <w:rPr>
          <w:rFonts w:ascii="Calibri" w:hAnsi="Calibri" w:cs="Calibri"/>
          <w:b/>
          <w:bCs/>
        </w:rPr>
      </w:pPr>
      <w:r w:rsidRPr="005F64B4">
        <w:rPr>
          <w:rFonts w:ascii="Calibri" w:hAnsi="Calibri" w:cs="Calibri"/>
          <w:b/>
          <w:bCs/>
          <w:noProof/>
        </w:rPr>
        <w:lastRenderedPageBreak/>
        <w:drawing>
          <wp:anchor distT="0" distB="0" distL="114300" distR="114300" simplePos="0" relativeHeight="251660288" behindDoc="0" locked="0" layoutInCell="1" allowOverlap="1" wp14:anchorId="6604DC65" wp14:editId="611BC221">
            <wp:simplePos x="0" y="0"/>
            <wp:positionH relativeFrom="column">
              <wp:posOffset>-122689</wp:posOffset>
            </wp:positionH>
            <wp:positionV relativeFrom="paragraph">
              <wp:posOffset>430769</wp:posOffset>
            </wp:positionV>
            <wp:extent cx="5731510" cy="2707328"/>
            <wp:effectExtent l="0" t="0" r="2540" b="0"/>
            <wp:wrapSquare wrapText="bothSides"/>
            <wp:docPr id="785274732" name="Picture 2"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74732" name="Picture 2" descr="A graph with text on i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07328"/>
                    </a:xfrm>
                    <a:prstGeom prst="rect">
                      <a:avLst/>
                    </a:prstGeom>
                    <a:noFill/>
                  </pic:spPr>
                </pic:pic>
              </a:graphicData>
            </a:graphic>
            <wp14:sizeRelH relativeFrom="page">
              <wp14:pctWidth>0</wp14:pctWidth>
            </wp14:sizeRelH>
            <wp14:sizeRelV relativeFrom="page">
              <wp14:pctHeight>0</wp14:pctHeight>
            </wp14:sizeRelV>
          </wp:anchor>
        </w:drawing>
      </w:r>
      <w:r w:rsidRPr="005F64B4">
        <w:rPr>
          <w:rFonts w:ascii="Calibri" w:hAnsi="Calibri" w:cs="Calibri"/>
          <w:b/>
          <w:bCs/>
        </w:rPr>
        <w:t>Ethnicity as a percentage per team</w:t>
      </w:r>
    </w:p>
    <w:p w14:paraId="0FEB6652" w14:textId="77777777" w:rsidR="002F0165" w:rsidRPr="002F0165" w:rsidRDefault="002F0165" w:rsidP="002F0165">
      <w:pPr>
        <w:spacing w:line="360" w:lineRule="auto"/>
        <w:jc w:val="both"/>
        <w:rPr>
          <w:rFonts w:ascii="Calibri" w:hAnsi="Calibri" w:cs="Calibri"/>
        </w:rPr>
      </w:pPr>
    </w:p>
    <w:p w14:paraId="54C1002D" w14:textId="77777777" w:rsidR="002F0165" w:rsidRPr="002F0165" w:rsidRDefault="002F0165" w:rsidP="002F0165">
      <w:pPr>
        <w:spacing w:line="360" w:lineRule="auto"/>
        <w:jc w:val="both"/>
        <w:rPr>
          <w:rFonts w:ascii="Calibri" w:hAnsi="Calibri" w:cs="Calibri"/>
        </w:rPr>
      </w:pPr>
      <w:r w:rsidRPr="002F0165">
        <w:rPr>
          <w:rFonts w:ascii="Calibri" w:hAnsi="Calibri" w:cs="Calibri"/>
        </w:rPr>
        <w:t xml:space="preserve">Out of 260 employees, the workforce is predominantly White British (91%), with four teams (Facilities, Lettings, Marketing, Regeneration) comprising 100% White British employees. The next largest groups are White Other (1.92%) and Indian (1.54%), with non-White ethnicities collectively making up a small proportion of the workforce, totalling 8.85%. The team with the most ethnic diversity is Community Engagement and Partnerships with 14.29% Indian, 14.29% Mixed - Other, 14.29% White and Black Caribbean and 57.14% White British. </w:t>
      </w:r>
    </w:p>
    <w:p w14:paraId="0B309485" w14:textId="77777777" w:rsidR="002F0165" w:rsidRPr="002F0165" w:rsidRDefault="002F0165" w:rsidP="002F0165">
      <w:pPr>
        <w:spacing w:line="360" w:lineRule="auto"/>
        <w:jc w:val="both"/>
        <w:rPr>
          <w:rFonts w:ascii="Calibri" w:hAnsi="Calibri" w:cs="Calibri"/>
        </w:rPr>
      </w:pPr>
    </w:p>
    <w:p w14:paraId="61BE6172" w14:textId="77777777" w:rsidR="002F0165" w:rsidRPr="005F64B4" w:rsidRDefault="002F0165" w:rsidP="002F0165">
      <w:pPr>
        <w:pStyle w:val="ListParagraph"/>
        <w:numPr>
          <w:ilvl w:val="0"/>
          <w:numId w:val="2"/>
        </w:numPr>
        <w:spacing w:line="360" w:lineRule="auto"/>
        <w:jc w:val="both"/>
        <w:rPr>
          <w:rFonts w:ascii="Calibri" w:hAnsi="Calibri" w:cs="Calibri"/>
          <w:b/>
          <w:bCs/>
        </w:rPr>
      </w:pPr>
      <w:r w:rsidRPr="005F64B4">
        <w:rPr>
          <w:rFonts w:ascii="Calibri" w:hAnsi="Calibri" w:cs="Calibri"/>
          <w:b/>
          <w:bCs/>
          <w:noProof/>
        </w:rPr>
        <w:drawing>
          <wp:anchor distT="0" distB="0" distL="114300" distR="114300" simplePos="0" relativeHeight="251661312" behindDoc="0" locked="0" layoutInCell="1" allowOverlap="1" wp14:anchorId="71CAC5BD" wp14:editId="79D0BC63">
            <wp:simplePos x="0" y="0"/>
            <wp:positionH relativeFrom="margin">
              <wp:posOffset>-75163</wp:posOffset>
            </wp:positionH>
            <wp:positionV relativeFrom="paragraph">
              <wp:posOffset>385445</wp:posOffset>
            </wp:positionV>
            <wp:extent cx="5742940" cy="2938780"/>
            <wp:effectExtent l="0" t="0" r="0" b="0"/>
            <wp:wrapSquare wrapText="bothSides"/>
            <wp:docPr id="13096060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2940" cy="2938780"/>
                    </a:xfrm>
                    <a:prstGeom prst="rect">
                      <a:avLst/>
                    </a:prstGeom>
                    <a:noFill/>
                  </pic:spPr>
                </pic:pic>
              </a:graphicData>
            </a:graphic>
            <wp14:sizeRelH relativeFrom="page">
              <wp14:pctWidth>0</wp14:pctWidth>
            </wp14:sizeRelH>
            <wp14:sizeRelV relativeFrom="page">
              <wp14:pctHeight>0</wp14:pctHeight>
            </wp14:sizeRelV>
          </wp:anchor>
        </w:drawing>
      </w:r>
      <w:r w:rsidRPr="005F64B4">
        <w:rPr>
          <w:rFonts w:ascii="Calibri" w:hAnsi="Calibri" w:cs="Calibri"/>
          <w:b/>
          <w:bCs/>
        </w:rPr>
        <w:t>Disability percentage as an organisational whole and by teams</w:t>
      </w:r>
    </w:p>
    <w:p w14:paraId="5FAD35EB" w14:textId="0A8F45B5" w:rsidR="002F0165" w:rsidRPr="002F0165" w:rsidRDefault="005F64B4" w:rsidP="002F0165">
      <w:pPr>
        <w:spacing w:line="360" w:lineRule="auto"/>
        <w:jc w:val="both"/>
        <w:rPr>
          <w:rFonts w:ascii="Calibri" w:hAnsi="Calibri" w:cs="Calibri"/>
        </w:rPr>
      </w:pPr>
      <w:r w:rsidRPr="002F0165">
        <w:rPr>
          <w:rFonts w:ascii="Calibri" w:hAnsi="Calibri" w:cs="Calibri"/>
          <w:noProof/>
        </w:rPr>
        <w:lastRenderedPageBreak/>
        <w:drawing>
          <wp:anchor distT="0" distB="0" distL="114300" distR="114300" simplePos="0" relativeHeight="251662336" behindDoc="0" locked="0" layoutInCell="1" allowOverlap="1" wp14:anchorId="1DC6B7DD" wp14:editId="3571E4FB">
            <wp:simplePos x="0" y="0"/>
            <wp:positionH relativeFrom="margin">
              <wp:align>left</wp:align>
            </wp:positionH>
            <wp:positionV relativeFrom="paragraph">
              <wp:posOffset>2138</wp:posOffset>
            </wp:positionV>
            <wp:extent cx="5742940" cy="2676525"/>
            <wp:effectExtent l="0" t="0" r="0" b="9525"/>
            <wp:wrapSquare wrapText="bothSides"/>
            <wp:docPr id="1345829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2940" cy="2676525"/>
                    </a:xfrm>
                    <a:prstGeom prst="rect">
                      <a:avLst/>
                    </a:prstGeom>
                    <a:noFill/>
                  </pic:spPr>
                </pic:pic>
              </a:graphicData>
            </a:graphic>
            <wp14:sizeRelH relativeFrom="page">
              <wp14:pctWidth>0</wp14:pctWidth>
            </wp14:sizeRelH>
            <wp14:sizeRelV relativeFrom="page">
              <wp14:pctHeight>0</wp14:pctHeight>
            </wp14:sizeRelV>
          </wp:anchor>
        </w:drawing>
      </w:r>
    </w:p>
    <w:p w14:paraId="2972A4CE" w14:textId="206B36CE" w:rsidR="002F0165" w:rsidRPr="002F0165" w:rsidRDefault="002F0165" w:rsidP="002F0165">
      <w:pPr>
        <w:spacing w:line="360" w:lineRule="auto"/>
        <w:jc w:val="both"/>
        <w:rPr>
          <w:rFonts w:ascii="Calibri" w:hAnsi="Calibri" w:cs="Calibri"/>
        </w:rPr>
      </w:pPr>
      <w:r w:rsidRPr="002F0165">
        <w:rPr>
          <w:rFonts w:ascii="Calibri" w:hAnsi="Calibri" w:cs="Calibri"/>
        </w:rPr>
        <w:t xml:space="preserve">The pie chart shows that </w:t>
      </w:r>
      <w:proofErr w:type="gramStart"/>
      <w:r w:rsidRPr="002F0165">
        <w:rPr>
          <w:rFonts w:ascii="Calibri" w:hAnsi="Calibri" w:cs="Calibri"/>
        </w:rPr>
        <w:t>the majority of</w:t>
      </w:r>
      <w:proofErr w:type="gramEnd"/>
      <w:r w:rsidRPr="002F0165">
        <w:rPr>
          <w:rFonts w:ascii="Calibri" w:hAnsi="Calibri" w:cs="Calibri"/>
        </w:rPr>
        <w:t xml:space="preserve"> the workforce is not disabled (91.9%), while only 8.08% identify as disabled. The team with the highest disability representation is the IT team (22.22%), followed by Customer Services and Finance (both at 20%). Although the Property Team has the highest number (5) of disabled employees, this represents only 5.05% of the team. The bar graph indicates that there are 7 teams (38.8%) without any disability representation.</w:t>
      </w:r>
    </w:p>
    <w:p w14:paraId="2E294B07" w14:textId="180EE677" w:rsidR="002F0165" w:rsidRPr="002F0165" w:rsidRDefault="002F0165" w:rsidP="002F0165">
      <w:pPr>
        <w:spacing w:line="360" w:lineRule="auto"/>
        <w:jc w:val="both"/>
        <w:rPr>
          <w:rFonts w:ascii="Calibri" w:hAnsi="Calibri" w:cs="Calibri"/>
        </w:rPr>
      </w:pPr>
    </w:p>
    <w:p w14:paraId="01301D5E" w14:textId="66476F09" w:rsidR="002F0165" w:rsidRPr="005F64B4" w:rsidRDefault="005F64B4" w:rsidP="002F0165">
      <w:pPr>
        <w:pStyle w:val="ListParagraph"/>
        <w:numPr>
          <w:ilvl w:val="0"/>
          <w:numId w:val="2"/>
        </w:numPr>
        <w:spacing w:line="360" w:lineRule="auto"/>
        <w:jc w:val="both"/>
        <w:rPr>
          <w:rFonts w:ascii="Calibri" w:hAnsi="Calibri" w:cs="Calibri"/>
          <w:b/>
          <w:bCs/>
        </w:rPr>
      </w:pPr>
      <w:r w:rsidRPr="005F64B4">
        <w:rPr>
          <w:rFonts w:ascii="Calibri" w:hAnsi="Calibri" w:cs="Calibri"/>
          <w:b/>
          <w:bCs/>
          <w:noProof/>
        </w:rPr>
        <w:drawing>
          <wp:anchor distT="0" distB="0" distL="114300" distR="114300" simplePos="0" relativeHeight="251665408" behindDoc="0" locked="0" layoutInCell="1" allowOverlap="1" wp14:anchorId="67AFC184" wp14:editId="62B5AB3F">
            <wp:simplePos x="0" y="0"/>
            <wp:positionH relativeFrom="margin">
              <wp:align>center</wp:align>
            </wp:positionH>
            <wp:positionV relativeFrom="paragraph">
              <wp:posOffset>442566</wp:posOffset>
            </wp:positionV>
            <wp:extent cx="5267960" cy="3211830"/>
            <wp:effectExtent l="0" t="0" r="8890" b="7620"/>
            <wp:wrapSquare wrapText="bothSides"/>
            <wp:docPr id="1816371674" name="Picture 5" descr="A pie chart with numbers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71674" name="Picture 5" descr="A pie chart with numbers and a numb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7960" cy="3211830"/>
                    </a:xfrm>
                    <a:prstGeom prst="rect">
                      <a:avLst/>
                    </a:prstGeom>
                    <a:noFill/>
                  </pic:spPr>
                </pic:pic>
              </a:graphicData>
            </a:graphic>
            <wp14:sizeRelH relativeFrom="page">
              <wp14:pctWidth>0</wp14:pctWidth>
            </wp14:sizeRelH>
            <wp14:sizeRelV relativeFrom="page">
              <wp14:pctHeight>0</wp14:pctHeight>
            </wp14:sizeRelV>
          </wp:anchor>
        </w:drawing>
      </w:r>
      <w:r w:rsidR="002F0165" w:rsidRPr="005F64B4">
        <w:rPr>
          <w:rFonts w:ascii="Calibri" w:hAnsi="Calibri" w:cs="Calibri"/>
          <w:b/>
          <w:bCs/>
        </w:rPr>
        <w:t>Salary difference across genders</w:t>
      </w:r>
    </w:p>
    <w:p w14:paraId="2DE3601D" w14:textId="4107E0CA" w:rsidR="002F0165" w:rsidRPr="002F0165" w:rsidRDefault="002F0165" w:rsidP="002F0165">
      <w:pPr>
        <w:spacing w:line="360" w:lineRule="auto"/>
        <w:jc w:val="both"/>
        <w:rPr>
          <w:rFonts w:ascii="Calibri" w:hAnsi="Calibri" w:cs="Calibri"/>
        </w:rPr>
      </w:pPr>
    </w:p>
    <w:p w14:paraId="06EAFE86" w14:textId="1F4BC281" w:rsidR="002F0165" w:rsidRPr="002F0165" w:rsidRDefault="002F0165" w:rsidP="002F0165">
      <w:pPr>
        <w:spacing w:line="360" w:lineRule="auto"/>
        <w:jc w:val="both"/>
        <w:rPr>
          <w:rFonts w:ascii="Calibri" w:hAnsi="Calibri" w:cs="Calibri"/>
        </w:rPr>
      </w:pPr>
    </w:p>
    <w:p w14:paraId="00330C53" w14:textId="77777777" w:rsidR="002F0165" w:rsidRPr="002F0165" w:rsidRDefault="002F0165" w:rsidP="002F0165">
      <w:pPr>
        <w:spacing w:line="360" w:lineRule="auto"/>
        <w:jc w:val="both"/>
        <w:rPr>
          <w:rFonts w:ascii="Calibri" w:hAnsi="Calibri" w:cs="Calibri"/>
        </w:rPr>
      </w:pPr>
    </w:p>
    <w:p w14:paraId="416C795F" w14:textId="77777777" w:rsidR="002F0165" w:rsidRDefault="002F0165" w:rsidP="002F0165">
      <w:pPr>
        <w:spacing w:line="360" w:lineRule="auto"/>
        <w:jc w:val="both"/>
        <w:rPr>
          <w:rFonts w:ascii="Calibri" w:hAnsi="Calibri" w:cs="Calibri"/>
        </w:rPr>
      </w:pPr>
      <w:r w:rsidRPr="002F0165">
        <w:rPr>
          <w:rFonts w:ascii="Calibri" w:hAnsi="Calibri" w:cs="Calibri"/>
        </w:rPr>
        <w:t xml:space="preserve">Based on the data, there is a slight difference in average salaries between females and males, with females earning £88 more on average (approximately 0.28% higher). In contrast, non-binary employees earn considerably less than both males (63.03% less) and females (64.10% less) on average. However, this analysis may not accurately represent the overall workforce due to factors such as job roles or experience levels not being considered. For instance, the presence of three out of four Directors being female with significantly higher salaries could skew the data. Additionally, the non-binary representation in the dataset is minimal, comprising only two employees in entry-level roles out of 260 total employees. </w:t>
      </w:r>
    </w:p>
    <w:p w14:paraId="5294DC3A" w14:textId="77777777" w:rsidR="005F64B4" w:rsidRPr="002F0165" w:rsidRDefault="005F64B4" w:rsidP="002F0165">
      <w:pPr>
        <w:spacing w:line="360" w:lineRule="auto"/>
        <w:jc w:val="both"/>
        <w:rPr>
          <w:rFonts w:ascii="Calibri" w:hAnsi="Calibri" w:cs="Calibri"/>
        </w:rPr>
      </w:pPr>
    </w:p>
    <w:p w14:paraId="79790FF5" w14:textId="77777777" w:rsidR="002F0165" w:rsidRPr="005F64B4" w:rsidRDefault="002F0165" w:rsidP="002F0165">
      <w:pPr>
        <w:pStyle w:val="ListParagraph"/>
        <w:numPr>
          <w:ilvl w:val="0"/>
          <w:numId w:val="2"/>
        </w:numPr>
        <w:spacing w:line="360" w:lineRule="auto"/>
        <w:jc w:val="both"/>
        <w:rPr>
          <w:rFonts w:ascii="Calibri" w:hAnsi="Calibri" w:cs="Calibri"/>
          <w:b/>
          <w:bCs/>
        </w:rPr>
      </w:pPr>
      <w:r w:rsidRPr="005F64B4">
        <w:rPr>
          <w:rFonts w:ascii="Calibri" w:hAnsi="Calibri" w:cs="Calibri"/>
          <w:b/>
          <w:bCs/>
        </w:rPr>
        <w:t>Overall average salary paid by the organisation</w:t>
      </w:r>
    </w:p>
    <w:p w14:paraId="346623C3" w14:textId="27734045" w:rsidR="002F0165" w:rsidRPr="002F0165" w:rsidRDefault="005F64B4" w:rsidP="002F0165">
      <w:pPr>
        <w:spacing w:line="360" w:lineRule="auto"/>
        <w:ind w:left="360"/>
        <w:jc w:val="both"/>
        <w:rPr>
          <w:rFonts w:ascii="Calibri" w:hAnsi="Calibri" w:cs="Calibri"/>
        </w:rPr>
      </w:pPr>
      <w:r w:rsidRPr="002F0165">
        <w:rPr>
          <w:rFonts w:ascii="Calibri" w:hAnsi="Calibri" w:cs="Calibri"/>
          <w:noProof/>
        </w:rPr>
        <w:drawing>
          <wp:anchor distT="0" distB="0" distL="114300" distR="114300" simplePos="0" relativeHeight="251666432" behindDoc="0" locked="0" layoutInCell="1" allowOverlap="1" wp14:anchorId="6F373B8E" wp14:editId="064DCB03">
            <wp:simplePos x="0" y="0"/>
            <wp:positionH relativeFrom="column">
              <wp:posOffset>293172</wp:posOffset>
            </wp:positionH>
            <wp:positionV relativeFrom="paragraph">
              <wp:posOffset>34279</wp:posOffset>
            </wp:positionV>
            <wp:extent cx="4999838" cy="3005443"/>
            <wp:effectExtent l="0" t="0" r="0" b="5080"/>
            <wp:wrapSquare wrapText="bothSides"/>
            <wp:docPr id="912367991" name="Picture 6"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367991" name="Picture 6" descr="A graph of a number of peop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9838" cy="3005443"/>
                    </a:xfrm>
                    <a:prstGeom prst="rect">
                      <a:avLst/>
                    </a:prstGeom>
                    <a:noFill/>
                  </pic:spPr>
                </pic:pic>
              </a:graphicData>
            </a:graphic>
            <wp14:sizeRelH relativeFrom="page">
              <wp14:pctWidth>0</wp14:pctWidth>
            </wp14:sizeRelH>
            <wp14:sizeRelV relativeFrom="page">
              <wp14:pctHeight>0</wp14:pctHeight>
            </wp14:sizeRelV>
          </wp:anchor>
        </w:drawing>
      </w:r>
    </w:p>
    <w:p w14:paraId="4D76D01F" w14:textId="53636700" w:rsidR="002F0165" w:rsidRPr="002F0165" w:rsidRDefault="002F0165" w:rsidP="002F0165">
      <w:pPr>
        <w:spacing w:line="360" w:lineRule="auto"/>
        <w:ind w:left="360"/>
        <w:jc w:val="both"/>
        <w:rPr>
          <w:rFonts w:ascii="Calibri" w:hAnsi="Calibri" w:cs="Calibri"/>
        </w:rPr>
      </w:pPr>
    </w:p>
    <w:p w14:paraId="621B1EC2" w14:textId="77777777" w:rsidR="002F0165" w:rsidRPr="002F0165" w:rsidRDefault="002F0165" w:rsidP="002F0165">
      <w:pPr>
        <w:spacing w:line="360" w:lineRule="auto"/>
        <w:jc w:val="both"/>
        <w:rPr>
          <w:rFonts w:ascii="Calibri" w:hAnsi="Calibri" w:cs="Calibri"/>
        </w:rPr>
      </w:pPr>
    </w:p>
    <w:p w14:paraId="31CA195A" w14:textId="77777777" w:rsidR="005F64B4" w:rsidRDefault="005F64B4" w:rsidP="002F0165">
      <w:pPr>
        <w:spacing w:line="360" w:lineRule="auto"/>
        <w:jc w:val="both"/>
        <w:rPr>
          <w:rFonts w:ascii="Calibri" w:hAnsi="Calibri" w:cs="Calibri"/>
        </w:rPr>
      </w:pPr>
    </w:p>
    <w:p w14:paraId="502EB1B7" w14:textId="77777777" w:rsidR="005F64B4" w:rsidRDefault="005F64B4" w:rsidP="002F0165">
      <w:pPr>
        <w:spacing w:line="360" w:lineRule="auto"/>
        <w:jc w:val="both"/>
        <w:rPr>
          <w:rFonts w:ascii="Calibri" w:hAnsi="Calibri" w:cs="Calibri"/>
        </w:rPr>
      </w:pPr>
    </w:p>
    <w:p w14:paraId="71C4A7D1" w14:textId="77777777" w:rsidR="005F64B4" w:rsidRDefault="005F64B4" w:rsidP="002F0165">
      <w:pPr>
        <w:spacing w:line="360" w:lineRule="auto"/>
        <w:jc w:val="both"/>
        <w:rPr>
          <w:rFonts w:ascii="Calibri" w:hAnsi="Calibri" w:cs="Calibri"/>
        </w:rPr>
      </w:pPr>
    </w:p>
    <w:p w14:paraId="293AB60C" w14:textId="77777777" w:rsidR="005F64B4" w:rsidRDefault="005F64B4" w:rsidP="002F0165">
      <w:pPr>
        <w:spacing w:line="360" w:lineRule="auto"/>
        <w:jc w:val="both"/>
        <w:rPr>
          <w:rFonts w:ascii="Calibri" w:hAnsi="Calibri" w:cs="Calibri"/>
        </w:rPr>
      </w:pPr>
    </w:p>
    <w:p w14:paraId="1CF4D08A" w14:textId="77777777" w:rsidR="005F64B4" w:rsidRDefault="005F64B4" w:rsidP="002F0165">
      <w:pPr>
        <w:spacing w:line="360" w:lineRule="auto"/>
        <w:jc w:val="both"/>
        <w:rPr>
          <w:rFonts w:ascii="Calibri" w:hAnsi="Calibri" w:cs="Calibri"/>
        </w:rPr>
      </w:pPr>
    </w:p>
    <w:p w14:paraId="15E48EAA" w14:textId="77777777" w:rsidR="005F64B4" w:rsidRDefault="005F64B4" w:rsidP="002F0165">
      <w:pPr>
        <w:spacing w:line="360" w:lineRule="auto"/>
        <w:jc w:val="both"/>
        <w:rPr>
          <w:rFonts w:ascii="Calibri" w:hAnsi="Calibri" w:cs="Calibri"/>
        </w:rPr>
      </w:pPr>
    </w:p>
    <w:p w14:paraId="3EBBF94E" w14:textId="77777777" w:rsidR="005F64B4" w:rsidRDefault="005F64B4" w:rsidP="002F0165">
      <w:pPr>
        <w:spacing w:line="360" w:lineRule="auto"/>
        <w:jc w:val="both"/>
        <w:rPr>
          <w:rFonts w:ascii="Calibri" w:hAnsi="Calibri" w:cs="Calibri"/>
        </w:rPr>
      </w:pPr>
    </w:p>
    <w:p w14:paraId="4577EF17" w14:textId="131243B4" w:rsidR="002F0165" w:rsidRPr="002F0165" w:rsidRDefault="002F0165" w:rsidP="002F0165">
      <w:pPr>
        <w:spacing w:line="360" w:lineRule="auto"/>
        <w:jc w:val="both"/>
        <w:rPr>
          <w:rFonts w:ascii="Calibri" w:hAnsi="Calibri" w:cs="Calibri"/>
        </w:rPr>
      </w:pPr>
      <w:r w:rsidRPr="002F0165">
        <w:rPr>
          <w:rFonts w:ascii="Calibri" w:hAnsi="Calibri" w:cs="Calibri"/>
        </w:rPr>
        <w:t xml:space="preserve">The average salary paid by the organisation is £31,757. According to the Office National Statistics, the median gross annual earnings for full-time employees in 2023 was £34,963 so this is slightly lower than the UK average. </w:t>
      </w:r>
    </w:p>
    <w:p w14:paraId="659AA1E4" w14:textId="77777777" w:rsidR="005F64B4" w:rsidRDefault="005F64B4" w:rsidP="002F0165">
      <w:pPr>
        <w:spacing w:line="360" w:lineRule="auto"/>
        <w:jc w:val="both"/>
        <w:rPr>
          <w:rFonts w:ascii="Calibri" w:hAnsi="Calibri" w:cs="Calibri"/>
        </w:rPr>
      </w:pPr>
    </w:p>
    <w:p w14:paraId="3DCB87AA" w14:textId="77777777" w:rsidR="005F64B4" w:rsidRDefault="005F64B4" w:rsidP="002F0165">
      <w:pPr>
        <w:spacing w:line="360" w:lineRule="auto"/>
        <w:jc w:val="both"/>
        <w:rPr>
          <w:rFonts w:ascii="Calibri" w:hAnsi="Calibri" w:cs="Calibri"/>
          <w:u w:val="single"/>
        </w:rPr>
      </w:pPr>
    </w:p>
    <w:p w14:paraId="403C517D" w14:textId="336827CC" w:rsidR="002F0165" w:rsidRPr="005F64B4" w:rsidRDefault="002F0165" w:rsidP="002F0165">
      <w:pPr>
        <w:spacing w:line="360" w:lineRule="auto"/>
        <w:jc w:val="both"/>
        <w:rPr>
          <w:rFonts w:ascii="Calibri" w:hAnsi="Calibri" w:cs="Calibri"/>
          <w:u w:val="single"/>
        </w:rPr>
      </w:pPr>
      <w:r w:rsidRPr="005F64B4">
        <w:rPr>
          <w:rFonts w:ascii="Calibri" w:hAnsi="Calibri" w:cs="Calibri"/>
          <w:u w:val="single"/>
        </w:rPr>
        <w:lastRenderedPageBreak/>
        <w:t>Recommendations</w:t>
      </w:r>
    </w:p>
    <w:p w14:paraId="650EED0B" w14:textId="77777777" w:rsidR="002F0165" w:rsidRPr="002F0165" w:rsidRDefault="002F0165" w:rsidP="002F0165">
      <w:pPr>
        <w:spacing w:line="360" w:lineRule="auto"/>
        <w:jc w:val="both"/>
        <w:rPr>
          <w:rFonts w:ascii="Calibri" w:hAnsi="Calibri" w:cs="Calibri"/>
        </w:rPr>
      </w:pPr>
      <w:r w:rsidRPr="002F0165">
        <w:rPr>
          <w:rFonts w:ascii="Calibri" w:hAnsi="Calibri" w:cs="Calibri"/>
        </w:rPr>
        <w:t>Implementing a targeted recruitment strategy to address the lack of inclusivity and representation in a predominantly White-British workforce can foster a more inclusive environment. This approach can lead to a more diverse and representative team. However, it poses risks such as narrowing the talent pool and potentially leading to positive discrimination. Financially, this strategy would incur costs associated with training hiring managers and running an effective direct recruitment campaign.</w:t>
      </w:r>
    </w:p>
    <w:p w14:paraId="08A8A786" w14:textId="77777777" w:rsidR="002F0165" w:rsidRPr="002F0165" w:rsidRDefault="002F0165" w:rsidP="002F0165">
      <w:pPr>
        <w:spacing w:line="360" w:lineRule="auto"/>
        <w:jc w:val="both"/>
        <w:rPr>
          <w:rFonts w:ascii="Calibri" w:hAnsi="Calibri" w:cs="Calibri"/>
        </w:rPr>
      </w:pPr>
      <w:r w:rsidRPr="002F0165">
        <w:rPr>
          <w:rFonts w:ascii="Calibri" w:hAnsi="Calibri" w:cs="Calibri"/>
        </w:rPr>
        <w:t>In organisations where teams have small disability representation, implementing disability awareness training programs for all employees can promote a more inclusive culture. This initiative benefits the organisation by raising awareness and potentially encouraging employees with disabilities to come forward, thereby increasing overall representation. However, there are risks such as resistance from employees who may not see the necessity of this training, leading to disengagement. Additionally, the financial implications include the costs of the training itself and the time employees spend away from their regular responsibilities, which could impact overall productivity.</w:t>
      </w:r>
    </w:p>
    <w:p w14:paraId="492F8211" w14:textId="77777777" w:rsidR="002F0165" w:rsidRPr="002F0165" w:rsidRDefault="002F0165" w:rsidP="002F0165">
      <w:pPr>
        <w:spacing w:line="360" w:lineRule="auto"/>
        <w:jc w:val="both"/>
        <w:rPr>
          <w:rFonts w:ascii="Calibri" w:hAnsi="Calibri" w:cs="Calibri"/>
        </w:rPr>
      </w:pPr>
      <w:r w:rsidRPr="002F0165">
        <w:rPr>
          <w:rFonts w:ascii="Calibri" w:hAnsi="Calibri" w:cs="Calibri"/>
        </w:rPr>
        <w:t>According to ACAS, men and women should receive equal pay for equal work. Although the overall organisational average salary difference between males and females is only 0.28%, I recommend conducting an equal pay review across specific job roles to identify any gender disparities. The benefits of a review include legal compliance, ensuring equal pay and transparency, reducing tribunal risks and complaints, which boosts engagement and retention. However, uncovering large disparities may have financial implications, such as the cost of salary alignments to rectify inequalities. Additionally, there will be costs related to budget reallocations, training HR to conduct these reviews, and ongoing monitoring.</w:t>
      </w:r>
    </w:p>
    <w:p w14:paraId="3E9D9D78" w14:textId="77777777" w:rsidR="002F0165" w:rsidRPr="002F0165" w:rsidRDefault="002F0165" w:rsidP="002F0165">
      <w:pPr>
        <w:spacing w:line="360" w:lineRule="auto"/>
        <w:jc w:val="both"/>
        <w:rPr>
          <w:rFonts w:ascii="Calibri" w:hAnsi="Calibri" w:cs="Calibri"/>
        </w:rPr>
      </w:pPr>
    </w:p>
    <w:p w14:paraId="3FAECF86" w14:textId="77777777" w:rsidR="002F0165" w:rsidRPr="002F0165" w:rsidRDefault="002F0165" w:rsidP="002F0165">
      <w:pPr>
        <w:spacing w:line="360" w:lineRule="auto"/>
        <w:jc w:val="both"/>
        <w:rPr>
          <w:rFonts w:ascii="Calibri" w:hAnsi="Calibri" w:cs="Calibri"/>
        </w:rPr>
      </w:pPr>
    </w:p>
    <w:p w14:paraId="305C13BC" w14:textId="77777777" w:rsidR="002F0165" w:rsidRPr="002F0165" w:rsidRDefault="002F0165" w:rsidP="002F0165">
      <w:pPr>
        <w:spacing w:line="360" w:lineRule="auto"/>
        <w:jc w:val="both"/>
        <w:rPr>
          <w:rFonts w:ascii="Calibri" w:hAnsi="Calibri" w:cs="Calibri"/>
        </w:rPr>
      </w:pPr>
    </w:p>
    <w:p w14:paraId="576DD4C8" w14:textId="77777777" w:rsidR="002F0165" w:rsidRPr="002F0165" w:rsidRDefault="002F0165" w:rsidP="002F0165">
      <w:pPr>
        <w:spacing w:line="360" w:lineRule="auto"/>
        <w:jc w:val="both"/>
        <w:rPr>
          <w:rFonts w:ascii="Calibri" w:hAnsi="Calibri" w:cs="Calibri"/>
        </w:rPr>
      </w:pPr>
    </w:p>
    <w:p w14:paraId="2B88F36B" w14:textId="77777777" w:rsidR="002F0165" w:rsidRPr="002F0165" w:rsidRDefault="002F0165" w:rsidP="002F0165">
      <w:pPr>
        <w:spacing w:line="360" w:lineRule="auto"/>
        <w:jc w:val="both"/>
        <w:rPr>
          <w:rFonts w:ascii="Calibri" w:hAnsi="Calibri" w:cs="Calibri"/>
        </w:rPr>
      </w:pPr>
    </w:p>
    <w:p w14:paraId="3FEF25E4" w14:textId="77777777" w:rsidR="002F0165" w:rsidRPr="002F0165" w:rsidRDefault="002F0165" w:rsidP="002F0165">
      <w:pPr>
        <w:spacing w:line="360" w:lineRule="auto"/>
        <w:jc w:val="both"/>
        <w:rPr>
          <w:rFonts w:ascii="Calibri" w:hAnsi="Calibri" w:cs="Calibri"/>
        </w:rPr>
      </w:pPr>
    </w:p>
    <w:p w14:paraId="548D6362" w14:textId="77777777" w:rsidR="002F0165" w:rsidRPr="002F0165" w:rsidRDefault="002F0165" w:rsidP="002F0165">
      <w:pPr>
        <w:spacing w:line="360" w:lineRule="auto"/>
        <w:jc w:val="both"/>
        <w:rPr>
          <w:rFonts w:ascii="Calibri" w:hAnsi="Calibri" w:cs="Calibri"/>
        </w:rPr>
      </w:pPr>
    </w:p>
    <w:p w14:paraId="4F2A9259" w14:textId="77777777" w:rsidR="002F0165" w:rsidRPr="002F0165" w:rsidRDefault="002F0165" w:rsidP="002F0165">
      <w:pPr>
        <w:spacing w:line="360" w:lineRule="auto"/>
        <w:jc w:val="both"/>
        <w:rPr>
          <w:rFonts w:ascii="Calibri" w:hAnsi="Calibri" w:cs="Calibri"/>
        </w:rPr>
      </w:pPr>
    </w:p>
    <w:p w14:paraId="2F3D41D1" w14:textId="77777777" w:rsidR="002F0165" w:rsidRPr="002F0165" w:rsidRDefault="002F0165" w:rsidP="002F0165">
      <w:pPr>
        <w:spacing w:line="360" w:lineRule="auto"/>
        <w:jc w:val="both"/>
        <w:rPr>
          <w:rFonts w:ascii="Calibri" w:hAnsi="Calibri" w:cs="Calibri"/>
        </w:rPr>
      </w:pPr>
    </w:p>
    <w:p w14:paraId="44BFA5A5" w14:textId="5BC02354" w:rsidR="005F64B4" w:rsidRDefault="005F64B4" w:rsidP="005F64B4">
      <w:pPr>
        <w:pStyle w:val="Listparag"/>
        <w:spacing w:after="0"/>
        <w:ind w:left="0" w:firstLine="0"/>
        <w:rPr>
          <w:b/>
          <w:u w:val="single"/>
        </w:rPr>
      </w:pPr>
      <w:r w:rsidRPr="005F64B4">
        <w:rPr>
          <w:b/>
          <w:u w:val="single"/>
        </w:rPr>
        <w:lastRenderedPageBreak/>
        <w:t xml:space="preserve">Table 2 – Feedback scores from a recent employee survey on hybrid working practices </w:t>
      </w:r>
    </w:p>
    <w:p w14:paraId="6448B957" w14:textId="77777777" w:rsidR="005F64B4" w:rsidRPr="005F64B4" w:rsidRDefault="005F64B4" w:rsidP="005F64B4">
      <w:pPr>
        <w:pStyle w:val="Listparag"/>
        <w:spacing w:after="0"/>
        <w:ind w:left="0" w:firstLine="0"/>
        <w:rPr>
          <w:b/>
          <w:u w:val="single"/>
        </w:rPr>
      </w:pPr>
    </w:p>
    <w:tbl>
      <w:tblPr>
        <w:tblpPr w:leftFromText="180" w:rightFromText="180" w:vertAnchor="text" w:horzAnchor="margin" w:tblpXSpec="center" w:tblpY="19"/>
        <w:tblW w:w="10694" w:type="dxa"/>
        <w:tblLook w:val="04A0" w:firstRow="1" w:lastRow="0" w:firstColumn="1" w:lastColumn="0" w:noHBand="0" w:noVBand="1"/>
      </w:tblPr>
      <w:tblGrid>
        <w:gridCol w:w="7694"/>
        <w:gridCol w:w="852"/>
        <w:gridCol w:w="984"/>
        <w:gridCol w:w="1164"/>
      </w:tblGrid>
      <w:tr w:rsidR="005F64B4" w:rsidRPr="002F0165" w14:paraId="2517AF6D" w14:textId="77777777" w:rsidTr="005F64B4">
        <w:trPr>
          <w:trHeight w:val="218"/>
        </w:trPr>
        <w:tc>
          <w:tcPr>
            <w:tcW w:w="7694" w:type="dxa"/>
            <w:tcBorders>
              <w:top w:val="single" w:sz="8" w:space="0" w:color="auto"/>
              <w:left w:val="single" w:sz="8" w:space="0" w:color="auto"/>
              <w:bottom w:val="single" w:sz="8" w:space="0" w:color="auto"/>
              <w:right w:val="nil"/>
            </w:tcBorders>
            <w:shd w:val="clear" w:color="4472C4" w:fill="4472C4"/>
            <w:noWrap/>
            <w:vAlign w:val="bottom"/>
            <w:hideMark/>
          </w:tcPr>
          <w:p w14:paraId="4B355133" w14:textId="77777777" w:rsidR="005F64B4" w:rsidRPr="002F0165" w:rsidRDefault="005F64B4" w:rsidP="005F64B4">
            <w:pPr>
              <w:spacing w:after="0" w:line="360" w:lineRule="auto"/>
              <w:jc w:val="both"/>
              <w:rPr>
                <w:rFonts w:ascii="Calibri" w:eastAsia="Times New Roman" w:hAnsi="Calibri" w:cs="Calibri"/>
                <w:b/>
                <w:bCs/>
                <w:color w:val="FFFFFF"/>
                <w:kern w:val="0"/>
                <w:lang w:eastAsia="en-GB"/>
                <w14:ligatures w14:val="none"/>
              </w:rPr>
            </w:pPr>
            <w:r w:rsidRPr="002F0165">
              <w:rPr>
                <w:rFonts w:ascii="Calibri" w:eastAsia="Times New Roman" w:hAnsi="Calibri" w:cs="Calibri"/>
                <w:b/>
                <w:bCs/>
                <w:color w:val="FFFFFF"/>
                <w:kern w:val="0"/>
                <w:lang w:eastAsia="en-GB"/>
                <w14:ligatures w14:val="none"/>
              </w:rPr>
              <w:t>Statement</w:t>
            </w:r>
          </w:p>
        </w:tc>
        <w:tc>
          <w:tcPr>
            <w:tcW w:w="852" w:type="dxa"/>
            <w:tcBorders>
              <w:top w:val="single" w:sz="8" w:space="0" w:color="auto"/>
              <w:left w:val="nil"/>
              <w:bottom w:val="single" w:sz="8" w:space="0" w:color="auto"/>
              <w:right w:val="nil"/>
            </w:tcBorders>
            <w:shd w:val="clear" w:color="4472C4" w:fill="4472C4"/>
            <w:noWrap/>
            <w:vAlign w:val="bottom"/>
            <w:hideMark/>
          </w:tcPr>
          <w:p w14:paraId="5778FB40" w14:textId="77777777" w:rsidR="005F64B4" w:rsidRPr="002F0165" w:rsidRDefault="005F64B4" w:rsidP="005F64B4">
            <w:pPr>
              <w:spacing w:after="0" w:line="360" w:lineRule="auto"/>
              <w:jc w:val="both"/>
              <w:rPr>
                <w:rFonts w:ascii="Calibri" w:eastAsia="Times New Roman" w:hAnsi="Calibri" w:cs="Calibri"/>
                <w:b/>
                <w:bCs/>
                <w:color w:val="FFFFFF"/>
                <w:kern w:val="0"/>
                <w:lang w:eastAsia="en-GB"/>
                <w14:ligatures w14:val="none"/>
              </w:rPr>
            </w:pPr>
            <w:r w:rsidRPr="002F0165">
              <w:rPr>
                <w:rFonts w:ascii="Calibri" w:eastAsia="Times New Roman" w:hAnsi="Calibri" w:cs="Calibri"/>
                <w:b/>
                <w:bCs/>
                <w:color w:val="FFFFFF"/>
                <w:kern w:val="0"/>
                <w:lang w:eastAsia="en-GB"/>
                <w14:ligatures w14:val="none"/>
              </w:rPr>
              <w:t>AGREE (%)</w:t>
            </w:r>
          </w:p>
        </w:tc>
        <w:tc>
          <w:tcPr>
            <w:tcW w:w="984" w:type="dxa"/>
            <w:tcBorders>
              <w:top w:val="single" w:sz="8" w:space="0" w:color="auto"/>
              <w:left w:val="nil"/>
              <w:bottom w:val="single" w:sz="8" w:space="0" w:color="auto"/>
              <w:right w:val="nil"/>
            </w:tcBorders>
            <w:shd w:val="clear" w:color="4472C4" w:fill="4472C4"/>
            <w:noWrap/>
            <w:vAlign w:val="bottom"/>
            <w:hideMark/>
          </w:tcPr>
          <w:p w14:paraId="574BAB67" w14:textId="77777777" w:rsidR="005F64B4" w:rsidRPr="002F0165" w:rsidRDefault="005F64B4" w:rsidP="005F64B4">
            <w:pPr>
              <w:spacing w:after="0" w:line="360" w:lineRule="auto"/>
              <w:jc w:val="both"/>
              <w:rPr>
                <w:rFonts w:ascii="Calibri" w:eastAsia="Times New Roman" w:hAnsi="Calibri" w:cs="Calibri"/>
                <w:b/>
                <w:bCs/>
                <w:color w:val="FFFFFF"/>
                <w:kern w:val="0"/>
                <w:lang w:eastAsia="en-GB"/>
                <w14:ligatures w14:val="none"/>
              </w:rPr>
            </w:pPr>
            <w:r w:rsidRPr="002F0165">
              <w:rPr>
                <w:rFonts w:ascii="Calibri" w:eastAsia="Times New Roman" w:hAnsi="Calibri" w:cs="Calibri"/>
                <w:b/>
                <w:bCs/>
                <w:color w:val="FFFFFF"/>
                <w:kern w:val="0"/>
                <w:lang w:eastAsia="en-GB"/>
                <w14:ligatures w14:val="none"/>
              </w:rPr>
              <w:t>NOT SURE (%)</w:t>
            </w:r>
          </w:p>
        </w:tc>
        <w:tc>
          <w:tcPr>
            <w:tcW w:w="1164" w:type="dxa"/>
            <w:tcBorders>
              <w:top w:val="single" w:sz="8" w:space="0" w:color="auto"/>
              <w:left w:val="nil"/>
              <w:bottom w:val="single" w:sz="8" w:space="0" w:color="auto"/>
              <w:right w:val="single" w:sz="8" w:space="0" w:color="auto"/>
            </w:tcBorders>
            <w:shd w:val="clear" w:color="4472C4" w:fill="4472C4"/>
            <w:noWrap/>
            <w:vAlign w:val="bottom"/>
            <w:hideMark/>
          </w:tcPr>
          <w:p w14:paraId="0CFB7081" w14:textId="77777777" w:rsidR="005F64B4" w:rsidRPr="002F0165" w:rsidRDefault="005F64B4" w:rsidP="005F64B4">
            <w:pPr>
              <w:spacing w:after="0" w:line="360" w:lineRule="auto"/>
              <w:jc w:val="both"/>
              <w:rPr>
                <w:rFonts w:ascii="Calibri" w:eastAsia="Times New Roman" w:hAnsi="Calibri" w:cs="Calibri"/>
                <w:b/>
                <w:bCs/>
                <w:color w:val="FFFFFF"/>
                <w:kern w:val="0"/>
                <w:lang w:eastAsia="en-GB"/>
                <w14:ligatures w14:val="none"/>
              </w:rPr>
            </w:pPr>
            <w:r w:rsidRPr="002F0165">
              <w:rPr>
                <w:rFonts w:ascii="Calibri" w:eastAsia="Times New Roman" w:hAnsi="Calibri" w:cs="Calibri"/>
                <w:b/>
                <w:bCs/>
                <w:color w:val="FFFFFF"/>
                <w:kern w:val="0"/>
                <w:lang w:eastAsia="en-GB"/>
                <w14:ligatures w14:val="none"/>
              </w:rPr>
              <w:t>DISAGREE (%)</w:t>
            </w:r>
          </w:p>
        </w:tc>
      </w:tr>
      <w:tr w:rsidR="005F64B4" w:rsidRPr="002F0165" w14:paraId="5A4D478D"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D9E1F2" w:fill="D9E1F2"/>
            <w:noWrap/>
            <w:vAlign w:val="bottom"/>
            <w:hideMark/>
          </w:tcPr>
          <w:p w14:paraId="18B1A2AB"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I enjoy working for home on some days of the week</w:t>
            </w:r>
          </w:p>
        </w:tc>
        <w:tc>
          <w:tcPr>
            <w:tcW w:w="852" w:type="dxa"/>
            <w:tcBorders>
              <w:top w:val="single" w:sz="4" w:space="0" w:color="8EA9DB"/>
              <w:left w:val="nil"/>
              <w:bottom w:val="single" w:sz="4" w:space="0" w:color="8EA9DB"/>
              <w:right w:val="nil"/>
            </w:tcBorders>
            <w:shd w:val="clear" w:color="D9E1F2" w:fill="D9E1F2"/>
            <w:noWrap/>
            <w:vAlign w:val="bottom"/>
            <w:hideMark/>
          </w:tcPr>
          <w:p w14:paraId="71BA4B31"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56.33</w:t>
            </w:r>
          </w:p>
        </w:tc>
        <w:tc>
          <w:tcPr>
            <w:tcW w:w="984" w:type="dxa"/>
            <w:tcBorders>
              <w:top w:val="single" w:sz="4" w:space="0" w:color="8EA9DB"/>
              <w:left w:val="nil"/>
              <w:bottom w:val="single" w:sz="4" w:space="0" w:color="8EA9DB"/>
              <w:right w:val="nil"/>
            </w:tcBorders>
            <w:shd w:val="clear" w:color="D9E1F2" w:fill="D9E1F2"/>
            <w:noWrap/>
            <w:vAlign w:val="bottom"/>
            <w:hideMark/>
          </w:tcPr>
          <w:p w14:paraId="12E3852C"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6.33</w:t>
            </w:r>
          </w:p>
        </w:tc>
        <w:tc>
          <w:tcPr>
            <w:tcW w:w="1164" w:type="dxa"/>
            <w:tcBorders>
              <w:top w:val="single" w:sz="4" w:space="0" w:color="8EA9DB"/>
              <w:left w:val="nil"/>
              <w:bottom w:val="single" w:sz="4" w:space="0" w:color="8EA9DB"/>
              <w:right w:val="single" w:sz="8" w:space="0" w:color="auto"/>
            </w:tcBorders>
            <w:shd w:val="clear" w:color="D9E1F2" w:fill="D9E1F2"/>
            <w:noWrap/>
            <w:vAlign w:val="bottom"/>
            <w:hideMark/>
          </w:tcPr>
          <w:p w14:paraId="3D78B1E4"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37.33</w:t>
            </w:r>
          </w:p>
        </w:tc>
      </w:tr>
      <w:tr w:rsidR="005F64B4" w:rsidRPr="002F0165" w14:paraId="7E39BBD0"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auto" w:fill="auto"/>
            <w:noWrap/>
            <w:vAlign w:val="bottom"/>
            <w:hideMark/>
          </w:tcPr>
          <w:p w14:paraId="61BED040"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Hybrid working practices support my work-life balance and well-being.</w:t>
            </w:r>
          </w:p>
        </w:tc>
        <w:tc>
          <w:tcPr>
            <w:tcW w:w="852" w:type="dxa"/>
            <w:tcBorders>
              <w:top w:val="single" w:sz="4" w:space="0" w:color="8EA9DB"/>
              <w:left w:val="nil"/>
              <w:bottom w:val="single" w:sz="4" w:space="0" w:color="8EA9DB"/>
              <w:right w:val="nil"/>
            </w:tcBorders>
            <w:shd w:val="clear" w:color="auto" w:fill="auto"/>
            <w:noWrap/>
            <w:vAlign w:val="bottom"/>
            <w:hideMark/>
          </w:tcPr>
          <w:p w14:paraId="704813E5"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82.33</w:t>
            </w:r>
          </w:p>
        </w:tc>
        <w:tc>
          <w:tcPr>
            <w:tcW w:w="984" w:type="dxa"/>
            <w:tcBorders>
              <w:top w:val="single" w:sz="4" w:space="0" w:color="8EA9DB"/>
              <w:left w:val="nil"/>
              <w:bottom w:val="single" w:sz="4" w:space="0" w:color="8EA9DB"/>
              <w:right w:val="nil"/>
            </w:tcBorders>
            <w:shd w:val="clear" w:color="auto" w:fill="auto"/>
            <w:noWrap/>
            <w:vAlign w:val="bottom"/>
            <w:hideMark/>
          </w:tcPr>
          <w:p w14:paraId="18302092"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3.67</w:t>
            </w:r>
          </w:p>
        </w:tc>
        <w:tc>
          <w:tcPr>
            <w:tcW w:w="1164" w:type="dxa"/>
            <w:tcBorders>
              <w:top w:val="single" w:sz="4" w:space="0" w:color="8EA9DB"/>
              <w:left w:val="nil"/>
              <w:bottom w:val="single" w:sz="4" w:space="0" w:color="8EA9DB"/>
              <w:right w:val="single" w:sz="8" w:space="0" w:color="auto"/>
            </w:tcBorders>
            <w:shd w:val="clear" w:color="auto" w:fill="auto"/>
            <w:noWrap/>
            <w:vAlign w:val="bottom"/>
            <w:hideMark/>
          </w:tcPr>
          <w:p w14:paraId="095E3591"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14.00</w:t>
            </w:r>
          </w:p>
        </w:tc>
      </w:tr>
      <w:tr w:rsidR="005F64B4" w:rsidRPr="002F0165" w14:paraId="57B43B80"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D9E1F2" w:fill="D9E1F2"/>
            <w:noWrap/>
            <w:vAlign w:val="bottom"/>
            <w:hideMark/>
          </w:tcPr>
          <w:p w14:paraId="07E706FD"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I miss engaging with my colleagues in the workplace</w:t>
            </w:r>
          </w:p>
        </w:tc>
        <w:tc>
          <w:tcPr>
            <w:tcW w:w="852" w:type="dxa"/>
            <w:tcBorders>
              <w:top w:val="single" w:sz="4" w:space="0" w:color="8EA9DB"/>
              <w:left w:val="nil"/>
              <w:bottom w:val="single" w:sz="4" w:space="0" w:color="8EA9DB"/>
              <w:right w:val="nil"/>
            </w:tcBorders>
            <w:shd w:val="clear" w:color="D9E1F2" w:fill="D9E1F2"/>
            <w:noWrap/>
            <w:vAlign w:val="bottom"/>
            <w:hideMark/>
          </w:tcPr>
          <w:p w14:paraId="4503C518"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7.00</w:t>
            </w:r>
          </w:p>
        </w:tc>
        <w:tc>
          <w:tcPr>
            <w:tcW w:w="984" w:type="dxa"/>
            <w:tcBorders>
              <w:top w:val="single" w:sz="4" w:space="0" w:color="8EA9DB"/>
              <w:left w:val="nil"/>
              <w:bottom w:val="single" w:sz="4" w:space="0" w:color="8EA9DB"/>
              <w:right w:val="nil"/>
            </w:tcBorders>
            <w:shd w:val="clear" w:color="D9E1F2" w:fill="D9E1F2"/>
            <w:noWrap/>
            <w:vAlign w:val="bottom"/>
            <w:hideMark/>
          </w:tcPr>
          <w:p w14:paraId="3CACF180"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10.00</w:t>
            </w:r>
          </w:p>
        </w:tc>
        <w:tc>
          <w:tcPr>
            <w:tcW w:w="1164" w:type="dxa"/>
            <w:tcBorders>
              <w:top w:val="single" w:sz="4" w:space="0" w:color="8EA9DB"/>
              <w:left w:val="nil"/>
              <w:bottom w:val="single" w:sz="4" w:space="0" w:color="8EA9DB"/>
              <w:right w:val="single" w:sz="8" w:space="0" w:color="auto"/>
            </w:tcBorders>
            <w:shd w:val="clear" w:color="D9E1F2" w:fill="D9E1F2"/>
            <w:noWrap/>
            <w:vAlign w:val="bottom"/>
            <w:hideMark/>
          </w:tcPr>
          <w:p w14:paraId="51B995CA"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83.00</w:t>
            </w:r>
          </w:p>
        </w:tc>
      </w:tr>
      <w:tr w:rsidR="005F64B4" w:rsidRPr="002F0165" w14:paraId="3CF8CEAB"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auto" w:fill="auto"/>
            <w:noWrap/>
            <w:vAlign w:val="bottom"/>
            <w:hideMark/>
          </w:tcPr>
          <w:p w14:paraId="385B8487"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I feel fully supported when working at work</w:t>
            </w:r>
          </w:p>
        </w:tc>
        <w:tc>
          <w:tcPr>
            <w:tcW w:w="852" w:type="dxa"/>
            <w:tcBorders>
              <w:top w:val="single" w:sz="4" w:space="0" w:color="8EA9DB"/>
              <w:left w:val="nil"/>
              <w:bottom w:val="single" w:sz="4" w:space="0" w:color="8EA9DB"/>
              <w:right w:val="nil"/>
            </w:tcBorders>
            <w:shd w:val="clear" w:color="auto" w:fill="auto"/>
            <w:noWrap/>
            <w:vAlign w:val="bottom"/>
            <w:hideMark/>
          </w:tcPr>
          <w:p w14:paraId="29F7FF85"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14.00</w:t>
            </w:r>
          </w:p>
        </w:tc>
        <w:tc>
          <w:tcPr>
            <w:tcW w:w="984" w:type="dxa"/>
            <w:tcBorders>
              <w:top w:val="single" w:sz="4" w:space="0" w:color="8EA9DB"/>
              <w:left w:val="nil"/>
              <w:bottom w:val="single" w:sz="4" w:space="0" w:color="8EA9DB"/>
              <w:right w:val="nil"/>
            </w:tcBorders>
            <w:shd w:val="clear" w:color="auto" w:fill="auto"/>
            <w:noWrap/>
            <w:vAlign w:val="bottom"/>
            <w:hideMark/>
          </w:tcPr>
          <w:p w14:paraId="2A1247F1"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6.00</w:t>
            </w:r>
          </w:p>
        </w:tc>
        <w:tc>
          <w:tcPr>
            <w:tcW w:w="1164" w:type="dxa"/>
            <w:tcBorders>
              <w:top w:val="single" w:sz="4" w:space="0" w:color="8EA9DB"/>
              <w:left w:val="nil"/>
              <w:bottom w:val="single" w:sz="4" w:space="0" w:color="8EA9DB"/>
              <w:right w:val="single" w:sz="8" w:space="0" w:color="auto"/>
            </w:tcBorders>
            <w:shd w:val="clear" w:color="auto" w:fill="auto"/>
            <w:noWrap/>
            <w:vAlign w:val="bottom"/>
            <w:hideMark/>
          </w:tcPr>
          <w:p w14:paraId="1A5EABFD"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80.00</w:t>
            </w:r>
          </w:p>
        </w:tc>
      </w:tr>
      <w:tr w:rsidR="005F64B4" w:rsidRPr="002F0165" w14:paraId="29BCD5D5"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D9E1F2" w:fill="D9E1F2"/>
            <w:noWrap/>
            <w:vAlign w:val="bottom"/>
            <w:hideMark/>
          </w:tcPr>
          <w:p w14:paraId="301D5415"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I find working remotely a challenge</w:t>
            </w:r>
          </w:p>
        </w:tc>
        <w:tc>
          <w:tcPr>
            <w:tcW w:w="852" w:type="dxa"/>
            <w:tcBorders>
              <w:top w:val="single" w:sz="4" w:space="0" w:color="8EA9DB"/>
              <w:left w:val="nil"/>
              <w:bottom w:val="single" w:sz="4" w:space="0" w:color="8EA9DB"/>
              <w:right w:val="nil"/>
            </w:tcBorders>
            <w:shd w:val="clear" w:color="D9E1F2" w:fill="D9E1F2"/>
            <w:noWrap/>
            <w:vAlign w:val="bottom"/>
            <w:hideMark/>
          </w:tcPr>
          <w:p w14:paraId="702F7AEC"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24.33</w:t>
            </w:r>
          </w:p>
        </w:tc>
        <w:tc>
          <w:tcPr>
            <w:tcW w:w="984" w:type="dxa"/>
            <w:tcBorders>
              <w:top w:val="single" w:sz="4" w:space="0" w:color="8EA9DB"/>
              <w:left w:val="nil"/>
              <w:bottom w:val="single" w:sz="4" w:space="0" w:color="8EA9DB"/>
              <w:right w:val="nil"/>
            </w:tcBorders>
            <w:shd w:val="clear" w:color="D9E1F2" w:fill="D9E1F2"/>
            <w:noWrap/>
            <w:vAlign w:val="bottom"/>
            <w:hideMark/>
          </w:tcPr>
          <w:p w14:paraId="688BB302"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33.67</w:t>
            </w:r>
          </w:p>
        </w:tc>
        <w:tc>
          <w:tcPr>
            <w:tcW w:w="1164" w:type="dxa"/>
            <w:tcBorders>
              <w:top w:val="single" w:sz="4" w:space="0" w:color="8EA9DB"/>
              <w:left w:val="nil"/>
              <w:bottom w:val="single" w:sz="4" w:space="0" w:color="8EA9DB"/>
              <w:right w:val="single" w:sz="8" w:space="0" w:color="auto"/>
            </w:tcBorders>
            <w:shd w:val="clear" w:color="D9E1F2" w:fill="D9E1F2"/>
            <w:noWrap/>
            <w:vAlign w:val="bottom"/>
            <w:hideMark/>
          </w:tcPr>
          <w:p w14:paraId="525F368E"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42.00</w:t>
            </w:r>
          </w:p>
        </w:tc>
      </w:tr>
      <w:tr w:rsidR="005F64B4" w:rsidRPr="002F0165" w14:paraId="76335DF0"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auto" w:fill="auto"/>
            <w:noWrap/>
            <w:vAlign w:val="bottom"/>
            <w:hideMark/>
          </w:tcPr>
          <w:p w14:paraId="4C64039A"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 xml:space="preserve">I find it difficult to separate work from my personal life when working from home </w:t>
            </w:r>
          </w:p>
        </w:tc>
        <w:tc>
          <w:tcPr>
            <w:tcW w:w="852" w:type="dxa"/>
            <w:tcBorders>
              <w:top w:val="single" w:sz="4" w:space="0" w:color="8EA9DB"/>
              <w:left w:val="nil"/>
              <w:bottom w:val="single" w:sz="4" w:space="0" w:color="8EA9DB"/>
              <w:right w:val="nil"/>
            </w:tcBorders>
            <w:shd w:val="clear" w:color="auto" w:fill="auto"/>
            <w:noWrap/>
            <w:vAlign w:val="bottom"/>
            <w:hideMark/>
          </w:tcPr>
          <w:p w14:paraId="33EAFFC4"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64.33</w:t>
            </w:r>
          </w:p>
        </w:tc>
        <w:tc>
          <w:tcPr>
            <w:tcW w:w="984" w:type="dxa"/>
            <w:tcBorders>
              <w:top w:val="single" w:sz="4" w:space="0" w:color="8EA9DB"/>
              <w:left w:val="nil"/>
              <w:bottom w:val="single" w:sz="4" w:space="0" w:color="8EA9DB"/>
              <w:right w:val="nil"/>
            </w:tcBorders>
            <w:shd w:val="clear" w:color="auto" w:fill="auto"/>
            <w:noWrap/>
            <w:vAlign w:val="bottom"/>
            <w:hideMark/>
          </w:tcPr>
          <w:p w14:paraId="5962CD5B"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7.67</w:t>
            </w:r>
          </w:p>
        </w:tc>
        <w:tc>
          <w:tcPr>
            <w:tcW w:w="1164" w:type="dxa"/>
            <w:tcBorders>
              <w:top w:val="single" w:sz="4" w:space="0" w:color="8EA9DB"/>
              <w:left w:val="nil"/>
              <w:bottom w:val="single" w:sz="4" w:space="0" w:color="8EA9DB"/>
              <w:right w:val="single" w:sz="8" w:space="0" w:color="auto"/>
            </w:tcBorders>
            <w:shd w:val="clear" w:color="auto" w:fill="auto"/>
            <w:noWrap/>
            <w:vAlign w:val="bottom"/>
            <w:hideMark/>
          </w:tcPr>
          <w:p w14:paraId="3E6CFD04"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28.00</w:t>
            </w:r>
          </w:p>
        </w:tc>
      </w:tr>
      <w:tr w:rsidR="005F64B4" w:rsidRPr="002F0165" w14:paraId="01733A62"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D9E1F2" w:fill="D9E1F2"/>
            <w:noWrap/>
            <w:vAlign w:val="bottom"/>
            <w:hideMark/>
          </w:tcPr>
          <w:p w14:paraId="2BA7B813"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Hybrid working practices make me more productive</w:t>
            </w:r>
          </w:p>
        </w:tc>
        <w:tc>
          <w:tcPr>
            <w:tcW w:w="852" w:type="dxa"/>
            <w:tcBorders>
              <w:top w:val="single" w:sz="4" w:space="0" w:color="8EA9DB"/>
              <w:left w:val="nil"/>
              <w:bottom w:val="single" w:sz="4" w:space="0" w:color="8EA9DB"/>
              <w:right w:val="nil"/>
            </w:tcBorders>
            <w:shd w:val="clear" w:color="D9E1F2" w:fill="D9E1F2"/>
            <w:noWrap/>
            <w:vAlign w:val="bottom"/>
            <w:hideMark/>
          </w:tcPr>
          <w:p w14:paraId="5C4D7C5B"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49.33</w:t>
            </w:r>
          </w:p>
        </w:tc>
        <w:tc>
          <w:tcPr>
            <w:tcW w:w="984" w:type="dxa"/>
            <w:tcBorders>
              <w:top w:val="single" w:sz="4" w:space="0" w:color="8EA9DB"/>
              <w:left w:val="nil"/>
              <w:bottom w:val="single" w:sz="4" w:space="0" w:color="8EA9DB"/>
              <w:right w:val="nil"/>
            </w:tcBorders>
            <w:shd w:val="clear" w:color="D9E1F2" w:fill="D9E1F2"/>
            <w:noWrap/>
            <w:vAlign w:val="bottom"/>
            <w:hideMark/>
          </w:tcPr>
          <w:p w14:paraId="23A88587"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1.67</w:t>
            </w:r>
          </w:p>
        </w:tc>
        <w:tc>
          <w:tcPr>
            <w:tcW w:w="1164" w:type="dxa"/>
            <w:tcBorders>
              <w:top w:val="single" w:sz="4" w:space="0" w:color="8EA9DB"/>
              <w:left w:val="nil"/>
              <w:bottom w:val="single" w:sz="4" w:space="0" w:color="8EA9DB"/>
              <w:right w:val="single" w:sz="8" w:space="0" w:color="auto"/>
            </w:tcBorders>
            <w:shd w:val="clear" w:color="D9E1F2" w:fill="D9E1F2"/>
            <w:noWrap/>
            <w:vAlign w:val="bottom"/>
            <w:hideMark/>
          </w:tcPr>
          <w:p w14:paraId="1317570D"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49.00</w:t>
            </w:r>
          </w:p>
        </w:tc>
      </w:tr>
      <w:tr w:rsidR="005F64B4" w:rsidRPr="002F0165" w14:paraId="48565178"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auto" w:fill="auto"/>
            <w:noWrap/>
            <w:vAlign w:val="bottom"/>
            <w:hideMark/>
          </w:tcPr>
          <w:p w14:paraId="3C937EF8"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Working from home does not affect cross functional communication and collaboration with my team</w:t>
            </w:r>
          </w:p>
        </w:tc>
        <w:tc>
          <w:tcPr>
            <w:tcW w:w="852" w:type="dxa"/>
            <w:tcBorders>
              <w:top w:val="single" w:sz="4" w:space="0" w:color="8EA9DB"/>
              <w:left w:val="nil"/>
              <w:bottom w:val="single" w:sz="4" w:space="0" w:color="8EA9DB"/>
              <w:right w:val="nil"/>
            </w:tcBorders>
            <w:shd w:val="clear" w:color="auto" w:fill="auto"/>
            <w:noWrap/>
            <w:vAlign w:val="bottom"/>
            <w:hideMark/>
          </w:tcPr>
          <w:p w14:paraId="017AC0DF"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38.67</w:t>
            </w:r>
          </w:p>
        </w:tc>
        <w:tc>
          <w:tcPr>
            <w:tcW w:w="984" w:type="dxa"/>
            <w:tcBorders>
              <w:top w:val="single" w:sz="4" w:space="0" w:color="8EA9DB"/>
              <w:left w:val="nil"/>
              <w:bottom w:val="single" w:sz="4" w:space="0" w:color="8EA9DB"/>
              <w:right w:val="nil"/>
            </w:tcBorders>
            <w:shd w:val="clear" w:color="auto" w:fill="auto"/>
            <w:noWrap/>
            <w:vAlign w:val="bottom"/>
            <w:hideMark/>
          </w:tcPr>
          <w:p w14:paraId="5D45E29B"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1.67</w:t>
            </w:r>
          </w:p>
        </w:tc>
        <w:tc>
          <w:tcPr>
            <w:tcW w:w="1164" w:type="dxa"/>
            <w:tcBorders>
              <w:top w:val="single" w:sz="4" w:space="0" w:color="8EA9DB"/>
              <w:left w:val="nil"/>
              <w:bottom w:val="single" w:sz="4" w:space="0" w:color="8EA9DB"/>
              <w:right w:val="single" w:sz="8" w:space="0" w:color="auto"/>
            </w:tcBorders>
            <w:shd w:val="clear" w:color="auto" w:fill="auto"/>
            <w:noWrap/>
            <w:vAlign w:val="bottom"/>
            <w:hideMark/>
          </w:tcPr>
          <w:p w14:paraId="5D134BF8"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59.67</w:t>
            </w:r>
          </w:p>
        </w:tc>
      </w:tr>
      <w:tr w:rsidR="005F64B4" w:rsidRPr="002F0165" w14:paraId="3955E3DC"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D9E1F2" w:fill="D9E1F2"/>
            <w:noWrap/>
            <w:vAlign w:val="bottom"/>
            <w:hideMark/>
          </w:tcPr>
          <w:p w14:paraId="32804368"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 xml:space="preserve">Since hybrid working has been in place, I feel more connected to our company culture. </w:t>
            </w:r>
          </w:p>
        </w:tc>
        <w:tc>
          <w:tcPr>
            <w:tcW w:w="852" w:type="dxa"/>
            <w:tcBorders>
              <w:top w:val="single" w:sz="4" w:space="0" w:color="8EA9DB"/>
              <w:left w:val="nil"/>
              <w:bottom w:val="single" w:sz="4" w:space="0" w:color="8EA9DB"/>
              <w:right w:val="nil"/>
            </w:tcBorders>
            <w:shd w:val="clear" w:color="D9E1F2" w:fill="D9E1F2"/>
            <w:noWrap/>
            <w:vAlign w:val="bottom"/>
            <w:hideMark/>
          </w:tcPr>
          <w:p w14:paraId="7DA6CC50"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62.00</w:t>
            </w:r>
          </w:p>
        </w:tc>
        <w:tc>
          <w:tcPr>
            <w:tcW w:w="984" w:type="dxa"/>
            <w:tcBorders>
              <w:top w:val="single" w:sz="4" w:space="0" w:color="8EA9DB"/>
              <w:left w:val="nil"/>
              <w:bottom w:val="single" w:sz="4" w:space="0" w:color="8EA9DB"/>
              <w:right w:val="nil"/>
            </w:tcBorders>
            <w:shd w:val="clear" w:color="D9E1F2" w:fill="D9E1F2"/>
            <w:noWrap/>
            <w:vAlign w:val="bottom"/>
            <w:hideMark/>
          </w:tcPr>
          <w:p w14:paraId="02F9099C"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1.00</w:t>
            </w:r>
          </w:p>
        </w:tc>
        <w:tc>
          <w:tcPr>
            <w:tcW w:w="1164" w:type="dxa"/>
            <w:tcBorders>
              <w:top w:val="single" w:sz="4" w:space="0" w:color="8EA9DB"/>
              <w:left w:val="nil"/>
              <w:bottom w:val="single" w:sz="4" w:space="0" w:color="8EA9DB"/>
              <w:right w:val="single" w:sz="8" w:space="0" w:color="auto"/>
            </w:tcBorders>
            <w:shd w:val="clear" w:color="D9E1F2" w:fill="D9E1F2"/>
            <w:noWrap/>
            <w:vAlign w:val="bottom"/>
            <w:hideMark/>
          </w:tcPr>
          <w:p w14:paraId="26F2528E"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37.00</w:t>
            </w:r>
          </w:p>
        </w:tc>
      </w:tr>
      <w:tr w:rsidR="005F64B4" w:rsidRPr="002F0165" w14:paraId="1E6AD5A6"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auto" w:fill="auto"/>
            <w:noWrap/>
            <w:vAlign w:val="bottom"/>
            <w:hideMark/>
          </w:tcPr>
          <w:p w14:paraId="2F134A56"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Working from home allows me to meet my targets</w:t>
            </w:r>
          </w:p>
        </w:tc>
        <w:tc>
          <w:tcPr>
            <w:tcW w:w="852" w:type="dxa"/>
            <w:tcBorders>
              <w:top w:val="single" w:sz="4" w:space="0" w:color="8EA9DB"/>
              <w:left w:val="nil"/>
              <w:bottom w:val="single" w:sz="4" w:space="0" w:color="8EA9DB"/>
              <w:right w:val="nil"/>
            </w:tcBorders>
            <w:shd w:val="clear" w:color="auto" w:fill="auto"/>
            <w:noWrap/>
            <w:vAlign w:val="bottom"/>
            <w:hideMark/>
          </w:tcPr>
          <w:p w14:paraId="12178FCD"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33.67</w:t>
            </w:r>
          </w:p>
        </w:tc>
        <w:tc>
          <w:tcPr>
            <w:tcW w:w="984" w:type="dxa"/>
            <w:tcBorders>
              <w:top w:val="single" w:sz="4" w:space="0" w:color="8EA9DB"/>
              <w:left w:val="nil"/>
              <w:bottom w:val="single" w:sz="4" w:space="0" w:color="8EA9DB"/>
              <w:right w:val="nil"/>
            </w:tcBorders>
            <w:shd w:val="clear" w:color="auto" w:fill="auto"/>
            <w:noWrap/>
            <w:vAlign w:val="bottom"/>
            <w:hideMark/>
          </w:tcPr>
          <w:p w14:paraId="2CF454AF"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0.33</w:t>
            </w:r>
          </w:p>
        </w:tc>
        <w:tc>
          <w:tcPr>
            <w:tcW w:w="1164" w:type="dxa"/>
            <w:tcBorders>
              <w:top w:val="single" w:sz="4" w:space="0" w:color="8EA9DB"/>
              <w:left w:val="nil"/>
              <w:bottom w:val="single" w:sz="4" w:space="0" w:color="8EA9DB"/>
              <w:right w:val="single" w:sz="8" w:space="0" w:color="auto"/>
            </w:tcBorders>
            <w:shd w:val="clear" w:color="auto" w:fill="auto"/>
            <w:noWrap/>
            <w:vAlign w:val="bottom"/>
            <w:hideMark/>
          </w:tcPr>
          <w:p w14:paraId="346193AB"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66.33</w:t>
            </w:r>
          </w:p>
        </w:tc>
      </w:tr>
      <w:tr w:rsidR="005F64B4" w:rsidRPr="002F0165" w14:paraId="2C6569E0"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D9E1F2" w:fill="D9E1F2"/>
            <w:noWrap/>
            <w:vAlign w:val="bottom"/>
            <w:hideMark/>
          </w:tcPr>
          <w:p w14:paraId="03930292"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I can easily access resources at home</w:t>
            </w:r>
          </w:p>
        </w:tc>
        <w:tc>
          <w:tcPr>
            <w:tcW w:w="852" w:type="dxa"/>
            <w:tcBorders>
              <w:top w:val="single" w:sz="4" w:space="0" w:color="8EA9DB"/>
              <w:left w:val="nil"/>
              <w:bottom w:val="single" w:sz="4" w:space="0" w:color="8EA9DB"/>
              <w:right w:val="nil"/>
            </w:tcBorders>
            <w:shd w:val="clear" w:color="D9E1F2" w:fill="D9E1F2"/>
            <w:noWrap/>
            <w:vAlign w:val="bottom"/>
            <w:hideMark/>
          </w:tcPr>
          <w:p w14:paraId="39D65688"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49.00</w:t>
            </w:r>
          </w:p>
        </w:tc>
        <w:tc>
          <w:tcPr>
            <w:tcW w:w="984" w:type="dxa"/>
            <w:tcBorders>
              <w:top w:val="single" w:sz="4" w:space="0" w:color="8EA9DB"/>
              <w:left w:val="nil"/>
              <w:bottom w:val="single" w:sz="4" w:space="0" w:color="8EA9DB"/>
              <w:right w:val="nil"/>
            </w:tcBorders>
            <w:shd w:val="clear" w:color="D9E1F2" w:fill="D9E1F2"/>
            <w:noWrap/>
            <w:vAlign w:val="bottom"/>
            <w:hideMark/>
          </w:tcPr>
          <w:p w14:paraId="6EC281C9"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2.00</w:t>
            </w:r>
          </w:p>
        </w:tc>
        <w:tc>
          <w:tcPr>
            <w:tcW w:w="1164" w:type="dxa"/>
            <w:tcBorders>
              <w:top w:val="single" w:sz="4" w:space="0" w:color="8EA9DB"/>
              <w:left w:val="nil"/>
              <w:bottom w:val="single" w:sz="4" w:space="0" w:color="8EA9DB"/>
              <w:right w:val="single" w:sz="8" w:space="0" w:color="auto"/>
            </w:tcBorders>
            <w:shd w:val="clear" w:color="D9E1F2" w:fill="D9E1F2"/>
            <w:noWrap/>
            <w:vAlign w:val="bottom"/>
            <w:hideMark/>
          </w:tcPr>
          <w:p w14:paraId="36F9E8D1"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49.00</w:t>
            </w:r>
          </w:p>
        </w:tc>
      </w:tr>
      <w:tr w:rsidR="005F64B4" w:rsidRPr="002F0165" w14:paraId="16C991CF"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auto" w:fill="auto"/>
            <w:noWrap/>
            <w:vAlign w:val="bottom"/>
            <w:hideMark/>
          </w:tcPr>
          <w:p w14:paraId="499B88F2"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Working from home removes conflict</w:t>
            </w:r>
          </w:p>
        </w:tc>
        <w:tc>
          <w:tcPr>
            <w:tcW w:w="852" w:type="dxa"/>
            <w:tcBorders>
              <w:top w:val="single" w:sz="4" w:space="0" w:color="8EA9DB"/>
              <w:left w:val="nil"/>
              <w:bottom w:val="single" w:sz="4" w:space="0" w:color="8EA9DB"/>
              <w:right w:val="nil"/>
            </w:tcBorders>
            <w:shd w:val="clear" w:color="auto" w:fill="auto"/>
            <w:noWrap/>
            <w:vAlign w:val="bottom"/>
            <w:hideMark/>
          </w:tcPr>
          <w:p w14:paraId="6EE18C32"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59.00</w:t>
            </w:r>
          </w:p>
        </w:tc>
        <w:tc>
          <w:tcPr>
            <w:tcW w:w="984" w:type="dxa"/>
            <w:tcBorders>
              <w:top w:val="single" w:sz="4" w:space="0" w:color="8EA9DB"/>
              <w:left w:val="nil"/>
              <w:bottom w:val="single" w:sz="4" w:space="0" w:color="8EA9DB"/>
              <w:right w:val="nil"/>
            </w:tcBorders>
            <w:shd w:val="clear" w:color="auto" w:fill="auto"/>
            <w:noWrap/>
            <w:vAlign w:val="bottom"/>
            <w:hideMark/>
          </w:tcPr>
          <w:p w14:paraId="5DCC43A9"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2.33</w:t>
            </w:r>
          </w:p>
        </w:tc>
        <w:tc>
          <w:tcPr>
            <w:tcW w:w="1164" w:type="dxa"/>
            <w:tcBorders>
              <w:top w:val="single" w:sz="4" w:space="0" w:color="8EA9DB"/>
              <w:left w:val="nil"/>
              <w:bottom w:val="single" w:sz="4" w:space="0" w:color="8EA9DB"/>
              <w:right w:val="single" w:sz="8" w:space="0" w:color="auto"/>
            </w:tcBorders>
            <w:shd w:val="clear" w:color="auto" w:fill="auto"/>
            <w:noWrap/>
            <w:vAlign w:val="bottom"/>
            <w:hideMark/>
          </w:tcPr>
          <w:p w14:paraId="004CA103"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38.67</w:t>
            </w:r>
          </w:p>
        </w:tc>
      </w:tr>
      <w:tr w:rsidR="005F64B4" w:rsidRPr="002F0165" w14:paraId="75039AC4" w14:textId="77777777" w:rsidTr="005F64B4">
        <w:trPr>
          <w:trHeight w:val="209"/>
        </w:trPr>
        <w:tc>
          <w:tcPr>
            <w:tcW w:w="7694" w:type="dxa"/>
            <w:tcBorders>
              <w:top w:val="single" w:sz="4" w:space="0" w:color="8EA9DB"/>
              <w:left w:val="single" w:sz="8" w:space="0" w:color="auto"/>
              <w:bottom w:val="single" w:sz="4" w:space="0" w:color="8EA9DB"/>
              <w:right w:val="nil"/>
            </w:tcBorders>
            <w:shd w:val="clear" w:color="D9E1F2" w:fill="D9E1F2"/>
            <w:noWrap/>
            <w:vAlign w:val="bottom"/>
            <w:hideMark/>
          </w:tcPr>
          <w:p w14:paraId="4DEB8200"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I feel less stressed when away from the workplace</w:t>
            </w:r>
          </w:p>
        </w:tc>
        <w:tc>
          <w:tcPr>
            <w:tcW w:w="852" w:type="dxa"/>
            <w:tcBorders>
              <w:top w:val="single" w:sz="4" w:space="0" w:color="8EA9DB"/>
              <w:left w:val="nil"/>
              <w:bottom w:val="single" w:sz="4" w:space="0" w:color="8EA9DB"/>
              <w:right w:val="nil"/>
            </w:tcBorders>
            <w:shd w:val="clear" w:color="D9E1F2" w:fill="D9E1F2"/>
            <w:noWrap/>
            <w:vAlign w:val="bottom"/>
            <w:hideMark/>
          </w:tcPr>
          <w:p w14:paraId="5EE70D00"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15.00</w:t>
            </w:r>
          </w:p>
        </w:tc>
        <w:tc>
          <w:tcPr>
            <w:tcW w:w="984" w:type="dxa"/>
            <w:tcBorders>
              <w:top w:val="single" w:sz="4" w:space="0" w:color="8EA9DB"/>
              <w:left w:val="nil"/>
              <w:bottom w:val="single" w:sz="4" w:space="0" w:color="8EA9DB"/>
              <w:right w:val="nil"/>
            </w:tcBorders>
            <w:shd w:val="clear" w:color="D9E1F2" w:fill="D9E1F2"/>
            <w:noWrap/>
            <w:vAlign w:val="bottom"/>
            <w:hideMark/>
          </w:tcPr>
          <w:p w14:paraId="60EAA498"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0.00</w:t>
            </w:r>
          </w:p>
        </w:tc>
        <w:tc>
          <w:tcPr>
            <w:tcW w:w="1164" w:type="dxa"/>
            <w:tcBorders>
              <w:top w:val="single" w:sz="4" w:space="0" w:color="8EA9DB"/>
              <w:left w:val="nil"/>
              <w:bottom w:val="single" w:sz="4" w:space="0" w:color="8EA9DB"/>
              <w:right w:val="single" w:sz="8" w:space="0" w:color="auto"/>
            </w:tcBorders>
            <w:shd w:val="clear" w:color="D9E1F2" w:fill="D9E1F2"/>
            <w:noWrap/>
            <w:vAlign w:val="bottom"/>
            <w:hideMark/>
          </w:tcPr>
          <w:p w14:paraId="24B95521"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85.00</w:t>
            </w:r>
          </w:p>
        </w:tc>
      </w:tr>
      <w:tr w:rsidR="005F64B4" w:rsidRPr="002F0165" w14:paraId="0BCDF906" w14:textId="77777777" w:rsidTr="005F64B4">
        <w:trPr>
          <w:trHeight w:val="209"/>
        </w:trPr>
        <w:tc>
          <w:tcPr>
            <w:tcW w:w="7694" w:type="dxa"/>
            <w:tcBorders>
              <w:top w:val="single" w:sz="4" w:space="0" w:color="8EA9DB"/>
              <w:left w:val="single" w:sz="8" w:space="0" w:color="auto"/>
              <w:bottom w:val="single" w:sz="8" w:space="0" w:color="auto"/>
              <w:right w:val="nil"/>
            </w:tcBorders>
            <w:shd w:val="clear" w:color="auto" w:fill="auto"/>
            <w:noWrap/>
            <w:vAlign w:val="bottom"/>
            <w:hideMark/>
          </w:tcPr>
          <w:p w14:paraId="265551DB"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I get the same amount of recognition about my work when working from home</w:t>
            </w:r>
          </w:p>
        </w:tc>
        <w:tc>
          <w:tcPr>
            <w:tcW w:w="852" w:type="dxa"/>
            <w:tcBorders>
              <w:top w:val="single" w:sz="4" w:space="0" w:color="8EA9DB"/>
              <w:left w:val="nil"/>
              <w:bottom w:val="single" w:sz="8" w:space="0" w:color="auto"/>
              <w:right w:val="nil"/>
            </w:tcBorders>
            <w:shd w:val="clear" w:color="auto" w:fill="auto"/>
            <w:noWrap/>
            <w:vAlign w:val="bottom"/>
            <w:hideMark/>
          </w:tcPr>
          <w:p w14:paraId="323213C1"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46.33</w:t>
            </w:r>
          </w:p>
        </w:tc>
        <w:tc>
          <w:tcPr>
            <w:tcW w:w="984" w:type="dxa"/>
            <w:tcBorders>
              <w:top w:val="single" w:sz="4" w:space="0" w:color="8EA9DB"/>
              <w:left w:val="nil"/>
              <w:bottom w:val="single" w:sz="8" w:space="0" w:color="auto"/>
              <w:right w:val="nil"/>
            </w:tcBorders>
            <w:shd w:val="clear" w:color="auto" w:fill="auto"/>
            <w:noWrap/>
            <w:vAlign w:val="bottom"/>
            <w:hideMark/>
          </w:tcPr>
          <w:p w14:paraId="462C9ABF"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0.67</w:t>
            </w:r>
          </w:p>
        </w:tc>
        <w:tc>
          <w:tcPr>
            <w:tcW w:w="1164" w:type="dxa"/>
            <w:tcBorders>
              <w:top w:val="single" w:sz="4" w:space="0" w:color="8EA9DB"/>
              <w:left w:val="nil"/>
              <w:bottom w:val="single" w:sz="8" w:space="0" w:color="auto"/>
              <w:right w:val="single" w:sz="8" w:space="0" w:color="auto"/>
            </w:tcBorders>
            <w:shd w:val="clear" w:color="auto" w:fill="auto"/>
            <w:noWrap/>
            <w:vAlign w:val="bottom"/>
            <w:hideMark/>
          </w:tcPr>
          <w:p w14:paraId="38395DBD" w14:textId="77777777" w:rsidR="005F64B4" w:rsidRPr="005F64B4" w:rsidRDefault="005F64B4" w:rsidP="005F64B4">
            <w:pPr>
              <w:spacing w:after="0" w:line="360" w:lineRule="auto"/>
              <w:jc w:val="both"/>
              <w:rPr>
                <w:rFonts w:ascii="Calibri" w:eastAsia="Times New Roman" w:hAnsi="Calibri" w:cs="Calibri"/>
                <w:color w:val="000000"/>
                <w:kern w:val="0"/>
                <w:sz w:val="20"/>
                <w:szCs w:val="20"/>
                <w:lang w:eastAsia="en-GB"/>
                <w14:ligatures w14:val="none"/>
              </w:rPr>
            </w:pPr>
            <w:r w:rsidRPr="005F64B4">
              <w:rPr>
                <w:rFonts w:ascii="Calibri" w:eastAsia="Times New Roman" w:hAnsi="Calibri" w:cs="Calibri"/>
                <w:color w:val="000000"/>
                <w:kern w:val="0"/>
                <w:sz w:val="20"/>
                <w:szCs w:val="20"/>
                <w:lang w:eastAsia="en-GB"/>
                <w14:ligatures w14:val="none"/>
              </w:rPr>
              <w:t>53.00</w:t>
            </w:r>
          </w:p>
        </w:tc>
      </w:tr>
    </w:tbl>
    <w:p w14:paraId="53BBE644" w14:textId="154FFD42" w:rsidR="002F0165" w:rsidRPr="002F0165" w:rsidRDefault="005F64B4" w:rsidP="002F0165">
      <w:pPr>
        <w:spacing w:line="360" w:lineRule="auto"/>
        <w:jc w:val="both"/>
        <w:rPr>
          <w:rFonts w:ascii="Calibri" w:hAnsi="Calibri" w:cs="Calibri"/>
        </w:rPr>
      </w:pPr>
      <w:r w:rsidRPr="002F0165">
        <w:rPr>
          <w:rFonts w:ascii="Calibri" w:hAnsi="Calibri" w:cs="Calibri"/>
          <w:noProof/>
        </w:rPr>
        <w:drawing>
          <wp:anchor distT="0" distB="0" distL="114300" distR="114300" simplePos="0" relativeHeight="251664384" behindDoc="0" locked="0" layoutInCell="1" allowOverlap="1" wp14:anchorId="29CAA3EE" wp14:editId="514ABA93">
            <wp:simplePos x="0" y="0"/>
            <wp:positionH relativeFrom="margin">
              <wp:align>center</wp:align>
            </wp:positionH>
            <wp:positionV relativeFrom="paragraph">
              <wp:posOffset>4774950</wp:posOffset>
            </wp:positionV>
            <wp:extent cx="6475730" cy="3097530"/>
            <wp:effectExtent l="0" t="0" r="1270" b="7620"/>
            <wp:wrapSquare wrapText="bothSides"/>
            <wp:docPr id="11051287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75730" cy="3097530"/>
                    </a:xfrm>
                    <a:prstGeom prst="rect">
                      <a:avLst/>
                    </a:prstGeom>
                    <a:noFill/>
                  </pic:spPr>
                </pic:pic>
              </a:graphicData>
            </a:graphic>
            <wp14:sizeRelH relativeFrom="page">
              <wp14:pctWidth>0</wp14:pctWidth>
            </wp14:sizeRelH>
            <wp14:sizeRelV relativeFrom="page">
              <wp14:pctHeight>0</wp14:pctHeight>
            </wp14:sizeRelV>
          </wp:anchor>
        </w:drawing>
      </w:r>
    </w:p>
    <w:p w14:paraId="1D225E0D" w14:textId="396C92FE" w:rsidR="002F0165" w:rsidRPr="002F0165" w:rsidRDefault="002F0165" w:rsidP="002F0165">
      <w:pPr>
        <w:spacing w:line="360" w:lineRule="auto"/>
        <w:jc w:val="both"/>
        <w:rPr>
          <w:rFonts w:ascii="Calibri" w:hAnsi="Calibri" w:cs="Calibri"/>
        </w:rPr>
      </w:pPr>
    </w:p>
    <w:p w14:paraId="4A7ED544" w14:textId="77777777" w:rsidR="002F0165" w:rsidRPr="002F0165" w:rsidRDefault="002F0165" w:rsidP="002F0165">
      <w:pPr>
        <w:spacing w:line="360" w:lineRule="auto"/>
        <w:jc w:val="both"/>
        <w:rPr>
          <w:rFonts w:ascii="Calibri" w:hAnsi="Calibri" w:cs="Calibri"/>
        </w:rPr>
      </w:pPr>
    </w:p>
    <w:p w14:paraId="7EC8628C" w14:textId="77777777" w:rsidR="002F0165" w:rsidRPr="002F0165" w:rsidRDefault="002F0165" w:rsidP="002F0165">
      <w:pPr>
        <w:spacing w:line="360" w:lineRule="auto"/>
        <w:jc w:val="both"/>
        <w:rPr>
          <w:rFonts w:ascii="Calibri" w:hAnsi="Calibri" w:cs="Calibri"/>
        </w:rPr>
      </w:pPr>
      <w:r w:rsidRPr="002F0165">
        <w:rPr>
          <w:rFonts w:ascii="Calibri" w:hAnsi="Calibri" w:cs="Calibri"/>
        </w:rPr>
        <w:t xml:space="preserve">Overall hybrid working has benefited the employees with 82.33% agreeing that hybrid working supports their work-life balance and well-being. 56.33% enjoy working from home on some days </w:t>
      </w:r>
      <w:proofErr w:type="gramStart"/>
      <w:r w:rsidRPr="002F0165">
        <w:rPr>
          <w:rFonts w:ascii="Calibri" w:hAnsi="Calibri" w:cs="Calibri"/>
        </w:rPr>
        <w:t>and also</w:t>
      </w:r>
      <w:proofErr w:type="gramEnd"/>
      <w:r w:rsidRPr="002F0165">
        <w:rPr>
          <w:rFonts w:ascii="Calibri" w:hAnsi="Calibri" w:cs="Calibri"/>
        </w:rPr>
        <w:t xml:space="preserve"> agree that conflict is reduced when working at home. With regards to productivity, respondents are almost evenly split on whether hybrid practices make them more productive, with 49.33% agreeing and 49.00% disagreeing. However, 80.00% feel unsupported when working in the office and 85% disagree with feeling less stressed when away from the workplace. Moreover, 64.33% find it difficult to separate work from personal life when working from home.</w:t>
      </w:r>
    </w:p>
    <w:p w14:paraId="687994AF" w14:textId="77777777" w:rsidR="002F0165" w:rsidRPr="002F0165" w:rsidRDefault="002F0165" w:rsidP="002F0165">
      <w:pPr>
        <w:spacing w:line="360" w:lineRule="auto"/>
        <w:jc w:val="both"/>
        <w:rPr>
          <w:rFonts w:ascii="Calibri" w:hAnsi="Calibri" w:cs="Calibri"/>
        </w:rPr>
      </w:pPr>
      <w:r w:rsidRPr="002F0165">
        <w:rPr>
          <w:rFonts w:ascii="Calibri" w:hAnsi="Calibri" w:cs="Calibri"/>
        </w:rPr>
        <w:t>Given the significant need for better support for employees, both remotely and on-site, my recommendation is to implement support structures. This would include regular team meetings, manager drop-in sessions, and incorporating well-being, support and training into monthly 121s. The benefits include a happier, more productive workforce, enhanced psychological safety, and the direct identification of training and support needs. However, there are risks, such as resistance to change from employees and managers who may see these measures as unnecessary, and the potential for employees to become overly dependent on support systems. Financially, the business would face costs related to training and support systems, and the process would be time-intensive for HR, possibly requiring additional resources or leading to reduced productivity in other areas.</w:t>
      </w:r>
    </w:p>
    <w:p w14:paraId="1B49F949" w14:textId="77777777" w:rsidR="002F0165" w:rsidRPr="002F0165" w:rsidRDefault="002F0165" w:rsidP="002F0165">
      <w:pPr>
        <w:spacing w:line="360" w:lineRule="auto"/>
        <w:jc w:val="both"/>
        <w:rPr>
          <w:rFonts w:ascii="Calibri" w:hAnsi="Calibri" w:cs="Calibri"/>
        </w:rPr>
      </w:pPr>
      <w:r w:rsidRPr="002F0165">
        <w:rPr>
          <w:rFonts w:ascii="Calibri" w:hAnsi="Calibri" w:cs="Calibri"/>
        </w:rPr>
        <w:t>Another recommendation is to address work-life balance as over half of employees find it hard separating work and personal life when working remotely. To do this, HR can implement initiatives such as encouraging active lunch breaks, monitoring late working employees and enforcing a right to disconnect policy, as explained by the CIPD. The right to disconnect policy encourages and expects staff to switch off when not working, promoting greater well-being. This approach demonstrates the organisation's commitment to employee care, which can help retain staff and attract new talent. The risk of not implementing work life balance strategies could lead to staff burnout, ultimately leading to higher absenteeism and stress-related absence. This can have direct sick pay and occupational health costs for the business.</w:t>
      </w:r>
    </w:p>
    <w:p w14:paraId="19199BA0" w14:textId="77777777" w:rsidR="002F0165" w:rsidRDefault="002F0165" w:rsidP="0039206B"/>
    <w:p w14:paraId="02EEF881" w14:textId="77777777" w:rsidR="002F0165" w:rsidRDefault="002F0165" w:rsidP="0039206B">
      <w:pPr>
        <w:rPr>
          <w:rFonts w:ascii="Calibri" w:hAnsi="Calibri" w:cs="Calibri"/>
          <w:b/>
          <w:bCs/>
          <w:sz w:val="24"/>
          <w:szCs w:val="24"/>
          <w:u w:val="single"/>
        </w:rPr>
      </w:pPr>
    </w:p>
    <w:p w14:paraId="78F90309" w14:textId="77777777" w:rsidR="002F0165" w:rsidRDefault="002F0165" w:rsidP="0039206B">
      <w:pPr>
        <w:rPr>
          <w:rFonts w:ascii="Calibri" w:hAnsi="Calibri" w:cs="Calibri"/>
          <w:b/>
          <w:bCs/>
          <w:sz w:val="24"/>
          <w:szCs w:val="24"/>
          <w:u w:val="single"/>
        </w:rPr>
      </w:pPr>
    </w:p>
    <w:p w14:paraId="2076816F" w14:textId="77777777" w:rsidR="002F0165" w:rsidRDefault="002F0165" w:rsidP="0039206B">
      <w:pPr>
        <w:rPr>
          <w:rFonts w:ascii="Calibri" w:hAnsi="Calibri" w:cs="Calibri"/>
          <w:b/>
          <w:bCs/>
          <w:sz w:val="24"/>
          <w:szCs w:val="24"/>
          <w:u w:val="single"/>
        </w:rPr>
      </w:pPr>
    </w:p>
    <w:p w14:paraId="09A8496A" w14:textId="77777777" w:rsidR="002F0165" w:rsidRDefault="002F0165" w:rsidP="0039206B">
      <w:pPr>
        <w:rPr>
          <w:rFonts w:ascii="Calibri" w:hAnsi="Calibri" w:cs="Calibri"/>
          <w:b/>
          <w:bCs/>
          <w:sz w:val="24"/>
          <w:szCs w:val="24"/>
          <w:u w:val="single"/>
        </w:rPr>
      </w:pPr>
    </w:p>
    <w:p w14:paraId="7D26424D" w14:textId="77777777" w:rsidR="002F0165" w:rsidRDefault="002F0165" w:rsidP="0039206B">
      <w:pPr>
        <w:rPr>
          <w:rFonts w:ascii="Calibri" w:hAnsi="Calibri" w:cs="Calibri"/>
          <w:b/>
          <w:bCs/>
          <w:sz w:val="24"/>
          <w:szCs w:val="24"/>
          <w:u w:val="single"/>
        </w:rPr>
      </w:pPr>
    </w:p>
    <w:p w14:paraId="44001CBE" w14:textId="7016F161" w:rsidR="00B65780" w:rsidRDefault="002F0165" w:rsidP="0039206B">
      <w:pPr>
        <w:rPr>
          <w:rFonts w:ascii="Calibri" w:hAnsi="Calibri" w:cs="Calibri"/>
          <w:b/>
          <w:bCs/>
          <w:sz w:val="24"/>
          <w:szCs w:val="24"/>
          <w:u w:val="single"/>
        </w:rPr>
      </w:pPr>
      <w:r w:rsidRPr="002F0165">
        <w:rPr>
          <w:rFonts w:ascii="Calibri" w:hAnsi="Calibri" w:cs="Calibri"/>
          <w:b/>
          <w:bCs/>
          <w:sz w:val="24"/>
          <w:szCs w:val="24"/>
          <w:u w:val="single"/>
        </w:rPr>
        <w:lastRenderedPageBreak/>
        <w:t>Reference list</w:t>
      </w:r>
    </w:p>
    <w:p w14:paraId="4D1A36EB" w14:textId="4F0453F0" w:rsidR="00C54079" w:rsidRDefault="00C54079" w:rsidP="00C54079">
      <w:pPr>
        <w:spacing w:line="360" w:lineRule="auto"/>
        <w:rPr>
          <w:rFonts w:ascii="Calibri" w:hAnsi="Calibri" w:cs="Calibri"/>
          <w:color w:val="202020"/>
          <w:shd w:val="clear" w:color="auto" w:fill="FFFFFF"/>
        </w:rPr>
      </w:pPr>
      <w:r w:rsidRPr="00C54079">
        <w:rPr>
          <w:rFonts w:ascii="Calibri" w:hAnsi="Calibri" w:cs="Calibri"/>
          <w:color w:val="202020"/>
          <w:shd w:val="clear" w:color="auto" w:fill="FFFFFF"/>
        </w:rPr>
        <w:t>ACAS. (2024). Equal pay and the law. [Online]. ACAS. Available at: https://www.acas.org.uk/equal-pay/equal-pay-law [Accessed 13 June 2024].</w:t>
      </w:r>
    </w:p>
    <w:p w14:paraId="009E90D9" w14:textId="6D1AE295" w:rsidR="005131B3" w:rsidRPr="00C54079" w:rsidRDefault="005131B3" w:rsidP="00C54079">
      <w:pPr>
        <w:spacing w:line="360" w:lineRule="auto"/>
        <w:rPr>
          <w:rFonts w:ascii="Calibri" w:hAnsi="Calibri" w:cs="Calibri"/>
          <w:color w:val="202020"/>
          <w:shd w:val="clear" w:color="auto" w:fill="FFFFFF"/>
        </w:rPr>
      </w:pPr>
      <w:r w:rsidRPr="005131B3">
        <w:rPr>
          <w:rFonts w:ascii="Calibri" w:hAnsi="Calibri" w:cs="Calibri"/>
          <w:color w:val="202020"/>
          <w:shd w:val="clear" w:color="auto" w:fill="FFFFFF"/>
        </w:rPr>
        <w:t>ACAS. (2024). Equality, Diversity and Inclusion Making your Workforce Inclusive. [Online]. ACAS. Available at: https://www.acas.org.uk/improving-equality-diversity-and-inclusion/making-your-workplace-inclusive [Accessed 16 June 2024].</w:t>
      </w:r>
    </w:p>
    <w:p w14:paraId="6FCFCABF" w14:textId="77777777" w:rsidR="00865AD7" w:rsidRPr="00865AD7" w:rsidRDefault="00865AD7" w:rsidP="00865AD7">
      <w:pPr>
        <w:spacing w:line="360" w:lineRule="auto"/>
        <w:rPr>
          <w:rFonts w:ascii="Calibri" w:hAnsi="Calibri" w:cs="Calibri"/>
          <w:color w:val="202020"/>
          <w:shd w:val="clear" w:color="auto" w:fill="FFFFFF"/>
        </w:rPr>
      </w:pPr>
      <w:proofErr w:type="spellStart"/>
      <w:r w:rsidRPr="00865AD7">
        <w:rPr>
          <w:rFonts w:ascii="Calibri" w:hAnsi="Calibri" w:cs="Calibri"/>
          <w:color w:val="202020"/>
          <w:shd w:val="clear" w:color="auto" w:fill="FFFFFF"/>
        </w:rPr>
        <w:t>Badre</w:t>
      </w:r>
      <w:proofErr w:type="spellEnd"/>
      <w:r w:rsidRPr="00865AD7">
        <w:rPr>
          <w:rFonts w:ascii="Calibri" w:hAnsi="Calibri" w:cs="Calibri"/>
          <w:color w:val="202020"/>
          <w:shd w:val="clear" w:color="auto" w:fill="FFFFFF"/>
        </w:rPr>
        <w:t>, D.P., 2021. HRM practices and its impact on Employee Satisfaction. Available at</w:t>
      </w:r>
      <w:r>
        <w:rPr>
          <w:rFonts w:ascii="Calibri" w:hAnsi="Calibri" w:cs="Calibri"/>
          <w:color w:val="202020"/>
          <w:shd w:val="clear" w:color="auto" w:fill="FFFFFF"/>
        </w:rPr>
        <w:t xml:space="preserve">: </w:t>
      </w:r>
      <w:hyperlink r:id="rId13" w:history="1">
        <w:r w:rsidRPr="00A62FAF">
          <w:rPr>
            <w:rStyle w:val="Hyperlink"/>
            <w:rFonts w:ascii="Calibri" w:hAnsi="Calibri" w:cs="Calibri"/>
            <w:shd w:val="clear" w:color="auto" w:fill="FFFFFF"/>
          </w:rPr>
          <w:t>https://papers.ssrn.com/sol3/papers.cfm?abstract_id=3842550</w:t>
        </w:r>
      </w:hyperlink>
      <w:r>
        <w:rPr>
          <w:rFonts w:ascii="Calibri" w:hAnsi="Calibri" w:cs="Calibri"/>
          <w:color w:val="202020"/>
          <w:shd w:val="clear" w:color="auto" w:fill="FFFFFF"/>
        </w:rPr>
        <w:t xml:space="preserve"> </w:t>
      </w:r>
      <w:r w:rsidRPr="00865AD7">
        <w:rPr>
          <w:rFonts w:ascii="Calibri" w:hAnsi="Calibri" w:cs="Calibri"/>
          <w:color w:val="202020"/>
          <w:shd w:val="clear" w:color="auto" w:fill="FFFFFF"/>
        </w:rPr>
        <w:t>[Accessed 16 June 2024].</w:t>
      </w:r>
    </w:p>
    <w:p w14:paraId="11A207A9" w14:textId="77777777" w:rsidR="00865AD7" w:rsidRPr="00E679B6" w:rsidRDefault="00865AD7" w:rsidP="00E679B6">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t>Battista, M. (2024). PESTLE analysis. [Online]. Chartered Institute of Personnel and Development. Available at: https://www.cipd.org/uk/knowledge/factsheets/pestle-analysis-factsheet/#:~:text=A%20PESTLE%20analysi [Accessed 11 June 2024].</w:t>
      </w:r>
    </w:p>
    <w:p w14:paraId="100CA50E" w14:textId="77777777" w:rsidR="00865AD7" w:rsidRPr="001A0FD9" w:rsidRDefault="00865AD7" w:rsidP="00E679B6">
      <w:pPr>
        <w:spacing w:line="360" w:lineRule="auto"/>
        <w:rPr>
          <w:rFonts w:ascii="Calibri" w:hAnsi="Calibri" w:cs="Calibri"/>
          <w:color w:val="222222"/>
          <w:shd w:val="clear" w:color="auto" w:fill="FFFFFF"/>
        </w:rPr>
      </w:pPr>
      <w:r w:rsidRPr="001A0FD9">
        <w:rPr>
          <w:rFonts w:ascii="Calibri" w:hAnsi="Calibri" w:cs="Calibri"/>
          <w:color w:val="222222"/>
          <w:shd w:val="clear" w:color="auto" w:fill="FFFFFF"/>
        </w:rPr>
        <w:t>Briner, R., 2019. The basics of evidence-based practice. </w:t>
      </w:r>
      <w:r w:rsidRPr="001A0FD9">
        <w:rPr>
          <w:rFonts w:ascii="Calibri" w:hAnsi="Calibri" w:cs="Calibri"/>
          <w:i/>
          <w:iCs/>
          <w:color w:val="222222"/>
          <w:shd w:val="clear" w:color="auto" w:fill="FFFFFF"/>
        </w:rPr>
        <w:t>People Strategy</w:t>
      </w:r>
      <w:r w:rsidRPr="001A0FD9">
        <w:rPr>
          <w:rFonts w:ascii="Calibri" w:hAnsi="Calibri" w:cs="Calibri"/>
          <w:color w:val="222222"/>
          <w:shd w:val="clear" w:color="auto" w:fill="FFFFFF"/>
        </w:rPr>
        <w:t>, </w:t>
      </w:r>
      <w:r w:rsidRPr="001A0FD9">
        <w:rPr>
          <w:rFonts w:ascii="Calibri" w:hAnsi="Calibri" w:cs="Calibri"/>
          <w:i/>
          <w:iCs/>
          <w:color w:val="222222"/>
          <w:shd w:val="clear" w:color="auto" w:fill="FFFFFF"/>
        </w:rPr>
        <w:t>42</w:t>
      </w:r>
      <w:r w:rsidRPr="001A0FD9">
        <w:rPr>
          <w:rFonts w:ascii="Calibri" w:hAnsi="Calibri" w:cs="Calibri"/>
          <w:color w:val="222222"/>
          <w:shd w:val="clear" w:color="auto" w:fill="FFFFFF"/>
        </w:rPr>
        <w:t>(1), p.7.</w:t>
      </w:r>
    </w:p>
    <w:p w14:paraId="5024C893" w14:textId="77777777" w:rsidR="00865AD7" w:rsidRDefault="00865AD7" w:rsidP="00E679B6">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t>Cadle, J., Paul, D. and Turner, P., 2010. Business analysis techniques. British Informatics Society Limited.</w:t>
      </w:r>
    </w:p>
    <w:p w14:paraId="6633ADEB" w14:textId="51CCD8C5" w:rsidR="00C54079" w:rsidRDefault="00C54079" w:rsidP="00E679B6">
      <w:pPr>
        <w:spacing w:line="360" w:lineRule="auto"/>
        <w:rPr>
          <w:rFonts w:ascii="Calibri" w:hAnsi="Calibri" w:cs="Calibri"/>
          <w:color w:val="202020"/>
          <w:shd w:val="clear" w:color="auto" w:fill="FFFFFF"/>
        </w:rPr>
      </w:pPr>
      <w:r w:rsidRPr="00C54079">
        <w:rPr>
          <w:rFonts w:ascii="Calibri" w:hAnsi="Calibri" w:cs="Calibri"/>
          <w:color w:val="202020"/>
          <w:shd w:val="clear" w:color="auto" w:fill="FFFFFF"/>
        </w:rPr>
        <w:t xml:space="preserve">CIPD. (2023). What is the right to </w:t>
      </w:r>
      <w:proofErr w:type="gramStart"/>
      <w:r w:rsidRPr="00C54079">
        <w:rPr>
          <w:rFonts w:ascii="Calibri" w:hAnsi="Calibri" w:cs="Calibri"/>
          <w:color w:val="202020"/>
          <w:shd w:val="clear" w:color="auto" w:fill="FFFFFF"/>
        </w:rPr>
        <w:t>disconnect?.</w:t>
      </w:r>
      <w:proofErr w:type="gramEnd"/>
      <w:r w:rsidRPr="00C54079">
        <w:rPr>
          <w:rFonts w:ascii="Calibri" w:hAnsi="Calibri" w:cs="Calibri"/>
          <w:color w:val="202020"/>
          <w:shd w:val="clear" w:color="auto" w:fill="FFFFFF"/>
        </w:rPr>
        <w:t xml:space="preserve"> [Online]. CIPD - HR Inform. Available at: https://www.hr-inform.co.uk/news-article/what-is-the-right-to-disconnect [Accessed 13 June 2024].</w:t>
      </w:r>
    </w:p>
    <w:p w14:paraId="5F5ECCBD" w14:textId="28EED96E" w:rsidR="005131B3" w:rsidRDefault="005131B3" w:rsidP="00E679B6">
      <w:pPr>
        <w:spacing w:line="360" w:lineRule="auto"/>
        <w:rPr>
          <w:rFonts w:ascii="Calibri" w:hAnsi="Calibri" w:cs="Calibri"/>
          <w:color w:val="202020"/>
          <w:shd w:val="clear" w:color="auto" w:fill="FFFFFF"/>
        </w:rPr>
      </w:pPr>
      <w:r w:rsidRPr="005131B3">
        <w:rPr>
          <w:rFonts w:ascii="Calibri" w:hAnsi="Calibri" w:cs="Calibri"/>
          <w:color w:val="202020"/>
          <w:shd w:val="clear" w:color="auto" w:fill="FFFFFF"/>
        </w:rPr>
        <w:t>C</w:t>
      </w:r>
      <w:r>
        <w:rPr>
          <w:rFonts w:ascii="Calibri" w:hAnsi="Calibri" w:cs="Calibri"/>
          <w:color w:val="202020"/>
          <w:shd w:val="clear" w:color="auto" w:fill="FFFFFF"/>
        </w:rPr>
        <w:t>lark</w:t>
      </w:r>
      <w:r w:rsidRPr="005131B3">
        <w:rPr>
          <w:rFonts w:ascii="Calibri" w:hAnsi="Calibri" w:cs="Calibri"/>
          <w:color w:val="202020"/>
          <w:shd w:val="clear" w:color="auto" w:fill="FFFFFF"/>
        </w:rPr>
        <w:t xml:space="preserve">, S. (2015) Ethical decision making: eight perspectives on workplace dilemmas [online]. London: CIPD. Available at: </w:t>
      </w:r>
      <w:hyperlink r:id="rId14" w:history="1">
        <w:r w:rsidRPr="005131B3">
          <w:rPr>
            <w:rFonts w:ascii="Calibri" w:hAnsi="Calibri" w:cs="Calibri"/>
            <w:color w:val="202020"/>
            <w:shd w:val="clear" w:color="auto" w:fill="FFFFFF"/>
          </w:rPr>
          <w:t>ethical-decision-making-2015-eight-perspectives-on-workplace-dilemmas_tcm29-9564.pdf (cipd.org)</w:t>
        </w:r>
      </w:hyperlink>
      <w:r w:rsidRPr="005131B3">
        <w:rPr>
          <w:rFonts w:ascii="Calibri" w:hAnsi="Calibri" w:cs="Calibri"/>
          <w:color w:val="202020"/>
          <w:shd w:val="clear" w:color="auto" w:fill="FFFFFF"/>
        </w:rPr>
        <w:t xml:space="preserve"> [Accessed </w:t>
      </w:r>
      <w:r>
        <w:rPr>
          <w:rFonts w:ascii="Calibri" w:hAnsi="Calibri" w:cs="Calibri"/>
          <w:color w:val="202020"/>
          <w:shd w:val="clear" w:color="auto" w:fill="FFFFFF"/>
        </w:rPr>
        <w:t>16 June 2024</w:t>
      </w:r>
      <w:r w:rsidRPr="005131B3">
        <w:rPr>
          <w:rFonts w:ascii="Calibri" w:hAnsi="Calibri" w:cs="Calibri"/>
          <w:color w:val="202020"/>
          <w:shd w:val="clear" w:color="auto" w:fill="FFFFFF"/>
        </w:rPr>
        <w:t>].</w:t>
      </w:r>
    </w:p>
    <w:p w14:paraId="7FC9E775" w14:textId="6A15AA16" w:rsidR="00AA1957" w:rsidRPr="00E679B6" w:rsidRDefault="00AA1957" w:rsidP="00E679B6">
      <w:pPr>
        <w:spacing w:line="360" w:lineRule="auto"/>
        <w:rPr>
          <w:rFonts w:ascii="Calibri" w:hAnsi="Calibri" w:cs="Calibri"/>
          <w:color w:val="202020"/>
          <w:shd w:val="clear" w:color="auto" w:fill="FFFFFF"/>
        </w:rPr>
      </w:pPr>
      <w:r w:rsidRPr="00AA1957">
        <w:rPr>
          <w:rFonts w:ascii="Calibri" w:hAnsi="Calibri" w:cs="Calibri"/>
          <w:color w:val="202020"/>
          <w:shd w:val="clear" w:color="auto" w:fill="FFFFFF"/>
        </w:rPr>
        <w:t xml:space="preserve">CMI. (2015). Developing Decision Making Skills. [Online]. Chartered Management Institute. Available at: https://www.managers.org.uk/wp-content/uploads/2020/03/CHK-277_Developing_decision_making_skills.pdf [Accessed </w:t>
      </w:r>
      <w:r w:rsidR="005C0920">
        <w:rPr>
          <w:rFonts w:ascii="Calibri" w:hAnsi="Calibri" w:cs="Calibri"/>
          <w:color w:val="202020"/>
          <w:shd w:val="clear" w:color="auto" w:fill="FFFFFF"/>
        </w:rPr>
        <w:t>9</w:t>
      </w:r>
      <w:r w:rsidRPr="00AA1957">
        <w:rPr>
          <w:rFonts w:ascii="Calibri" w:hAnsi="Calibri" w:cs="Calibri"/>
          <w:color w:val="202020"/>
          <w:shd w:val="clear" w:color="auto" w:fill="FFFFFF"/>
        </w:rPr>
        <w:t xml:space="preserve"> June 2024].</w:t>
      </w:r>
    </w:p>
    <w:p w14:paraId="2E2F9BFA"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Emmerik, I.H.V., Jawahar, I.M. and Stone, T.H., 2005. Associations among altruism, burnout dimensions, and organizational citizenship behaviour. Work &amp; Stress, 19(1), pp.93-100.</w:t>
      </w:r>
    </w:p>
    <w:p w14:paraId="737F80DC" w14:textId="77777777" w:rsidR="00865AD7" w:rsidRPr="001A0FD9" w:rsidRDefault="00865AD7" w:rsidP="00E679B6">
      <w:pPr>
        <w:spacing w:line="360" w:lineRule="auto"/>
        <w:rPr>
          <w:rFonts w:ascii="Calibri" w:hAnsi="Calibri" w:cs="Calibri"/>
          <w:color w:val="202020"/>
          <w:shd w:val="clear" w:color="auto" w:fill="FFFFFF"/>
        </w:rPr>
      </w:pPr>
      <w:r w:rsidRPr="001A0FD9">
        <w:rPr>
          <w:rFonts w:ascii="Calibri" w:hAnsi="Calibri" w:cs="Calibri"/>
          <w:color w:val="222222"/>
          <w:shd w:val="clear" w:color="auto" w:fill="FFFFFF"/>
        </w:rPr>
        <w:t>Gifford, J., Barends, E. and Young, J. (2023) </w:t>
      </w:r>
      <w:r w:rsidRPr="001A0FD9">
        <w:rPr>
          <w:rFonts w:ascii="Calibri" w:hAnsi="Calibri" w:cs="Calibri"/>
          <w:i/>
          <w:iCs/>
          <w:color w:val="222222"/>
        </w:rPr>
        <w:t>Evidence-based HR: Make better decisions and step up your influence</w:t>
      </w:r>
      <w:r w:rsidRPr="001A0FD9">
        <w:rPr>
          <w:rFonts w:ascii="Calibri" w:hAnsi="Calibri" w:cs="Calibri"/>
          <w:color w:val="222222"/>
          <w:shd w:val="clear" w:color="auto" w:fill="FFFFFF"/>
        </w:rPr>
        <w:t>. Guide. London: Chartered Institute of Personnel and Development.</w:t>
      </w:r>
      <w:r w:rsidRPr="001A0FD9">
        <w:rPr>
          <w:rFonts w:ascii="Calibri" w:hAnsi="Calibri" w:cs="Calibri"/>
          <w:color w:val="202020"/>
          <w:shd w:val="clear" w:color="auto" w:fill="FFFFFF"/>
        </w:rPr>
        <w:t xml:space="preserve"> </w:t>
      </w:r>
      <w:r w:rsidRPr="001A0FD9">
        <w:rPr>
          <w:rFonts w:ascii="Calibri" w:hAnsi="Calibri" w:cs="Calibri"/>
          <w:color w:val="202020"/>
          <w:shd w:val="clear" w:color="auto" w:fill="FFFFFF"/>
        </w:rPr>
        <w:t>Available at: https://www.cipd.org/en/knowledge/guides/evidence-based-profession/#what-is-evidence-based-practice [Accessed 9 June 2024].</w:t>
      </w:r>
      <w:r w:rsidRPr="001A0FD9">
        <w:rPr>
          <w:rFonts w:ascii="Calibri" w:hAnsi="Calibri" w:cs="Calibri"/>
          <w:color w:val="202020"/>
          <w:shd w:val="clear" w:color="auto" w:fill="FFFFFF"/>
        </w:rPr>
        <w:t xml:space="preserve"> </w:t>
      </w:r>
    </w:p>
    <w:p w14:paraId="7D7F7D37" w14:textId="77777777" w:rsidR="00865AD7" w:rsidRDefault="00865AD7" w:rsidP="00865AD7">
      <w:pPr>
        <w:spacing w:line="360" w:lineRule="auto"/>
      </w:pPr>
      <w:r w:rsidRPr="00865AD7">
        <w:rPr>
          <w:rFonts w:ascii="Calibri" w:hAnsi="Calibri" w:cs="Calibri"/>
          <w:color w:val="202020"/>
          <w:shd w:val="clear" w:color="auto" w:fill="FFFFFF"/>
        </w:rPr>
        <w:t xml:space="preserve">Greenwood, M.R. Ethics and HRM: A Review and Conceptual Analysis. Journal of Business Ethics 36, 261–278 (2002). </w:t>
      </w:r>
      <w:hyperlink r:id="rId15" w:history="1">
        <w:r w:rsidRPr="00865AD7">
          <w:rPr>
            <w:rFonts w:ascii="Calibri" w:hAnsi="Calibri" w:cs="Calibri"/>
            <w:color w:val="202020"/>
          </w:rPr>
          <w:t>https://doi-org.ezproxy.uwtsd.ac.uk/10.1023/A:10140</w:t>
        </w:r>
        <w:r w:rsidRPr="00865AD7">
          <w:rPr>
            <w:rFonts w:ascii="Calibri" w:hAnsi="Calibri" w:cs="Calibri"/>
            <w:color w:val="202020"/>
          </w:rPr>
          <w:t>9</w:t>
        </w:r>
        <w:r w:rsidRPr="00865AD7">
          <w:rPr>
            <w:rFonts w:ascii="Calibri" w:hAnsi="Calibri" w:cs="Calibri"/>
            <w:color w:val="202020"/>
          </w:rPr>
          <w:t>0411946</w:t>
        </w:r>
      </w:hyperlink>
      <w:r w:rsidRPr="00865AD7">
        <w:rPr>
          <w:rFonts w:ascii="Calibri" w:hAnsi="Calibri" w:cs="Calibri"/>
          <w:color w:val="202020"/>
          <w:shd w:val="clear" w:color="auto" w:fill="FFFFFF"/>
        </w:rPr>
        <w:t xml:space="preserve"> </w:t>
      </w:r>
      <w:hyperlink r:id="rId16" w:history="1"/>
      <w:r w:rsidRPr="00865AD7">
        <w:rPr>
          <w:rFonts w:ascii="Calibri" w:hAnsi="Calibri" w:cs="Calibri"/>
          <w:color w:val="202020"/>
          <w:shd w:val="clear" w:color="auto" w:fill="FFFFFF"/>
        </w:rPr>
        <w:t xml:space="preserve"> </w:t>
      </w:r>
      <w:r>
        <w:t>-</w:t>
      </w:r>
    </w:p>
    <w:p w14:paraId="1EF3AC94" w14:textId="77777777" w:rsidR="00865AD7" w:rsidRPr="008B1447" w:rsidRDefault="00865AD7" w:rsidP="008B144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lastRenderedPageBreak/>
        <w:t>Hill, S</w:t>
      </w:r>
      <w:r w:rsidRPr="00865AD7">
        <w:rPr>
          <w:rFonts w:ascii="Calibri" w:hAnsi="Calibri" w:cs="Calibri"/>
          <w:color w:val="202020"/>
          <w:shd w:val="clear" w:color="auto" w:fill="FFFFFF"/>
        </w:rPr>
        <w:t xml:space="preserve"> and</w:t>
      </w:r>
      <w:r w:rsidRPr="00865AD7">
        <w:rPr>
          <w:rFonts w:ascii="Calibri" w:hAnsi="Calibri" w:cs="Calibri"/>
          <w:color w:val="202020"/>
          <w:shd w:val="clear" w:color="auto" w:fill="FFFFFF"/>
        </w:rPr>
        <w:t xml:space="preserve"> Houghton, E. (2021). People analytics: Guide for people professionals. [Online]. Chartered Institute of Personnel and Development. Last Updated: 2023. Available at: https://www.cipd.org/uk/knowledge/guides/analytics-practitioner-guide/ [Accessed 16 June 2024].</w:t>
      </w:r>
    </w:p>
    <w:p w14:paraId="05307E83" w14:textId="77777777" w:rsidR="00865AD7" w:rsidRPr="00E679B6" w:rsidRDefault="00865AD7" w:rsidP="00E679B6">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t>Howlett, W. and Coburn, T. (2019) </w:t>
      </w:r>
      <w:r w:rsidRPr="00E679B6">
        <w:rPr>
          <w:rFonts w:ascii="Calibri" w:hAnsi="Calibri" w:cs="Calibri"/>
          <w:i/>
          <w:iCs/>
          <w:color w:val="202020"/>
        </w:rPr>
        <w:t>Critical thinking | Podcast</w:t>
      </w:r>
      <w:r w:rsidRPr="00E679B6">
        <w:rPr>
          <w:rFonts w:ascii="Calibri" w:hAnsi="Calibri" w:cs="Calibri"/>
          <w:color w:val="202020"/>
          <w:shd w:val="clear" w:color="auto" w:fill="FFFFFF"/>
        </w:rPr>
        <w:t>. [online] CIPD. Available at: </w:t>
      </w:r>
      <w:hyperlink r:id="rId17" w:anchor="gref" w:tgtFrame="_blank" w:history="1">
        <w:r w:rsidRPr="00E679B6">
          <w:rPr>
            <w:rFonts w:ascii="Calibri" w:hAnsi="Calibri" w:cs="Calibri"/>
            <w:color w:val="202020"/>
          </w:rPr>
          <w:t>https://www.cipd.co.uk/podcasts/critical-thinking#gref</w:t>
        </w:r>
      </w:hyperlink>
      <w:r w:rsidRPr="00E679B6">
        <w:rPr>
          <w:rFonts w:ascii="Calibri" w:hAnsi="Calibri" w:cs="Calibri"/>
          <w:color w:val="202020"/>
          <w:shd w:val="clear" w:color="auto" w:fill="FFFFFF"/>
        </w:rPr>
        <w:t> [Accessed 12 June 2024].</w:t>
      </w:r>
    </w:p>
    <w:p w14:paraId="30722BC7" w14:textId="77777777" w:rsidR="00865AD7" w:rsidRPr="008B1447" w:rsidRDefault="00865AD7" w:rsidP="008B1447">
      <w:pPr>
        <w:spacing w:line="360" w:lineRule="auto"/>
        <w:rPr>
          <w:rFonts w:ascii="Calibri" w:hAnsi="Calibri" w:cs="Calibri"/>
          <w:color w:val="202020"/>
          <w:shd w:val="clear" w:color="auto" w:fill="FFFFFF"/>
        </w:rPr>
      </w:pPr>
      <w:r w:rsidRPr="008B1447">
        <w:rPr>
          <w:rFonts w:ascii="Calibri" w:hAnsi="Calibri" w:cs="Calibri"/>
          <w:color w:val="202020"/>
          <w:shd w:val="clear" w:color="auto" w:fill="FFFFFF"/>
        </w:rPr>
        <w:t>Kaplan Financial. (2020). Non-financial performance indicators (NFPIs). [Online]. Kaplan Financial Knowledge Bank. Available at: https://kfknowledgebank.kaplan.co.uk/management-accounting/performance-management/non-financial-perf [Accessed 16 June 2024].</w:t>
      </w:r>
    </w:p>
    <w:p w14:paraId="27063003"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Legge, K., 1998. The morality of HRM. Experiencing human resource management, pp.14-32.</w:t>
      </w:r>
    </w:p>
    <w:p w14:paraId="336C97D7"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Markos, S. and Sridevi, M.S., 2010. Employee engagement: The key to improving performance. International journal of business and management, 5(12), p.89.</w:t>
      </w:r>
    </w:p>
    <w:p w14:paraId="6809E826" w14:textId="77777777" w:rsidR="00865AD7" w:rsidRPr="008B1447" w:rsidRDefault="00865AD7" w:rsidP="008B1447">
      <w:pPr>
        <w:spacing w:line="360" w:lineRule="auto"/>
        <w:rPr>
          <w:rFonts w:ascii="Calibri" w:hAnsi="Calibri" w:cs="Calibri"/>
          <w:color w:val="202020"/>
          <w:shd w:val="clear" w:color="auto" w:fill="FFFFFF"/>
        </w:rPr>
      </w:pPr>
      <w:proofErr w:type="spellStart"/>
      <w:r w:rsidRPr="008B1447">
        <w:rPr>
          <w:rFonts w:ascii="Calibri" w:hAnsi="Calibri" w:cs="Calibri"/>
          <w:color w:val="202020"/>
          <w:shd w:val="clear" w:color="auto" w:fill="FFFFFF"/>
        </w:rPr>
        <w:t>Milost</w:t>
      </w:r>
      <w:proofErr w:type="spellEnd"/>
      <w:r w:rsidRPr="008B1447">
        <w:rPr>
          <w:rFonts w:ascii="Calibri" w:hAnsi="Calibri" w:cs="Calibri"/>
          <w:color w:val="202020"/>
          <w:shd w:val="clear" w:color="auto" w:fill="FFFFFF"/>
        </w:rPr>
        <w:t>, F., 2013. Information power of non-financial performance measures. International Journal of Business Management &amp; Economic Research, 4(6), pp.823-828.</w:t>
      </w:r>
    </w:p>
    <w:p w14:paraId="5F1BD9DC" w14:textId="77777777" w:rsidR="00865AD7" w:rsidRDefault="00865AD7" w:rsidP="00E679B6">
      <w:pPr>
        <w:spacing w:line="360" w:lineRule="auto"/>
        <w:rPr>
          <w:rFonts w:ascii="Calibri" w:hAnsi="Calibri" w:cs="Calibri"/>
          <w:color w:val="202020"/>
          <w:shd w:val="clear" w:color="auto" w:fill="FFFFFF"/>
        </w:rPr>
      </w:pPr>
      <w:proofErr w:type="spellStart"/>
      <w:r w:rsidRPr="00E679B6">
        <w:rPr>
          <w:rFonts w:ascii="Calibri" w:hAnsi="Calibri" w:cs="Calibri"/>
          <w:color w:val="202020"/>
          <w:shd w:val="clear" w:color="auto" w:fill="FFFFFF"/>
        </w:rPr>
        <w:t>Minbaeva</w:t>
      </w:r>
      <w:proofErr w:type="spellEnd"/>
      <w:r w:rsidRPr="00E679B6">
        <w:rPr>
          <w:rFonts w:ascii="Calibri" w:hAnsi="Calibri" w:cs="Calibri"/>
          <w:color w:val="202020"/>
          <w:shd w:val="clear" w:color="auto" w:fill="FFFFFF"/>
        </w:rPr>
        <w:t>, D.B. and Navrbjerg, S.E., 2023. Strategic human resource management in the context of environmental crises: A COVID‐19 test. Human Resource Management, 62(6), pp.811-832.</w:t>
      </w:r>
    </w:p>
    <w:p w14:paraId="4ADBB782" w14:textId="1EF11FB0" w:rsidR="00C54079" w:rsidRPr="00E679B6" w:rsidRDefault="00C54079" w:rsidP="00E679B6">
      <w:pPr>
        <w:spacing w:line="360" w:lineRule="auto"/>
        <w:rPr>
          <w:rFonts w:ascii="Calibri" w:hAnsi="Calibri" w:cs="Calibri"/>
          <w:color w:val="202020"/>
          <w:shd w:val="clear" w:color="auto" w:fill="FFFFFF"/>
        </w:rPr>
      </w:pPr>
      <w:r w:rsidRPr="00C54079">
        <w:rPr>
          <w:rFonts w:ascii="Calibri" w:hAnsi="Calibri" w:cs="Calibri"/>
          <w:color w:val="202020"/>
          <w:shd w:val="clear" w:color="auto" w:fill="FFFFFF"/>
        </w:rPr>
        <w:t>Office for National Statistics. (2023). Employee earnings in the UK: 2023. [Online]. Office for National Statistics. Available at: https://www.ons.gov.uk/employmentandlabourmarket/peopleinwork/earningsandworkinghours/bulletins/annu [Accessed 13 June 2024].</w:t>
      </w:r>
    </w:p>
    <w:p w14:paraId="4A81C7E1" w14:textId="77777777" w:rsidR="00865AD7" w:rsidRPr="00E679B6" w:rsidRDefault="00865AD7" w:rsidP="00E679B6">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t xml:space="preserve">Payette, P. and Barnes, B. (2017) ‘Teaching for Critical Thinking: Edward de Bono’s Six Thinking Hats’, The National teaching &amp; learning forum, 26(3), pp. 8–10. Available at: </w:t>
      </w:r>
      <w:hyperlink r:id="rId18" w:history="1">
        <w:r w:rsidRPr="00E679B6">
          <w:rPr>
            <w:rFonts w:ascii="Calibri" w:hAnsi="Calibri" w:cs="Calibri"/>
            <w:color w:val="202020"/>
          </w:rPr>
          <w:t>https://doi.org/10.1002/ntlf.30110</w:t>
        </w:r>
      </w:hyperlink>
      <w:r w:rsidRPr="00E679B6">
        <w:rPr>
          <w:rFonts w:ascii="Calibri" w:hAnsi="Calibri" w:cs="Calibri"/>
          <w:color w:val="202020"/>
          <w:shd w:val="clear" w:color="auto" w:fill="FFFFFF"/>
        </w:rPr>
        <w:t>.</w:t>
      </w:r>
    </w:p>
    <w:p w14:paraId="6FDDDF59" w14:textId="77777777" w:rsidR="00865AD7" w:rsidRPr="00E679B6" w:rsidRDefault="00865AD7" w:rsidP="00E679B6">
      <w:pPr>
        <w:spacing w:line="360" w:lineRule="auto"/>
        <w:rPr>
          <w:rFonts w:ascii="Calibri" w:hAnsi="Calibri" w:cs="Calibri"/>
          <w:color w:val="202020"/>
          <w:shd w:val="clear" w:color="auto" w:fill="FFFFFF"/>
        </w:rPr>
      </w:pPr>
      <w:r>
        <w:rPr>
          <w:rFonts w:ascii="Calibri" w:hAnsi="Calibri" w:cs="Calibri"/>
          <w:color w:val="202020"/>
          <w:shd w:val="clear" w:color="auto" w:fill="FFFFFF"/>
        </w:rPr>
        <w:t>Pounder</w:t>
      </w:r>
      <w:r w:rsidRPr="00E679B6">
        <w:rPr>
          <w:rFonts w:ascii="Calibri" w:hAnsi="Calibri" w:cs="Calibri"/>
          <w:color w:val="202020"/>
          <w:shd w:val="clear" w:color="auto" w:fill="FFFFFF"/>
        </w:rPr>
        <w:t xml:space="preserve">, T., 2009. Using action learning to drive organizational learning and performance. Strategic HR Review, 8(3), pp. 17-23. </w:t>
      </w:r>
    </w:p>
    <w:p w14:paraId="2DCE46A7" w14:textId="77777777" w:rsidR="00865AD7" w:rsidRPr="008B1447" w:rsidRDefault="00865AD7" w:rsidP="008B1447">
      <w:pPr>
        <w:spacing w:line="360" w:lineRule="auto"/>
        <w:rPr>
          <w:rFonts w:ascii="Calibri" w:hAnsi="Calibri" w:cs="Calibri"/>
          <w:color w:val="202020"/>
          <w:shd w:val="clear" w:color="auto" w:fill="FFFFFF"/>
        </w:rPr>
      </w:pPr>
      <w:r w:rsidRPr="008B1447">
        <w:rPr>
          <w:rFonts w:ascii="Calibri" w:hAnsi="Calibri" w:cs="Calibri"/>
          <w:color w:val="202020"/>
          <w:shd w:val="clear" w:color="auto" w:fill="FFFFFF"/>
        </w:rPr>
        <w:t>Stewart, G.L. and Brown, K.G., 2019. Human resource management. John Wiley &amp; Sons.</w:t>
      </w:r>
    </w:p>
    <w:p w14:paraId="5D794F1B"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Stobierski, T. (2019). How to do a cost-benefit analysis &amp; why it's important. [Online]. Harvard Business School Online. Available at: https://online.hbs.edu/blog/post/cost-benefit-analysis [Accessed 16 June 2024].</w:t>
      </w:r>
    </w:p>
    <w:p w14:paraId="11DCA1DE" w14:textId="77777777" w:rsidR="00865AD7" w:rsidRPr="00E679B6" w:rsidRDefault="00865AD7" w:rsidP="00E679B6">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t xml:space="preserve">Talk, R.A., </w:t>
      </w:r>
      <w:proofErr w:type="spellStart"/>
      <w:r w:rsidRPr="00E679B6">
        <w:rPr>
          <w:rFonts w:ascii="Calibri" w:hAnsi="Calibri" w:cs="Calibri"/>
          <w:color w:val="202020"/>
          <w:shd w:val="clear" w:color="auto" w:fill="FFFFFF"/>
        </w:rPr>
        <w:t>Bobbillapati</w:t>
      </w:r>
      <w:proofErr w:type="spellEnd"/>
      <w:r w:rsidRPr="00E679B6">
        <w:rPr>
          <w:rFonts w:ascii="Calibri" w:hAnsi="Calibri" w:cs="Calibri"/>
          <w:color w:val="202020"/>
          <w:shd w:val="clear" w:color="auto" w:fill="FFFFFF"/>
        </w:rPr>
        <w:t>, L. and Coyle, M., 2019. Optimize the effectiveness of recruiting campaigns. SMU Data Science Review, 2(1), p.24.</w:t>
      </w:r>
    </w:p>
    <w:p w14:paraId="583A7A11" w14:textId="77777777" w:rsidR="00865AD7" w:rsidRPr="00E679B6" w:rsidRDefault="00865AD7" w:rsidP="00E679B6">
      <w:pPr>
        <w:spacing w:line="360" w:lineRule="auto"/>
        <w:rPr>
          <w:rFonts w:ascii="Calibri" w:hAnsi="Calibri" w:cs="Calibri"/>
          <w:color w:val="202020"/>
          <w:shd w:val="clear" w:color="auto" w:fill="FFFFFF"/>
        </w:rPr>
      </w:pPr>
      <w:proofErr w:type="spellStart"/>
      <w:r w:rsidRPr="00E679B6">
        <w:rPr>
          <w:rFonts w:ascii="Calibri" w:hAnsi="Calibri" w:cs="Calibri"/>
          <w:color w:val="202020"/>
          <w:shd w:val="clear" w:color="auto" w:fill="FFFFFF"/>
        </w:rPr>
        <w:lastRenderedPageBreak/>
        <w:t>Uzonwanne</w:t>
      </w:r>
      <w:proofErr w:type="spellEnd"/>
      <w:r w:rsidRPr="00E679B6">
        <w:rPr>
          <w:rFonts w:ascii="Calibri" w:hAnsi="Calibri" w:cs="Calibri"/>
          <w:color w:val="202020"/>
          <w:shd w:val="clear" w:color="auto" w:fill="FFFFFF"/>
        </w:rPr>
        <w:t xml:space="preserve">, F.C., 2016. Rational model of decision making. Global </w:t>
      </w:r>
      <w:proofErr w:type="spellStart"/>
      <w:r w:rsidRPr="00E679B6">
        <w:rPr>
          <w:rFonts w:ascii="Calibri" w:hAnsi="Calibri" w:cs="Calibri"/>
          <w:color w:val="202020"/>
          <w:shd w:val="clear" w:color="auto" w:fill="FFFFFF"/>
        </w:rPr>
        <w:t>encyclopedia</w:t>
      </w:r>
      <w:proofErr w:type="spellEnd"/>
      <w:r w:rsidRPr="00E679B6">
        <w:rPr>
          <w:rFonts w:ascii="Calibri" w:hAnsi="Calibri" w:cs="Calibri"/>
          <w:color w:val="202020"/>
          <w:shd w:val="clear" w:color="auto" w:fill="FFFFFF"/>
        </w:rPr>
        <w:t xml:space="preserve"> of public administration, public policy, and governance, pp.1-6.</w:t>
      </w:r>
    </w:p>
    <w:p w14:paraId="5669D5C3" w14:textId="77777777" w:rsidR="00865AD7" w:rsidRDefault="00865AD7" w:rsidP="008B1447">
      <w:pPr>
        <w:spacing w:line="360" w:lineRule="auto"/>
        <w:rPr>
          <w:rFonts w:ascii="Calibri" w:hAnsi="Calibri" w:cs="Calibri"/>
          <w:color w:val="202020"/>
          <w:shd w:val="clear" w:color="auto" w:fill="FFFFFF"/>
        </w:rPr>
      </w:pPr>
      <w:r w:rsidRPr="008B1447">
        <w:rPr>
          <w:rFonts w:ascii="Calibri" w:hAnsi="Calibri" w:cs="Calibri"/>
          <w:color w:val="202020"/>
          <w:shd w:val="clear" w:color="auto" w:fill="FFFFFF"/>
        </w:rPr>
        <w:t xml:space="preserve">Waite, K, Beevers, K, Small, N Tomlinson, K, Hussain, S. (2021). People Practice </w:t>
      </w:r>
      <w:proofErr w:type="gramStart"/>
      <w:r w:rsidRPr="008B1447">
        <w:rPr>
          <w:rFonts w:ascii="Calibri" w:hAnsi="Calibri" w:cs="Calibri"/>
          <w:color w:val="202020"/>
          <w:shd w:val="clear" w:color="auto" w:fill="FFFFFF"/>
        </w:rPr>
        <w:t>A</w:t>
      </w:r>
      <w:proofErr w:type="gramEnd"/>
      <w:r w:rsidRPr="008B1447">
        <w:rPr>
          <w:rFonts w:ascii="Calibri" w:hAnsi="Calibri" w:cs="Calibri"/>
          <w:color w:val="202020"/>
          <w:shd w:val="clear" w:color="auto" w:fill="FFFFFF"/>
        </w:rPr>
        <w:t xml:space="preserve"> Complete Guide. London: Kogan Page.</w:t>
      </w:r>
    </w:p>
    <w:p w14:paraId="353A6FC9" w14:textId="77777777" w:rsidR="00865AD7" w:rsidRPr="00E679B6" w:rsidRDefault="00865AD7" w:rsidP="00E679B6">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t>Young, J. (2023). Evidence-based practice for effective decision-making. [Online]. Chartered Institute of</w:t>
      </w:r>
      <w:r>
        <w:rPr>
          <w:rFonts w:ascii="Calibri" w:hAnsi="Calibri" w:cs="Calibri"/>
          <w:color w:val="202020"/>
          <w:shd w:val="clear" w:color="auto" w:fill="FFFFFF"/>
        </w:rPr>
        <w:t xml:space="preserve"> </w:t>
      </w:r>
      <w:r w:rsidRPr="00E679B6">
        <w:rPr>
          <w:rFonts w:ascii="Calibri" w:hAnsi="Calibri" w:cs="Calibri"/>
          <w:color w:val="202020"/>
          <w:shd w:val="clear" w:color="auto" w:fill="FFFFFF"/>
        </w:rPr>
        <w:t>Personnel and Development. Available at: https://www.cipd.org/uk/knowledge/factsheets/evidence-based-practice-factsheet/#what-is-evidencebase [Accessed 9 June 2024].</w:t>
      </w:r>
    </w:p>
    <w:p w14:paraId="654AD609" w14:textId="77777777" w:rsidR="00C54079" w:rsidRDefault="00C54079" w:rsidP="0039206B">
      <w:pPr>
        <w:rPr>
          <w:i/>
          <w:iCs/>
        </w:rPr>
      </w:pPr>
    </w:p>
    <w:p w14:paraId="2C3CA5EE" w14:textId="5B2CEB46" w:rsidR="00E83D62" w:rsidRDefault="00E83D62" w:rsidP="0039206B">
      <w:pPr>
        <w:rPr>
          <w:b/>
          <w:bCs/>
          <w:u w:val="single"/>
        </w:rPr>
      </w:pPr>
      <w:r w:rsidRPr="00E83D62">
        <w:rPr>
          <w:b/>
          <w:bCs/>
          <w:u w:val="single"/>
        </w:rPr>
        <w:t>Bibliography</w:t>
      </w:r>
    </w:p>
    <w:p w14:paraId="5F8F1072" w14:textId="5A50ABF7" w:rsidR="00C54079" w:rsidRDefault="00C54079" w:rsidP="00865AD7">
      <w:pPr>
        <w:spacing w:line="360" w:lineRule="auto"/>
        <w:rPr>
          <w:rFonts w:ascii="Calibri" w:hAnsi="Calibri" w:cs="Calibri"/>
          <w:color w:val="202020"/>
          <w:shd w:val="clear" w:color="auto" w:fill="FFFFFF"/>
        </w:rPr>
      </w:pPr>
      <w:r w:rsidRPr="00C54079">
        <w:rPr>
          <w:rFonts w:ascii="Calibri" w:hAnsi="Calibri" w:cs="Calibri"/>
          <w:color w:val="202020"/>
          <w:shd w:val="clear" w:color="auto" w:fill="FFFFFF"/>
        </w:rPr>
        <w:t>ACAS. (2024). Equal pay and the law. [Online]. ACAS. Available at: https://www.acas.org.uk/equal-pay/equal-pay-law [Accessed 13 June 2024].</w:t>
      </w:r>
    </w:p>
    <w:p w14:paraId="7307F851" w14:textId="69E96033" w:rsidR="005131B3" w:rsidRDefault="005131B3" w:rsidP="00865AD7">
      <w:pPr>
        <w:spacing w:line="360" w:lineRule="auto"/>
        <w:rPr>
          <w:rFonts w:ascii="Calibri" w:hAnsi="Calibri" w:cs="Calibri"/>
          <w:color w:val="202020"/>
          <w:shd w:val="clear" w:color="auto" w:fill="FFFFFF"/>
        </w:rPr>
      </w:pPr>
      <w:r w:rsidRPr="005131B3">
        <w:rPr>
          <w:rFonts w:ascii="Calibri" w:hAnsi="Calibri" w:cs="Calibri"/>
          <w:color w:val="202020"/>
          <w:shd w:val="clear" w:color="auto" w:fill="FFFFFF"/>
        </w:rPr>
        <w:t>ACAS. (2024). Equality, Diversity and Inclusion Making your Workforce Inclusive. [Online]. ACAS. Available at: https://www.acas.org.uk/improving-equality-diversity-and-inclusion/making-your-workplace-inclusive [Accessed 16 June 2024].</w:t>
      </w:r>
    </w:p>
    <w:p w14:paraId="66E48C47" w14:textId="6B275905"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 xml:space="preserve">Adair, J.E., 2007. Decision making &amp; </w:t>
      </w:r>
      <w:proofErr w:type="gramStart"/>
      <w:r w:rsidRPr="00865AD7">
        <w:rPr>
          <w:rFonts w:ascii="Calibri" w:hAnsi="Calibri" w:cs="Calibri"/>
          <w:color w:val="202020"/>
          <w:shd w:val="clear" w:color="auto" w:fill="FFFFFF"/>
        </w:rPr>
        <w:t>problem solving</w:t>
      </w:r>
      <w:proofErr w:type="gramEnd"/>
      <w:r w:rsidRPr="00865AD7">
        <w:rPr>
          <w:rFonts w:ascii="Calibri" w:hAnsi="Calibri" w:cs="Calibri"/>
          <w:color w:val="202020"/>
          <w:shd w:val="clear" w:color="auto" w:fill="FFFFFF"/>
        </w:rPr>
        <w:t xml:space="preserve"> strategies (Vol. 121). Kogan Page Publishers.</w:t>
      </w:r>
    </w:p>
    <w:p w14:paraId="68E65F8D" w14:textId="77777777" w:rsidR="00865AD7" w:rsidRPr="00865AD7" w:rsidRDefault="00865AD7" w:rsidP="00865AD7">
      <w:pPr>
        <w:spacing w:line="360" w:lineRule="auto"/>
        <w:rPr>
          <w:rFonts w:ascii="Calibri" w:hAnsi="Calibri" w:cs="Calibri"/>
          <w:color w:val="202020"/>
          <w:shd w:val="clear" w:color="auto" w:fill="FFFFFF"/>
        </w:rPr>
      </w:pPr>
      <w:proofErr w:type="spellStart"/>
      <w:r w:rsidRPr="00865AD7">
        <w:rPr>
          <w:rFonts w:ascii="Calibri" w:hAnsi="Calibri" w:cs="Calibri"/>
          <w:color w:val="202020"/>
          <w:shd w:val="clear" w:color="auto" w:fill="FFFFFF"/>
        </w:rPr>
        <w:t>Badre</w:t>
      </w:r>
      <w:proofErr w:type="spellEnd"/>
      <w:r w:rsidRPr="00865AD7">
        <w:rPr>
          <w:rFonts w:ascii="Calibri" w:hAnsi="Calibri" w:cs="Calibri"/>
          <w:color w:val="202020"/>
          <w:shd w:val="clear" w:color="auto" w:fill="FFFFFF"/>
        </w:rPr>
        <w:t>, D.P., 2021. HRM practices and its impact on Employee Satisfaction. Available at</w:t>
      </w:r>
      <w:r>
        <w:rPr>
          <w:rFonts w:ascii="Calibri" w:hAnsi="Calibri" w:cs="Calibri"/>
          <w:color w:val="202020"/>
          <w:shd w:val="clear" w:color="auto" w:fill="FFFFFF"/>
        </w:rPr>
        <w:t xml:space="preserve">: </w:t>
      </w:r>
      <w:hyperlink r:id="rId19" w:history="1">
        <w:r w:rsidRPr="00865AD7">
          <w:rPr>
            <w:color w:val="202020"/>
          </w:rPr>
          <w:t>https://papers.ssrn.com/sol3/papers.cfm?abstract_id=3842550</w:t>
        </w:r>
      </w:hyperlink>
      <w:r>
        <w:rPr>
          <w:rFonts w:ascii="Calibri" w:hAnsi="Calibri" w:cs="Calibri"/>
          <w:color w:val="202020"/>
          <w:shd w:val="clear" w:color="auto" w:fill="FFFFFF"/>
        </w:rPr>
        <w:t xml:space="preserve"> </w:t>
      </w:r>
      <w:r w:rsidRPr="00865AD7">
        <w:rPr>
          <w:rFonts w:ascii="Calibri" w:hAnsi="Calibri" w:cs="Calibri"/>
          <w:color w:val="202020"/>
          <w:shd w:val="clear" w:color="auto" w:fill="FFFFFF"/>
        </w:rPr>
        <w:t>[Accessed 16 June 2024].</w:t>
      </w:r>
    </w:p>
    <w:p w14:paraId="68EC834E"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Briner, R., 2019. The basics of evidence-based practice. People Strategy, 42(1), p.7.</w:t>
      </w:r>
    </w:p>
    <w:p w14:paraId="5476346E"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Cadle, J., Paul, D. and Turner, P., 2010. Business analysis techniques. British Informatics Society Limited.</w:t>
      </w:r>
    </w:p>
    <w:p w14:paraId="55C64BC8" w14:textId="77777777" w:rsid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 xml:space="preserve">CIPD. (2018). Creating and capturing value at work 2018: Who benefits? Part 2. Available at: </w:t>
      </w:r>
      <w:hyperlink r:id="rId20" w:tgtFrame="_new" w:history="1">
        <w:r w:rsidRPr="00865AD7">
          <w:rPr>
            <w:rFonts w:ascii="Calibri" w:hAnsi="Calibri" w:cs="Calibri"/>
            <w:color w:val="202020"/>
            <w:shd w:val="clear" w:color="auto" w:fill="FFFFFF"/>
          </w:rPr>
          <w:t>https://www.cipd.org/globalassets/media/knowledge/knowledge-hub/reports/creating-and-capturing-value-at-work_2018-who-benefits-part-2_tcm18-37078.pdf</w:t>
        </w:r>
      </w:hyperlink>
      <w:r w:rsidRPr="00865AD7">
        <w:rPr>
          <w:rFonts w:ascii="Calibri" w:hAnsi="Calibri" w:cs="Calibri"/>
          <w:color w:val="202020"/>
          <w:shd w:val="clear" w:color="auto" w:fill="FFFFFF"/>
        </w:rPr>
        <w:t xml:space="preserve"> (Accessed: 16 June 2024).</w:t>
      </w:r>
    </w:p>
    <w:p w14:paraId="5E43F337" w14:textId="45DB5A17" w:rsidR="005131B3" w:rsidRDefault="005131B3" w:rsidP="00865AD7">
      <w:pPr>
        <w:spacing w:line="360" w:lineRule="auto"/>
        <w:rPr>
          <w:rFonts w:ascii="Calibri" w:hAnsi="Calibri" w:cs="Calibri"/>
          <w:color w:val="202020"/>
          <w:shd w:val="clear" w:color="auto" w:fill="FFFFFF"/>
        </w:rPr>
      </w:pPr>
      <w:r w:rsidRPr="005131B3">
        <w:rPr>
          <w:rFonts w:ascii="Calibri" w:hAnsi="Calibri" w:cs="Calibri"/>
          <w:color w:val="202020"/>
          <w:shd w:val="clear" w:color="auto" w:fill="FFFFFF"/>
        </w:rPr>
        <w:t>C</w:t>
      </w:r>
      <w:r>
        <w:rPr>
          <w:rFonts w:ascii="Calibri" w:hAnsi="Calibri" w:cs="Calibri"/>
          <w:color w:val="202020"/>
          <w:shd w:val="clear" w:color="auto" w:fill="FFFFFF"/>
        </w:rPr>
        <w:t>lark</w:t>
      </w:r>
      <w:r w:rsidRPr="005131B3">
        <w:rPr>
          <w:rFonts w:ascii="Calibri" w:hAnsi="Calibri" w:cs="Calibri"/>
          <w:color w:val="202020"/>
          <w:shd w:val="clear" w:color="auto" w:fill="FFFFFF"/>
        </w:rPr>
        <w:t xml:space="preserve">, S. (2015) Ethical decision making: eight perspectives on workplace dilemmas [online]. London: CIPD. Available at: </w:t>
      </w:r>
      <w:hyperlink r:id="rId21" w:history="1">
        <w:r w:rsidRPr="005131B3">
          <w:rPr>
            <w:rFonts w:ascii="Calibri" w:hAnsi="Calibri" w:cs="Calibri"/>
            <w:color w:val="202020"/>
            <w:shd w:val="clear" w:color="auto" w:fill="FFFFFF"/>
          </w:rPr>
          <w:t>ethical-decision-making-2015-eight-perspectives-on-workplace-dilemmas_tcm29-9564.pdf (cipd.org)</w:t>
        </w:r>
      </w:hyperlink>
      <w:r w:rsidRPr="005131B3">
        <w:rPr>
          <w:rFonts w:ascii="Calibri" w:hAnsi="Calibri" w:cs="Calibri"/>
          <w:color w:val="202020"/>
          <w:shd w:val="clear" w:color="auto" w:fill="FFFFFF"/>
        </w:rPr>
        <w:t xml:space="preserve"> [Accessed </w:t>
      </w:r>
      <w:r>
        <w:rPr>
          <w:rFonts w:ascii="Calibri" w:hAnsi="Calibri" w:cs="Calibri"/>
          <w:color w:val="202020"/>
          <w:shd w:val="clear" w:color="auto" w:fill="FFFFFF"/>
        </w:rPr>
        <w:t>16 June 2024</w:t>
      </w:r>
      <w:r w:rsidRPr="005131B3">
        <w:rPr>
          <w:rFonts w:ascii="Calibri" w:hAnsi="Calibri" w:cs="Calibri"/>
          <w:color w:val="202020"/>
          <w:shd w:val="clear" w:color="auto" w:fill="FFFFFF"/>
        </w:rPr>
        <w:t>].</w:t>
      </w:r>
    </w:p>
    <w:p w14:paraId="3D43D917" w14:textId="707532DB" w:rsidR="00C54079" w:rsidRDefault="00C54079" w:rsidP="00865AD7">
      <w:pPr>
        <w:spacing w:line="360" w:lineRule="auto"/>
        <w:rPr>
          <w:rFonts w:ascii="Calibri" w:hAnsi="Calibri" w:cs="Calibri"/>
          <w:color w:val="202020"/>
          <w:shd w:val="clear" w:color="auto" w:fill="FFFFFF"/>
        </w:rPr>
      </w:pPr>
      <w:r w:rsidRPr="00C54079">
        <w:rPr>
          <w:rFonts w:ascii="Calibri" w:hAnsi="Calibri" w:cs="Calibri"/>
          <w:color w:val="202020"/>
          <w:shd w:val="clear" w:color="auto" w:fill="FFFFFF"/>
        </w:rPr>
        <w:t xml:space="preserve">CIPD. (2023). What is the right to </w:t>
      </w:r>
      <w:proofErr w:type="gramStart"/>
      <w:r w:rsidRPr="00C54079">
        <w:rPr>
          <w:rFonts w:ascii="Calibri" w:hAnsi="Calibri" w:cs="Calibri"/>
          <w:color w:val="202020"/>
          <w:shd w:val="clear" w:color="auto" w:fill="FFFFFF"/>
        </w:rPr>
        <w:t>disconnect?.</w:t>
      </w:r>
      <w:proofErr w:type="gramEnd"/>
      <w:r w:rsidRPr="00C54079">
        <w:rPr>
          <w:rFonts w:ascii="Calibri" w:hAnsi="Calibri" w:cs="Calibri"/>
          <w:color w:val="202020"/>
          <w:shd w:val="clear" w:color="auto" w:fill="FFFFFF"/>
        </w:rPr>
        <w:t xml:space="preserve"> [Online]. CIPD - HR Inform. Available at: https://www.hr-inform.co.uk/news-article/what-is-the-right-to-disconnect [Accessed 13 June 2024].</w:t>
      </w:r>
    </w:p>
    <w:p w14:paraId="5F5E418B" w14:textId="75C27EF0" w:rsidR="005131B3" w:rsidRDefault="005131B3" w:rsidP="00865AD7">
      <w:pPr>
        <w:spacing w:line="360" w:lineRule="auto"/>
        <w:rPr>
          <w:rFonts w:ascii="Calibri" w:hAnsi="Calibri" w:cs="Calibri"/>
          <w:color w:val="202020"/>
          <w:shd w:val="clear" w:color="auto" w:fill="FFFFFF"/>
        </w:rPr>
      </w:pPr>
      <w:r w:rsidRPr="005131B3">
        <w:rPr>
          <w:rFonts w:ascii="Calibri" w:hAnsi="Calibri" w:cs="Calibri"/>
          <w:color w:val="202020"/>
          <w:shd w:val="clear" w:color="auto" w:fill="FFFFFF"/>
        </w:rPr>
        <w:lastRenderedPageBreak/>
        <w:t>CIPD. (2022). A Guide to Inclusive Recruitment for Employers. [Online]. CIPD. Available at: https://www.cipd.org/globalassets/media/knowledge/knowledge-hub/guides/2023-pdfs/inclusive-recruitme [Accessed 15 June 2024].</w:t>
      </w:r>
    </w:p>
    <w:p w14:paraId="4838129D" w14:textId="66CCCFD6" w:rsidR="005C0920" w:rsidRPr="00865AD7" w:rsidRDefault="005C0920" w:rsidP="00865AD7">
      <w:pPr>
        <w:spacing w:line="360" w:lineRule="auto"/>
        <w:rPr>
          <w:rFonts w:ascii="Calibri" w:hAnsi="Calibri" w:cs="Calibri"/>
          <w:color w:val="202020"/>
          <w:shd w:val="clear" w:color="auto" w:fill="FFFFFF"/>
        </w:rPr>
      </w:pPr>
      <w:r w:rsidRPr="00AA1957">
        <w:rPr>
          <w:rFonts w:ascii="Calibri" w:hAnsi="Calibri" w:cs="Calibri"/>
          <w:color w:val="202020"/>
          <w:shd w:val="clear" w:color="auto" w:fill="FFFFFF"/>
        </w:rPr>
        <w:t xml:space="preserve">CMI. (2015). Developing Decision Making Skills. [Online]. Chartered Management Institute. Available at: https://www.managers.org.uk/wp-content/uploads/2020/03/CHK-277_Developing_decision_making_skills.pdf [Accessed </w:t>
      </w:r>
      <w:r>
        <w:rPr>
          <w:rFonts w:ascii="Calibri" w:hAnsi="Calibri" w:cs="Calibri"/>
          <w:color w:val="202020"/>
          <w:shd w:val="clear" w:color="auto" w:fill="FFFFFF"/>
        </w:rPr>
        <w:t>9</w:t>
      </w:r>
      <w:r w:rsidRPr="00AA1957">
        <w:rPr>
          <w:rFonts w:ascii="Calibri" w:hAnsi="Calibri" w:cs="Calibri"/>
          <w:color w:val="202020"/>
          <w:shd w:val="clear" w:color="auto" w:fill="FFFFFF"/>
        </w:rPr>
        <w:t xml:space="preserve"> June 2024].</w:t>
      </w:r>
    </w:p>
    <w:p w14:paraId="3356201B"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Emmerik, I.H.V., Jawahar, I.M. and Stone, T.H., 2005. Associations among altruism, burnout dimensions, and organizational citizenship behaviour. Work &amp; Stress, 19(1), pp.93-100.</w:t>
      </w:r>
    </w:p>
    <w:p w14:paraId="0A1A8D98"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 xml:space="preserve">Fripp, G. (2024). What is Bounded </w:t>
      </w:r>
      <w:proofErr w:type="gramStart"/>
      <w:r w:rsidRPr="00865AD7">
        <w:rPr>
          <w:rFonts w:ascii="Calibri" w:hAnsi="Calibri" w:cs="Calibri"/>
          <w:color w:val="202020"/>
          <w:shd w:val="clear" w:color="auto" w:fill="FFFFFF"/>
        </w:rPr>
        <w:t>Rationality?.</w:t>
      </w:r>
      <w:proofErr w:type="gramEnd"/>
      <w:r w:rsidRPr="00865AD7">
        <w:rPr>
          <w:rFonts w:ascii="Calibri" w:hAnsi="Calibri" w:cs="Calibri"/>
          <w:color w:val="202020"/>
          <w:shd w:val="clear" w:color="auto" w:fill="FFFFFF"/>
        </w:rPr>
        <w:t xml:space="preserve"> [Online]. Organizational Behaviour. Available at: https://www.myorganisationalbehaviour.com/what-is-bounded-rationality/?utm_content=cmp-true [Accessed 9 June 2024].</w:t>
      </w:r>
    </w:p>
    <w:p w14:paraId="37B6B545" w14:textId="77777777" w:rsidR="00865AD7" w:rsidRPr="001A0FD9"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Gifford, J., Barends, E. and Young, J. (2023) Evidence-based HR: Make better decisions and step up your influence. Guide. London: Chartered Institute of Personnel and Development.</w:t>
      </w:r>
      <w:r w:rsidRPr="001A0FD9">
        <w:rPr>
          <w:rFonts w:ascii="Calibri" w:hAnsi="Calibri" w:cs="Calibri"/>
          <w:color w:val="202020"/>
          <w:shd w:val="clear" w:color="auto" w:fill="FFFFFF"/>
        </w:rPr>
        <w:t xml:space="preserve"> Available at: https://www.cipd.org/en/knowledge/guides/evidence-based-profession/#what-is-evidence-based-practice [Accessed 9 June 2024]. </w:t>
      </w:r>
    </w:p>
    <w:p w14:paraId="7754E29E"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 xml:space="preserve">Greenwood, M.R. Ethics and HRM: A Review and Conceptual Analysis. Journal of Business Ethics 36, 261–278 (2002). </w:t>
      </w:r>
      <w:hyperlink r:id="rId22" w:history="1">
        <w:r w:rsidRPr="00865AD7">
          <w:rPr>
            <w:rFonts w:ascii="Calibri" w:hAnsi="Calibri" w:cs="Calibri"/>
            <w:color w:val="202020"/>
            <w:shd w:val="clear" w:color="auto" w:fill="FFFFFF"/>
          </w:rPr>
          <w:t>https://doi-org.ezproxy.uwtsd.ac.uk/10.1023/A:1014090411946</w:t>
        </w:r>
      </w:hyperlink>
      <w:r w:rsidRPr="00865AD7">
        <w:rPr>
          <w:rFonts w:ascii="Calibri" w:hAnsi="Calibri" w:cs="Calibri"/>
          <w:color w:val="202020"/>
          <w:shd w:val="clear" w:color="auto" w:fill="FFFFFF"/>
        </w:rPr>
        <w:t xml:space="preserve"> </w:t>
      </w:r>
      <w:hyperlink r:id="rId23" w:history="1"/>
      <w:r w:rsidRPr="00865AD7">
        <w:rPr>
          <w:rFonts w:ascii="Calibri" w:hAnsi="Calibri" w:cs="Calibri"/>
          <w:color w:val="202020"/>
          <w:shd w:val="clear" w:color="auto" w:fill="FFFFFF"/>
        </w:rPr>
        <w:t xml:space="preserve"> -</w:t>
      </w:r>
    </w:p>
    <w:p w14:paraId="0E86BD57" w14:textId="77777777" w:rsid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Hill, S and Houghton, E. (2021). People analytics: Guide for people professionals. [Online]. Chartered Institute of Personnel and Development. Last Updated: 2023. Available at: https://www.cipd.org/uk/knowledge/guides/analytics-practitioner-guide/ [Accessed 16 June 2024].</w:t>
      </w:r>
    </w:p>
    <w:p w14:paraId="621A627C"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Kaplan Financial. (2020). Non-financial performance indicators (NFPIs). [Online]. Kaplan Financial Knowledge Bank. Available at: https://kfknowledgebank.kaplan.co.uk/management-accounting/performance-management/non-financial-perf [Accessed 16 June 2024].</w:t>
      </w:r>
    </w:p>
    <w:p w14:paraId="29410B83"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Legge, K., 1998. The morality of HRM. Experiencing human resource management, pp.14-32.</w:t>
      </w:r>
    </w:p>
    <w:p w14:paraId="3F63599C"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Markos, S. and Sridevi, M.S., 2010. Employee engagement: The key to improving performance. International journal of business and management, 5(12), p.89.</w:t>
      </w:r>
    </w:p>
    <w:p w14:paraId="61719847" w14:textId="77777777" w:rsidR="00865AD7" w:rsidRPr="008B1447" w:rsidRDefault="00865AD7" w:rsidP="00865AD7">
      <w:pPr>
        <w:spacing w:line="360" w:lineRule="auto"/>
        <w:rPr>
          <w:rFonts w:ascii="Calibri" w:hAnsi="Calibri" w:cs="Calibri"/>
          <w:color w:val="202020"/>
          <w:shd w:val="clear" w:color="auto" w:fill="FFFFFF"/>
        </w:rPr>
      </w:pPr>
      <w:proofErr w:type="spellStart"/>
      <w:r w:rsidRPr="008B1447">
        <w:rPr>
          <w:rFonts w:ascii="Calibri" w:hAnsi="Calibri" w:cs="Calibri"/>
          <w:color w:val="202020"/>
          <w:shd w:val="clear" w:color="auto" w:fill="FFFFFF"/>
        </w:rPr>
        <w:t>Milost</w:t>
      </w:r>
      <w:proofErr w:type="spellEnd"/>
      <w:r w:rsidRPr="008B1447">
        <w:rPr>
          <w:rFonts w:ascii="Calibri" w:hAnsi="Calibri" w:cs="Calibri"/>
          <w:color w:val="202020"/>
          <w:shd w:val="clear" w:color="auto" w:fill="FFFFFF"/>
        </w:rPr>
        <w:t>, F., 2013. Information power of non-financial performance measures. International Journal of Business Management &amp; Economic Research, 4(6), pp.823-828.</w:t>
      </w:r>
    </w:p>
    <w:p w14:paraId="5DEBB721" w14:textId="77777777" w:rsidR="00865AD7" w:rsidRPr="00865AD7" w:rsidRDefault="00865AD7" w:rsidP="00865AD7">
      <w:pPr>
        <w:spacing w:line="360" w:lineRule="auto"/>
        <w:rPr>
          <w:rFonts w:ascii="Calibri" w:hAnsi="Calibri" w:cs="Calibri"/>
          <w:color w:val="202020"/>
          <w:shd w:val="clear" w:color="auto" w:fill="FFFFFF"/>
        </w:rPr>
      </w:pPr>
      <w:proofErr w:type="spellStart"/>
      <w:r w:rsidRPr="00865AD7">
        <w:rPr>
          <w:rFonts w:ascii="Calibri" w:hAnsi="Calibri" w:cs="Calibri"/>
          <w:color w:val="202020"/>
          <w:shd w:val="clear" w:color="auto" w:fill="FFFFFF"/>
        </w:rPr>
        <w:t>Minbaeva</w:t>
      </w:r>
      <w:proofErr w:type="spellEnd"/>
      <w:r w:rsidRPr="00865AD7">
        <w:rPr>
          <w:rFonts w:ascii="Calibri" w:hAnsi="Calibri" w:cs="Calibri"/>
          <w:color w:val="202020"/>
          <w:shd w:val="clear" w:color="auto" w:fill="FFFFFF"/>
        </w:rPr>
        <w:t>, D.B. and Navrbjerg, S.E., 2023. Strategic human resource management in the context of environmental crises: A COVID‐19 test. Human Resource Management, 62(6), pp.811-832.</w:t>
      </w:r>
    </w:p>
    <w:p w14:paraId="36DD56F0" w14:textId="77777777" w:rsidR="00865AD7" w:rsidRPr="00865AD7" w:rsidRDefault="00865AD7" w:rsidP="00865AD7">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lastRenderedPageBreak/>
        <w:t xml:space="preserve">Payette, P. and Barnes, B. (2017) ‘Teaching for Critical Thinking: Edward de Bono’s Six Thinking Hats’, The National teaching &amp; learning forum, 26(3), pp. 8–10. Available at: </w:t>
      </w:r>
      <w:hyperlink r:id="rId24" w:history="1">
        <w:r w:rsidRPr="00865AD7">
          <w:rPr>
            <w:rFonts w:ascii="Calibri" w:hAnsi="Calibri" w:cs="Calibri"/>
            <w:color w:val="202020"/>
            <w:shd w:val="clear" w:color="auto" w:fill="FFFFFF"/>
          </w:rPr>
          <w:t>https://doi.org/10.1002/ntlf.30110</w:t>
        </w:r>
      </w:hyperlink>
    </w:p>
    <w:p w14:paraId="645D08E1" w14:textId="77777777" w:rsidR="00865AD7" w:rsidRPr="00E679B6" w:rsidRDefault="00865AD7" w:rsidP="00E679B6">
      <w:pPr>
        <w:spacing w:line="360" w:lineRule="auto"/>
        <w:rPr>
          <w:rFonts w:ascii="Calibri" w:hAnsi="Calibri" w:cs="Calibri"/>
          <w:color w:val="202020"/>
          <w:shd w:val="clear" w:color="auto" w:fill="FFFFFF"/>
        </w:rPr>
      </w:pPr>
      <w:r>
        <w:rPr>
          <w:rFonts w:ascii="Calibri" w:hAnsi="Calibri" w:cs="Calibri"/>
          <w:color w:val="202020"/>
          <w:shd w:val="clear" w:color="auto" w:fill="FFFFFF"/>
        </w:rPr>
        <w:t>Pounder</w:t>
      </w:r>
      <w:r w:rsidRPr="00E679B6">
        <w:rPr>
          <w:rFonts w:ascii="Calibri" w:hAnsi="Calibri" w:cs="Calibri"/>
          <w:color w:val="202020"/>
          <w:shd w:val="clear" w:color="auto" w:fill="FFFFFF"/>
        </w:rPr>
        <w:t xml:space="preserve">, T., 2009. Using action learning to drive organizational learning and performance. Strategic HR Review, 8(3), pp. 17-23. </w:t>
      </w:r>
    </w:p>
    <w:p w14:paraId="602A9BD1"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Spencer, A, Thompson, D and Lumen Learning. (2024). Rational Decision Making vs. Other Types of Decision Making. [Online]. Lumen Learning. Available at: https://courses.lumenlearning.com/wm-principlesofmanagement/chapter/rational-decision-making-vs-othe [Accessed 11 June 2024].</w:t>
      </w:r>
    </w:p>
    <w:p w14:paraId="5DA89956" w14:textId="77777777" w:rsidR="00865AD7" w:rsidRPr="008B1447" w:rsidRDefault="00865AD7" w:rsidP="00865AD7">
      <w:pPr>
        <w:spacing w:line="360" w:lineRule="auto"/>
        <w:rPr>
          <w:rFonts w:ascii="Calibri" w:hAnsi="Calibri" w:cs="Calibri"/>
          <w:color w:val="202020"/>
          <w:shd w:val="clear" w:color="auto" w:fill="FFFFFF"/>
        </w:rPr>
      </w:pPr>
      <w:r w:rsidRPr="008B1447">
        <w:rPr>
          <w:rFonts w:ascii="Calibri" w:hAnsi="Calibri" w:cs="Calibri"/>
          <w:color w:val="202020"/>
          <w:shd w:val="clear" w:color="auto" w:fill="FFFFFF"/>
        </w:rPr>
        <w:t>Stewart, G.L. and Brown, K.G., 2019. Human resource management. John Wiley &amp; Sons.</w:t>
      </w:r>
    </w:p>
    <w:p w14:paraId="280F4E1D" w14:textId="77777777" w:rsid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Stobierski, T. (2019). How to do a cost-benefit analysis &amp; why it's important. [Online]. Harvard Business School Online. Available at: https://online.hbs.edu/blog/post/cost-benefit-analysis [Accessed 16 June 2024].</w:t>
      </w:r>
    </w:p>
    <w:p w14:paraId="6E346827" w14:textId="77777777" w:rsidR="00865AD7" w:rsidRDefault="00865AD7" w:rsidP="00E679B6">
      <w:pPr>
        <w:spacing w:line="360" w:lineRule="auto"/>
        <w:rPr>
          <w:rFonts w:ascii="Calibri" w:hAnsi="Calibri" w:cs="Calibri"/>
          <w:color w:val="202020"/>
          <w:shd w:val="clear" w:color="auto" w:fill="FFFFFF"/>
        </w:rPr>
      </w:pPr>
      <w:r w:rsidRPr="00E679B6">
        <w:rPr>
          <w:rFonts w:ascii="Calibri" w:hAnsi="Calibri" w:cs="Calibri"/>
          <w:color w:val="202020"/>
          <w:shd w:val="clear" w:color="auto" w:fill="FFFFFF"/>
        </w:rPr>
        <w:t xml:space="preserve">Talk, R.A., </w:t>
      </w:r>
      <w:proofErr w:type="spellStart"/>
      <w:r w:rsidRPr="00E679B6">
        <w:rPr>
          <w:rFonts w:ascii="Calibri" w:hAnsi="Calibri" w:cs="Calibri"/>
          <w:color w:val="202020"/>
          <w:shd w:val="clear" w:color="auto" w:fill="FFFFFF"/>
        </w:rPr>
        <w:t>Bobbillapati</w:t>
      </w:r>
      <w:proofErr w:type="spellEnd"/>
      <w:r w:rsidRPr="00E679B6">
        <w:rPr>
          <w:rFonts w:ascii="Calibri" w:hAnsi="Calibri" w:cs="Calibri"/>
          <w:color w:val="202020"/>
          <w:shd w:val="clear" w:color="auto" w:fill="FFFFFF"/>
        </w:rPr>
        <w:t>, L. and Coyle, M., 2019. Optimize the effectiveness of recruiting campaigns. SMU Data Science Review, 2(1), p.24.</w:t>
      </w:r>
    </w:p>
    <w:p w14:paraId="6B8C9428" w14:textId="77777777" w:rsidR="00865AD7" w:rsidRDefault="00865AD7" w:rsidP="00865AD7">
      <w:pPr>
        <w:spacing w:line="360" w:lineRule="auto"/>
        <w:rPr>
          <w:rFonts w:ascii="Calibri" w:hAnsi="Calibri" w:cs="Calibri"/>
          <w:color w:val="202020"/>
          <w:shd w:val="clear" w:color="auto" w:fill="FFFFFF"/>
        </w:rPr>
      </w:pPr>
      <w:r w:rsidRPr="008B1447">
        <w:rPr>
          <w:rFonts w:ascii="Calibri" w:hAnsi="Calibri" w:cs="Calibri"/>
          <w:color w:val="202020"/>
          <w:shd w:val="clear" w:color="auto" w:fill="FFFFFF"/>
        </w:rPr>
        <w:t xml:space="preserve">Waite, K, Beevers, K, Small, N Tomlinson, K, Hussain, S. (2021). People Practice </w:t>
      </w:r>
      <w:proofErr w:type="gramStart"/>
      <w:r w:rsidRPr="008B1447">
        <w:rPr>
          <w:rFonts w:ascii="Calibri" w:hAnsi="Calibri" w:cs="Calibri"/>
          <w:color w:val="202020"/>
          <w:shd w:val="clear" w:color="auto" w:fill="FFFFFF"/>
        </w:rPr>
        <w:t>A</w:t>
      </w:r>
      <w:proofErr w:type="gramEnd"/>
      <w:r w:rsidRPr="008B1447">
        <w:rPr>
          <w:rFonts w:ascii="Calibri" w:hAnsi="Calibri" w:cs="Calibri"/>
          <w:color w:val="202020"/>
          <w:shd w:val="clear" w:color="auto" w:fill="FFFFFF"/>
        </w:rPr>
        <w:t xml:space="preserve"> Complete Guide. London: Kogan Page.</w:t>
      </w:r>
    </w:p>
    <w:p w14:paraId="0B1CA344" w14:textId="77777777" w:rsidR="00865AD7" w:rsidRPr="00865AD7" w:rsidRDefault="00865AD7" w:rsidP="00865AD7">
      <w:pPr>
        <w:spacing w:line="360" w:lineRule="auto"/>
        <w:rPr>
          <w:rFonts w:ascii="Calibri" w:hAnsi="Calibri" w:cs="Calibri"/>
          <w:color w:val="202020"/>
          <w:shd w:val="clear" w:color="auto" w:fill="FFFFFF"/>
        </w:rPr>
      </w:pPr>
      <w:r w:rsidRPr="00865AD7">
        <w:rPr>
          <w:rFonts w:ascii="Calibri" w:hAnsi="Calibri" w:cs="Calibri"/>
          <w:color w:val="202020"/>
          <w:shd w:val="clear" w:color="auto" w:fill="FFFFFF"/>
        </w:rPr>
        <w:t>Young, J. (2023). Evidence-based practice for effective decision-making. [Online]. Chartered Institute of Personnel and Development. Available at: https://www.cipd.org/uk/knowledge/factsheets/evidence-based-practice-factsheet/#what-is-evidencebase [Accessed 9 June 2024].</w:t>
      </w:r>
    </w:p>
    <w:p w14:paraId="61F3109E" w14:textId="77777777" w:rsidR="00865AD7" w:rsidRPr="008B1447" w:rsidRDefault="00865AD7" w:rsidP="00865AD7">
      <w:pPr>
        <w:spacing w:line="360" w:lineRule="auto"/>
        <w:rPr>
          <w:rFonts w:ascii="Calibri" w:hAnsi="Calibri" w:cs="Calibri"/>
          <w:color w:val="202020"/>
          <w:shd w:val="clear" w:color="auto" w:fill="FFFFFF"/>
        </w:rPr>
      </w:pPr>
    </w:p>
    <w:p w14:paraId="6F43D6EE" w14:textId="77777777" w:rsidR="00865AD7" w:rsidRDefault="00865AD7" w:rsidP="008B1447">
      <w:pPr>
        <w:rPr>
          <w:rFonts w:ascii="Noto Sans" w:hAnsi="Noto Sans" w:cs="Noto Sans"/>
          <w:color w:val="000000"/>
          <w:sz w:val="30"/>
          <w:szCs w:val="30"/>
          <w:shd w:val="clear" w:color="auto" w:fill="FFFFFF"/>
        </w:rPr>
      </w:pPr>
    </w:p>
    <w:p w14:paraId="29164C94" w14:textId="77777777" w:rsidR="008B1447" w:rsidRDefault="008B1447" w:rsidP="00E679B6">
      <w:pPr>
        <w:spacing w:line="360" w:lineRule="auto"/>
        <w:rPr>
          <w:rFonts w:ascii="Calibri" w:hAnsi="Calibri" w:cs="Calibri"/>
          <w:color w:val="202020"/>
          <w:shd w:val="clear" w:color="auto" w:fill="FFFFFF"/>
        </w:rPr>
      </w:pPr>
    </w:p>
    <w:p w14:paraId="666DACB0" w14:textId="77777777" w:rsidR="008B1447" w:rsidRPr="00E679B6" w:rsidRDefault="008B1447" w:rsidP="00E679B6">
      <w:pPr>
        <w:spacing w:line="360" w:lineRule="auto"/>
        <w:rPr>
          <w:rFonts w:ascii="Calibri" w:hAnsi="Calibri" w:cs="Calibri"/>
          <w:color w:val="202020"/>
          <w:shd w:val="clear" w:color="auto" w:fill="FFFFFF"/>
        </w:rPr>
      </w:pPr>
    </w:p>
    <w:p w14:paraId="016DBD7F" w14:textId="77777777" w:rsidR="00E679B6" w:rsidRPr="00E83D62" w:rsidRDefault="00E679B6" w:rsidP="0039206B">
      <w:pPr>
        <w:rPr>
          <w:b/>
          <w:bCs/>
          <w:u w:val="single"/>
        </w:rPr>
      </w:pPr>
    </w:p>
    <w:sectPr w:rsidR="00E679B6" w:rsidRPr="00E83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02291"/>
    <w:multiLevelType w:val="hybridMultilevel"/>
    <w:tmpl w:val="92D6A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 w15:restartNumberingAfterBreak="0">
    <w:nsid w:val="70B357B3"/>
    <w:multiLevelType w:val="hybridMultilevel"/>
    <w:tmpl w:val="C30052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7702196">
    <w:abstractNumId w:val="2"/>
  </w:num>
  <w:num w:numId="2" w16cid:durableId="1361468167">
    <w:abstractNumId w:val="3"/>
  </w:num>
  <w:num w:numId="3" w16cid:durableId="1580018845">
    <w:abstractNumId w:val="0"/>
  </w:num>
  <w:num w:numId="4" w16cid:durableId="1307902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06B"/>
    <w:rsid w:val="00006B6D"/>
    <w:rsid w:val="00013E94"/>
    <w:rsid w:val="00032E79"/>
    <w:rsid w:val="00067194"/>
    <w:rsid w:val="000731F8"/>
    <w:rsid w:val="00097136"/>
    <w:rsid w:val="000A36AC"/>
    <w:rsid w:val="000B3D10"/>
    <w:rsid w:val="000B474D"/>
    <w:rsid w:val="000D305C"/>
    <w:rsid w:val="00101811"/>
    <w:rsid w:val="00102817"/>
    <w:rsid w:val="001849CF"/>
    <w:rsid w:val="001A0FD9"/>
    <w:rsid w:val="001A2085"/>
    <w:rsid w:val="001C7F91"/>
    <w:rsid w:val="001E3BC0"/>
    <w:rsid w:val="002023DD"/>
    <w:rsid w:val="00203496"/>
    <w:rsid w:val="002171D6"/>
    <w:rsid w:val="00232377"/>
    <w:rsid w:val="00235AF7"/>
    <w:rsid w:val="00275661"/>
    <w:rsid w:val="00292829"/>
    <w:rsid w:val="00296DA5"/>
    <w:rsid w:val="002C707A"/>
    <w:rsid w:val="002D2746"/>
    <w:rsid w:val="002D6C93"/>
    <w:rsid w:val="002F0165"/>
    <w:rsid w:val="00302F47"/>
    <w:rsid w:val="00317E7A"/>
    <w:rsid w:val="0032683F"/>
    <w:rsid w:val="00333FF2"/>
    <w:rsid w:val="00386F83"/>
    <w:rsid w:val="0039206B"/>
    <w:rsid w:val="003C72A9"/>
    <w:rsid w:val="003E71C2"/>
    <w:rsid w:val="003F6185"/>
    <w:rsid w:val="0040294F"/>
    <w:rsid w:val="00403E80"/>
    <w:rsid w:val="00445B46"/>
    <w:rsid w:val="004651B1"/>
    <w:rsid w:val="00472608"/>
    <w:rsid w:val="004855DD"/>
    <w:rsid w:val="0049792B"/>
    <w:rsid w:val="004F232D"/>
    <w:rsid w:val="004F4C55"/>
    <w:rsid w:val="005131B3"/>
    <w:rsid w:val="00516173"/>
    <w:rsid w:val="00526AB9"/>
    <w:rsid w:val="00540D8A"/>
    <w:rsid w:val="005446F6"/>
    <w:rsid w:val="00575566"/>
    <w:rsid w:val="00584A88"/>
    <w:rsid w:val="005A627D"/>
    <w:rsid w:val="005B5CC5"/>
    <w:rsid w:val="005C0920"/>
    <w:rsid w:val="005D5089"/>
    <w:rsid w:val="005F64B4"/>
    <w:rsid w:val="006366AD"/>
    <w:rsid w:val="00643B2B"/>
    <w:rsid w:val="0065664B"/>
    <w:rsid w:val="00676044"/>
    <w:rsid w:val="00681D99"/>
    <w:rsid w:val="00687898"/>
    <w:rsid w:val="006B327A"/>
    <w:rsid w:val="006E174B"/>
    <w:rsid w:val="006E222C"/>
    <w:rsid w:val="006F0F54"/>
    <w:rsid w:val="006F2313"/>
    <w:rsid w:val="007206F2"/>
    <w:rsid w:val="00757113"/>
    <w:rsid w:val="0077046E"/>
    <w:rsid w:val="00785E1C"/>
    <w:rsid w:val="00796421"/>
    <w:rsid w:val="007B10EF"/>
    <w:rsid w:val="007B1280"/>
    <w:rsid w:val="007C20BA"/>
    <w:rsid w:val="007D37DA"/>
    <w:rsid w:val="0086393B"/>
    <w:rsid w:val="00864FEE"/>
    <w:rsid w:val="00865AD7"/>
    <w:rsid w:val="008879C5"/>
    <w:rsid w:val="008B1447"/>
    <w:rsid w:val="008B4AF2"/>
    <w:rsid w:val="008C76B5"/>
    <w:rsid w:val="008E2E64"/>
    <w:rsid w:val="008F2A38"/>
    <w:rsid w:val="00925201"/>
    <w:rsid w:val="00986877"/>
    <w:rsid w:val="0099254D"/>
    <w:rsid w:val="009A0261"/>
    <w:rsid w:val="009A5344"/>
    <w:rsid w:val="009C0E53"/>
    <w:rsid w:val="009E65CA"/>
    <w:rsid w:val="009E7756"/>
    <w:rsid w:val="009F295D"/>
    <w:rsid w:val="009F7054"/>
    <w:rsid w:val="00A3003C"/>
    <w:rsid w:val="00A413EE"/>
    <w:rsid w:val="00A43B34"/>
    <w:rsid w:val="00A475E8"/>
    <w:rsid w:val="00A50F6B"/>
    <w:rsid w:val="00A80D39"/>
    <w:rsid w:val="00A86E4E"/>
    <w:rsid w:val="00A9211D"/>
    <w:rsid w:val="00AA0AD6"/>
    <w:rsid w:val="00AA1957"/>
    <w:rsid w:val="00AB1AD1"/>
    <w:rsid w:val="00AC285B"/>
    <w:rsid w:val="00AF1D6E"/>
    <w:rsid w:val="00B40816"/>
    <w:rsid w:val="00B451FA"/>
    <w:rsid w:val="00B65780"/>
    <w:rsid w:val="00B819D5"/>
    <w:rsid w:val="00BA7B1B"/>
    <w:rsid w:val="00BB2E52"/>
    <w:rsid w:val="00BB5BB3"/>
    <w:rsid w:val="00BF7995"/>
    <w:rsid w:val="00C52B4A"/>
    <w:rsid w:val="00C54079"/>
    <w:rsid w:val="00C71CAD"/>
    <w:rsid w:val="00C727AB"/>
    <w:rsid w:val="00C8621C"/>
    <w:rsid w:val="00D0012D"/>
    <w:rsid w:val="00D456CA"/>
    <w:rsid w:val="00D50BF9"/>
    <w:rsid w:val="00D5202F"/>
    <w:rsid w:val="00D859E9"/>
    <w:rsid w:val="00DE6614"/>
    <w:rsid w:val="00DF1E0D"/>
    <w:rsid w:val="00E02EBC"/>
    <w:rsid w:val="00E2724A"/>
    <w:rsid w:val="00E42A2F"/>
    <w:rsid w:val="00E679B6"/>
    <w:rsid w:val="00E7298B"/>
    <w:rsid w:val="00E83D62"/>
    <w:rsid w:val="00EC5E1A"/>
    <w:rsid w:val="00ED7012"/>
    <w:rsid w:val="00EE127E"/>
    <w:rsid w:val="00EE5239"/>
    <w:rsid w:val="00EE71FF"/>
    <w:rsid w:val="00F03E5B"/>
    <w:rsid w:val="00F166A4"/>
    <w:rsid w:val="00F1719D"/>
    <w:rsid w:val="00F258E9"/>
    <w:rsid w:val="00F31206"/>
    <w:rsid w:val="00FC1069"/>
    <w:rsid w:val="00FE1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63452"/>
  <w15:chartTrackingRefBased/>
  <w15:docId w15:val="{7F245EC1-B203-44CB-82AC-F6A76A88F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0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0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0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0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0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0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0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0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0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0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0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0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0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0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0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0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0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06B"/>
    <w:rPr>
      <w:rFonts w:eastAsiaTheme="majorEastAsia" w:cstheme="majorBidi"/>
      <w:color w:val="272727" w:themeColor="text1" w:themeTint="D8"/>
    </w:rPr>
  </w:style>
  <w:style w:type="paragraph" w:styleId="Title">
    <w:name w:val="Title"/>
    <w:basedOn w:val="Normal"/>
    <w:next w:val="Normal"/>
    <w:link w:val="TitleChar"/>
    <w:uiPriority w:val="10"/>
    <w:qFormat/>
    <w:rsid w:val="003920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0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0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0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06B"/>
    <w:pPr>
      <w:spacing w:before="160"/>
      <w:jc w:val="center"/>
    </w:pPr>
    <w:rPr>
      <w:i/>
      <w:iCs/>
      <w:color w:val="404040" w:themeColor="text1" w:themeTint="BF"/>
    </w:rPr>
  </w:style>
  <w:style w:type="character" w:customStyle="1" w:styleId="QuoteChar">
    <w:name w:val="Quote Char"/>
    <w:basedOn w:val="DefaultParagraphFont"/>
    <w:link w:val="Quote"/>
    <w:uiPriority w:val="29"/>
    <w:rsid w:val="0039206B"/>
    <w:rPr>
      <w:i/>
      <w:iCs/>
      <w:color w:val="404040" w:themeColor="text1" w:themeTint="BF"/>
    </w:rPr>
  </w:style>
  <w:style w:type="paragraph" w:styleId="ListParagraph">
    <w:name w:val="List Paragraph"/>
    <w:basedOn w:val="Normal"/>
    <w:link w:val="ListParagraphChar"/>
    <w:uiPriority w:val="1"/>
    <w:qFormat/>
    <w:rsid w:val="0039206B"/>
    <w:pPr>
      <w:ind w:left="720"/>
      <w:contextualSpacing/>
    </w:pPr>
  </w:style>
  <w:style w:type="character" w:styleId="IntenseEmphasis">
    <w:name w:val="Intense Emphasis"/>
    <w:basedOn w:val="DefaultParagraphFont"/>
    <w:uiPriority w:val="21"/>
    <w:qFormat/>
    <w:rsid w:val="0039206B"/>
    <w:rPr>
      <w:i/>
      <w:iCs/>
      <w:color w:val="0F4761" w:themeColor="accent1" w:themeShade="BF"/>
    </w:rPr>
  </w:style>
  <w:style w:type="paragraph" w:styleId="IntenseQuote">
    <w:name w:val="Intense Quote"/>
    <w:basedOn w:val="Normal"/>
    <w:next w:val="Normal"/>
    <w:link w:val="IntenseQuoteChar"/>
    <w:uiPriority w:val="30"/>
    <w:qFormat/>
    <w:rsid w:val="003920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06B"/>
    <w:rPr>
      <w:i/>
      <w:iCs/>
      <w:color w:val="0F4761" w:themeColor="accent1" w:themeShade="BF"/>
    </w:rPr>
  </w:style>
  <w:style w:type="character" w:styleId="IntenseReference">
    <w:name w:val="Intense Reference"/>
    <w:basedOn w:val="DefaultParagraphFont"/>
    <w:uiPriority w:val="32"/>
    <w:qFormat/>
    <w:rsid w:val="0039206B"/>
    <w:rPr>
      <w:b/>
      <w:bCs/>
      <w:smallCaps/>
      <w:color w:val="0F4761" w:themeColor="accent1" w:themeShade="BF"/>
      <w:spacing w:val="5"/>
    </w:rPr>
  </w:style>
  <w:style w:type="paragraph" w:styleId="BodyText">
    <w:name w:val="Body Text"/>
    <w:basedOn w:val="Normal"/>
    <w:link w:val="BodyTextChar"/>
    <w:uiPriority w:val="1"/>
    <w:qFormat/>
    <w:rsid w:val="0039206B"/>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39206B"/>
    <w:rPr>
      <w:rFonts w:ascii="Arial" w:eastAsia="Arial" w:hAnsi="Arial" w:cs="Arial"/>
      <w:kern w:val="0"/>
      <w14:ligatures w14:val="none"/>
    </w:rPr>
  </w:style>
  <w:style w:type="character" w:styleId="Hyperlink">
    <w:name w:val="Hyperlink"/>
    <w:basedOn w:val="DefaultParagraphFont"/>
    <w:uiPriority w:val="99"/>
    <w:unhideWhenUsed/>
    <w:rsid w:val="00B65780"/>
    <w:rPr>
      <w:color w:val="0000FF"/>
      <w:u w:val="single"/>
    </w:rPr>
  </w:style>
  <w:style w:type="character" w:styleId="Emphasis">
    <w:name w:val="Emphasis"/>
    <w:basedOn w:val="DefaultParagraphFont"/>
    <w:uiPriority w:val="20"/>
    <w:qFormat/>
    <w:rsid w:val="00292829"/>
    <w:rPr>
      <w:i/>
      <w:iCs/>
    </w:rPr>
  </w:style>
  <w:style w:type="character" w:customStyle="1" w:styleId="ListParagraphChar">
    <w:name w:val="List Paragraph Char"/>
    <w:basedOn w:val="DefaultParagraphFont"/>
    <w:link w:val="ListParagraph"/>
    <w:uiPriority w:val="1"/>
    <w:rsid w:val="003C72A9"/>
  </w:style>
  <w:style w:type="character" w:styleId="Strong">
    <w:name w:val="Strong"/>
    <w:basedOn w:val="DefaultParagraphFont"/>
    <w:uiPriority w:val="22"/>
    <w:qFormat/>
    <w:rsid w:val="00AA0AD6"/>
    <w:rPr>
      <w:b/>
      <w:bCs/>
    </w:rPr>
  </w:style>
  <w:style w:type="character" w:styleId="FollowedHyperlink">
    <w:name w:val="FollowedHyperlink"/>
    <w:basedOn w:val="DefaultParagraphFont"/>
    <w:uiPriority w:val="99"/>
    <w:semiHidden/>
    <w:unhideWhenUsed/>
    <w:rsid w:val="00B451FA"/>
    <w:rPr>
      <w:color w:val="96607D" w:themeColor="followedHyperlink"/>
      <w:u w:val="single"/>
    </w:rPr>
  </w:style>
  <w:style w:type="character" w:styleId="UnresolvedMention">
    <w:name w:val="Unresolved Mention"/>
    <w:basedOn w:val="DefaultParagraphFont"/>
    <w:uiPriority w:val="99"/>
    <w:semiHidden/>
    <w:unhideWhenUsed/>
    <w:rsid w:val="004F232D"/>
    <w:rPr>
      <w:color w:val="605E5C"/>
      <w:shd w:val="clear" w:color="auto" w:fill="E1DFDD"/>
    </w:rPr>
  </w:style>
  <w:style w:type="paragraph" w:styleId="NormalWeb">
    <w:name w:val="Normal (Web)"/>
    <w:basedOn w:val="Normal"/>
    <w:uiPriority w:val="99"/>
    <w:unhideWhenUsed/>
    <w:rsid w:val="003E71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Listparag">
    <w:name w:val="List parag"/>
    <w:basedOn w:val="ListParagraph"/>
    <w:link w:val="ListparagChar"/>
    <w:qFormat/>
    <w:rsid w:val="005F64B4"/>
    <w:pPr>
      <w:spacing w:after="120" w:line="264" w:lineRule="auto"/>
      <w:ind w:hanging="360"/>
      <w:contextualSpacing w:val="0"/>
    </w:pPr>
    <w:rPr>
      <w:rFonts w:ascii="Arial" w:eastAsia="Times New Roman" w:hAnsi="Arial" w:cs="Arial"/>
      <w:kern w:val="0"/>
      <w:szCs w:val="24"/>
      <w:lang w:eastAsia="en-GB"/>
      <w14:ligatures w14:val="none"/>
    </w:rPr>
  </w:style>
  <w:style w:type="character" w:customStyle="1" w:styleId="ListparagChar">
    <w:name w:val="List parag Char"/>
    <w:basedOn w:val="DefaultParagraphFont"/>
    <w:link w:val="Listparag"/>
    <w:rsid w:val="005F64B4"/>
    <w:rPr>
      <w:rFonts w:ascii="Arial" w:eastAsia="Times New Roman" w:hAnsi="Arial" w:cs="Arial"/>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454035">
      <w:bodyDiv w:val="1"/>
      <w:marLeft w:val="0"/>
      <w:marRight w:val="0"/>
      <w:marTop w:val="0"/>
      <w:marBottom w:val="0"/>
      <w:divBdr>
        <w:top w:val="none" w:sz="0" w:space="0" w:color="auto"/>
        <w:left w:val="none" w:sz="0" w:space="0" w:color="auto"/>
        <w:bottom w:val="none" w:sz="0" w:space="0" w:color="auto"/>
        <w:right w:val="none" w:sz="0" w:space="0" w:color="auto"/>
      </w:divBdr>
      <w:divsChild>
        <w:div w:id="1722092114">
          <w:marLeft w:val="0"/>
          <w:marRight w:val="0"/>
          <w:marTop w:val="0"/>
          <w:marBottom w:val="0"/>
          <w:divBdr>
            <w:top w:val="none" w:sz="0" w:space="0" w:color="auto"/>
            <w:left w:val="none" w:sz="0" w:space="0" w:color="auto"/>
            <w:bottom w:val="none" w:sz="0" w:space="0" w:color="auto"/>
            <w:right w:val="none" w:sz="0" w:space="0" w:color="auto"/>
          </w:divBdr>
          <w:divsChild>
            <w:div w:id="1052659256">
              <w:marLeft w:val="0"/>
              <w:marRight w:val="0"/>
              <w:marTop w:val="0"/>
              <w:marBottom w:val="0"/>
              <w:divBdr>
                <w:top w:val="none" w:sz="0" w:space="0" w:color="auto"/>
                <w:left w:val="none" w:sz="0" w:space="0" w:color="auto"/>
                <w:bottom w:val="none" w:sz="0" w:space="0" w:color="auto"/>
                <w:right w:val="none" w:sz="0" w:space="0" w:color="auto"/>
              </w:divBdr>
              <w:divsChild>
                <w:div w:id="1441607014">
                  <w:marLeft w:val="0"/>
                  <w:marRight w:val="0"/>
                  <w:marTop w:val="0"/>
                  <w:marBottom w:val="0"/>
                  <w:divBdr>
                    <w:top w:val="none" w:sz="0" w:space="0" w:color="auto"/>
                    <w:left w:val="none" w:sz="0" w:space="0" w:color="auto"/>
                    <w:bottom w:val="none" w:sz="0" w:space="0" w:color="auto"/>
                    <w:right w:val="none" w:sz="0" w:space="0" w:color="auto"/>
                  </w:divBdr>
                  <w:divsChild>
                    <w:div w:id="1004943079">
                      <w:marLeft w:val="0"/>
                      <w:marRight w:val="0"/>
                      <w:marTop w:val="0"/>
                      <w:marBottom w:val="0"/>
                      <w:divBdr>
                        <w:top w:val="none" w:sz="0" w:space="0" w:color="auto"/>
                        <w:left w:val="none" w:sz="0" w:space="0" w:color="auto"/>
                        <w:bottom w:val="none" w:sz="0" w:space="0" w:color="auto"/>
                        <w:right w:val="none" w:sz="0" w:space="0" w:color="auto"/>
                      </w:divBdr>
                      <w:divsChild>
                        <w:div w:id="278604848">
                          <w:marLeft w:val="0"/>
                          <w:marRight w:val="0"/>
                          <w:marTop w:val="0"/>
                          <w:marBottom w:val="0"/>
                          <w:divBdr>
                            <w:top w:val="none" w:sz="0" w:space="0" w:color="auto"/>
                            <w:left w:val="none" w:sz="0" w:space="0" w:color="auto"/>
                            <w:bottom w:val="none" w:sz="0" w:space="0" w:color="auto"/>
                            <w:right w:val="none" w:sz="0" w:space="0" w:color="auto"/>
                          </w:divBdr>
                          <w:divsChild>
                            <w:div w:id="129841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358956">
      <w:bodyDiv w:val="1"/>
      <w:marLeft w:val="0"/>
      <w:marRight w:val="0"/>
      <w:marTop w:val="0"/>
      <w:marBottom w:val="0"/>
      <w:divBdr>
        <w:top w:val="none" w:sz="0" w:space="0" w:color="auto"/>
        <w:left w:val="none" w:sz="0" w:space="0" w:color="auto"/>
        <w:bottom w:val="none" w:sz="0" w:space="0" w:color="auto"/>
        <w:right w:val="none" w:sz="0" w:space="0" w:color="auto"/>
      </w:divBdr>
      <w:divsChild>
        <w:div w:id="1208177187">
          <w:marLeft w:val="0"/>
          <w:marRight w:val="0"/>
          <w:marTop w:val="0"/>
          <w:marBottom w:val="0"/>
          <w:divBdr>
            <w:top w:val="none" w:sz="0" w:space="0" w:color="auto"/>
            <w:left w:val="none" w:sz="0" w:space="0" w:color="auto"/>
            <w:bottom w:val="none" w:sz="0" w:space="0" w:color="auto"/>
            <w:right w:val="none" w:sz="0" w:space="0" w:color="auto"/>
          </w:divBdr>
          <w:divsChild>
            <w:div w:id="1126122756">
              <w:marLeft w:val="0"/>
              <w:marRight w:val="0"/>
              <w:marTop w:val="0"/>
              <w:marBottom w:val="0"/>
              <w:divBdr>
                <w:top w:val="none" w:sz="0" w:space="0" w:color="auto"/>
                <w:left w:val="none" w:sz="0" w:space="0" w:color="auto"/>
                <w:bottom w:val="none" w:sz="0" w:space="0" w:color="auto"/>
                <w:right w:val="none" w:sz="0" w:space="0" w:color="auto"/>
              </w:divBdr>
              <w:divsChild>
                <w:div w:id="1621641853">
                  <w:marLeft w:val="0"/>
                  <w:marRight w:val="0"/>
                  <w:marTop w:val="0"/>
                  <w:marBottom w:val="0"/>
                  <w:divBdr>
                    <w:top w:val="none" w:sz="0" w:space="0" w:color="auto"/>
                    <w:left w:val="none" w:sz="0" w:space="0" w:color="auto"/>
                    <w:bottom w:val="none" w:sz="0" w:space="0" w:color="auto"/>
                    <w:right w:val="none" w:sz="0" w:space="0" w:color="auto"/>
                  </w:divBdr>
                  <w:divsChild>
                    <w:div w:id="1942251019">
                      <w:marLeft w:val="0"/>
                      <w:marRight w:val="0"/>
                      <w:marTop w:val="0"/>
                      <w:marBottom w:val="0"/>
                      <w:divBdr>
                        <w:top w:val="none" w:sz="0" w:space="0" w:color="auto"/>
                        <w:left w:val="none" w:sz="0" w:space="0" w:color="auto"/>
                        <w:bottom w:val="none" w:sz="0" w:space="0" w:color="auto"/>
                        <w:right w:val="none" w:sz="0" w:space="0" w:color="auto"/>
                      </w:divBdr>
                      <w:divsChild>
                        <w:div w:id="488981515">
                          <w:marLeft w:val="0"/>
                          <w:marRight w:val="0"/>
                          <w:marTop w:val="0"/>
                          <w:marBottom w:val="0"/>
                          <w:divBdr>
                            <w:top w:val="none" w:sz="0" w:space="0" w:color="auto"/>
                            <w:left w:val="none" w:sz="0" w:space="0" w:color="auto"/>
                            <w:bottom w:val="none" w:sz="0" w:space="0" w:color="auto"/>
                            <w:right w:val="none" w:sz="0" w:space="0" w:color="auto"/>
                          </w:divBdr>
                          <w:divsChild>
                            <w:div w:id="128280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4550047">
      <w:bodyDiv w:val="1"/>
      <w:marLeft w:val="0"/>
      <w:marRight w:val="0"/>
      <w:marTop w:val="0"/>
      <w:marBottom w:val="0"/>
      <w:divBdr>
        <w:top w:val="none" w:sz="0" w:space="0" w:color="auto"/>
        <w:left w:val="none" w:sz="0" w:space="0" w:color="auto"/>
        <w:bottom w:val="none" w:sz="0" w:space="0" w:color="auto"/>
        <w:right w:val="none" w:sz="0" w:space="0" w:color="auto"/>
      </w:divBdr>
      <w:divsChild>
        <w:div w:id="601230418">
          <w:marLeft w:val="0"/>
          <w:marRight w:val="0"/>
          <w:marTop w:val="0"/>
          <w:marBottom w:val="0"/>
          <w:divBdr>
            <w:top w:val="none" w:sz="0" w:space="0" w:color="auto"/>
            <w:left w:val="none" w:sz="0" w:space="0" w:color="auto"/>
            <w:bottom w:val="none" w:sz="0" w:space="0" w:color="auto"/>
            <w:right w:val="none" w:sz="0" w:space="0" w:color="auto"/>
          </w:divBdr>
          <w:divsChild>
            <w:div w:id="963120070">
              <w:marLeft w:val="0"/>
              <w:marRight w:val="0"/>
              <w:marTop w:val="0"/>
              <w:marBottom w:val="0"/>
              <w:divBdr>
                <w:top w:val="none" w:sz="0" w:space="0" w:color="auto"/>
                <w:left w:val="none" w:sz="0" w:space="0" w:color="auto"/>
                <w:bottom w:val="none" w:sz="0" w:space="0" w:color="auto"/>
                <w:right w:val="none" w:sz="0" w:space="0" w:color="auto"/>
              </w:divBdr>
              <w:divsChild>
                <w:div w:id="59988296">
                  <w:marLeft w:val="0"/>
                  <w:marRight w:val="0"/>
                  <w:marTop w:val="0"/>
                  <w:marBottom w:val="0"/>
                  <w:divBdr>
                    <w:top w:val="none" w:sz="0" w:space="0" w:color="auto"/>
                    <w:left w:val="none" w:sz="0" w:space="0" w:color="auto"/>
                    <w:bottom w:val="none" w:sz="0" w:space="0" w:color="auto"/>
                    <w:right w:val="none" w:sz="0" w:space="0" w:color="auto"/>
                  </w:divBdr>
                  <w:divsChild>
                    <w:div w:id="1499885362">
                      <w:marLeft w:val="0"/>
                      <w:marRight w:val="0"/>
                      <w:marTop w:val="0"/>
                      <w:marBottom w:val="0"/>
                      <w:divBdr>
                        <w:top w:val="none" w:sz="0" w:space="0" w:color="auto"/>
                        <w:left w:val="none" w:sz="0" w:space="0" w:color="auto"/>
                        <w:bottom w:val="none" w:sz="0" w:space="0" w:color="auto"/>
                        <w:right w:val="none" w:sz="0" w:space="0" w:color="auto"/>
                      </w:divBdr>
                      <w:divsChild>
                        <w:div w:id="1220625939">
                          <w:marLeft w:val="0"/>
                          <w:marRight w:val="0"/>
                          <w:marTop w:val="0"/>
                          <w:marBottom w:val="0"/>
                          <w:divBdr>
                            <w:top w:val="none" w:sz="0" w:space="0" w:color="auto"/>
                            <w:left w:val="none" w:sz="0" w:space="0" w:color="auto"/>
                            <w:bottom w:val="none" w:sz="0" w:space="0" w:color="auto"/>
                            <w:right w:val="none" w:sz="0" w:space="0" w:color="auto"/>
                          </w:divBdr>
                          <w:divsChild>
                            <w:div w:id="118902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702961">
      <w:bodyDiv w:val="1"/>
      <w:marLeft w:val="0"/>
      <w:marRight w:val="0"/>
      <w:marTop w:val="0"/>
      <w:marBottom w:val="0"/>
      <w:divBdr>
        <w:top w:val="none" w:sz="0" w:space="0" w:color="auto"/>
        <w:left w:val="none" w:sz="0" w:space="0" w:color="auto"/>
        <w:bottom w:val="none" w:sz="0" w:space="0" w:color="auto"/>
        <w:right w:val="none" w:sz="0" w:space="0" w:color="auto"/>
      </w:divBdr>
      <w:divsChild>
        <w:div w:id="1313557751">
          <w:marLeft w:val="0"/>
          <w:marRight w:val="0"/>
          <w:marTop w:val="0"/>
          <w:marBottom w:val="0"/>
          <w:divBdr>
            <w:top w:val="none" w:sz="0" w:space="0" w:color="auto"/>
            <w:left w:val="none" w:sz="0" w:space="0" w:color="auto"/>
            <w:bottom w:val="none" w:sz="0" w:space="0" w:color="auto"/>
            <w:right w:val="none" w:sz="0" w:space="0" w:color="auto"/>
          </w:divBdr>
          <w:divsChild>
            <w:div w:id="1950232785">
              <w:marLeft w:val="0"/>
              <w:marRight w:val="0"/>
              <w:marTop w:val="0"/>
              <w:marBottom w:val="0"/>
              <w:divBdr>
                <w:top w:val="none" w:sz="0" w:space="0" w:color="auto"/>
                <w:left w:val="none" w:sz="0" w:space="0" w:color="auto"/>
                <w:bottom w:val="none" w:sz="0" w:space="0" w:color="auto"/>
                <w:right w:val="none" w:sz="0" w:space="0" w:color="auto"/>
              </w:divBdr>
              <w:divsChild>
                <w:div w:id="755514462">
                  <w:marLeft w:val="0"/>
                  <w:marRight w:val="0"/>
                  <w:marTop w:val="0"/>
                  <w:marBottom w:val="0"/>
                  <w:divBdr>
                    <w:top w:val="none" w:sz="0" w:space="0" w:color="auto"/>
                    <w:left w:val="none" w:sz="0" w:space="0" w:color="auto"/>
                    <w:bottom w:val="none" w:sz="0" w:space="0" w:color="auto"/>
                    <w:right w:val="none" w:sz="0" w:space="0" w:color="auto"/>
                  </w:divBdr>
                  <w:divsChild>
                    <w:div w:id="27799173">
                      <w:marLeft w:val="0"/>
                      <w:marRight w:val="0"/>
                      <w:marTop w:val="0"/>
                      <w:marBottom w:val="0"/>
                      <w:divBdr>
                        <w:top w:val="none" w:sz="0" w:space="0" w:color="auto"/>
                        <w:left w:val="none" w:sz="0" w:space="0" w:color="auto"/>
                        <w:bottom w:val="none" w:sz="0" w:space="0" w:color="auto"/>
                        <w:right w:val="none" w:sz="0" w:space="0" w:color="auto"/>
                      </w:divBdr>
                      <w:divsChild>
                        <w:div w:id="1942491788">
                          <w:marLeft w:val="0"/>
                          <w:marRight w:val="0"/>
                          <w:marTop w:val="0"/>
                          <w:marBottom w:val="0"/>
                          <w:divBdr>
                            <w:top w:val="none" w:sz="0" w:space="0" w:color="auto"/>
                            <w:left w:val="none" w:sz="0" w:space="0" w:color="auto"/>
                            <w:bottom w:val="none" w:sz="0" w:space="0" w:color="auto"/>
                            <w:right w:val="none" w:sz="0" w:space="0" w:color="auto"/>
                          </w:divBdr>
                          <w:divsChild>
                            <w:div w:id="10315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9752272">
      <w:bodyDiv w:val="1"/>
      <w:marLeft w:val="0"/>
      <w:marRight w:val="0"/>
      <w:marTop w:val="0"/>
      <w:marBottom w:val="0"/>
      <w:divBdr>
        <w:top w:val="none" w:sz="0" w:space="0" w:color="auto"/>
        <w:left w:val="none" w:sz="0" w:space="0" w:color="auto"/>
        <w:bottom w:val="none" w:sz="0" w:space="0" w:color="auto"/>
        <w:right w:val="none" w:sz="0" w:space="0" w:color="auto"/>
      </w:divBdr>
      <w:divsChild>
        <w:div w:id="517499806">
          <w:marLeft w:val="0"/>
          <w:marRight w:val="0"/>
          <w:marTop w:val="0"/>
          <w:marBottom w:val="0"/>
          <w:divBdr>
            <w:top w:val="none" w:sz="0" w:space="0" w:color="auto"/>
            <w:left w:val="none" w:sz="0" w:space="0" w:color="auto"/>
            <w:bottom w:val="none" w:sz="0" w:space="0" w:color="auto"/>
            <w:right w:val="none" w:sz="0" w:space="0" w:color="auto"/>
          </w:divBdr>
          <w:divsChild>
            <w:div w:id="1705396954">
              <w:marLeft w:val="0"/>
              <w:marRight w:val="0"/>
              <w:marTop w:val="0"/>
              <w:marBottom w:val="0"/>
              <w:divBdr>
                <w:top w:val="none" w:sz="0" w:space="0" w:color="auto"/>
                <w:left w:val="none" w:sz="0" w:space="0" w:color="auto"/>
                <w:bottom w:val="none" w:sz="0" w:space="0" w:color="auto"/>
                <w:right w:val="none" w:sz="0" w:space="0" w:color="auto"/>
              </w:divBdr>
              <w:divsChild>
                <w:div w:id="27414529">
                  <w:marLeft w:val="0"/>
                  <w:marRight w:val="0"/>
                  <w:marTop w:val="0"/>
                  <w:marBottom w:val="0"/>
                  <w:divBdr>
                    <w:top w:val="none" w:sz="0" w:space="0" w:color="auto"/>
                    <w:left w:val="none" w:sz="0" w:space="0" w:color="auto"/>
                    <w:bottom w:val="none" w:sz="0" w:space="0" w:color="auto"/>
                    <w:right w:val="none" w:sz="0" w:space="0" w:color="auto"/>
                  </w:divBdr>
                  <w:divsChild>
                    <w:div w:id="1561593633">
                      <w:marLeft w:val="0"/>
                      <w:marRight w:val="0"/>
                      <w:marTop w:val="0"/>
                      <w:marBottom w:val="0"/>
                      <w:divBdr>
                        <w:top w:val="none" w:sz="0" w:space="0" w:color="auto"/>
                        <w:left w:val="none" w:sz="0" w:space="0" w:color="auto"/>
                        <w:bottom w:val="none" w:sz="0" w:space="0" w:color="auto"/>
                        <w:right w:val="none" w:sz="0" w:space="0" w:color="auto"/>
                      </w:divBdr>
                      <w:divsChild>
                        <w:div w:id="175578647">
                          <w:marLeft w:val="0"/>
                          <w:marRight w:val="0"/>
                          <w:marTop w:val="0"/>
                          <w:marBottom w:val="0"/>
                          <w:divBdr>
                            <w:top w:val="none" w:sz="0" w:space="0" w:color="auto"/>
                            <w:left w:val="none" w:sz="0" w:space="0" w:color="auto"/>
                            <w:bottom w:val="none" w:sz="0" w:space="0" w:color="auto"/>
                            <w:right w:val="none" w:sz="0" w:space="0" w:color="auto"/>
                          </w:divBdr>
                          <w:divsChild>
                            <w:div w:id="138991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7872110">
      <w:bodyDiv w:val="1"/>
      <w:marLeft w:val="0"/>
      <w:marRight w:val="0"/>
      <w:marTop w:val="0"/>
      <w:marBottom w:val="0"/>
      <w:divBdr>
        <w:top w:val="none" w:sz="0" w:space="0" w:color="auto"/>
        <w:left w:val="none" w:sz="0" w:space="0" w:color="auto"/>
        <w:bottom w:val="none" w:sz="0" w:space="0" w:color="auto"/>
        <w:right w:val="none" w:sz="0" w:space="0" w:color="auto"/>
      </w:divBdr>
      <w:divsChild>
        <w:div w:id="929584654">
          <w:marLeft w:val="0"/>
          <w:marRight w:val="0"/>
          <w:marTop w:val="0"/>
          <w:marBottom w:val="0"/>
          <w:divBdr>
            <w:top w:val="none" w:sz="0" w:space="0" w:color="auto"/>
            <w:left w:val="none" w:sz="0" w:space="0" w:color="auto"/>
            <w:bottom w:val="none" w:sz="0" w:space="0" w:color="auto"/>
            <w:right w:val="none" w:sz="0" w:space="0" w:color="auto"/>
          </w:divBdr>
          <w:divsChild>
            <w:div w:id="428696421">
              <w:marLeft w:val="0"/>
              <w:marRight w:val="0"/>
              <w:marTop w:val="0"/>
              <w:marBottom w:val="0"/>
              <w:divBdr>
                <w:top w:val="none" w:sz="0" w:space="0" w:color="auto"/>
                <w:left w:val="none" w:sz="0" w:space="0" w:color="auto"/>
                <w:bottom w:val="none" w:sz="0" w:space="0" w:color="auto"/>
                <w:right w:val="none" w:sz="0" w:space="0" w:color="auto"/>
              </w:divBdr>
              <w:divsChild>
                <w:div w:id="752975208">
                  <w:marLeft w:val="0"/>
                  <w:marRight w:val="0"/>
                  <w:marTop w:val="0"/>
                  <w:marBottom w:val="0"/>
                  <w:divBdr>
                    <w:top w:val="none" w:sz="0" w:space="0" w:color="auto"/>
                    <w:left w:val="none" w:sz="0" w:space="0" w:color="auto"/>
                    <w:bottom w:val="none" w:sz="0" w:space="0" w:color="auto"/>
                    <w:right w:val="none" w:sz="0" w:space="0" w:color="auto"/>
                  </w:divBdr>
                  <w:divsChild>
                    <w:div w:id="705954834">
                      <w:marLeft w:val="0"/>
                      <w:marRight w:val="0"/>
                      <w:marTop w:val="0"/>
                      <w:marBottom w:val="0"/>
                      <w:divBdr>
                        <w:top w:val="none" w:sz="0" w:space="0" w:color="auto"/>
                        <w:left w:val="none" w:sz="0" w:space="0" w:color="auto"/>
                        <w:bottom w:val="none" w:sz="0" w:space="0" w:color="auto"/>
                        <w:right w:val="none" w:sz="0" w:space="0" w:color="auto"/>
                      </w:divBdr>
                      <w:divsChild>
                        <w:div w:id="1931617063">
                          <w:marLeft w:val="0"/>
                          <w:marRight w:val="0"/>
                          <w:marTop w:val="0"/>
                          <w:marBottom w:val="0"/>
                          <w:divBdr>
                            <w:top w:val="none" w:sz="0" w:space="0" w:color="auto"/>
                            <w:left w:val="none" w:sz="0" w:space="0" w:color="auto"/>
                            <w:bottom w:val="none" w:sz="0" w:space="0" w:color="auto"/>
                            <w:right w:val="none" w:sz="0" w:space="0" w:color="auto"/>
                          </w:divBdr>
                          <w:divsChild>
                            <w:div w:id="174964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papers.ssrn.com/sol3/papers.cfm?abstract_id=3842550" TargetMode="External"/><Relationship Id="rId18" Type="http://schemas.openxmlformats.org/officeDocument/2006/relationships/hyperlink" Target="https://doi.org/10.1002/ntlf.3011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ipd.org/globalassets/media/comms/the-people-profession/profession-map-pdfs/ethical-decision-making-2015-eight-perspectives-on-workplace-dilemmas_tcm29-9564.pdf"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cipd.co.uk/podcasts/critical-thinkin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ezproxy.uwtsd.ac.uk/content/pdf/10.1023/A%3A1014090411946.pdf" TargetMode="External"/><Relationship Id="rId20" Type="http://schemas.openxmlformats.org/officeDocument/2006/relationships/hyperlink" Target="https://www.cipd.org/globalassets/media/knowledge/knowledge-hub/reports/creating-and-capturing-value-at-work_2018-who-benefits-part-2_tcm18-37078.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oi.org/10.1002/ntlf.30110" TargetMode="External"/><Relationship Id="rId5" Type="http://schemas.openxmlformats.org/officeDocument/2006/relationships/image" Target="media/image1.png"/><Relationship Id="rId15" Type="http://schemas.openxmlformats.org/officeDocument/2006/relationships/hyperlink" Target="https://doi-org.ezproxy.uwtsd.ac.uk/10.1023/A:1014090411946" TargetMode="External"/><Relationship Id="rId23" Type="http://schemas.openxmlformats.org/officeDocument/2006/relationships/hyperlink" Target="https://link-springer-com.ezproxy.uwtsd.ac.uk/content/pdf/10.1023/A%3A1014090411946.pdf" TargetMode="External"/><Relationship Id="rId10" Type="http://schemas.openxmlformats.org/officeDocument/2006/relationships/image" Target="media/image6.png"/><Relationship Id="rId19" Type="http://schemas.openxmlformats.org/officeDocument/2006/relationships/hyperlink" Target="https://papers.ssrn.com/sol3/papers.cfm?abstract_id=384255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ipd.org/globalassets/media/comms/the-people-profession/profession-map-pdfs/ethical-decision-making-2015-eight-perspectives-on-workplace-dilemmas_tcm29-9564.pdf" TargetMode="External"/><Relationship Id="rId22" Type="http://schemas.openxmlformats.org/officeDocument/2006/relationships/hyperlink" Target="https://doi-org.ezproxy.uwtsd.ac.uk/10.1023/A:10140904119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6159</Words>
  <Characters>35107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2</cp:revision>
  <dcterms:created xsi:type="dcterms:W3CDTF">2024-06-16T21:30:00Z</dcterms:created>
  <dcterms:modified xsi:type="dcterms:W3CDTF">2024-06-16T21:30:00Z</dcterms:modified>
</cp:coreProperties>
</file>