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15003" w14:textId="23E62EB5" w:rsidR="00E13E90" w:rsidRDefault="00EC5973" w:rsidP="00EC5973">
      <w:pPr>
        <w:jc w:val="center"/>
        <w:rPr>
          <w:rFonts w:ascii="Arial" w:hAnsi="Arial" w:cs="Arial"/>
          <w:b/>
          <w:bCs/>
          <w:u w:val="single"/>
        </w:rPr>
      </w:pPr>
      <w:r>
        <w:rPr>
          <w:rFonts w:ascii="Arial" w:hAnsi="Arial" w:cs="Arial"/>
          <w:b/>
          <w:bCs/>
          <w:u w:val="single"/>
        </w:rPr>
        <w:t>Verity Wilson: 2023985</w:t>
      </w:r>
    </w:p>
    <w:p w14:paraId="509A8F60" w14:textId="547B2380" w:rsidR="00EC5973" w:rsidRDefault="00EC5973" w:rsidP="00EC5973">
      <w:pPr>
        <w:jc w:val="center"/>
        <w:rPr>
          <w:rFonts w:ascii="Arial" w:hAnsi="Arial" w:cs="Arial"/>
          <w:b/>
          <w:bCs/>
          <w:u w:val="single"/>
        </w:rPr>
      </w:pPr>
    </w:p>
    <w:p w14:paraId="6B0FC2F4" w14:textId="77777777" w:rsidR="00EC5973" w:rsidRPr="00693B87" w:rsidRDefault="00EC5973" w:rsidP="00EC5973">
      <w:pPr>
        <w:ind w:right="531"/>
        <w:jc w:val="both"/>
        <w:rPr>
          <w:rFonts w:ascii="Arial" w:eastAsia="Calibri" w:hAnsi="Arial" w:cs="Arial"/>
          <w:b/>
          <w:bCs/>
        </w:rPr>
      </w:pPr>
      <w:r w:rsidRPr="00693B87">
        <w:rPr>
          <w:rFonts w:ascii="Arial" w:eastAsia="Calibri" w:hAnsi="Arial" w:cs="Arial"/>
          <w:b/>
          <w:bCs/>
        </w:rPr>
        <w:t>Essay one:</w:t>
      </w:r>
    </w:p>
    <w:p w14:paraId="56B6EBAC" w14:textId="560F67BE" w:rsidR="00EC5973" w:rsidRDefault="00EC5973" w:rsidP="00EC5973">
      <w:pPr>
        <w:spacing w:line="257" w:lineRule="auto"/>
        <w:ind w:right="531"/>
        <w:jc w:val="both"/>
        <w:rPr>
          <w:rFonts w:ascii="Arial" w:eastAsia="Calibri" w:hAnsi="Arial" w:cs="Arial"/>
        </w:rPr>
      </w:pPr>
      <w:r w:rsidRPr="00584BDE">
        <w:rPr>
          <w:rFonts w:ascii="Arial" w:eastAsia="Calibri" w:hAnsi="Arial" w:cs="Arial"/>
          <w:u w:val="single"/>
        </w:rPr>
        <w:t>Critically evaluate</w:t>
      </w:r>
      <w:r w:rsidRPr="00693B87">
        <w:rPr>
          <w:rFonts w:ascii="Arial" w:eastAsia="Calibri" w:hAnsi="Arial" w:cs="Arial"/>
        </w:rPr>
        <w:t xml:space="preserve"> the concept of ‘the professionalisation of the police service</w:t>
      </w:r>
      <w:r w:rsidRPr="00693B87">
        <w:rPr>
          <w:rFonts w:ascii="Arial" w:eastAsia="Calibri" w:hAnsi="Arial" w:cs="Arial"/>
        </w:rPr>
        <w:t>’ and</w:t>
      </w:r>
      <w:r w:rsidRPr="00693B87">
        <w:rPr>
          <w:rFonts w:ascii="Arial" w:eastAsia="Calibri" w:hAnsi="Arial" w:cs="Arial"/>
        </w:rPr>
        <w:t xml:space="preserve"> </w:t>
      </w:r>
      <w:r w:rsidRPr="00584BDE">
        <w:rPr>
          <w:rFonts w:ascii="Arial" w:eastAsia="Calibri" w:hAnsi="Arial" w:cs="Arial"/>
          <w:u w:val="single"/>
        </w:rPr>
        <w:t>consider</w:t>
      </w:r>
      <w:r w:rsidRPr="0041542A">
        <w:rPr>
          <w:rFonts w:ascii="Arial" w:eastAsia="Calibri" w:hAnsi="Arial" w:cs="Arial"/>
        </w:rPr>
        <w:t xml:space="preserve"> the extent to which</w:t>
      </w:r>
      <w:r w:rsidRPr="00693B87">
        <w:rPr>
          <w:rFonts w:ascii="Arial" w:eastAsia="Calibri" w:hAnsi="Arial" w:cs="Arial"/>
        </w:rPr>
        <w:t xml:space="preserve"> ‘maintaining professional standards’, ‘ethical and inclusive’ and ‘coaching and mentoring’ approaches contribute to professionalisation.</w:t>
      </w:r>
    </w:p>
    <w:p w14:paraId="7B1F4818" w14:textId="77777777" w:rsidR="00EC5973" w:rsidRDefault="00EC5973" w:rsidP="00EC5973">
      <w:pPr>
        <w:jc w:val="both"/>
        <w:rPr>
          <w:rFonts w:ascii="Arial" w:hAnsi="Arial" w:cs="Arial"/>
        </w:rPr>
      </w:pPr>
      <w:r w:rsidRPr="00E438D3">
        <w:rPr>
          <w:rFonts w:ascii="Arial" w:hAnsi="Arial" w:cs="Arial"/>
        </w:rPr>
        <w:t>The professionalism of services such as the Police, is something that has always been under the scrutiny of the public. Professionalism is defined by the Cambridge Dictionary as ‘the combination of all the qualities that are connected with trained and skilled people’ (Cambridge Dictionary).</w:t>
      </w:r>
    </w:p>
    <w:p w14:paraId="4D727A3B" w14:textId="088F438E" w:rsidR="00EC5973" w:rsidRDefault="00EC5973" w:rsidP="00EC5973">
      <w:pPr>
        <w:jc w:val="both"/>
        <w:rPr>
          <w:rFonts w:ascii="Arial" w:hAnsi="Arial" w:cs="Arial"/>
        </w:rPr>
      </w:pPr>
      <w:r w:rsidRPr="00E438D3">
        <w:rPr>
          <w:rFonts w:ascii="Arial" w:hAnsi="Arial" w:cs="Arial"/>
        </w:rPr>
        <w:t xml:space="preserve">The standards of professionalism within Policing have been compiled by the College of Policing. Within these standards, there exists the Code of Ethics. The Code of Ethics is a model that each member of the Police must follow to maintain professional standardised behaviour. These standards are not just expectations reflected by the College of Policing, but of the public (College of Policing, 2014). There are 10 standardised sets of behaviour that must be followed to uphold the professionalism of the force. Failure to do this often has serious implications and impacts the professionalism of the police service. </w:t>
      </w:r>
    </w:p>
    <w:p w14:paraId="455C42C1" w14:textId="3BC7FBEE" w:rsidR="00EC5973" w:rsidRDefault="00EC5973" w:rsidP="00EC5973">
      <w:pPr>
        <w:jc w:val="both"/>
        <w:rPr>
          <w:rFonts w:ascii="Arial" w:hAnsi="Arial" w:cs="Arial"/>
        </w:rPr>
      </w:pPr>
      <w:r w:rsidRPr="00E438D3">
        <w:rPr>
          <w:rFonts w:ascii="Arial" w:hAnsi="Arial" w:cs="Arial"/>
        </w:rPr>
        <w:t>Despite these standards of professional behaviour being followed by the majority of Police Officers in their forces, there are a few who abuse their positions for a sexual purpose.</w:t>
      </w:r>
      <w:r>
        <w:rPr>
          <w:rFonts w:ascii="Arial" w:hAnsi="Arial" w:cs="Arial"/>
        </w:rPr>
        <w:t xml:space="preserve"> </w:t>
      </w:r>
      <w:r w:rsidRPr="00E438D3">
        <w:rPr>
          <w:rFonts w:ascii="Arial" w:hAnsi="Arial" w:cs="Arial"/>
        </w:rPr>
        <w:t xml:space="preserve">Sexual misconduct has been defined as behaviour of a police officer, whereby they take advantage of their position and misuse their authority and power to commit a sexually violent act or respond to a sexually motivated cue for the purpose of personal gratification (Sweeting and Cole, 2022). According to the Independent Office for Police Conduct (IOPC), abuse of position for a sexual purpose is currently the largest form of corruption that is being investigated (IOPC, 2022). Research conducted by Sweeting et al. (2020) focused on officers abusing their position for a sexual purpose. The research and results were comprised from secondary data that was readily available on the public websites of Police forces in England and Wales. The data was derived from November 2018 and April 2019. Varied categories of sexual misconduct were discovered, however, the main category identified was that of officers engaging in sexual relationships with victims of crime they have encountered who are vulnerable (Sweeting et al. 2020). There are weaknesses to such a study focused on readily available data. This research and the results are reductionist, it provides a generalisation to all forces that sexual relationships with victims of crime is the main sexual misconduct across English and Welsh forces. Additionally, not all the statistics and details of misconduct hearings are published by forces, which consequently means that these conclusions were based on limited data. However, this is not to articulate that the research is not of solid academic standing. </w:t>
      </w:r>
    </w:p>
    <w:p w14:paraId="2649D15C" w14:textId="656095B6" w:rsidR="00EC5973" w:rsidRDefault="00EC5973" w:rsidP="00EC5973">
      <w:pPr>
        <w:jc w:val="both"/>
        <w:rPr>
          <w:rFonts w:ascii="Arial" w:hAnsi="Arial" w:cs="Arial"/>
        </w:rPr>
      </w:pPr>
      <w:r w:rsidRPr="00E438D3">
        <w:rPr>
          <w:rFonts w:ascii="Arial" w:hAnsi="Arial" w:cs="Arial"/>
        </w:rPr>
        <w:t xml:space="preserve">Within the last decade, the media has focused on cases where officers have abused their position for a sexual purpose. For example, in December 2021, the BBC released an article online concerning a former Avon and Somerset police officer exploiting a vulnerable female and engaging in a sexual relationship with her (BBC, 2021). Media releases such as this, </w:t>
      </w:r>
      <w:r>
        <w:rPr>
          <w:rFonts w:ascii="Arial" w:hAnsi="Arial" w:cs="Arial"/>
        </w:rPr>
        <w:t>can be deemed as a potential</w:t>
      </w:r>
      <w:r w:rsidRPr="00E438D3">
        <w:rPr>
          <w:rFonts w:ascii="Arial" w:hAnsi="Arial" w:cs="Arial"/>
        </w:rPr>
        <w:t xml:space="preserve"> impact the perceptions that the public hold of the Police and lead to questioning of the Police and their professionalisation. It is evident that those who abuse their position for a sexual purpose breach more than one of the 10 standardised sets of behaviour set out by the College of Policing. Due to these continuous breaches of the standards of professional behaviour, a report was conducted in 2019 by Her Majesty’s Inspectorate of Constabulary and Fire &amp; Rescue Services (HMICFRS) to provide recommendations across all forces on how to deal with such misconduct. The report identified how sexual misconduct </w:t>
      </w:r>
      <w:r w:rsidRPr="00E438D3">
        <w:rPr>
          <w:rFonts w:ascii="Arial" w:hAnsi="Arial" w:cs="Arial"/>
        </w:rPr>
        <w:lastRenderedPageBreak/>
        <w:t>betrays the trust that communities and individuals place in the police, which consequently impacts the professionalism of the service (HMICFRS, 2019).</w:t>
      </w:r>
    </w:p>
    <w:p w14:paraId="775C35E0" w14:textId="397DB306" w:rsidR="00EC5973" w:rsidRPr="00E438D3" w:rsidRDefault="00EC5973" w:rsidP="00EC5973">
      <w:pPr>
        <w:jc w:val="both"/>
        <w:rPr>
          <w:rFonts w:ascii="Arial" w:hAnsi="Arial" w:cs="Arial"/>
        </w:rPr>
      </w:pPr>
      <w:r w:rsidRPr="00E438D3">
        <w:rPr>
          <w:rFonts w:ascii="Arial" w:hAnsi="Arial" w:cs="Arial"/>
        </w:rPr>
        <w:t xml:space="preserve">One of the ways in which professionalisation is contributed towards is by coaching and mentoring approaches, specifically of newly recruited officers. Coaching and mentoring has transformed over the last few years. According to Connor &amp; Pakora (2012), coaching is now being embedded internally in organizations whereby managers are expected to encourage learning and development. One of the ways in which new officers are coached and mentored is through their education. This process is during their training of becoming an officer and is during a period of either 2 or 3 years depending on what entry programme they entered on. This approach enables a form of work-based learning to exist whereby the student officers are taught under a more experienced officer. This process allows for the coaching and mentoring of the officer and as a result reinforces the professional image and standards of the police. Cox and Shelby (2018) have expressed how the education of newly recruited officers assists in the resistance of the negative occupational culture that is associated with the Police. As a result of this education, new recruits are less likely to engage in behaviour which leads to the questioning of the professionalism of the police. However, Cox and Shelby (2018) also highlighted the lack of evidence from earlier studies to prove that higher educated officers displayed more professionalism than those who had no higher education. Crank (1998) ascertains how Police culture plays an important role in the formation of the force and as such has come under scrutiny from the public, whereby Police culture is viewed as a ‘hostile’. As a result of this perception, it can be argued that the professionalism of the Police is questionable. Whilst coaching and mentoring approaches are embedded into the Police, there is no way of saying that the individual will exceed the expectations of professionalism. However, this is not to say that the coaching and mentoring of new recruits through higher education does not work and is not effective in contributing towards the professionalism of the police. </w:t>
      </w:r>
    </w:p>
    <w:p w14:paraId="42F7FDC2" w14:textId="77777777" w:rsidR="00EC5973" w:rsidRDefault="00EC5973" w:rsidP="00EC5973">
      <w:pPr>
        <w:jc w:val="both"/>
        <w:rPr>
          <w:rFonts w:ascii="Arial" w:hAnsi="Arial" w:cs="Arial"/>
        </w:rPr>
      </w:pPr>
      <w:r w:rsidRPr="00E438D3">
        <w:rPr>
          <w:rFonts w:ascii="Arial" w:hAnsi="Arial" w:cs="Arial"/>
        </w:rPr>
        <w:t>With the emergence of the 20</w:t>
      </w:r>
      <w:r w:rsidRPr="00E438D3">
        <w:rPr>
          <w:rFonts w:ascii="Arial" w:hAnsi="Arial" w:cs="Arial"/>
          <w:vertAlign w:val="superscript"/>
        </w:rPr>
        <w:t>th</w:t>
      </w:r>
      <w:r w:rsidRPr="00E438D3">
        <w:rPr>
          <w:rFonts w:ascii="Arial" w:hAnsi="Arial" w:cs="Arial"/>
        </w:rPr>
        <w:t xml:space="preserve"> Century, it is believed that the Police transformed, and this can maybe be due to its professionalisation through the creation of the College of Policing (COP) (Brown et al. 2018). Although prior to the creation of the COP, Stout (2010) conducted extensive research surrounding equality and diversity in Policing. Stout (2010) states how changes to the training of new officers led to a diversity awareness programme which was influenced by the Macpherson Report (1999) as a result of the death of Stephen Lawrence. Whilst this training embedded the concept of diversity and awareness, there is the disadvantage that the training created the perception that officers should watch what they say rather than transform their actual beliefs and behaviours (Stout, 2010). Whilst an outdated piece of research, Stout does highlight the issues that come with this form of training. It is difficult during the recruitment process to ascertain and individual’s belief system surrounding those who have protected characteristics. Therefore, the training of diversity and awareness simply provides these individuals with caution to not express their views openly otherwise they will face disciplinary action.</w:t>
      </w:r>
    </w:p>
    <w:p w14:paraId="228831CB" w14:textId="77777777" w:rsidR="00EC5973" w:rsidRDefault="00EC5973" w:rsidP="00EC5973">
      <w:pPr>
        <w:jc w:val="both"/>
        <w:rPr>
          <w:rFonts w:ascii="Arial" w:hAnsi="Arial" w:cs="Arial"/>
        </w:rPr>
      </w:pPr>
      <w:r w:rsidRPr="00E438D3">
        <w:rPr>
          <w:rFonts w:ascii="Arial" w:hAnsi="Arial" w:cs="Arial"/>
        </w:rPr>
        <w:t>However, prior to this training and to the Police making a nationwide move to eradicate discrimination within its force, Burke (1994) conducted research which emphasized how police culture impacted the lives of officers who were a part of the LGBT+ community. Burke (1994) states how the existence of the police culture which was engulfed in practices of post-shift drinking and misogyny created an environment whereby homosexuality and lesbianism was perceived as sexual deviance, which as a result caused a decline in these LGBT+ officers mental health.</w:t>
      </w:r>
    </w:p>
    <w:p w14:paraId="2E043570" w14:textId="4FC70E9B" w:rsidR="00EC5973" w:rsidRPr="00EC5973" w:rsidRDefault="00EC5973" w:rsidP="00EC5973">
      <w:pPr>
        <w:jc w:val="both"/>
        <w:rPr>
          <w:rFonts w:ascii="Arial" w:hAnsi="Arial" w:cs="Arial"/>
        </w:rPr>
      </w:pPr>
      <w:r w:rsidRPr="00E438D3">
        <w:rPr>
          <w:rFonts w:ascii="Arial" w:hAnsi="Arial" w:cs="Arial"/>
        </w:rPr>
        <w:t xml:space="preserve">A way in which the above issues have been tackled is the creation of professional bodies within the Police such as the National LGBT+ Police Network. This is a representative body </w:t>
      </w:r>
      <w:r w:rsidRPr="00E438D3">
        <w:rPr>
          <w:rFonts w:ascii="Arial" w:hAnsi="Arial" w:cs="Arial"/>
        </w:rPr>
        <w:lastRenderedPageBreak/>
        <w:t xml:space="preserve">for all LGBT+ officers within the 43 police forces in England, Wales and Northern Ireland (National LGBT+ Police Network). The core aim of the Network is to support each police force in developing knowledge about the LGBT+ community and being representative and inclusive of it also (National LGBT+ Police Network). The creation of such a network allows for those within their forces to feel heard and included. Further to this, it ensures a fair and equal treatment of all, avoiding and challenging any discrimination. Therefore, it is evident that ethical and inclusivity is a factor that contributed to the professionalism of the Police. Without this, then the Police would simply be overruled by the toxic culture that is engulfed with misogynist and potential homophobic values. It is of importance for all behaviour to be challenged which does not fall within the standardised set of behaviour which has been set out by the COP. </w:t>
      </w:r>
    </w:p>
    <w:p w14:paraId="7282DEA7" w14:textId="131D8603" w:rsidR="00EC5973" w:rsidRDefault="00EC5973" w:rsidP="00EC5973">
      <w:pPr>
        <w:jc w:val="both"/>
        <w:rPr>
          <w:rFonts w:ascii="Arial" w:hAnsi="Arial" w:cs="Arial"/>
        </w:rPr>
      </w:pPr>
      <w:r w:rsidRPr="006860C6">
        <w:rPr>
          <w:rFonts w:ascii="Arial" w:hAnsi="Arial" w:cs="Arial"/>
        </w:rPr>
        <w:t xml:space="preserve">In conclusion, the concept of the professionalisation of the police service is difficult to analyse. Unfortunately, there exists a few individuals who have failed to uphold the professionalism of the Police by following the standards set out by the COP. As a result of this, the professionalism of the Police has been challenged and perceived as a misogynistic culture. In order to eradicate the existence of such cultures, coaching and mentoring approaches have been adopted to train newly recruited officers. Through education, the standards of behaviour are embedded into them, and this can as a result lead to them avoiding the adoption of the Police culture which is viewed as hostile. Finally, ethical and inclusivity is a factor of most importance concerning professionalism. By being diverse, the Police allow for all communities within the UK to be engaged and ensures that no homophobia, racism etc. occurs. However, there do exist issues surrounding this whereby individual preconceived perceptions of individuals can have an impact on their behaviour. Overall, the professionalism of the Police is something which whilst commendable for how far it has come, there is more that needs to be done. </w:t>
      </w:r>
    </w:p>
    <w:p w14:paraId="6EAAC9D9" w14:textId="290E82D8" w:rsidR="00EC5973" w:rsidRDefault="00EC5973" w:rsidP="00EC5973">
      <w:pPr>
        <w:jc w:val="both"/>
        <w:rPr>
          <w:rFonts w:ascii="Arial" w:hAnsi="Arial" w:cs="Arial"/>
        </w:rPr>
      </w:pPr>
    </w:p>
    <w:p w14:paraId="2CBE596F" w14:textId="6AE18B79" w:rsidR="00EC5973" w:rsidRDefault="00EC5973" w:rsidP="00EC5973">
      <w:pPr>
        <w:jc w:val="both"/>
        <w:rPr>
          <w:rFonts w:ascii="Arial" w:hAnsi="Arial" w:cs="Arial"/>
        </w:rPr>
      </w:pPr>
      <w:r>
        <w:rPr>
          <w:rFonts w:ascii="Arial" w:hAnsi="Arial" w:cs="Arial"/>
        </w:rPr>
        <w:t>Word Count: 1,584</w:t>
      </w:r>
    </w:p>
    <w:p w14:paraId="69B0A3C8" w14:textId="38880F31" w:rsidR="00EC5973" w:rsidRDefault="00EC5973" w:rsidP="00EC5973">
      <w:pPr>
        <w:jc w:val="both"/>
        <w:rPr>
          <w:rFonts w:ascii="Arial" w:hAnsi="Arial" w:cs="Arial"/>
        </w:rPr>
      </w:pPr>
    </w:p>
    <w:p w14:paraId="56BB94FB" w14:textId="754F3447" w:rsidR="00EC5973" w:rsidRDefault="00EC5973" w:rsidP="00EC5973">
      <w:pPr>
        <w:jc w:val="both"/>
        <w:rPr>
          <w:rFonts w:ascii="Arial" w:hAnsi="Arial" w:cs="Arial"/>
        </w:rPr>
      </w:pPr>
    </w:p>
    <w:p w14:paraId="7A95727D" w14:textId="5256186D" w:rsidR="00EC5973" w:rsidRDefault="00EC5973" w:rsidP="00EC5973">
      <w:pPr>
        <w:jc w:val="both"/>
        <w:rPr>
          <w:rFonts w:ascii="Arial" w:hAnsi="Arial" w:cs="Arial"/>
        </w:rPr>
      </w:pPr>
    </w:p>
    <w:p w14:paraId="4BF3E08B" w14:textId="65FA1141" w:rsidR="00EC5973" w:rsidRDefault="00EC5973" w:rsidP="00EC5973">
      <w:pPr>
        <w:jc w:val="both"/>
        <w:rPr>
          <w:rFonts w:ascii="Arial" w:hAnsi="Arial" w:cs="Arial"/>
        </w:rPr>
      </w:pPr>
    </w:p>
    <w:p w14:paraId="4574E5DF" w14:textId="30A36E22" w:rsidR="00EC5973" w:rsidRDefault="00EC5973" w:rsidP="00EC5973">
      <w:pPr>
        <w:jc w:val="both"/>
        <w:rPr>
          <w:rFonts w:ascii="Arial" w:hAnsi="Arial" w:cs="Arial"/>
        </w:rPr>
      </w:pPr>
    </w:p>
    <w:p w14:paraId="08C4EB31" w14:textId="057F6C4E" w:rsidR="00EC5973" w:rsidRDefault="00EC5973" w:rsidP="00EC5973">
      <w:pPr>
        <w:jc w:val="both"/>
        <w:rPr>
          <w:rFonts w:ascii="Arial" w:hAnsi="Arial" w:cs="Arial"/>
        </w:rPr>
      </w:pPr>
    </w:p>
    <w:p w14:paraId="046A93FA" w14:textId="07BB94AC" w:rsidR="00EC5973" w:rsidRDefault="00EC5973" w:rsidP="00EC5973">
      <w:pPr>
        <w:jc w:val="both"/>
        <w:rPr>
          <w:rFonts w:ascii="Arial" w:hAnsi="Arial" w:cs="Arial"/>
        </w:rPr>
      </w:pPr>
    </w:p>
    <w:p w14:paraId="42433C76" w14:textId="28735AA1" w:rsidR="00EC5973" w:rsidRDefault="00EC5973" w:rsidP="00EC5973">
      <w:pPr>
        <w:jc w:val="both"/>
        <w:rPr>
          <w:rFonts w:ascii="Arial" w:hAnsi="Arial" w:cs="Arial"/>
        </w:rPr>
      </w:pPr>
    </w:p>
    <w:p w14:paraId="6C688B35" w14:textId="01B15D5B" w:rsidR="00EC5973" w:rsidRDefault="00EC5973" w:rsidP="00EC5973">
      <w:pPr>
        <w:jc w:val="both"/>
        <w:rPr>
          <w:rFonts w:ascii="Arial" w:hAnsi="Arial" w:cs="Arial"/>
        </w:rPr>
      </w:pPr>
    </w:p>
    <w:p w14:paraId="0C570B28" w14:textId="0253BFA0" w:rsidR="00EC5973" w:rsidRDefault="00EC5973" w:rsidP="00EC5973">
      <w:pPr>
        <w:jc w:val="both"/>
        <w:rPr>
          <w:rFonts w:ascii="Arial" w:hAnsi="Arial" w:cs="Arial"/>
        </w:rPr>
      </w:pPr>
    </w:p>
    <w:p w14:paraId="61EB092C" w14:textId="383124CA" w:rsidR="00EC5973" w:rsidRDefault="00EC5973" w:rsidP="00EC5973">
      <w:pPr>
        <w:jc w:val="both"/>
        <w:rPr>
          <w:rFonts w:ascii="Arial" w:hAnsi="Arial" w:cs="Arial"/>
        </w:rPr>
      </w:pPr>
    </w:p>
    <w:p w14:paraId="505D37B8" w14:textId="232F5B9F" w:rsidR="00EC5973" w:rsidRDefault="00EC5973" w:rsidP="00EC5973">
      <w:pPr>
        <w:jc w:val="both"/>
        <w:rPr>
          <w:rFonts w:ascii="Arial" w:hAnsi="Arial" w:cs="Arial"/>
        </w:rPr>
      </w:pPr>
    </w:p>
    <w:p w14:paraId="7DB3D671" w14:textId="77777777" w:rsidR="00EC5973" w:rsidRPr="00693B87" w:rsidRDefault="00EC5973" w:rsidP="00EC5973">
      <w:pPr>
        <w:spacing w:line="257" w:lineRule="auto"/>
        <w:ind w:right="531"/>
        <w:jc w:val="both"/>
        <w:rPr>
          <w:rFonts w:ascii="Arial" w:hAnsi="Arial" w:cs="Arial"/>
        </w:rPr>
      </w:pPr>
    </w:p>
    <w:p w14:paraId="4F7AC333" w14:textId="77777777" w:rsidR="00EC5973" w:rsidRDefault="00EC5973" w:rsidP="00EC5973">
      <w:pPr>
        <w:spacing w:line="257" w:lineRule="auto"/>
        <w:ind w:right="531"/>
        <w:jc w:val="both"/>
        <w:rPr>
          <w:rFonts w:ascii="Arial" w:hAnsi="Arial" w:cs="Arial"/>
          <w:b/>
          <w:bCs/>
        </w:rPr>
      </w:pPr>
    </w:p>
    <w:p w14:paraId="656F7192" w14:textId="28FB65BD" w:rsidR="00EC5973" w:rsidRDefault="00EC5973" w:rsidP="00EC5973">
      <w:pPr>
        <w:spacing w:line="257" w:lineRule="auto"/>
        <w:ind w:right="531"/>
        <w:jc w:val="both"/>
        <w:rPr>
          <w:rFonts w:ascii="Arial" w:hAnsi="Arial" w:cs="Arial"/>
          <w:b/>
          <w:bCs/>
        </w:rPr>
      </w:pPr>
      <w:r w:rsidRPr="00693B87">
        <w:rPr>
          <w:rFonts w:ascii="Arial" w:hAnsi="Arial" w:cs="Arial"/>
          <w:b/>
          <w:bCs/>
        </w:rPr>
        <w:lastRenderedPageBreak/>
        <w:t>Essay two:</w:t>
      </w:r>
    </w:p>
    <w:p w14:paraId="73CFB4A5" w14:textId="3F400B93" w:rsidR="00EC5973" w:rsidRDefault="00EC5973" w:rsidP="00EC5973">
      <w:pPr>
        <w:spacing w:line="257" w:lineRule="auto"/>
        <w:ind w:right="531"/>
        <w:jc w:val="both"/>
        <w:rPr>
          <w:rFonts w:ascii="Arial" w:eastAsia="Arial" w:hAnsi="Arial" w:cs="Arial"/>
        </w:rPr>
      </w:pPr>
      <w:r>
        <w:rPr>
          <w:rFonts w:ascii="Arial" w:eastAsia="Arial" w:hAnsi="Arial" w:cs="Arial"/>
          <w:u w:val="single"/>
        </w:rPr>
        <w:t>C</w:t>
      </w:r>
      <w:r w:rsidRPr="00EC5973">
        <w:rPr>
          <w:rFonts w:ascii="Arial" w:eastAsia="Arial" w:hAnsi="Arial" w:cs="Arial"/>
          <w:u w:val="single"/>
        </w:rPr>
        <w:t>ritically evaluate</w:t>
      </w:r>
      <w:r w:rsidRPr="00EC5973">
        <w:rPr>
          <w:rFonts w:ascii="Arial" w:eastAsia="Arial" w:hAnsi="Arial" w:cs="Arial"/>
        </w:rPr>
        <w:t xml:space="preserve"> the role of response police in dealing with critical/major </w:t>
      </w:r>
      <w:r w:rsidRPr="00EC5973">
        <w:rPr>
          <w:rFonts w:ascii="Arial" w:eastAsia="Arial" w:hAnsi="Arial" w:cs="Arial"/>
        </w:rPr>
        <w:t>incidents and</w:t>
      </w:r>
      <w:r w:rsidRPr="00EC5973">
        <w:rPr>
          <w:rFonts w:ascii="Arial" w:eastAsia="Arial" w:hAnsi="Arial" w:cs="Arial"/>
        </w:rPr>
        <w:t xml:space="preserve"> explain the importance of managing trauma and mental wellbeing. </w:t>
      </w:r>
    </w:p>
    <w:p w14:paraId="4BA08FE9" w14:textId="77777777" w:rsidR="00EC5973" w:rsidRDefault="00EC5973" w:rsidP="00EC5973">
      <w:pPr>
        <w:spacing w:line="257" w:lineRule="auto"/>
        <w:ind w:right="531"/>
        <w:jc w:val="both"/>
        <w:rPr>
          <w:rFonts w:ascii="Arial" w:eastAsia="Arial" w:hAnsi="Arial" w:cs="Arial"/>
        </w:rPr>
      </w:pPr>
      <w:r>
        <w:rPr>
          <w:rFonts w:ascii="Arial" w:eastAsia="Arial" w:hAnsi="Arial" w:cs="Arial"/>
        </w:rPr>
        <w:t xml:space="preserve">Response policing is the frontline of each force. As a result of being on the frontline, response officers are exposed to critical or major incidents (Ménard and Arter, 2013). The College of Policing (2013) defines a critical incident as one in which the response of the police will impact the perceptions one such as a victim, their family and community may hold of the police; and a major incident as an event requiring the response of more than one emergency services and where many people are involved. </w:t>
      </w:r>
    </w:p>
    <w:p w14:paraId="69BDAF2A" w14:textId="77777777" w:rsidR="00EC5973" w:rsidRDefault="00EC5973" w:rsidP="00EC5973">
      <w:pPr>
        <w:spacing w:line="257" w:lineRule="auto"/>
        <w:ind w:right="531"/>
        <w:jc w:val="both"/>
        <w:rPr>
          <w:rFonts w:ascii="Arial" w:eastAsia="Arial" w:hAnsi="Arial" w:cs="Arial"/>
        </w:rPr>
      </w:pPr>
      <w:r>
        <w:rPr>
          <w:rFonts w:ascii="Arial" w:eastAsia="Arial" w:hAnsi="Arial" w:cs="Arial"/>
        </w:rPr>
        <w:t xml:space="preserve">To begin with, according to Pollock (2013) poor organisational planning and a lack of preparation can impact the response of Police to critical and major incidents. Within this planning, leadership is key in avoiding any form of failure and to ensure that safety takes precedence (Pollock, 2013). Throughout the years, various incidents have occurred in Britain which led to the Police service coming under scrutiny, more so for their failure to act appropriately during a critical/major incident. The most memorable of failures is that of the Hillsborough Disaster, 1989. This critical/major incident is one of the largest failures of the Police Service and continues to be. </w:t>
      </w:r>
    </w:p>
    <w:p w14:paraId="2CF5D013" w14:textId="77777777" w:rsidR="00EC5973" w:rsidRDefault="00EC5973" w:rsidP="00EC5973">
      <w:pPr>
        <w:spacing w:line="257" w:lineRule="auto"/>
        <w:ind w:right="531"/>
        <w:jc w:val="both"/>
        <w:rPr>
          <w:rFonts w:ascii="Arial" w:eastAsia="Arial" w:hAnsi="Arial" w:cs="Arial"/>
        </w:rPr>
      </w:pPr>
      <w:r>
        <w:rPr>
          <w:rFonts w:ascii="Arial" w:eastAsia="Arial" w:hAnsi="Arial" w:cs="Arial"/>
        </w:rPr>
        <w:t xml:space="preserve">Failing to adhere to the rules and specifications surrounding a critical/major incident was the downfall of the South Yorkshire Police (SYP) services. Campbell (2022) argues that the actions of the Police during the football event and their response to the situation was the reasoning behind the 97 deaths of Liverpool fans, with the recent death being in 2021. Furthermore, Day and Stanley (2021) proclaim how a fatally inappropriate response by Chief Superintendent Duckenfield and the wrongful categorising of the incident as a crowd disorder and pitch invasion led to other emergency services being refused entry to the ground despite the fans being crushed by the overcrowding. As a result of the Taylor Report and the positive relentlessness of the victims’ families and friends, the Independent Officer for Police Conduct launched an investigation into the disaster which admitted to the failings of SYP and its senior member Chief Superintendent Duckenfield (IOPC, 2018). </w:t>
      </w:r>
    </w:p>
    <w:p w14:paraId="6D3C3F5E" w14:textId="77777777" w:rsidR="00EC5973" w:rsidRDefault="00EC5973" w:rsidP="00EC5973">
      <w:pPr>
        <w:spacing w:line="257" w:lineRule="auto"/>
        <w:ind w:right="531"/>
        <w:jc w:val="both"/>
        <w:rPr>
          <w:rFonts w:ascii="Arial" w:eastAsia="Arial" w:hAnsi="Arial" w:cs="Arial"/>
        </w:rPr>
      </w:pPr>
      <w:r>
        <w:rPr>
          <w:rFonts w:ascii="Arial" w:eastAsia="Arial" w:hAnsi="Arial" w:cs="Arial"/>
        </w:rPr>
        <w:t>The use of the Hillsborough Disaster enables us to identify how important planning and organisation of response policing is vital when dealing with a critical/major incident. Scraton (1999) emphasises how there no operationalisation in the major incident. If the incident had been identified sooner, an appropriate and effective response could have been implemented and prevented the deaths of 97 people.</w:t>
      </w:r>
    </w:p>
    <w:p w14:paraId="3B57EA84" w14:textId="77777777" w:rsidR="00EC5973" w:rsidRDefault="00EC5973" w:rsidP="00EC5973">
      <w:pPr>
        <w:spacing w:line="257" w:lineRule="auto"/>
        <w:ind w:right="531"/>
        <w:jc w:val="both"/>
        <w:rPr>
          <w:rFonts w:ascii="Arial" w:eastAsia="Arial" w:hAnsi="Arial" w:cs="Arial"/>
        </w:rPr>
      </w:pPr>
      <w:r>
        <w:rPr>
          <w:rFonts w:ascii="Arial" w:eastAsia="Arial" w:hAnsi="Arial" w:cs="Arial"/>
        </w:rPr>
        <w:t>Moving on, often, response police officers encounter incidents which are deemed as critical or major. As a result of their attendance to these incidents, officers can sometimes develop trauma which can impact their mental wellbeing. Incidents such as the Hillsborough Disaster would have undoubtedly caused trauma and impacted mental wellbeing of officers. However, incidents happen daily which impact a response officer. Watson and Andrews (2017) argue that those in the Police Service are in a high-risk occupation whereby they are exposed to numerous traumatic incidents which can lead to the development of psychological difficulties. Therefore, it is important that help is sought by those who have attended a critical/major incident so that the appropriate help can be provided.</w:t>
      </w:r>
    </w:p>
    <w:p w14:paraId="36CC9D0D" w14:textId="77777777" w:rsidR="00EC5973" w:rsidRDefault="00EC5973" w:rsidP="00EC5973">
      <w:pPr>
        <w:spacing w:line="257" w:lineRule="auto"/>
        <w:ind w:right="531"/>
        <w:jc w:val="both"/>
        <w:rPr>
          <w:rFonts w:ascii="Arial" w:eastAsia="Arial" w:hAnsi="Arial" w:cs="Arial"/>
        </w:rPr>
      </w:pPr>
      <w:r>
        <w:rPr>
          <w:rFonts w:ascii="Arial" w:eastAsia="Arial" w:hAnsi="Arial" w:cs="Arial"/>
        </w:rPr>
        <w:t xml:space="preserve">One of the ways in which trauma and mental wellbeing is managed in the Police Service, especially in Britain is through Trauma Risk Management (TRiM). TRiM is a support system that is provided to officers after a critical/major incident whereby a risk </w:t>
      </w:r>
      <w:r>
        <w:rPr>
          <w:rFonts w:ascii="Arial" w:eastAsia="Arial" w:hAnsi="Arial" w:cs="Arial"/>
        </w:rPr>
        <w:lastRenderedPageBreak/>
        <w:t xml:space="preserve">assessment is conducted to identify any trauma or any individual needing specialist support (Foley and Massey, 2019). According to Ménard and Arter (2013), social support, whether it be from colleagues, friends, family or the general public can reduce the effects of traumatic experiences and therefore reduce the likelihood of mental health and wellbeing being impacted. This system offers a sense of normalisation for those who have been impacted by an incident and allows them to feel as though their feelings and thoughts are not irrelevant. </w:t>
      </w:r>
    </w:p>
    <w:p w14:paraId="62B1C00E" w14:textId="77777777" w:rsidR="00EC5973" w:rsidRDefault="00EC5973" w:rsidP="00EC5973">
      <w:pPr>
        <w:spacing w:line="257" w:lineRule="auto"/>
        <w:ind w:right="531"/>
        <w:jc w:val="both"/>
        <w:rPr>
          <w:rFonts w:ascii="Arial" w:eastAsia="Arial" w:hAnsi="Arial" w:cs="Arial"/>
        </w:rPr>
      </w:pPr>
      <w:r>
        <w:rPr>
          <w:rFonts w:ascii="Arial" w:eastAsia="Arial" w:hAnsi="Arial" w:cs="Arial"/>
        </w:rPr>
        <w:t xml:space="preserve">Alternatively, whilst TRiM is an important tool in utilizing support for those impacted by a traumatic critical/major incident, Miller et al. (2022) have identified a more apt practical tool, The Police Traumatic Experiences Checklist. A study conducted by Miller et al. (2022) allowed for the identification of the worst experiences reported by officers and staff and included the situational context. This as a result, enabled the first relevant checklist for UK Police forces and allows for reflection of the events. This reflection sanctions the use of the checklist as a tool of self-assessment to guide discussions on trauma exposure with supervisors, occupational health or a health care professional (Miller et. al, 2022). </w:t>
      </w:r>
    </w:p>
    <w:p w14:paraId="5821CC1A" w14:textId="77777777" w:rsidR="00EC5973" w:rsidRDefault="00EC5973" w:rsidP="00EC5973">
      <w:pPr>
        <w:spacing w:line="257" w:lineRule="auto"/>
        <w:ind w:right="531"/>
        <w:jc w:val="both"/>
        <w:rPr>
          <w:rFonts w:ascii="Arial" w:eastAsia="Arial" w:hAnsi="Arial" w:cs="Arial"/>
        </w:rPr>
      </w:pPr>
      <w:r>
        <w:rPr>
          <w:rFonts w:ascii="Arial" w:eastAsia="Arial" w:hAnsi="Arial" w:cs="Arial"/>
        </w:rPr>
        <w:t>However, at times, not all serving officers wish to seek the support of the readily available systems in their force. As a result of this avoidance of support, issues can arise which can have a detrimental impact on the officer’s health and mental wellbeing. Despite the well-structured support system, a form of stigma may still exist by some officers whereby help should not be sought for exposure to critical/major incidents. Kelley and Pasciak (2013) argue how masculinity plays a role in the acceptance of help amongst male officers. One of the reasons why emotional or peer support is not accepted is due to internalized perceptions of gender norms and how self-reliance and self-control are the only ways to cope with a situation (Kelley and Pasciack, 2013). Similarly, Watson and Andrews (2017) further emphasise how the presence of a police culture creates the idea that to ask for help as a male is a sign of weakness. Moreover, these officers tend to avoid the stigmatization by avoiding any form of diagnosis through treatment.</w:t>
      </w:r>
    </w:p>
    <w:p w14:paraId="239FD451" w14:textId="77777777" w:rsidR="00EC5973" w:rsidRDefault="00EC5973" w:rsidP="00EC5973">
      <w:pPr>
        <w:spacing w:line="257" w:lineRule="auto"/>
        <w:ind w:right="531"/>
        <w:jc w:val="both"/>
        <w:rPr>
          <w:rFonts w:ascii="Arial" w:eastAsia="Arial" w:hAnsi="Arial" w:cs="Arial"/>
        </w:rPr>
      </w:pPr>
      <w:r>
        <w:rPr>
          <w:rFonts w:ascii="Arial" w:eastAsia="Arial" w:hAnsi="Arial" w:cs="Arial"/>
        </w:rPr>
        <w:t xml:space="preserve">Failure to manage trauma and mental wellbeing can have a detrimental impact, which shows the importance of its management. Those who fail to seek support according to Ménard and Arter (2013) can develop problems with substances such as alcohol/ Also, as previously stated about failing to receive a diagnosis due to stigma, this can consequently lead to a worsening of symptoms and considerably impact mental wellbeing. Therefore, leading to potential sickness from work or permanent PTSD. </w:t>
      </w:r>
    </w:p>
    <w:p w14:paraId="45A0FD38" w14:textId="77777777" w:rsidR="00EC5973" w:rsidRDefault="00EC5973" w:rsidP="00EC5973">
      <w:pPr>
        <w:spacing w:line="257" w:lineRule="auto"/>
        <w:ind w:right="531"/>
        <w:jc w:val="both"/>
        <w:rPr>
          <w:rFonts w:ascii="Arial" w:eastAsia="Arial" w:hAnsi="Arial" w:cs="Arial"/>
        </w:rPr>
      </w:pPr>
      <w:r>
        <w:rPr>
          <w:rFonts w:ascii="Arial" w:eastAsia="Arial" w:hAnsi="Arial" w:cs="Arial"/>
        </w:rPr>
        <w:t xml:space="preserve">To conclude, the role of response policing with a critical/major incident is fundamental. By using the Hillsborough Disaster as example, it highlighted how failure to identify and respond effectively and appropriately can have a detrimental impact. Further to this, good and efficient leadership is vital in an incident that is deemed critical/major. Moving on, an officer’s management of trauma and mental wellbeing after a critical/major incident is important. The utilization of services such as TRiM provides appropriate support. However, the presence of stigma can lead to no support being sought and thus an officer turning to other means such as alcohol or a repression of their feelings. </w:t>
      </w:r>
    </w:p>
    <w:p w14:paraId="1708E75D" w14:textId="676BE2BE" w:rsidR="00EC5973" w:rsidRDefault="00EC5973" w:rsidP="00EC5973">
      <w:pPr>
        <w:spacing w:line="257" w:lineRule="auto"/>
        <w:ind w:right="531"/>
        <w:jc w:val="both"/>
        <w:rPr>
          <w:rFonts w:ascii="Arial" w:eastAsia="Arial" w:hAnsi="Arial" w:cs="Arial"/>
        </w:rPr>
      </w:pPr>
    </w:p>
    <w:p w14:paraId="30E68511" w14:textId="4753A9FE" w:rsidR="00EC5973" w:rsidRDefault="00EC5973" w:rsidP="00EC5973">
      <w:pPr>
        <w:spacing w:line="257" w:lineRule="auto"/>
        <w:ind w:right="531"/>
        <w:jc w:val="both"/>
        <w:rPr>
          <w:rFonts w:ascii="Arial" w:eastAsia="Arial" w:hAnsi="Arial" w:cs="Arial"/>
        </w:rPr>
      </w:pPr>
      <w:r>
        <w:rPr>
          <w:rFonts w:ascii="Arial" w:eastAsia="Arial" w:hAnsi="Arial" w:cs="Arial"/>
        </w:rPr>
        <w:t>Word Count: 1,116</w:t>
      </w:r>
    </w:p>
    <w:p w14:paraId="30475C7C" w14:textId="77777777" w:rsidR="00DE607E" w:rsidRDefault="00DE607E" w:rsidP="00EC5973">
      <w:pPr>
        <w:ind w:right="531"/>
        <w:jc w:val="both"/>
        <w:rPr>
          <w:rFonts w:ascii="Arial" w:hAnsi="Arial" w:cs="Arial"/>
          <w:b/>
          <w:bCs/>
        </w:rPr>
      </w:pPr>
    </w:p>
    <w:p w14:paraId="5AF5273B" w14:textId="77777777" w:rsidR="00DE607E" w:rsidRDefault="00DE607E" w:rsidP="00EC5973">
      <w:pPr>
        <w:ind w:right="531"/>
        <w:jc w:val="both"/>
        <w:rPr>
          <w:rFonts w:ascii="Arial" w:hAnsi="Arial" w:cs="Arial"/>
          <w:b/>
          <w:bCs/>
        </w:rPr>
      </w:pPr>
    </w:p>
    <w:p w14:paraId="7DCC0E89" w14:textId="3CB3DB69" w:rsidR="00EC5973" w:rsidRPr="00693B87" w:rsidRDefault="00EC5973" w:rsidP="00EC5973">
      <w:pPr>
        <w:ind w:right="531"/>
        <w:jc w:val="both"/>
        <w:rPr>
          <w:rFonts w:ascii="Arial" w:hAnsi="Arial" w:cs="Arial"/>
          <w:b/>
          <w:bCs/>
        </w:rPr>
      </w:pPr>
      <w:r w:rsidRPr="00693B87">
        <w:rPr>
          <w:rFonts w:ascii="Arial" w:hAnsi="Arial" w:cs="Arial"/>
          <w:b/>
          <w:bCs/>
        </w:rPr>
        <w:lastRenderedPageBreak/>
        <w:t>Essay three:</w:t>
      </w:r>
    </w:p>
    <w:p w14:paraId="1856A1B9" w14:textId="76D30062" w:rsidR="00EC5973" w:rsidRDefault="00EC5973" w:rsidP="00EC5973">
      <w:pPr>
        <w:spacing w:line="257" w:lineRule="auto"/>
        <w:ind w:right="531"/>
        <w:jc w:val="both"/>
        <w:rPr>
          <w:rFonts w:ascii="Arial" w:eastAsia="Calibri" w:hAnsi="Arial" w:cs="Arial"/>
        </w:rPr>
      </w:pPr>
      <w:r w:rsidRPr="00584BDE">
        <w:rPr>
          <w:rFonts w:ascii="Arial" w:eastAsia="Calibri" w:hAnsi="Arial" w:cs="Arial"/>
          <w:u w:val="single"/>
        </w:rPr>
        <w:t>Critically evaluate</w:t>
      </w:r>
      <w:r w:rsidRPr="00693B87">
        <w:rPr>
          <w:rFonts w:ascii="Arial" w:eastAsia="Calibri" w:hAnsi="Arial" w:cs="Arial"/>
        </w:rPr>
        <w:t xml:space="preserve"> police methods of gathering information and intelligence. </w:t>
      </w:r>
      <w:r w:rsidRPr="00B14E6D">
        <w:rPr>
          <w:rFonts w:ascii="Arial" w:eastAsia="Calibri" w:hAnsi="Arial" w:cs="Arial"/>
        </w:rPr>
        <w:t>You may choose a specific method of intelligence-gathering for this answer.</w:t>
      </w:r>
    </w:p>
    <w:p w14:paraId="2D6B18C6" w14:textId="2B0D8C3F" w:rsidR="00EC5973" w:rsidRDefault="00EC5973" w:rsidP="00EC5973">
      <w:pPr>
        <w:spacing w:line="276" w:lineRule="auto"/>
        <w:ind w:right="531"/>
        <w:jc w:val="both"/>
        <w:rPr>
          <w:rFonts w:ascii="Arial" w:eastAsia="Calibri" w:hAnsi="Arial" w:cs="Arial"/>
        </w:rPr>
      </w:pPr>
      <w:r>
        <w:rPr>
          <w:rFonts w:ascii="Arial" w:eastAsia="Calibri" w:hAnsi="Arial" w:cs="Arial"/>
        </w:rPr>
        <w:t>Intelligence is information or data that has been collected and then analysed by the appropriate persons (Miller, 2022). Intelligence in policing is identical, whereby information is collected and then evaluated for policing purposes (College of Policing, 2013). A range of information is gathered by the Police to formulate a collection of data to identify potential areas and targets that require Police deployment or action. In Policing, intelligence and information is gathered in three ways; Routine collection which refers to information collected by officers performing operational policing activities such as arrests; Tasked information which is information concerning specific problems or subjects from various sources such as Automatic Numberplate Recognition processes or  Covert Human Intelligence Sources (CHIS);  and Volunteered information whereby information is collected from the general public, usually because they want something done with the information (College of Policing, 2013). These methods of collections contain a variety of different processes, and each are undertaken by police officers daily. The collection of information and intelligence is vital as it allows for targeted policing and identifies areas or subjects that require positive police action to be taken to prevent crime and disorder.</w:t>
      </w:r>
    </w:p>
    <w:p w14:paraId="3AE4B922" w14:textId="77777777" w:rsidR="00EC5973" w:rsidRDefault="00EC5973" w:rsidP="00EC5973">
      <w:pPr>
        <w:pStyle w:val="legclearfix"/>
        <w:shd w:val="clear" w:color="auto" w:fill="FFFFFF"/>
        <w:spacing w:before="0" w:beforeAutospacing="0" w:after="120" w:afterAutospacing="0" w:line="276" w:lineRule="auto"/>
        <w:jc w:val="both"/>
        <w:rPr>
          <w:rFonts w:ascii="Arial" w:eastAsia="Calibri" w:hAnsi="Arial" w:cs="Arial"/>
          <w:sz w:val="22"/>
          <w:szCs w:val="22"/>
        </w:rPr>
      </w:pPr>
      <w:r>
        <w:rPr>
          <w:rStyle w:val="legds"/>
          <w:rFonts w:ascii="Arial" w:hAnsi="Arial" w:cs="Arial"/>
          <w:color w:val="000000"/>
          <w:sz w:val="22"/>
          <w:szCs w:val="22"/>
        </w:rPr>
        <w:t xml:space="preserve">In lay terms, a CHIS would be viewed by members of the public as a ‘grass’ (Lennon, 2009). </w:t>
      </w:r>
      <w:r>
        <w:rPr>
          <w:rFonts w:ascii="Arial" w:eastAsia="Calibri" w:hAnsi="Arial" w:cs="Arial"/>
          <w:sz w:val="22"/>
          <w:szCs w:val="22"/>
        </w:rPr>
        <w:t xml:space="preserve">To begin with, the relationship between a CHIS and a source handler is fundamental in the gathering of intelligence. Nunan et al (2020) emphasise the importance of rapport between the source handler and the CHIS in terms of the longevity and maintenance of the relationship. This has been reinforced by a further study conducted by Nunan et al. (2022) whereby rapport between a source handler and CHIS impacts the elicitation of intelligence and its quality. However, Moffett et al (2022) and their research revealed the concerns surrounding rapport by source handlers whereby maintenance of the rapport is difficult when there are other obligations present. One of these obligations is surrounding the detection of deceit when presenting intelligence and information to the source handler. Comparison of these studies alongside in parallel reveals the strengths and weaknesses of the use of a CHIS to gather intelligence. The implications of a negative rapport would undoubtedly impact the elicitation of intelligence. However, it could be argued that regardless of the presence of a good rapport between a CHIS and source handler, it is difficult to ascertain the quality and truth of the information received. </w:t>
      </w:r>
    </w:p>
    <w:p w14:paraId="3A92C147" w14:textId="77777777" w:rsidR="00EC5973" w:rsidRDefault="00EC5973" w:rsidP="00EC5973">
      <w:pPr>
        <w:pStyle w:val="legclearfix"/>
        <w:shd w:val="clear" w:color="auto" w:fill="FFFFFF"/>
        <w:spacing w:before="0" w:beforeAutospacing="0" w:after="120" w:afterAutospacing="0" w:line="276" w:lineRule="auto"/>
        <w:jc w:val="both"/>
        <w:rPr>
          <w:rFonts w:ascii="Arial" w:eastAsia="Calibri" w:hAnsi="Arial" w:cs="Arial"/>
          <w:sz w:val="22"/>
          <w:szCs w:val="22"/>
        </w:rPr>
      </w:pPr>
      <w:r>
        <w:rPr>
          <w:rFonts w:ascii="Arial" w:eastAsia="Calibri" w:hAnsi="Arial" w:cs="Arial"/>
          <w:sz w:val="22"/>
          <w:szCs w:val="22"/>
        </w:rPr>
        <w:t xml:space="preserve">Further to this, as Moffett et al (2022) have demonstrated, the ability to detect deceit is a contributing factor also. As a result, the rapport could potentially be damaged if a CHIS was challenged about their deception, which consequently could cause the rapport to breakdown and disintegrate. This breakdown could lead to a refusal of information to be shared and thus impact the gathering and collection of intelligence which is required. Therefore, this method of gathering information and intelligence is primarily based on a good rapport, where if a breakdown occurs, the whole operation is impacted. Thus, this proves a serious implication for the use of a CHIS and the factor of the rapport should be considered when implementing a new CHIS into the system. </w:t>
      </w:r>
    </w:p>
    <w:p w14:paraId="16C93842" w14:textId="739F1FC5" w:rsidR="00EC5973" w:rsidRPr="00EC5973" w:rsidRDefault="00EC5973" w:rsidP="00EC5973">
      <w:pPr>
        <w:pStyle w:val="legclearfix"/>
        <w:shd w:val="clear" w:color="auto" w:fill="FFFFFF"/>
        <w:spacing w:before="0" w:beforeAutospacing="0" w:after="120" w:afterAutospacing="0" w:line="276" w:lineRule="auto"/>
        <w:jc w:val="both"/>
        <w:rPr>
          <w:rFonts w:ascii="Arial" w:hAnsi="Arial" w:cs="Arial"/>
          <w:color w:val="000000"/>
          <w:sz w:val="22"/>
          <w:szCs w:val="22"/>
        </w:rPr>
      </w:pPr>
      <w:r>
        <w:rPr>
          <w:rFonts w:ascii="Arial" w:hAnsi="Arial" w:cs="Arial"/>
          <w:sz w:val="22"/>
          <w:szCs w:val="22"/>
        </w:rPr>
        <w:t xml:space="preserve">A review of research has identified that one of the main issues that arises from the use of a CHIS is their role during the commitment of offences concerning their immunity and the use </w:t>
      </w:r>
      <w:r>
        <w:rPr>
          <w:rFonts w:ascii="Arial" w:hAnsi="Arial" w:cs="Arial"/>
          <w:sz w:val="22"/>
          <w:szCs w:val="22"/>
        </w:rPr>
        <w:lastRenderedPageBreak/>
        <w:t xml:space="preserve">of the evidence in court. For example, </w:t>
      </w:r>
      <w:r w:rsidRPr="00FB6F96">
        <w:rPr>
          <w:rFonts w:ascii="Arial" w:hAnsi="Arial" w:cs="Arial"/>
          <w:sz w:val="22"/>
          <w:szCs w:val="22"/>
        </w:rPr>
        <w:t xml:space="preserve">Lennon (2009) does not advocate for the use of CHIS as an intelligence source due to the repercussions that can occur when the information obtained is used in court. Whereby, those who have been ‘entrapped’ by a CHIS and as a result committed an offence have argued for the de-railing of the case or for the evidence to be excluded from the court (Lennon, 2009). It appears from this research that although a CHIS is effective in the gathering of intelligence, there do arise issues such as entrapment which leads to the case being impacted. Because of this, key evidence may be excluded and may lead to a prosecution not occurring. Thus, all work that has been conducted and completed would have been for no reason due to this. </w:t>
      </w:r>
    </w:p>
    <w:p w14:paraId="0631D0E7" w14:textId="0E1D8D4B" w:rsidR="00EC5973" w:rsidRDefault="00EC5973" w:rsidP="00EC5973">
      <w:pPr>
        <w:spacing w:line="276" w:lineRule="auto"/>
        <w:jc w:val="both"/>
        <w:rPr>
          <w:rFonts w:ascii="Arial" w:hAnsi="Arial" w:cs="Arial"/>
        </w:rPr>
      </w:pPr>
      <w:r>
        <w:rPr>
          <w:rFonts w:ascii="Arial" w:hAnsi="Arial" w:cs="Arial"/>
        </w:rPr>
        <w:t xml:space="preserve">On the other hand, from a different standpoint Fitzpatrick (2009) has elaborated further on the issues of a CHIS in the commitment of offences. A CHIS can be involved in an offence in two ways, as a principal offender or as an accessory to that offence (Fitzpatrick, 2009). There is difficulty to determine the extent to which a CHIS can go in their involvement of an offence and there is no clear legislation surrounding this which can cause complications when it does come to sentencing. Further to this Fitzpatrick has highlighted how there does not exist an analysis of a CHIS involvement in their participation of offences against the person and the harm that has been caused. </w:t>
      </w:r>
    </w:p>
    <w:p w14:paraId="548515E7" w14:textId="77777777" w:rsidR="00EC5973" w:rsidRDefault="00EC5973" w:rsidP="00EC5973">
      <w:pPr>
        <w:spacing w:line="276" w:lineRule="auto"/>
        <w:jc w:val="both"/>
        <w:rPr>
          <w:rFonts w:ascii="Arial" w:hAnsi="Arial" w:cs="Arial"/>
        </w:rPr>
      </w:pPr>
      <w:r>
        <w:rPr>
          <w:rFonts w:ascii="Arial" w:hAnsi="Arial" w:cs="Arial"/>
        </w:rPr>
        <w:t xml:space="preserve">In conclusion, the use of a CHIS appears to be burdened with more disadvantages than advantages. The gathering of information and intelligence solely relies on the relationship between the CHIS and the source hander; if the rapport is bad then the elicitation of information is impacted. In addition to this, there are concerns surrounding the use of a CHIS and the information gathered as evidence in court. Also, there exists debates surrounding the criminality of the CHIS. This method of intelligence gathering, whilst it can be fundamental in the prevention and detection of crimes, it also leads to issues surrounding the use of an informer who engages in criminal activities. Other methods of intelligence and information gathering may be considered more effective and appropriate than the use of a CHIS. </w:t>
      </w:r>
    </w:p>
    <w:p w14:paraId="272B3D15" w14:textId="77777777" w:rsidR="008E184C" w:rsidRDefault="008E184C" w:rsidP="00EC5973">
      <w:pPr>
        <w:spacing w:line="276" w:lineRule="auto"/>
        <w:jc w:val="both"/>
        <w:rPr>
          <w:rFonts w:ascii="Arial" w:eastAsia="Calibri" w:hAnsi="Arial" w:cs="Arial"/>
        </w:rPr>
      </w:pPr>
    </w:p>
    <w:p w14:paraId="6AC6D33B" w14:textId="4B98275F" w:rsidR="00EC5973" w:rsidRDefault="00EC5973" w:rsidP="00EC5973">
      <w:pPr>
        <w:spacing w:line="276" w:lineRule="auto"/>
        <w:jc w:val="both"/>
        <w:rPr>
          <w:rFonts w:ascii="Arial" w:eastAsia="Calibri" w:hAnsi="Arial" w:cs="Arial"/>
        </w:rPr>
      </w:pPr>
      <w:r>
        <w:rPr>
          <w:rFonts w:ascii="Arial" w:eastAsia="Calibri" w:hAnsi="Arial" w:cs="Arial"/>
        </w:rPr>
        <w:t>Word Count: 939</w:t>
      </w:r>
    </w:p>
    <w:p w14:paraId="1C45341D" w14:textId="25ECFDF3" w:rsidR="00EC5973" w:rsidRDefault="00EC5973" w:rsidP="00EC5973">
      <w:pPr>
        <w:spacing w:line="276" w:lineRule="auto"/>
        <w:jc w:val="both"/>
        <w:rPr>
          <w:rFonts w:ascii="Arial" w:eastAsia="Calibri" w:hAnsi="Arial" w:cs="Arial"/>
        </w:rPr>
      </w:pPr>
    </w:p>
    <w:p w14:paraId="0FD71CB6" w14:textId="4A7525E4" w:rsidR="00EC5973" w:rsidRDefault="00EC5973" w:rsidP="00EC5973">
      <w:pPr>
        <w:spacing w:line="276" w:lineRule="auto"/>
        <w:jc w:val="both"/>
        <w:rPr>
          <w:rFonts w:ascii="Arial" w:eastAsia="Calibri" w:hAnsi="Arial" w:cs="Arial"/>
        </w:rPr>
      </w:pPr>
    </w:p>
    <w:p w14:paraId="0B3B8960" w14:textId="0611F0C9" w:rsidR="00EC5973" w:rsidRDefault="00EC5973" w:rsidP="00EC5973">
      <w:pPr>
        <w:spacing w:line="276" w:lineRule="auto"/>
        <w:jc w:val="both"/>
        <w:rPr>
          <w:rFonts w:ascii="Arial" w:eastAsia="Calibri" w:hAnsi="Arial" w:cs="Arial"/>
        </w:rPr>
      </w:pPr>
    </w:p>
    <w:p w14:paraId="794EF860" w14:textId="659B8544" w:rsidR="00EC5973" w:rsidRDefault="00EC5973" w:rsidP="00EC5973">
      <w:pPr>
        <w:spacing w:line="276" w:lineRule="auto"/>
        <w:jc w:val="both"/>
        <w:rPr>
          <w:rFonts w:ascii="Arial" w:eastAsia="Calibri" w:hAnsi="Arial" w:cs="Arial"/>
        </w:rPr>
      </w:pPr>
    </w:p>
    <w:p w14:paraId="1A546E6D" w14:textId="341D1494" w:rsidR="00EC5973" w:rsidRDefault="00EC5973" w:rsidP="00EC5973">
      <w:pPr>
        <w:spacing w:line="276" w:lineRule="auto"/>
        <w:jc w:val="both"/>
        <w:rPr>
          <w:rFonts w:ascii="Arial" w:eastAsia="Calibri" w:hAnsi="Arial" w:cs="Arial"/>
        </w:rPr>
      </w:pPr>
    </w:p>
    <w:p w14:paraId="5AAB4875" w14:textId="78079069" w:rsidR="00EC5973" w:rsidRDefault="00EC5973" w:rsidP="00EC5973">
      <w:pPr>
        <w:spacing w:line="276" w:lineRule="auto"/>
        <w:jc w:val="both"/>
        <w:rPr>
          <w:rFonts w:ascii="Arial" w:eastAsia="Calibri" w:hAnsi="Arial" w:cs="Arial"/>
        </w:rPr>
      </w:pPr>
    </w:p>
    <w:p w14:paraId="553BF92A" w14:textId="78D2A52F" w:rsidR="00EC5973" w:rsidRDefault="00EC5973" w:rsidP="00EC5973">
      <w:pPr>
        <w:spacing w:line="276" w:lineRule="auto"/>
        <w:jc w:val="both"/>
        <w:rPr>
          <w:rFonts w:ascii="Arial" w:eastAsia="Calibri" w:hAnsi="Arial" w:cs="Arial"/>
        </w:rPr>
      </w:pPr>
    </w:p>
    <w:p w14:paraId="4417EF9D" w14:textId="65503778" w:rsidR="00EC5973" w:rsidRDefault="00EC5973" w:rsidP="00EC5973">
      <w:pPr>
        <w:spacing w:line="276" w:lineRule="auto"/>
        <w:jc w:val="both"/>
        <w:rPr>
          <w:rFonts w:ascii="Arial" w:eastAsia="Calibri" w:hAnsi="Arial" w:cs="Arial"/>
        </w:rPr>
      </w:pPr>
    </w:p>
    <w:p w14:paraId="516CE3D7" w14:textId="596D8280" w:rsidR="00EC5973" w:rsidRDefault="00EC5973" w:rsidP="00EC5973">
      <w:pPr>
        <w:spacing w:line="276" w:lineRule="auto"/>
        <w:jc w:val="both"/>
        <w:rPr>
          <w:rFonts w:ascii="Arial" w:eastAsia="Calibri" w:hAnsi="Arial" w:cs="Arial"/>
        </w:rPr>
      </w:pPr>
    </w:p>
    <w:p w14:paraId="593448B5" w14:textId="45D62A49" w:rsidR="00EC5973" w:rsidRDefault="00EC5973" w:rsidP="00EC5973">
      <w:pPr>
        <w:spacing w:line="276" w:lineRule="auto"/>
        <w:jc w:val="both"/>
        <w:rPr>
          <w:rFonts w:ascii="Arial" w:eastAsia="Calibri" w:hAnsi="Arial" w:cs="Arial"/>
        </w:rPr>
      </w:pPr>
    </w:p>
    <w:p w14:paraId="7C82BAC4" w14:textId="77777777" w:rsidR="008E184C" w:rsidRDefault="008E184C" w:rsidP="00EC5973">
      <w:pPr>
        <w:spacing w:line="257" w:lineRule="auto"/>
        <w:ind w:right="531"/>
        <w:jc w:val="both"/>
        <w:rPr>
          <w:rFonts w:ascii="Arial" w:hAnsi="Arial" w:cs="Arial"/>
          <w:b/>
          <w:bCs/>
        </w:rPr>
      </w:pPr>
    </w:p>
    <w:p w14:paraId="0B8B7A99" w14:textId="40D312BD" w:rsidR="00EC5973" w:rsidRPr="00693B87" w:rsidRDefault="00EC5973" w:rsidP="00EC5973">
      <w:pPr>
        <w:spacing w:line="257" w:lineRule="auto"/>
        <w:ind w:right="531"/>
        <w:jc w:val="both"/>
        <w:rPr>
          <w:rFonts w:ascii="Arial" w:hAnsi="Arial" w:cs="Arial"/>
          <w:b/>
          <w:bCs/>
        </w:rPr>
      </w:pPr>
      <w:r w:rsidRPr="00693B87">
        <w:rPr>
          <w:rFonts w:ascii="Arial" w:hAnsi="Arial" w:cs="Arial"/>
          <w:b/>
          <w:bCs/>
        </w:rPr>
        <w:lastRenderedPageBreak/>
        <w:t xml:space="preserve">Essay four: </w:t>
      </w:r>
    </w:p>
    <w:p w14:paraId="3D57D2A1" w14:textId="77777777" w:rsidR="00EC5973" w:rsidRDefault="00EC5973" w:rsidP="00EC5973">
      <w:pPr>
        <w:spacing w:line="257" w:lineRule="auto"/>
        <w:ind w:right="531"/>
        <w:jc w:val="both"/>
        <w:rPr>
          <w:rFonts w:ascii="Arial" w:eastAsia="Calibri" w:hAnsi="Arial" w:cs="Arial"/>
        </w:rPr>
      </w:pPr>
      <w:r w:rsidRPr="00584BDE">
        <w:rPr>
          <w:rFonts w:ascii="Arial" w:eastAsia="Calibri" w:hAnsi="Arial" w:cs="Arial"/>
          <w:u w:val="single"/>
        </w:rPr>
        <w:t>Critically evaluate</w:t>
      </w:r>
      <w:r w:rsidRPr="00693B87">
        <w:rPr>
          <w:rFonts w:ascii="Arial" w:eastAsia="Calibri" w:hAnsi="Arial" w:cs="Arial"/>
        </w:rPr>
        <w:t xml:space="preserve"> police strategies for dealing with public protection incidents. Your answer should </w:t>
      </w:r>
      <w:r w:rsidRPr="00584BDE">
        <w:rPr>
          <w:rFonts w:ascii="Arial" w:eastAsia="Calibri" w:hAnsi="Arial" w:cs="Arial"/>
          <w:u w:val="single"/>
        </w:rPr>
        <w:t>consider</w:t>
      </w:r>
      <w:r w:rsidRPr="00693B87">
        <w:rPr>
          <w:rFonts w:ascii="Arial" w:eastAsia="Calibri" w:hAnsi="Arial" w:cs="Arial"/>
        </w:rPr>
        <w:t xml:space="preserve"> the impact of abuse on </w:t>
      </w:r>
      <w:r w:rsidRPr="00B14E6D">
        <w:rPr>
          <w:rFonts w:ascii="Arial" w:eastAsia="Calibri" w:hAnsi="Arial" w:cs="Arial"/>
        </w:rPr>
        <w:t>victims, the potential impact of bias on the investigative process, and the links between Serious and Organised Crime Groups and public protection issues.</w:t>
      </w:r>
    </w:p>
    <w:p w14:paraId="1349B379" w14:textId="77777777" w:rsidR="00EC5973" w:rsidRDefault="00EC5973" w:rsidP="00EC5973">
      <w:pPr>
        <w:spacing w:line="257" w:lineRule="auto"/>
        <w:ind w:right="531"/>
        <w:jc w:val="both"/>
        <w:rPr>
          <w:rFonts w:ascii="Arial" w:eastAsia="Calibri" w:hAnsi="Arial" w:cs="Arial"/>
        </w:rPr>
      </w:pPr>
      <w:r>
        <w:rPr>
          <w:rFonts w:ascii="Arial" w:eastAsia="Calibri" w:hAnsi="Arial" w:cs="Arial"/>
        </w:rPr>
        <w:t xml:space="preserve">Public Protection incidents refer to incidents where members of the public have been victims of serious crimes. Chiefly, these crimes are committed by dangerous and serial sex offenders. To ensure that members of the public are protected from these offenders, there exists policing strategies which are reinforced across the United Kingdom. One of these strategies is that of Multi-Agency Public Protection Arrangements (MAPPA). </w:t>
      </w:r>
    </w:p>
    <w:p w14:paraId="12F4C212" w14:textId="1FE79B9E" w:rsidR="00EC5973" w:rsidRDefault="00EC5973" w:rsidP="00EC5973">
      <w:pPr>
        <w:spacing w:line="257" w:lineRule="auto"/>
        <w:ind w:right="531"/>
        <w:jc w:val="both"/>
        <w:rPr>
          <w:rFonts w:ascii="Arial" w:eastAsia="Calibri" w:hAnsi="Arial" w:cs="Arial"/>
        </w:rPr>
      </w:pPr>
      <w:r>
        <w:rPr>
          <w:rFonts w:ascii="Arial" w:eastAsia="Calibri" w:hAnsi="Arial" w:cs="Arial"/>
        </w:rPr>
        <w:t xml:space="preserve">MAPPA was designed to provide protection to members of the public, including those who have been victims of crime from any harm that may be posed by sexual, violent, or other dangerous offenders (MAPPA, 2022). MAPPA requires a partnership between agencies such as the police, probation, and prison services to assess and evaluate the risk of violent, sexual, and dangerous offenders in the community (Hudson et al. 2015). At times, further agencies are involved such as social services, youth offender teams and housing authorities (Hudson et al. 2015). Offenders who fall under MAPPA must meet the eligibility requirement in terms of the offence(s) that they have committed and the seriousness of said offence(s). Once an offender is under MAPPA and their risk is assessed, they are placed into one of the three levels pertaining to their risk and their management in the community. </w:t>
      </w:r>
    </w:p>
    <w:p w14:paraId="0E96EF74" w14:textId="77777777" w:rsidR="00EC5973" w:rsidRDefault="00EC5973" w:rsidP="00EC5973">
      <w:pPr>
        <w:spacing w:line="257" w:lineRule="auto"/>
        <w:ind w:right="531"/>
        <w:jc w:val="both"/>
        <w:rPr>
          <w:rFonts w:ascii="Arial" w:eastAsia="Calibri" w:hAnsi="Arial" w:cs="Arial"/>
        </w:rPr>
      </w:pPr>
      <w:r w:rsidRPr="008F3B5A">
        <w:rPr>
          <w:rFonts w:ascii="Arial" w:hAnsi="Arial" w:cs="Arial"/>
        </w:rPr>
        <w:t>As previously iterated, there are three categories of risk levels in MAPPA, and these risk levels affect the way in which the offenders are managed. The way in which an offender is managed and the risk they pose to the community changes throughout the time they are under the supervision of MAPPA. The effectiveness of MAPPA can be evaluated in terms of dealing with public protection incidents and issues by the various ways in which offenders are managed. The effectiveness of MAPPA can be assessed by a crucial part of the management process. One of the ways in which an offender is managed is through their location and where they should be housed in a community. This discussion focuses on the risk of the offender to those around them as well as to themselves. In order to house an offender appropriately, the housing authorities must play a role in this decision and will be asked to provide suitable housing. Whilst care is taken to avoid all risks, sometimes the placement of the offender does worse than good.</w:t>
      </w:r>
    </w:p>
    <w:p w14:paraId="197C1DF5" w14:textId="77777777" w:rsidR="00EC5973" w:rsidRDefault="00EC5973" w:rsidP="00EC5973">
      <w:pPr>
        <w:spacing w:line="257" w:lineRule="auto"/>
        <w:ind w:right="531"/>
        <w:jc w:val="both"/>
        <w:rPr>
          <w:rFonts w:ascii="Arial" w:hAnsi="Arial" w:cs="Arial"/>
        </w:rPr>
      </w:pPr>
      <w:r w:rsidRPr="008F3B5A">
        <w:rPr>
          <w:rFonts w:ascii="Arial" w:hAnsi="Arial" w:cs="Arial"/>
        </w:rPr>
        <w:t>Kemshall and Wood (2008) argue that the placement of offenders such as</w:t>
      </w:r>
      <w:r>
        <w:rPr>
          <w:rFonts w:ascii="Arial" w:hAnsi="Arial" w:cs="Arial"/>
        </w:rPr>
        <w:t xml:space="preserve"> registered sex offenders</w:t>
      </w:r>
      <w:r w:rsidRPr="008F3B5A">
        <w:rPr>
          <w:rFonts w:ascii="Arial" w:hAnsi="Arial" w:cs="Arial"/>
        </w:rPr>
        <w:t xml:space="preserve"> </w:t>
      </w:r>
      <w:r>
        <w:rPr>
          <w:rFonts w:ascii="Arial" w:hAnsi="Arial" w:cs="Arial"/>
        </w:rPr>
        <w:t>(</w:t>
      </w:r>
      <w:r w:rsidRPr="008F3B5A">
        <w:rPr>
          <w:rFonts w:ascii="Arial" w:hAnsi="Arial" w:cs="Arial"/>
        </w:rPr>
        <w:t>RSOs</w:t>
      </w:r>
      <w:r>
        <w:rPr>
          <w:rFonts w:ascii="Arial" w:hAnsi="Arial" w:cs="Arial"/>
        </w:rPr>
        <w:t>)</w:t>
      </w:r>
      <w:r w:rsidRPr="008F3B5A">
        <w:rPr>
          <w:rFonts w:ascii="Arial" w:hAnsi="Arial" w:cs="Arial"/>
        </w:rPr>
        <w:t xml:space="preserve"> can exacerbate risk in terms of reoffending. More recent research such as Hudson et al. (2015) have elaborated more on this by conducting research surrounding the geographical impact of the placements of RSOs in certain areas. They stipulated that RSOs are likely to be placed into areas of depravity with the presence of social disorganisation and marginalisation (Hudson et al.</w:t>
      </w:r>
      <w:r>
        <w:rPr>
          <w:rFonts w:ascii="Arial" w:hAnsi="Arial" w:cs="Arial"/>
        </w:rPr>
        <w:t xml:space="preserve"> </w:t>
      </w:r>
      <w:r w:rsidRPr="008F3B5A">
        <w:rPr>
          <w:rFonts w:ascii="Arial" w:hAnsi="Arial" w:cs="Arial"/>
        </w:rPr>
        <w:t>2015</w:t>
      </w:r>
      <w:r>
        <w:rPr>
          <w:rFonts w:ascii="Arial" w:hAnsi="Arial" w:cs="Arial"/>
        </w:rPr>
        <w:t>)</w:t>
      </w:r>
      <w:r w:rsidRPr="008F3B5A">
        <w:rPr>
          <w:rFonts w:ascii="Arial" w:hAnsi="Arial" w:cs="Arial"/>
        </w:rPr>
        <w:t xml:space="preserve"> Because of the presence of such environmental factors, the risk of reoffending increases due to the impact such factors place on the offender’s psychological health according to Wilson &amp; Yates (2009). A further reasoning behind potential risks of reoffending is concerning the role of the housing authority when asked to provide housing for offenders such as RSOs. According to </w:t>
      </w:r>
      <w:r>
        <w:rPr>
          <w:rFonts w:ascii="Arial" w:hAnsi="Arial" w:cs="Arial"/>
        </w:rPr>
        <w:t>Gr</w:t>
      </w:r>
      <w:r w:rsidRPr="008F3B5A">
        <w:rPr>
          <w:rFonts w:ascii="Arial" w:hAnsi="Arial" w:cs="Arial"/>
        </w:rPr>
        <w:t>ange (201</w:t>
      </w:r>
      <w:r>
        <w:rPr>
          <w:rFonts w:ascii="Arial" w:hAnsi="Arial" w:cs="Arial"/>
        </w:rPr>
        <w:t>1</w:t>
      </w:r>
      <w:r w:rsidRPr="008F3B5A">
        <w:rPr>
          <w:rFonts w:ascii="Arial" w:hAnsi="Arial" w:cs="Arial"/>
        </w:rPr>
        <w:t xml:space="preserve">), some housing authorities will only assist if full disclosure is given to other </w:t>
      </w:r>
      <w:proofErr w:type="gramStart"/>
      <w:r w:rsidRPr="008F3B5A">
        <w:rPr>
          <w:rFonts w:ascii="Arial" w:hAnsi="Arial" w:cs="Arial"/>
        </w:rPr>
        <w:t>local residents</w:t>
      </w:r>
      <w:proofErr w:type="gramEnd"/>
      <w:r w:rsidRPr="008F3B5A">
        <w:rPr>
          <w:rFonts w:ascii="Arial" w:hAnsi="Arial" w:cs="Arial"/>
        </w:rPr>
        <w:t xml:space="preserve">. This itself presents issues concerning the outing of offenders such as </w:t>
      </w:r>
      <w:r>
        <w:rPr>
          <w:rFonts w:ascii="Arial" w:hAnsi="Arial" w:cs="Arial"/>
        </w:rPr>
        <w:t>RSOs</w:t>
      </w:r>
      <w:r w:rsidRPr="008F3B5A">
        <w:rPr>
          <w:rFonts w:ascii="Arial" w:hAnsi="Arial" w:cs="Arial"/>
        </w:rPr>
        <w:t xml:space="preserve">.   </w:t>
      </w:r>
    </w:p>
    <w:p w14:paraId="5CCD4AE4" w14:textId="77777777" w:rsidR="00EC5973" w:rsidRDefault="00EC5973" w:rsidP="00EC5973">
      <w:pPr>
        <w:spacing w:line="257" w:lineRule="auto"/>
        <w:ind w:right="531"/>
        <w:jc w:val="both"/>
        <w:rPr>
          <w:rFonts w:ascii="Arial" w:hAnsi="Arial" w:cs="Arial"/>
        </w:rPr>
      </w:pPr>
      <w:r>
        <w:rPr>
          <w:rFonts w:ascii="Arial" w:hAnsi="Arial" w:cs="Arial"/>
        </w:rPr>
        <w:t xml:space="preserve">Moving on, the whole purpose of MAPPA is to manage and monitor offenders, however, this can prove difficult at times especially when they do not co-operate. In order to </w:t>
      </w:r>
      <w:r>
        <w:rPr>
          <w:rFonts w:ascii="Arial" w:hAnsi="Arial" w:cs="Arial"/>
        </w:rPr>
        <w:lastRenderedPageBreak/>
        <w:t>manage offenders, sometimes home visits or restrictions are placed on them. According to Thomas (2016), under MAPPA, Police often make home visits to RSOs to conduct a risk assessment of the individual. However, at times, an RSO would be aware of the officer’s power of entries and deny them access to their home (Thomas, 2014). This would therefore lead to no risk assessment being conducted and the individual essentially not being managed correctly. In order to effectively resolve this issue, MAPPA decided that offenders of greater risks would therefore receive greater attention (Grange, 2011). I</w:t>
      </w:r>
      <w:r w:rsidRPr="00FA74AC">
        <w:rPr>
          <w:rFonts w:ascii="Arial" w:hAnsi="Arial" w:cs="Arial"/>
        </w:rPr>
        <w:t>n some cases, restrictive orders can be applied for which formulate a part of the offender’s management. There exist various orders that can be implemented against an offender. A Sexual Harm Prevention Order (SHPO) may be considered if an individual has committed offences such as rape and the possession of indecent images of children. SHPOs are orders which include prohibitions that are imposed upon an offender for the sole purpose of protecting the public from any sexual harm from said offender (CPS, 2021).</w:t>
      </w:r>
      <w:r>
        <w:rPr>
          <w:rFonts w:ascii="Arial" w:hAnsi="Arial" w:cs="Arial"/>
        </w:rPr>
        <w:t xml:space="preserve"> These orders allow for effective monitoring of the individual and act as a barrier to prevent further public protection issues. However, Grange (2011) has observed that at times, offenders apply for harassment orders against agencies such as the police in order to avoid monitoring and interference. </w:t>
      </w:r>
    </w:p>
    <w:p w14:paraId="7FAFD448" w14:textId="77777777" w:rsidR="00EC5973" w:rsidRDefault="00EC5973" w:rsidP="00EC5973">
      <w:pPr>
        <w:spacing w:line="257" w:lineRule="auto"/>
        <w:ind w:right="531"/>
        <w:jc w:val="both"/>
        <w:rPr>
          <w:rFonts w:ascii="Arial" w:hAnsi="Arial" w:cs="Arial"/>
        </w:rPr>
      </w:pPr>
      <w:r w:rsidRPr="008F3B5A">
        <w:rPr>
          <w:rFonts w:ascii="Arial" w:hAnsi="Arial" w:cs="Arial"/>
        </w:rPr>
        <w:t>The utilization of such findings questions the effectiveness of MAPPA in terms of managing offenders. All research conducted provides the conclusion that it is unlikely that offenders under MAPPA are placed in thriving areas. This is likely to mean that offenders will resort back to a life of crime due to the social isolation they are experiencing and therefore resort back to familiar and “normal” behaviour. By being socially isolated, there exists opportunities for them to seek out the comfort of what they perceive as normal. Seeking out this comfort could lead to them forming groups and committing sexual offences together. This could lead to the creation of a serious organised crime group</w:t>
      </w:r>
      <w:r>
        <w:rPr>
          <w:rFonts w:ascii="Arial" w:hAnsi="Arial" w:cs="Arial"/>
        </w:rPr>
        <w:t>s and thus issues of public protection.</w:t>
      </w:r>
    </w:p>
    <w:p w14:paraId="16ADC41C" w14:textId="1BB4BC7D" w:rsidR="00EC5973" w:rsidRPr="00EC5973" w:rsidRDefault="00EC5973" w:rsidP="00EC5973">
      <w:pPr>
        <w:spacing w:line="257" w:lineRule="auto"/>
        <w:ind w:right="531"/>
        <w:jc w:val="both"/>
        <w:rPr>
          <w:rFonts w:ascii="Arial" w:hAnsi="Arial" w:cs="Arial"/>
        </w:rPr>
      </w:pPr>
      <w:r>
        <w:rPr>
          <w:rFonts w:ascii="Arial" w:hAnsi="Arial" w:cs="Arial"/>
        </w:rPr>
        <w:t xml:space="preserve">In addition to this, improper management of the offender could lead to their victim(s) consequently encountering them again and being further victims of abuse due to trauma bonds that they have formed. </w:t>
      </w:r>
      <w:r>
        <w:rPr>
          <w:rFonts w:ascii="Arial" w:eastAsia="Calibri" w:hAnsi="Arial" w:cs="Arial"/>
        </w:rPr>
        <w:t xml:space="preserve">Sanchez et al. (2019) theorise that in cases of child sexual exploitation, an emotional connection is established through “love” to lure victims and then fear is created and developed through acts of violence and sexual assaults, which is trauma coercive bonding. Therefore, victims do not stop any further incidents due to the bond that has formed and thus places them at risk due to the lack of effective offender management under MAPPA. </w:t>
      </w:r>
    </w:p>
    <w:p w14:paraId="4A4C5A3B" w14:textId="77777777" w:rsidR="00EC5973" w:rsidRPr="002964BB" w:rsidRDefault="00EC5973" w:rsidP="00EC5973">
      <w:pPr>
        <w:spacing w:line="256" w:lineRule="auto"/>
        <w:ind w:right="531"/>
        <w:jc w:val="both"/>
        <w:rPr>
          <w:rFonts w:ascii="Arial" w:hAnsi="Arial" w:cs="Arial"/>
        </w:rPr>
      </w:pPr>
      <w:r>
        <w:rPr>
          <w:rFonts w:ascii="Arial" w:hAnsi="Arial" w:cs="Arial"/>
        </w:rPr>
        <w:t xml:space="preserve">MAPPA is evidently a strategy that believes “one size fits all” and consequently leads to generalisation surrounding on how best to deal with an offender. This as a result has consequences and effects the risk of further public protection incidents. </w:t>
      </w:r>
    </w:p>
    <w:p w14:paraId="039AD201" w14:textId="77777777" w:rsidR="00EC5973" w:rsidRDefault="00EC5973" w:rsidP="00EC5973">
      <w:pPr>
        <w:spacing w:line="256" w:lineRule="auto"/>
        <w:ind w:right="531"/>
        <w:jc w:val="both"/>
        <w:rPr>
          <w:rFonts w:ascii="Arial" w:eastAsia="Calibri" w:hAnsi="Arial" w:cs="Arial"/>
        </w:rPr>
      </w:pPr>
      <w:r>
        <w:rPr>
          <w:rFonts w:ascii="Arial" w:eastAsia="Calibri" w:hAnsi="Arial" w:cs="Arial"/>
        </w:rPr>
        <w:t xml:space="preserve">In conclusion, research suggests that whilst MAPPA can be effective in terms of dealing with public protection incidents, this depends on other agencies. Often offenders are placed into areas of social depravity which leads to them resorting back to old habits in terms of crime. Furthermore, the management of offenders in terms of home visits is not effective enough and leads to issues and thus prevents risk assessments from being conducted. However, there do exist restrictions/orders which can be placed on an offender. Overall, whilst MAPPA is effective in some cases the strategy has complications which needs to be assessed. </w:t>
      </w:r>
    </w:p>
    <w:p w14:paraId="3963191D" w14:textId="77777777" w:rsidR="00EC5973" w:rsidRDefault="00EC5973" w:rsidP="00EC5973">
      <w:pPr>
        <w:spacing w:line="257" w:lineRule="auto"/>
        <w:ind w:right="531"/>
        <w:jc w:val="both"/>
        <w:rPr>
          <w:rFonts w:ascii="Arial" w:hAnsi="Arial" w:cs="Arial"/>
        </w:rPr>
      </w:pPr>
    </w:p>
    <w:p w14:paraId="0ACF8788" w14:textId="77777777" w:rsidR="008E184C" w:rsidRDefault="00EC5973" w:rsidP="00EC5973">
      <w:pPr>
        <w:spacing w:line="257" w:lineRule="auto"/>
        <w:ind w:right="531"/>
        <w:jc w:val="both"/>
        <w:rPr>
          <w:rFonts w:ascii="Arial" w:hAnsi="Arial" w:cs="Arial"/>
        </w:rPr>
      </w:pPr>
      <w:r>
        <w:rPr>
          <w:rFonts w:ascii="Arial" w:hAnsi="Arial" w:cs="Arial"/>
        </w:rPr>
        <w:t>Word Count: 1,163</w:t>
      </w:r>
    </w:p>
    <w:p w14:paraId="2875EA2F" w14:textId="505FEB37" w:rsidR="00EC5973" w:rsidRPr="00693B87" w:rsidRDefault="00EC5973" w:rsidP="00EC5973">
      <w:pPr>
        <w:spacing w:line="257" w:lineRule="auto"/>
        <w:ind w:right="531"/>
        <w:jc w:val="both"/>
        <w:rPr>
          <w:rFonts w:ascii="Arial" w:hAnsi="Arial" w:cs="Arial"/>
        </w:rPr>
      </w:pPr>
      <w:r w:rsidRPr="00693B87">
        <w:rPr>
          <w:rFonts w:ascii="Arial" w:eastAsia="Calibri" w:hAnsi="Arial" w:cs="Arial"/>
          <w:b/>
          <w:bCs/>
        </w:rPr>
        <w:lastRenderedPageBreak/>
        <w:t xml:space="preserve">Essay five: </w:t>
      </w:r>
    </w:p>
    <w:p w14:paraId="4C35C72B" w14:textId="77777777" w:rsidR="00EC5973" w:rsidRDefault="00EC5973" w:rsidP="00EC5973">
      <w:pPr>
        <w:spacing w:line="257" w:lineRule="auto"/>
        <w:ind w:right="531"/>
        <w:jc w:val="both"/>
        <w:rPr>
          <w:rFonts w:ascii="Arial" w:eastAsia="Calibri" w:hAnsi="Arial" w:cs="Arial"/>
        </w:rPr>
      </w:pPr>
      <w:r w:rsidRPr="003321E1">
        <w:rPr>
          <w:rFonts w:ascii="Arial" w:eastAsia="Calibri" w:hAnsi="Arial" w:cs="Arial"/>
          <w:u w:val="single"/>
        </w:rPr>
        <w:t>Critically analyse</w:t>
      </w:r>
      <w:r w:rsidRPr="00693B87">
        <w:rPr>
          <w:rFonts w:ascii="Arial" w:eastAsia="Calibri" w:hAnsi="Arial" w:cs="Arial"/>
        </w:rPr>
        <w:t xml:space="preserve"> the concept of evidence-based policing and ‘what works’ in </w:t>
      </w:r>
      <w:r w:rsidRPr="00B14E6D">
        <w:rPr>
          <w:rFonts w:ascii="Arial" w:eastAsia="Calibri" w:hAnsi="Arial" w:cs="Arial"/>
        </w:rPr>
        <w:t xml:space="preserve">policing by </w:t>
      </w:r>
      <w:r w:rsidRPr="003321E1">
        <w:rPr>
          <w:rFonts w:ascii="Arial" w:eastAsia="Calibri" w:hAnsi="Arial" w:cs="Arial"/>
          <w:u w:val="single"/>
        </w:rPr>
        <w:t>evaluating</w:t>
      </w:r>
      <w:r w:rsidRPr="00B14E6D">
        <w:rPr>
          <w:rFonts w:ascii="Arial" w:eastAsia="Calibri" w:hAnsi="Arial" w:cs="Arial"/>
        </w:rPr>
        <w:t xml:space="preserve"> crime prevention theories and strategies and </w:t>
      </w:r>
      <w:r w:rsidRPr="003321E1">
        <w:rPr>
          <w:rFonts w:ascii="Arial" w:eastAsia="Calibri" w:hAnsi="Arial" w:cs="Arial"/>
          <w:u w:val="single"/>
        </w:rPr>
        <w:t>considering</w:t>
      </w:r>
      <w:r w:rsidRPr="00B14E6D">
        <w:rPr>
          <w:rFonts w:ascii="Arial" w:eastAsia="Calibri" w:hAnsi="Arial" w:cs="Arial"/>
        </w:rPr>
        <w:t xml:space="preserve"> the options available to reduce re-offending. You may choose a specific type of offence for this answer </w:t>
      </w:r>
      <w:proofErr w:type="gramStart"/>
      <w:r w:rsidRPr="00B14E6D">
        <w:rPr>
          <w:rFonts w:ascii="Arial" w:eastAsia="Calibri" w:hAnsi="Arial" w:cs="Arial"/>
        </w:rPr>
        <w:t>e.g.</w:t>
      </w:r>
      <w:proofErr w:type="gramEnd"/>
      <w:r w:rsidRPr="00B14E6D">
        <w:rPr>
          <w:rFonts w:ascii="Arial" w:eastAsia="Calibri" w:hAnsi="Arial" w:cs="Arial"/>
        </w:rPr>
        <w:t xml:space="preserve"> domestic violence, anti-social behaviour, knife crime. Your answer must be based on academic research,</w:t>
      </w:r>
      <w:r>
        <w:rPr>
          <w:rFonts w:ascii="Arial" w:eastAsia="Calibri" w:hAnsi="Arial" w:cs="Arial"/>
        </w:rPr>
        <w:t xml:space="preserve"> not personal experience.</w:t>
      </w:r>
      <w:r w:rsidRPr="00693B87">
        <w:rPr>
          <w:rFonts w:ascii="Arial" w:eastAsia="Calibri" w:hAnsi="Arial" w:cs="Arial"/>
        </w:rPr>
        <w:t xml:space="preserve"> </w:t>
      </w:r>
    </w:p>
    <w:p w14:paraId="5F935102" w14:textId="77777777" w:rsidR="00EC5973" w:rsidRDefault="00EC5973" w:rsidP="00EC5973">
      <w:pPr>
        <w:spacing w:line="257" w:lineRule="auto"/>
        <w:ind w:right="531"/>
        <w:jc w:val="both"/>
        <w:rPr>
          <w:rFonts w:ascii="Arial" w:eastAsia="Calibri" w:hAnsi="Arial" w:cs="Arial"/>
        </w:rPr>
      </w:pPr>
      <w:r>
        <w:rPr>
          <w:rFonts w:ascii="Arial" w:eastAsia="Calibri" w:hAnsi="Arial" w:cs="Arial"/>
        </w:rPr>
        <w:t>Evidence based policing (EBP) has become an integral part of the policing world. The College of Policing has created an education programme which emphasises the importance of EBP in solving crime and reducing re-offending (Brown et al. 2018; Bullock and Tilley, 2009). EBP is based upon Problem-oriented Policing (POP) whereby evidence is used to engage in problem solving to tackle crime and disorder (College of Policing, 2017). The College of Policing (2022) has become a part of the What Works Centre for Crime Reduction and their website includes a compilation of research evidence which identifies strategies for the reduction of certain crimes and supports their implementation.</w:t>
      </w:r>
    </w:p>
    <w:p w14:paraId="2D29DC3B" w14:textId="31979092" w:rsidR="00EC5973" w:rsidRDefault="00EC5973" w:rsidP="00EC5973">
      <w:pPr>
        <w:spacing w:line="257" w:lineRule="auto"/>
        <w:ind w:right="531"/>
        <w:jc w:val="both"/>
        <w:rPr>
          <w:rFonts w:ascii="Arial" w:eastAsia="Calibri" w:hAnsi="Arial" w:cs="Arial"/>
        </w:rPr>
      </w:pPr>
      <w:r>
        <w:rPr>
          <w:rFonts w:ascii="Arial" w:eastAsia="Calibri" w:hAnsi="Arial" w:cs="Arial"/>
        </w:rPr>
        <w:t>Violence against women and girls (VAWG) has become a priority in Policing and amongst the Government. An array of research has been conducted which as a result has led to an appropriate amount of crime reduction strategies. Offences concerning VAWG vary from sexual offences such as rape to domestic abuse and honour-based abuse (HM Government, 2021).</w:t>
      </w:r>
    </w:p>
    <w:p w14:paraId="39F293FB" w14:textId="77777777" w:rsidR="00EC5973" w:rsidRDefault="00EC5973" w:rsidP="00EC5973">
      <w:pPr>
        <w:spacing w:line="257" w:lineRule="auto"/>
        <w:ind w:right="531"/>
        <w:jc w:val="both"/>
        <w:rPr>
          <w:rFonts w:ascii="Arial" w:eastAsia="Calibri" w:hAnsi="Arial" w:cs="Arial"/>
        </w:rPr>
      </w:pPr>
      <w:r>
        <w:rPr>
          <w:rFonts w:ascii="Arial" w:eastAsia="Calibri" w:hAnsi="Arial" w:cs="Arial"/>
        </w:rPr>
        <w:t xml:space="preserve">A crime prevention theory and strategy that exists based on evidence concerning VAWG is that of early intervention through the means of education can reduce partner violence. Koker et al. (2013) conducted a review of studies concerning the implementation of interventions in different environments. The overall review of studies concluded that intimate partner violence (IPV) interventions which were held in communities and schools had a positive impact on the prevention and reduction of IPV (Koker et al., 2013). However, this conclusion was an assumption rather than being based on empirical evidence and rather on self-reported outcomes. Therefore, to base a conclusion on anything other than empirical evidence fails to prove their hypothesis. In addition to this, one of the issues that was identified is that majority of studies within the review focused primarily on heterosexual relationships and on the male being the abuser. Thus, reinforcing the outdated traditional view concerning the patriarchal family and reinforcing the norms of a heteronormative society. Lastly, although supportive of interventions, this review failed to provide a plan on how such interventions should be carried out. </w:t>
      </w:r>
    </w:p>
    <w:p w14:paraId="3E8D6C65" w14:textId="77777777" w:rsidR="00EC5973" w:rsidRDefault="00EC5973" w:rsidP="00EC5973">
      <w:pPr>
        <w:spacing w:line="257" w:lineRule="auto"/>
        <w:ind w:right="531"/>
        <w:jc w:val="both"/>
        <w:rPr>
          <w:rFonts w:ascii="Arial" w:eastAsia="Calibri" w:hAnsi="Arial" w:cs="Arial"/>
        </w:rPr>
      </w:pPr>
      <w:r>
        <w:rPr>
          <w:rFonts w:ascii="Arial" w:eastAsia="Calibri" w:hAnsi="Arial" w:cs="Arial"/>
        </w:rPr>
        <w:t xml:space="preserve">On the other hand, De La Rue et al. (2014) whilst in agreement with Koker et al. (2013) concerning the importance of early intervention programmes, suggests that such programmes fail to change the behaviour of individuals. Whilst these programmes educate young people about violence amongst partners, the studies within these reviews failed to acknowledge or examine if there was any impact on the behaviour of the individual (De La Rue et al. 2014). Whilst knowledge can be learnt concerning a subject, knowledge does not necessarily mean that an individual will transform their behaviour to accommodate the lessons that were learnt. </w:t>
      </w:r>
    </w:p>
    <w:p w14:paraId="32858D18" w14:textId="77777777" w:rsidR="00EC5973" w:rsidRDefault="00EC5973" w:rsidP="00EC5973">
      <w:pPr>
        <w:spacing w:line="257" w:lineRule="auto"/>
        <w:ind w:right="531"/>
        <w:jc w:val="both"/>
        <w:rPr>
          <w:rFonts w:ascii="Arial" w:eastAsia="Calibri" w:hAnsi="Arial" w:cs="Arial"/>
        </w:rPr>
      </w:pPr>
      <w:r>
        <w:rPr>
          <w:rFonts w:ascii="Arial" w:eastAsia="Calibri" w:hAnsi="Arial" w:cs="Arial"/>
        </w:rPr>
        <w:t xml:space="preserve">This research concerning early intervention shows that it does not work with regards to preventing VAGW or reducing re-offending. As a result, to use such research to inform police actions would not be suitable and would potentially catastrophically fail. This is not to say that intervention programmes should be avoided in their entirety. Knowledge is important and educating children may lead to the realisation that their home life is not </w:t>
      </w:r>
      <w:r>
        <w:rPr>
          <w:rFonts w:ascii="Arial" w:eastAsia="Calibri" w:hAnsi="Arial" w:cs="Arial"/>
        </w:rPr>
        <w:lastRenderedPageBreak/>
        <w:t xml:space="preserve">normal and consequently lead to them reporting it to an adult. Therefore, leading to police involvement and instant safeguarding of those in need. </w:t>
      </w:r>
    </w:p>
    <w:p w14:paraId="539E30EE" w14:textId="0511E378" w:rsidR="00EC5973" w:rsidRDefault="00EC5973" w:rsidP="00EC5973">
      <w:pPr>
        <w:spacing w:line="257" w:lineRule="auto"/>
        <w:ind w:right="531"/>
        <w:jc w:val="both"/>
        <w:rPr>
          <w:rFonts w:ascii="Arial" w:eastAsia="Calibri" w:hAnsi="Arial" w:cs="Arial"/>
        </w:rPr>
      </w:pPr>
      <w:r>
        <w:rPr>
          <w:rFonts w:ascii="Arial" w:eastAsia="Calibri" w:hAnsi="Arial" w:cs="Arial"/>
        </w:rPr>
        <w:t>Moving on from crime prevention theories and strategies, there exists evidence based on research concerning programmes and methods which reduce re-offending with regards to VAWG. Currently, the available evidence focuses primarily on domestic violence or sexual offences and sex offenders. According to the College of Policing (2019), one of the most effective methods available to reduce re-offending is that of Electronic Monitoring of sex offenders. 17 studies were reviewed by Belur et al. (2017) and various reasons were uncovered on EM reduces re-offending in terms of sex offenders. One of studies reviewed was that of Armstrong and Freeman (2011) whereby it was unveiled that re-offending occurs as a result of EM due to the education of offenders concerning their EM devices. The education of the offenders included conditions and rules being set in which they must agree to abide by and sometimes sign a contract (Belur e</w:t>
      </w:r>
      <w:r>
        <w:rPr>
          <w:rFonts w:ascii="Arial" w:eastAsia="Calibri" w:hAnsi="Arial" w:cs="Arial"/>
        </w:rPr>
        <w:t xml:space="preserve">t </w:t>
      </w:r>
      <w:r>
        <w:rPr>
          <w:rFonts w:ascii="Arial" w:eastAsia="Calibri" w:hAnsi="Arial" w:cs="Arial"/>
        </w:rPr>
        <w:t>a</w:t>
      </w:r>
      <w:r>
        <w:rPr>
          <w:rFonts w:ascii="Arial" w:eastAsia="Calibri" w:hAnsi="Arial" w:cs="Arial"/>
        </w:rPr>
        <w:t>l.</w:t>
      </w:r>
      <w:r>
        <w:rPr>
          <w:rFonts w:ascii="Arial" w:eastAsia="Calibri" w:hAnsi="Arial" w:cs="Arial"/>
        </w:rPr>
        <w:t xml:space="preserve"> 2017). A requirement of something such as a contract ensures that the conditions of the EM are maintained and any excuses for re-offending are dismissible as a result (Belur et al. 2017). A positive reinforcement of EM also occurs whereby some offenders are required to attend therapy situations in relation to their behaviour which can in turn tackle any behavioural issues such as alcoholism, therefore allowing a form of benefits to emerge from such restrictions (Belur et</w:t>
      </w:r>
      <w:r>
        <w:rPr>
          <w:rFonts w:ascii="Arial" w:eastAsia="Calibri" w:hAnsi="Arial" w:cs="Arial"/>
        </w:rPr>
        <w:t xml:space="preserve"> </w:t>
      </w:r>
      <w:r>
        <w:rPr>
          <w:rFonts w:ascii="Arial" w:eastAsia="Calibri" w:hAnsi="Arial" w:cs="Arial"/>
        </w:rPr>
        <w:t>al</w:t>
      </w:r>
      <w:r>
        <w:rPr>
          <w:rFonts w:ascii="Arial" w:eastAsia="Calibri" w:hAnsi="Arial" w:cs="Arial"/>
        </w:rPr>
        <w:t>.</w:t>
      </w:r>
      <w:r>
        <w:rPr>
          <w:rFonts w:ascii="Arial" w:eastAsia="Calibri" w:hAnsi="Arial" w:cs="Arial"/>
        </w:rPr>
        <w:t xml:space="preserve"> 2017). </w:t>
      </w:r>
    </w:p>
    <w:p w14:paraId="7501A4FA" w14:textId="1A502F10" w:rsidR="00EC5973" w:rsidRDefault="00EC5973" w:rsidP="00EC5973">
      <w:pPr>
        <w:spacing w:line="257" w:lineRule="auto"/>
        <w:ind w:right="531"/>
        <w:jc w:val="both"/>
        <w:rPr>
          <w:rFonts w:ascii="Arial" w:eastAsia="Calibri" w:hAnsi="Arial" w:cs="Arial"/>
        </w:rPr>
      </w:pPr>
      <w:r>
        <w:rPr>
          <w:rFonts w:ascii="Arial" w:eastAsia="Calibri" w:hAnsi="Arial" w:cs="Arial"/>
        </w:rPr>
        <w:t xml:space="preserve">The College of Policing (2019) has emphasised how the evidence surrounding EM tagging of sex offenders is an effective means of reducing re-offending and having an impact on crime reduction rates. Whilst this review of studies was explicit to sexual offenders, it is of importance with regards to VAWG, whereby sexual violence and abuse has been identified as one of the recognisable forms of violence which women and girls are subjected to (Violence Prevention Unit, 2021). </w:t>
      </w:r>
    </w:p>
    <w:p w14:paraId="690646F6" w14:textId="112A42B2" w:rsidR="00EC5973" w:rsidRDefault="00EC5973" w:rsidP="00EC5973">
      <w:pPr>
        <w:spacing w:line="257" w:lineRule="auto"/>
        <w:ind w:right="531"/>
        <w:jc w:val="both"/>
        <w:rPr>
          <w:rFonts w:ascii="Arial" w:eastAsia="Calibri" w:hAnsi="Arial" w:cs="Arial"/>
        </w:rPr>
      </w:pPr>
      <w:r>
        <w:rPr>
          <w:rFonts w:ascii="Arial" w:eastAsia="Calibri" w:hAnsi="Arial" w:cs="Arial"/>
        </w:rPr>
        <w:t xml:space="preserve">Whilst the previous crime prevention strategies and one of the available options to reduce-offending, all based on EBP have highlighted the advantages and disadvantages of EBP and its use, EBP in general has faced scrutiny by academics. Lumsden and Goode (2018) have analysed evidence-based practice in a policing context and stipulated that it provides police officers with benefits by de-legitimizing outdated research. Conversely, they also recognised the implications of EBP whereby only a glimpse of the academic research that is available can be used in policing (Lumsden and Goode, 2018). Therefore, this indicates that there exists a void in which researchers need to fill. Further critique concerning EBP is derived from Bullock and Tilley’s (2009) research whereby they have identified barriers to its implementation due to a lack of evidence existing and not being accessible to officers. Further to this, the culture and organizational structure of the Police causes issues as there exists those who are reluctant to transform their working habits and would rather maintain the traditional practice of policing (Bullock and Tilley, 2009). </w:t>
      </w:r>
    </w:p>
    <w:p w14:paraId="495CF9FC" w14:textId="77777777" w:rsidR="00DE607E" w:rsidRDefault="00EC5973" w:rsidP="00EC5973">
      <w:pPr>
        <w:spacing w:line="257" w:lineRule="auto"/>
        <w:ind w:right="531"/>
        <w:jc w:val="both"/>
        <w:rPr>
          <w:rFonts w:ascii="Arial" w:eastAsia="Calibri" w:hAnsi="Arial" w:cs="Arial"/>
        </w:rPr>
      </w:pPr>
      <w:r>
        <w:rPr>
          <w:rFonts w:ascii="Arial" w:eastAsia="Calibri" w:hAnsi="Arial" w:cs="Arial"/>
        </w:rPr>
        <w:t>A balanced analysis of the above information would be that in terms of VAWG, the crime prevention strategy based on ‘what works’ in terms of educational interventions highlights that this strategy only educates individuals and does not change their behaviour. Therefore, their effects are limited and unlikely to have an impact on the rates of crime reduction. Through EBP and research, EM tagging has been identified as an effective form of reducing re-offending in sex offenders and thus reduces the rates of VAWG. However, the above information has highlighted how researchers are very critical of EBP and that there is further work that needs to be done in order to prove its implementation into policing.</w:t>
      </w:r>
    </w:p>
    <w:p w14:paraId="3CB3ECBD" w14:textId="33EA94D8" w:rsidR="00EC5973" w:rsidRDefault="00EC5973" w:rsidP="00EC5973">
      <w:pPr>
        <w:spacing w:line="257" w:lineRule="auto"/>
        <w:ind w:right="531"/>
        <w:jc w:val="both"/>
        <w:rPr>
          <w:rFonts w:ascii="Arial" w:eastAsia="Calibri" w:hAnsi="Arial" w:cs="Arial"/>
        </w:rPr>
      </w:pPr>
      <w:r>
        <w:rPr>
          <w:rFonts w:ascii="Arial" w:eastAsia="Calibri" w:hAnsi="Arial" w:cs="Arial"/>
        </w:rPr>
        <w:lastRenderedPageBreak/>
        <w:t>Word Count: 1,128</w:t>
      </w:r>
    </w:p>
    <w:p w14:paraId="5D8DE0EE" w14:textId="77777777" w:rsidR="00EC5973" w:rsidRDefault="00EC5973" w:rsidP="00EC5973">
      <w:pPr>
        <w:spacing w:line="257" w:lineRule="auto"/>
        <w:ind w:right="531"/>
        <w:jc w:val="both"/>
        <w:rPr>
          <w:rFonts w:ascii="Arial" w:eastAsia="Calibri" w:hAnsi="Arial" w:cs="Arial"/>
        </w:rPr>
      </w:pPr>
    </w:p>
    <w:p w14:paraId="26FAF53C" w14:textId="77777777" w:rsidR="00EC5973" w:rsidRDefault="00EC5973" w:rsidP="00EC5973">
      <w:pPr>
        <w:spacing w:line="257" w:lineRule="auto"/>
        <w:ind w:right="531"/>
        <w:jc w:val="both"/>
        <w:rPr>
          <w:rFonts w:ascii="Arial" w:eastAsia="Calibri" w:hAnsi="Arial" w:cs="Arial"/>
        </w:rPr>
      </w:pPr>
    </w:p>
    <w:p w14:paraId="049ED26C" w14:textId="77777777" w:rsidR="00EC5973" w:rsidRDefault="00EC5973" w:rsidP="00EC5973">
      <w:pPr>
        <w:spacing w:line="257" w:lineRule="auto"/>
        <w:ind w:right="531"/>
        <w:jc w:val="both"/>
        <w:rPr>
          <w:rFonts w:ascii="Arial" w:eastAsia="Calibri" w:hAnsi="Arial" w:cs="Arial"/>
        </w:rPr>
      </w:pPr>
    </w:p>
    <w:p w14:paraId="5BFB219F" w14:textId="77777777" w:rsidR="00EC5973" w:rsidRDefault="00EC5973" w:rsidP="00EC5973">
      <w:pPr>
        <w:spacing w:line="257" w:lineRule="auto"/>
        <w:ind w:right="531"/>
        <w:jc w:val="both"/>
        <w:rPr>
          <w:rFonts w:ascii="Arial" w:eastAsia="Calibri" w:hAnsi="Arial" w:cs="Arial"/>
        </w:rPr>
      </w:pPr>
    </w:p>
    <w:p w14:paraId="4C45A6EE" w14:textId="77777777" w:rsidR="00EC5973" w:rsidRDefault="00EC5973" w:rsidP="00EC5973">
      <w:pPr>
        <w:spacing w:line="257" w:lineRule="auto"/>
        <w:ind w:right="531"/>
        <w:jc w:val="both"/>
        <w:rPr>
          <w:rFonts w:ascii="Arial" w:eastAsia="Calibri" w:hAnsi="Arial" w:cs="Arial"/>
        </w:rPr>
      </w:pPr>
    </w:p>
    <w:p w14:paraId="2721CDF5" w14:textId="77777777" w:rsidR="00EC5973" w:rsidRDefault="00EC5973" w:rsidP="00EC5973">
      <w:pPr>
        <w:spacing w:line="257" w:lineRule="auto"/>
        <w:ind w:right="531"/>
        <w:jc w:val="both"/>
        <w:rPr>
          <w:rFonts w:ascii="Arial" w:eastAsia="Calibri" w:hAnsi="Arial" w:cs="Arial"/>
        </w:rPr>
      </w:pPr>
    </w:p>
    <w:p w14:paraId="56E6ED25" w14:textId="77777777" w:rsidR="00EC5973" w:rsidRDefault="00EC5973" w:rsidP="00EC5973">
      <w:pPr>
        <w:spacing w:line="257" w:lineRule="auto"/>
        <w:ind w:right="531"/>
        <w:jc w:val="both"/>
        <w:rPr>
          <w:rFonts w:ascii="Arial" w:eastAsia="Calibri" w:hAnsi="Arial" w:cs="Arial"/>
        </w:rPr>
      </w:pPr>
    </w:p>
    <w:p w14:paraId="742486AB" w14:textId="77777777" w:rsidR="00EC5973" w:rsidRDefault="00EC5973" w:rsidP="00EC5973">
      <w:pPr>
        <w:spacing w:line="257" w:lineRule="auto"/>
        <w:ind w:right="531"/>
        <w:jc w:val="both"/>
        <w:rPr>
          <w:rFonts w:ascii="Arial" w:eastAsia="Calibri" w:hAnsi="Arial" w:cs="Arial"/>
        </w:rPr>
      </w:pPr>
    </w:p>
    <w:p w14:paraId="384F5358" w14:textId="77777777" w:rsidR="00EC5973" w:rsidRDefault="00EC5973" w:rsidP="00EC5973">
      <w:pPr>
        <w:spacing w:line="257" w:lineRule="auto"/>
        <w:ind w:right="531"/>
        <w:jc w:val="both"/>
        <w:rPr>
          <w:rFonts w:ascii="Arial" w:eastAsia="Calibri" w:hAnsi="Arial" w:cs="Arial"/>
        </w:rPr>
      </w:pPr>
    </w:p>
    <w:p w14:paraId="563D2F4F" w14:textId="77777777" w:rsidR="00EC5973" w:rsidRDefault="00EC5973" w:rsidP="00EC5973">
      <w:pPr>
        <w:spacing w:line="257" w:lineRule="auto"/>
        <w:ind w:right="531"/>
        <w:jc w:val="both"/>
        <w:rPr>
          <w:rFonts w:ascii="Arial" w:eastAsia="Calibri" w:hAnsi="Arial" w:cs="Arial"/>
        </w:rPr>
      </w:pPr>
    </w:p>
    <w:p w14:paraId="044CC976" w14:textId="77777777" w:rsidR="00EC5973" w:rsidRDefault="00EC5973" w:rsidP="00EC5973">
      <w:pPr>
        <w:spacing w:line="257" w:lineRule="auto"/>
        <w:ind w:right="531"/>
        <w:jc w:val="both"/>
        <w:rPr>
          <w:rFonts w:ascii="Arial" w:eastAsia="Calibri" w:hAnsi="Arial" w:cs="Arial"/>
        </w:rPr>
      </w:pPr>
    </w:p>
    <w:p w14:paraId="3B726859" w14:textId="77777777" w:rsidR="00EC5973" w:rsidRPr="00FA74AC" w:rsidRDefault="00EC5973" w:rsidP="00EC5973">
      <w:pPr>
        <w:spacing w:line="257" w:lineRule="auto"/>
        <w:ind w:right="531"/>
        <w:jc w:val="both"/>
        <w:rPr>
          <w:rFonts w:ascii="Arial" w:hAnsi="Arial" w:cs="Arial"/>
        </w:rPr>
      </w:pPr>
    </w:p>
    <w:p w14:paraId="1B44C4F9" w14:textId="77777777" w:rsidR="00EC5973" w:rsidRPr="00693B87" w:rsidRDefault="00EC5973" w:rsidP="00EC5973">
      <w:pPr>
        <w:spacing w:line="257" w:lineRule="auto"/>
        <w:ind w:right="531"/>
        <w:jc w:val="both"/>
        <w:rPr>
          <w:rFonts w:ascii="Arial" w:eastAsia="Calibri" w:hAnsi="Arial" w:cs="Arial"/>
        </w:rPr>
      </w:pPr>
    </w:p>
    <w:p w14:paraId="4C76FB17" w14:textId="77777777" w:rsidR="00EC5973" w:rsidRPr="00EC5973" w:rsidRDefault="00EC5973" w:rsidP="00EC5973">
      <w:pPr>
        <w:spacing w:line="276" w:lineRule="auto"/>
        <w:jc w:val="both"/>
        <w:rPr>
          <w:rFonts w:ascii="Arial" w:hAnsi="Arial" w:cs="Arial"/>
        </w:rPr>
      </w:pPr>
    </w:p>
    <w:p w14:paraId="17C2A53E" w14:textId="77777777" w:rsidR="00EC5973" w:rsidRPr="00B14E6D" w:rsidRDefault="00EC5973" w:rsidP="00EC5973">
      <w:pPr>
        <w:spacing w:line="257" w:lineRule="auto"/>
        <w:ind w:right="531"/>
        <w:jc w:val="both"/>
        <w:rPr>
          <w:rFonts w:ascii="Arial" w:hAnsi="Arial" w:cs="Arial"/>
        </w:rPr>
      </w:pPr>
    </w:p>
    <w:p w14:paraId="6FAD5ACC" w14:textId="77777777" w:rsidR="00EC5973" w:rsidRDefault="00EC5973" w:rsidP="00EC5973">
      <w:pPr>
        <w:spacing w:line="257" w:lineRule="auto"/>
        <w:ind w:right="531"/>
        <w:jc w:val="both"/>
        <w:rPr>
          <w:rFonts w:ascii="Arial" w:eastAsia="Arial" w:hAnsi="Arial" w:cs="Arial"/>
        </w:rPr>
      </w:pPr>
    </w:p>
    <w:p w14:paraId="08642CF4" w14:textId="77777777" w:rsidR="00EC5973" w:rsidRPr="00EC5973" w:rsidRDefault="00EC5973" w:rsidP="00EC5973">
      <w:pPr>
        <w:spacing w:line="257" w:lineRule="auto"/>
        <w:ind w:right="531"/>
        <w:jc w:val="both"/>
        <w:rPr>
          <w:rFonts w:ascii="Arial" w:hAnsi="Arial" w:cs="Arial"/>
          <w:b/>
          <w:bCs/>
        </w:rPr>
      </w:pPr>
    </w:p>
    <w:p w14:paraId="25598960" w14:textId="77777777" w:rsidR="00EC5973" w:rsidRPr="006860C6" w:rsidRDefault="00EC5973" w:rsidP="00EC5973">
      <w:pPr>
        <w:jc w:val="both"/>
        <w:rPr>
          <w:rFonts w:ascii="Arial" w:hAnsi="Arial" w:cs="Arial"/>
        </w:rPr>
      </w:pPr>
    </w:p>
    <w:p w14:paraId="280BBD44" w14:textId="77777777" w:rsidR="00EC5973" w:rsidRPr="00693B87" w:rsidRDefault="00EC5973" w:rsidP="00EC5973">
      <w:pPr>
        <w:spacing w:line="257" w:lineRule="auto"/>
        <w:ind w:right="531"/>
        <w:jc w:val="both"/>
        <w:rPr>
          <w:rFonts w:ascii="Arial" w:eastAsia="Calibri" w:hAnsi="Arial" w:cs="Arial"/>
        </w:rPr>
      </w:pPr>
    </w:p>
    <w:p w14:paraId="130DC63C" w14:textId="5EF34AC9" w:rsidR="00EC5973" w:rsidRDefault="00EC5973" w:rsidP="00EC5973">
      <w:pPr>
        <w:jc w:val="both"/>
        <w:rPr>
          <w:rFonts w:ascii="Arial" w:hAnsi="Arial" w:cs="Arial"/>
        </w:rPr>
      </w:pPr>
    </w:p>
    <w:p w14:paraId="3688F29D" w14:textId="3ED03299" w:rsidR="00EC5973" w:rsidRDefault="00EC5973" w:rsidP="00EC5973">
      <w:pPr>
        <w:jc w:val="both"/>
        <w:rPr>
          <w:rFonts w:ascii="Arial" w:hAnsi="Arial" w:cs="Arial"/>
        </w:rPr>
      </w:pPr>
    </w:p>
    <w:p w14:paraId="5431EEF3" w14:textId="1AA8B22D" w:rsidR="00EC5973" w:rsidRDefault="00EC5973" w:rsidP="00EC5973">
      <w:pPr>
        <w:jc w:val="both"/>
        <w:rPr>
          <w:rFonts w:ascii="Arial" w:hAnsi="Arial" w:cs="Arial"/>
        </w:rPr>
      </w:pPr>
    </w:p>
    <w:p w14:paraId="54C83047" w14:textId="1EF0FC05" w:rsidR="00EC5973" w:rsidRDefault="00EC5973" w:rsidP="00EC5973">
      <w:pPr>
        <w:jc w:val="both"/>
        <w:rPr>
          <w:rFonts w:ascii="Arial" w:hAnsi="Arial" w:cs="Arial"/>
        </w:rPr>
      </w:pPr>
    </w:p>
    <w:p w14:paraId="1E0118B2" w14:textId="2B1D2614" w:rsidR="00EC5973" w:rsidRDefault="00EC5973" w:rsidP="00EC5973">
      <w:pPr>
        <w:jc w:val="both"/>
        <w:rPr>
          <w:rFonts w:ascii="Arial" w:hAnsi="Arial" w:cs="Arial"/>
        </w:rPr>
      </w:pPr>
    </w:p>
    <w:p w14:paraId="184A96B3" w14:textId="008404CF" w:rsidR="00EC5973" w:rsidRDefault="00EC5973" w:rsidP="00EC5973">
      <w:pPr>
        <w:jc w:val="both"/>
        <w:rPr>
          <w:rFonts w:ascii="Arial" w:hAnsi="Arial" w:cs="Arial"/>
        </w:rPr>
      </w:pPr>
    </w:p>
    <w:p w14:paraId="63B91A04" w14:textId="4F27FAB9" w:rsidR="00EC5973" w:rsidRDefault="00EC5973" w:rsidP="00EC5973">
      <w:pPr>
        <w:jc w:val="both"/>
        <w:rPr>
          <w:rFonts w:ascii="Arial" w:hAnsi="Arial" w:cs="Arial"/>
        </w:rPr>
      </w:pPr>
    </w:p>
    <w:p w14:paraId="4BCA6665" w14:textId="2EC70CB4" w:rsidR="00EC5973" w:rsidRDefault="00EC5973" w:rsidP="00EC5973">
      <w:pPr>
        <w:jc w:val="both"/>
        <w:rPr>
          <w:rFonts w:ascii="Arial" w:hAnsi="Arial" w:cs="Arial"/>
        </w:rPr>
      </w:pPr>
    </w:p>
    <w:p w14:paraId="253F3154" w14:textId="0454387D" w:rsidR="00EC5973" w:rsidRDefault="00EC5973" w:rsidP="00EC5973">
      <w:pPr>
        <w:jc w:val="both"/>
        <w:rPr>
          <w:rFonts w:ascii="Arial" w:hAnsi="Arial" w:cs="Arial"/>
        </w:rPr>
      </w:pPr>
    </w:p>
    <w:p w14:paraId="2E07C623" w14:textId="7B49056D" w:rsidR="00EC5973" w:rsidRDefault="00EC5973" w:rsidP="00EC5973">
      <w:pPr>
        <w:jc w:val="both"/>
        <w:rPr>
          <w:rFonts w:ascii="Arial" w:hAnsi="Arial" w:cs="Arial"/>
        </w:rPr>
      </w:pPr>
    </w:p>
    <w:p w14:paraId="3B622933" w14:textId="3FD35415" w:rsidR="00EC5973" w:rsidRDefault="00EC5973" w:rsidP="00EC5973">
      <w:pPr>
        <w:jc w:val="both"/>
        <w:rPr>
          <w:rFonts w:ascii="Arial" w:hAnsi="Arial" w:cs="Arial"/>
        </w:rPr>
      </w:pPr>
    </w:p>
    <w:p w14:paraId="294D7934" w14:textId="1C2F95FC" w:rsidR="00EC5973" w:rsidRDefault="00EC5973" w:rsidP="00EC5973">
      <w:pPr>
        <w:jc w:val="both"/>
        <w:rPr>
          <w:rFonts w:ascii="Arial" w:hAnsi="Arial" w:cs="Arial"/>
        </w:rPr>
      </w:pPr>
    </w:p>
    <w:p w14:paraId="6899B312" w14:textId="568F2B1F" w:rsidR="00EC5973" w:rsidRDefault="00EC5973" w:rsidP="008E184C">
      <w:pPr>
        <w:jc w:val="center"/>
        <w:rPr>
          <w:rFonts w:ascii="Arial" w:hAnsi="Arial" w:cs="Arial"/>
          <w:b/>
          <w:bCs/>
          <w:u w:val="single"/>
        </w:rPr>
      </w:pPr>
      <w:r>
        <w:rPr>
          <w:rFonts w:ascii="Arial" w:hAnsi="Arial" w:cs="Arial"/>
          <w:b/>
          <w:bCs/>
          <w:u w:val="single"/>
        </w:rPr>
        <w:lastRenderedPageBreak/>
        <w:t>Bibliography</w:t>
      </w:r>
    </w:p>
    <w:p w14:paraId="42FE75CC" w14:textId="77777777" w:rsidR="00EC5973" w:rsidRPr="00BF31E8" w:rsidRDefault="00EC5973" w:rsidP="00EC5973">
      <w:pPr>
        <w:spacing w:before="240" w:line="240" w:lineRule="auto"/>
        <w:jc w:val="both"/>
        <w:rPr>
          <w:rFonts w:ascii="Times New Roman" w:eastAsia="Times New Roman" w:hAnsi="Times New Roman" w:cs="Times New Roman"/>
          <w:sz w:val="20"/>
          <w:szCs w:val="20"/>
        </w:rPr>
      </w:pPr>
      <w:r>
        <w:rPr>
          <w:rFonts w:ascii="Arial" w:eastAsia="Calibri" w:hAnsi="Arial" w:cs="Arial"/>
        </w:rPr>
        <w:t xml:space="preserve">Armstrong, G. S. and Freeman B. C. (2011) ‘Examining GPS monitoring alerts triggered by sex offenders: The divergence of legislative goals and practical application in community corrections’, </w:t>
      </w:r>
      <w:r>
        <w:rPr>
          <w:rFonts w:ascii="Arial" w:eastAsia="Calibri" w:hAnsi="Arial" w:cs="Arial"/>
          <w:i/>
          <w:iCs/>
        </w:rPr>
        <w:t xml:space="preserve">Journal of Criminal Justice, </w:t>
      </w:r>
      <w:r>
        <w:rPr>
          <w:rFonts w:ascii="Arial" w:eastAsia="Calibri" w:hAnsi="Arial" w:cs="Arial"/>
        </w:rPr>
        <w:t>39(1), pp. 175-182</w:t>
      </w:r>
    </w:p>
    <w:p w14:paraId="36F9F6D7" w14:textId="77777777" w:rsidR="00EC5973" w:rsidRPr="00AB46D7" w:rsidRDefault="00EC5973" w:rsidP="00EC5973">
      <w:pPr>
        <w:spacing w:before="240"/>
        <w:jc w:val="both"/>
        <w:rPr>
          <w:rFonts w:ascii="Arial" w:hAnsi="Arial" w:cs="Arial"/>
        </w:rPr>
      </w:pPr>
      <w:r w:rsidRPr="00AB46D7">
        <w:rPr>
          <w:rFonts w:ascii="Arial" w:hAnsi="Arial" w:cs="Arial"/>
        </w:rPr>
        <w:t xml:space="preserve">BBC (2021), </w:t>
      </w:r>
      <w:r w:rsidRPr="00AB46D7">
        <w:rPr>
          <w:rFonts w:ascii="Arial" w:hAnsi="Arial" w:cs="Arial"/>
          <w:i/>
          <w:iCs/>
        </w:rPr>
        <w:t>Former Somerset police officer exploited vulnerable women</w:t>
      </w:r>
      <w:r w:rsidRPr="00AB46D7">
        <w:rPr>
          <w:rFonts w:ascii="Arial" w:hAnsi="Arial" w:cs="Arial"/>
        </w:rPr>
        <w:t xml:space="preserve">. Available at: </w:t>
      </w:r>
      <w:hyperlink r:id="rId5" w:history="1">
        <w:r w:rsidRPr="00AB46D7">
          <w:rPr>
            <w:rStyle w:val="Hyperlink"/>
            <w:rFonts w:ascii="Arial" w:hAnsi="Arial" w:cs="Arial"/>
          </w:rPr>
          <w:t>https://www.bbc.co.uk/news/uk-england-somerset-59576957</w:t>
        </w:r>
      </w:hyperlink>
      <w:r w:rsidRPr="00AB46D7">
        <w:rPr>
          <w:rFonts w:ascii="Arial" w:hAnsi="Arial" w:cs="Arial"/>
        </w:rPr>
        <w:t xml:space="preserve"> (Accessed 5 October 2022). </w:t>
      </w:r>
    </w:p>
    <w:p w14:paraId="2E7F66E1" w14:textId="77777777" w:rsidR="00EC5973" w:rsidRDefault="00EC5973" w:rsidP="00EC5973">
      <w:pPr>
        <w:spacing w:before="240" w:line="257" w:lineRule="auto"/>
        <w:ind w:right="531"/>
        <w:jc w:val="both"/>
        <w:rPr>
          <w:rFonts w:ascii="Arial" w:eastAsia="Calibri" w:hAnsi="Arial" w:cs="Arial"/>
        </w:rPr>
      </w:pPr>
      <w:r>
        <w:rPr>
          <w:rFonts w:ascii="Arial" w:eastAsia="Calibri" w:hAnsi="Arial" w:cs="Arial"/>
        </w:rPr>
        <w:t xml:space="preserve">Brown, J. et el. (2018) ‘Extending the remit of evidence-based policing’, </w:t>
      </w:r>
      <w:r>
        <w:rPr>
          <w:rFonts w:ascii="Arial" w:eastAsia="Calibri" w:hAnsi="Arial" w:cs="Arial"/>
          <w:i/>
          <w:iCs/>
        </w:rPr>
        <w:t xml:space="preserve">International Journal of Police Science &amp; Management, </w:t>
      </w:r>
      <w:r>
        <w:rPr>
          <w:rFonts w:ascii="Arial" w:eastAsia="Calibri" w:hAnsi="Arial" w:cs="Arial"/>
        </w:rPr>
        <w:t>20(1), pp. 38-51.</w:t>
      </w:r>
    </w:p>
    <w:p w14:paraId="689A983B" w14:textId="77777777" w:rsidR="00EC5973" w:rsidRDefault="00EC5973" w:rsidP="00EC5973">
      <w:pPr>
        <w:spacing w:before="240" w:line="257" w:lineRule="auto"/>
        <w:ind w:right="531"/>
        <w:jc w:val="both"/>
        <w:rPr>
          <w:rFonts w:ascii="Arial" w:eastAsia="Calibri" w:hAnsi="Arial" w:cs="Arial"/>
        </w:rPr>
      </w:pPr>
      <w:r>
        <w:rPr>
          <w:rFonts w:ascii="Arial" w:eastAsia="Calibri" w:hAnsi="Arial" w:cs="Arial"/>
        </w:rPr>
        <w:t xml:space="preserve">Bullock, K. and Tilley, N. (2009) ‘Evidence-Based Policing and Crime Reduction’, </w:t>
      </w:r>
      <w:r>
        <w:rPr>
          <w:rFonts w:ascii="Arial" w:eastAsia="Calibri" w:hAnsi="Arial" w:cs="Arial"/>
          <w:i/>
          <w:iCs/>
        </w:rPr>
        <w:t xml:space="preserve">Policing, </w:t>
      </w:r>
      <w:r>
        <w:rPr>
          <w:rFonts w:ascii="Arial" w:eastAsia="Calibri" w:hAnsi="Arial" w:cs="Arial"/>
        </w:rPr>
        <w:t>3(4), pp. 381-387.</w:t>
      </w:r>
    </w:p>
    <w:p w14:paraId="0DCF0F1D" w14:textId="77777777" w:rsidR="00EC5973" w:rsidRPr="00AB46D7" w:rsidRDefault="00EC5973" w:rsidP="00EC5973">
      <w:pPr>
        <w:spacing w:before="240"/>
        <w:jc w:val="both"/>
        <w:rPr>
          <w:rFonts w:ascii="Arial" w:hAnsi="Arial" w:cs="Arial"/>
        </w:rPr>
      </w:pPr>
      <w:r w:rsidRPr="00AB46D7">
        <w:rPr>
          <w:rFonts w:ascii="Arial" w:hAnsi="Arial" w:cs="Arial"/>
        </w:rPr>
        <w:t xml:space="preserve">Burke, M. (1994), ‘The Case of the Gay Police Officer’, </w:t>
      </w:r>
      <w:r w:rsidRPr="00AB46D7">
        <w:rPr>
          <w:rFonts w:ascii="Arial" w:hAnsi="Arial" w:cs="Arial"/>
          <w:i/>
          <w:iCs/>
        </w:rPr>
        <w:t xml:space="preserve">The British Journal of Criminology, </w:t>
      </w:r>
      <w:r w:rsidRPr="00AB46D7">
        <w:rPr>
          <w:rFonts w:ascii="Arial" w:hAnsi="Arial" w:cs="Arial"/>
        </w:rPr>
        <w:t xml:space="preserve">34(2), pp. 192-203. </w:t>
      </w:r>
    </w:p>
    <w:p w14:paraId="5B8392CA" w14:textId="77777777" w:rsidR="00EC5973" w:rsidRPr="00AB46D7" w:rsidRDefault="00EC5973" w:rsidP="00EC5973">
      <w:pPr>
        <w:spacing w:before="240"/>
        <w:jc w:val="both"/>
        <w:rPr>
          <w:rFonts w:ascii="Arial" w:hAnsi="Arial" w:cs="Arial"/>
        </w:rPr>
      </w:pPr>
      <w:r w:rsidRPr="00AB46D7">
        <w:rPr>
          <w:rFonts w:ascii="Arial" w:hAnsi="Arial" w:cs="Arial"/>
        </w:rPr>
        <w:t xml:space="preserve">Cambridge Dictionary, </w:t>
      </w:r>
      <w:r w:rsidRPr="00AB46D7">
        <w:rPr>
          <w:rFonts w:ascii="Arial" w:hAnsi="Arial" w:cs="Arial"/>
          <w:i/>
          <w:iCs/>
        </w:rPr>
        <w:t xml:space="preserve">Definition of Professionalism. </w:t>
      </w:r>
      <w:r w:rsidRPr="00AB46D7">
        <w:rPr>
          <w:rFonts w:ascii="Arial" w:hAnsi="Arial" w:cs="Arial"/>
        </w:rPr>
        <w:t xml:space="preserve">Available at: </w:t>
      </w:r>
      <w:hyperlink r:id="rId6" w:history="1">
        <w:r w:rsidRPr="00AB46D7">
          <w:rPr>
            <w:rStyle w:val="Hyperlink"/>
            <w:rFonts w:ascii="Arial" w:hAnsi="Arial" w:cs="Arial"/>
          </w:rPr>
          <w:t>https://dictionary.cambridge.org/dictionary/english/professionalism</w:t>
        </w:r>
      </w:hyperlink>
      <w:r w:rsidRPr="00AB46D7">
        <w:rPr>
          <w:rFonts w:ascii="Arial" w:hAnsi="Arial" w:cs="Arial"/>
        </w:rPr>
        <w:t xml:space="preserve"> (Accessed 1 October 2022). </w:t>
      </w:r>
    </w:p>
    <w:p w14:paraId="61A3459E" w14:textId="77777777" w:rsidR="00EC5973" w:rsidRDefault="00EC5973" w:rsidP="00EC5973">
      <w:pPr>
        <w:spacing w:before="240"/>
        <w:jc w:val="both"/>
        <w:rPr>
          <w:rFonts w:ascii="Arial" w:hAnsi="Arial" w:cs="Arial"/>
        </w:rPr>
      </w:pPr>
      <w:r w:rsidRPr="00BF31E8">
        <w:rPr>
          <w:rFonts w:ascii="Arial" w:hAnsi="Arial" w:cs="Arial"/>
        </w:rPr>
        <w:t xml:space="preserve">Campbell, T. (2022) ‘’The enemy within’: football hooliganism and the Miners’ Strike’, </w:t>
      </w:r>
      <w:r w:rsidRPr="00BF31E8">
        <w:rPr>
          <w:rFonts w:ascii="Arial" w:hAnsi="Arial" w:cs="Arial"/>
          <w:i/>
          <w:iCs/>
        </w:rPr>
        <w:t xml:space="preserve">Sport in History, </w:t>
      </w:r>
      <w:r w:rsidRPr="00BF31E8">
        <w:rPr>
          <w:rFonts w:ascii="Arial" w:hAnsi="Arial" w:cs="Arial"/>
        </w:rPr>
        <w:t xml:space="preserve">pp. 1-22. </w:t>
      </w:r>
    </w:p>
    <w:p w14:paraId="4FB2B05D" w14:textId="77777777" w:rsidR="00EC5973" w:rsidRDefault="00EC5973" w:rsidP="00EC5973">
      <w:pPr>
        <w:spacing w:before="240" w:line="276" w:lineRule="auto"/>
        <w:ind w:right="531"/>
        <w:jc w:val="both"/>
        <w:rPr>
          <w:rFonts w:ascii="Arial" w:eastAsia="Calibri" w:hAnsi="Arial" w:cs="Arial"/>
        </w:rPr>
      </w:pPr>
      <w:r>
        <w:rPr>
          <w:rFonts w:ascii="Arial" w:eastAsia="Calibri" w:hAnsi="Arial" w:cs="Arial"/>
        </w:rPr>
        <w:t xml:space="preserve">College of Policing (2013), </w:t>
      </w:r>
      <w:r w:rsidRPr="00132035">
        <w:rPr>
          <w:rFonts w:ascii="Arial" w:eastAsia="Calibri" w:hAnsi="Arial" w:cs="Arial"/>
          <w:i/>
          <w:iCs/>
        </w:rPr>
        <w:t>Collection and recording</w:t>
      </w:r>
      <w:r>
        <w:rPr>
          <w:rFonts w:ascii="Arial" w:eastAsia="Calibri" w:hAnsi="Arial" w:cs="Arial"/>
        </w:rPr>
        <w:t>. Available at:</w:t>
      </w:r>
      <w:r w:rsidRPr="000F7AE5">
        <w:t xml:space="preserve"> </w:t>
      </w:r>
      <w:hyperlink r:id="rId7" w:anchor="volunteered-information" w:history="1">
        <w:r w:rsidRPr="00B60002">
          <w:rPr>
            <w:rStyle w:val="Hyperlink"/>
            <w:rFonts w:ascii="Arial" w:eastAsia="Calibri" w:hAnsi="Arial" w:cs="Arial"/>
          </w:rPr>
          <w:t>https://www.college.police.uk/app/information-management/management-police-information/collection-and-recording#volunteered-information</w:t>
        </w:r>
      </w:hyperlink>
      <w:r>
        <w:rPr>
          <w:rFonts w:ascii="Arial" w:eastAsia="Calibri" w:hAnsi="Arial" w:cs="Arial"/>
        </w:rPr>
        <w:t xml:space="preserve"> (Accessed 19 October 2022).</w:t>
      </w:r>
    </w:p>
    <w:p w14:paraId="1524C431" w14:textId="77777777" w:rsidR="00EC5973" w:rsidRDefault="00EC5973" w:rsidP="00EC5973">
      <w:pPr>
        <w:spacing w:before="240"/>
        <w:jc w:val="both"/>
        <w:rPr>
          <w:rFonts w:ascii="Arial" w:hAnsi="Arial" w:cs="Arial"/>
        </w:rPr>
      </w:pPr>
      <w:r w:rsidRPr="00BF31E8">
        <w:rPr>
          <w:rFonts w:ascii="Arial" w:hAnsi="Arial" w:cs="Arial"/>
        </w:rPr>
        <w:t xml:space="preserve">College of Policing (2013), </w:t>
      </w:r>
      <w:r w:rsidRPr="00BF31E8">
        <w:rPr>
          <w:rFonts w:ascii="Arial" w:hAnsi="Arial" w:cs="Arial"/>
          <w:i/>
          <w:iCs/>
        </w:rPr>
        <w:t xml:space="preserve">Definitions. </w:t>
      </w:r>
      <w:r w:rsidRPr="00BF31E8">
        <w:rPr>
          <w:rFonts w:ascii="Arial" w:hAnsi="Arial" w:cs="Arial"/>
        </w:rPr>
        <w:t>Available at:</w:t>
      </w:r>
      <w:r w:rsidRPr="00BF31E8">
        <w:rPr>
          <w:rFonts w:ascii="Arial" w:hAnsi="Arial" w:cs="Arial"/>
          <w:i/>
          <w:iCs/>
        </w:rPr>
        <w:t xml:space="preserve"> </w:t>
      </w:r>
      <w:hyperlink r:id="rId8" w:history="1">
        <w:r w:rsidRPr="00BF31E8">
          <w:rPr>
            <w:rStyle w:val="Hyperlink"/>
            <w:rFonts w:ascii="Arial" w:hAnsi="Arial" w:cs="Arial"/>
            <w:b/>
            <w:bCs/>
          </w:rPr>
          <w:t>www.college.police.uk/app/civil-emergencies/disaster-victim-identification/definitions</w:t>
        </w:r>
      </w:hyperlink>
      <w:r w:rsidRPr="00BF31E8">
        <w:rPr>
          <w:rFonts w:ascii="Arial" w:hAnsi="Arial" w:cs="Arial"/>
          <w:b/>
          <w:bCs/>
          <w:u w:val="single"/>
        </w:rPr>
        <w:t xml:space="preserve"> </w:t>
      </w:r>
      <w:r w:rsidRPr="00BF31E8">
        <w:rPr>
          <w:rFonts w:ascii="Arial" w:hAnsi="Arial" w:cs="Arial"/>
        </w:rPr>
        <w:t>(Accessed: 21 November 2022)</w:t>
      </w:r>
      <w:r>
        <w:rPr>
          <w:rFonts w:ascii="Arial" w:hAnsi="Arial" w:cs="Arial"/>
        </w:rPr>
        <w:t>.</w:t>
      </w:r>
    </w:p>
    <w:p w14:paraId="3E874E90" w14:textId="77777777" w:rsidR="00EC5973" w:rsidRDefault="00EC5973" w:rsidP="00EC5973">
      <w:pPr>
        <w:spacing w:before="240" w:line="257" w:lineRule="auto"/>
        <w:ind w:right="531"/>
        <w:jc w:val="both"/>
        <w:rPr>
          <w:rFonts w:ascii="Arial" w:hAnsi="Arial" w:cs="Arial"/>
        </w:rPr>
      </w:pPr>
      <w:r>
        <w:rPr>
          <w:rFonts w:ascii="Arial" w:hAnsi="Arial" w:cs="Arial"/>
        </w:rPr>
        <w:t xml:space="preserve">College of Policing (2013), </w:t>
      </w:r>
      <w:r w:rsidRPr="00843B37">
        <w:rPr>
          <w:rFonts w:ascii="Arial" w:hAnsi="Arial" w:cs="Arial"/>
          <w:i/>
          <w:iCs/>
        </w:rPr>
        <w:t>Intelligence collection, development and disseminatio</w:t>
      </w:r>
      <w:r>
        <w:rPr>
          <w:rFonts w:ascii="Arial" w:hAnsi="Arial" w:cs="Arial"/>
          <w:i/>
          <w:iCs/>
        </w:rPr>
        <w:t>n.</w:t>
      </w:r>
      <w:r w:rsidRPr="00843B37">
        <w:rPr>
          <w:rFonts w:ascii="Arial" w:hAnsi="Arial" w:cs="Arial"/>
          <w:i/>
          <w:iCs/>
        </w:rPr>
        <w:t xml:space="preserve"> </w:t>
      </w:r>
      <w:r>
        <w:rPr>
          <w:rFonts w:ascii="Arial" w:hAnsi="Arial" w:cs="Arial"/>
        </w:rPr>
        <w:t xml:space="preserve">Available at: </w:t>
      </w:r>
      <w:hyperlink r:id="rId9" w:anchor="tasked-information" w:history="1">
        <w:r w:rsidRPr="00B60002">
          <w:rPr>
            <w:rStyle w:val="Hyperlink"/>
            <w:rFonts w:ascii="Arial" w:hAnsi="Arial" w:cs="Arial"/>
          </w:rPr>
          <w:t>https://www.college.police.uk/app/intelligence-management/intelligence-collection-development-and-dissemination#tasked-information</w:t>
        </w:r>
      </w:hyperlink>
      <w:r>
        <w:rPr>
          <w:rFonts w:ascii="Arial" w:hAnsi="Arial" w:cs="Arial"/>
        </w:rPr>
        <w:t xml:space="preserve"> (Accessed 19 October 2022).</w:t>
      </w:r>
    </w:p>
    <w:p w14:paraId="67DDBE15" w14:textId="77777777" w:rsidR="00EC5973" w:rsidRPr="00AB46D7" w:rsidRDefault="00EC5973" w:rsidP="00EC5973">
      <w:pPr>
        <w:spacing w:before="240"/>
        <w:jc w:val="both"/>
        <w:rPr>
          <w:rFonts w:ascii="Arial" w:hAnsi="Arial" w:cs="Arial"/>
        </w:rPr>
      </w:pPr>
      <w:r w:rsidRPr="00AB46D7">
        <w:rPr>
          <w:rFonts w:ascii="Arial" w:hAnsi="Arial" w:cs="Arial"/>
        </w:rPr>
        <w:t xml:space="preserve">College of Policing (2014) </w:t>
      </w:r>
      <w:r w:rsidRPr="00AB46D7">
        <w:rPr>
          <w:rFonts w:ascii="Arial" w:hAnsi="Arial" w:cs="Arial"/>
          <w:i/>
          <w:iCs/>
        </w:rPr>
        <w:t xml:space="preserve">Code of Ethics: A Code of Practice for the Principles and Standards of Professional Behaviour for the Policing Profession of England and Wales. </w:t>
      </w:r>
      <w:r w:rsidRPr="00AB46D7">
        <w:rPr>
          <w:rFonts w:ascii="Arial" w:hAnsi="Arial" w:cs="Arial"/>
        </w:rPr>
        <w:t xml:space="preserve">Coventry: College of Policing. </w:t>
      </w:r>
    </w:p>
    <w:p w14:paraId="40D20851" w14:textId="77777777" w:rsidR="00EC5973" w:rsidRDefault="00EC5973" w:rsidP="00EC5973">
      <w:pPr>
        <w:spacing w:before="240" w:line="257" w:lineRule="auto"/>
        <w:ind w:right="531"/>
        <w:jc w:val="both"/>
        <w:rPr>
          <w:rFonts w:ascii="Arial" w:eastAsia="Calibri" w:hAnsi="Arial" w:cs="Arial"/>
        </w:rPr>
      </w:pPr>
      <w:r>
        <w:rPr>
          <w:rFonts w:ascii="Arial" w:eastAsia="Calibri" w:hAnsi="Arial" w:cs="Arial"/>
        </w:rPr>
        <w:t xml:space="preserve">College of Policing (2017) </w:t>
      </w:r>
      <w:r>
        <w:rPr>
          <w:rFonts w:ascii="Arial" w:eastAsia="Calibri" w:hAnsi="Arial" w:cs="Arial"/>
          <w:i/>
          <w:iCs/>
        </w:rPr>
        <w:t xml:space="preserve">Problem-oriented Policing. </w:t>
      </w:r>
      <w:r>
        <w:rPr>
          <w:rFonts w:ascii="Arial" w:eastAsia="Calibri" w:hAnsi="Arial" w:cs="Arial"/>
        </w:rPr>
        <w:t xml:space="preserve">Available at: </w:t>
      </w:r>
      <w:hyperlink r:id="rId10" w:history="1">
        <w:r w:rsidRPr="001E7E86">
          <w:rPr>
            <w:rStyle w:val="Hyperlink"/>
            <w:rFonts w:ascii="Arial" w:eastAsia="Calibri" w:hAnsi="Arial" w:cs="Arial"/>
          </w:rPr>
          <w:t>https://www.college.police.uk/research/crime-reduction-toolkit/problem-oriented-policing</w:t>
        </w:r>
      </w:hyperlink>
      <w:r>
        <w:rPr>
          <w:rFonts w:ascii="Arial" w:eastAsia="Calibri" w:hAnsi="Arial" w:cs="Arial"/>
        </w:rPr>
        <w:t xml:space="preserve"> (Accessed: 22 November 2022).</w:t>
      </w:r>
    </w:p>
    <w:p w14:paraId="5495D95A" w14:textId="77777777" w:rsidR="00EC5973" w:rsidRPr="00646D51" w:rsidRDefault="00EC5973" w:rsidP="00EC5973">
      <w:pPr>
        <w:spacing w:before="240" w:line="257" w:lineRule="auto"/>
        <w:ind w:right="531"/>
        <w:jc w:val="both"/>
        <w:rPr>
          <w:rFonts w:ascii="Arial" w:eastAsia="Calibri" w:hAnsi="Arial" w:cs="Arial"/>
        </w:rPr>
      </w:pPr>
      <w:r>
        <w:rPr>
          <w:rFonts w:ascii="Arial" w:eastAsia="Calibri" w:hAnsi="Arial" w:cs="Arial"/>
        </w:rPr>
        <w:t xml:space="preserve">College of Policing (2019) </w:t>
      </w:r>
      <w:r>
        <w:rPr>
          <w:rFonts w:ascii="Arial" w:eastAsia="Calibri" w:hAnsi="Arial" w:cs="Arial"/>
          <w:i/>
          <w:iCs/>
        </w:rPr>
        <w:t xml:space="preserve">Electronic tagging for sex offences. </w:t>
      </w:r>
      <w:r>
        <w:rPr>
          <w:rFonts w:ascii="Arial" w:eastAsia="Calibri" w:hAnsi="Arial" w:cs="Arial"/>
        </w:rPr>
        <w:t xml:space="preserve">Available at: </w:t>
      </w:r>
      <w:hyperlink r:id="rId11" w:history="1">
        <w:r w:rsidRPr="00BE0275">
          <w:rPr>
            <w:rStyle w:val="Hyperlink"/>
            <w:rFonts w:ascii="Arial" w:eastAsia="Calibri" w:hAnsi="Arial" w:cs="Arial"/>
          </w:rPr>
          <w:t>https://www.college.police.uk/research/crime-reduction-toolkit/electronic-tagging-sex-offences</w:t>
        </w:r>
      </w:hyperlink>
      <w:r>
        <w:rPr>
          <w:rFonts w:ascii="Arial" w:eastAsia="Calibri" w:hAnsi="Arial" w:cs="Arial"/>
        </w:rPr>
        <w:t xml:space="preserve"> (Accessed: 26 November 2022). </w:t>
      </w:r>
    </w:p>
    <w:p w14:paraId="13C027F1" w14:textId="77777777" w:rsidR="00EC5973" w:rsidRDefault="00EC5973" w:rsidP="00EC5973">
      <w:pPr>
        <w:spacing w:before="240" w:line="257" w:lineRule="auto"/>
        <w:ind w:right="531"/>
        <w:jc w:val="both"/>
        <w:rPr>
          <w:rFonts w:ascii="Arial" w:eastAsia="Calibri" w:hAnsi="Arial" w:cs="Arial"/>
        </w:rPr>
      </w:pPr>
      <w:r>
        <w:rPr>
          <w:rFonts w:ascii="Arial" w:eastAsia="Calibri" w:hAnsi="Arial" w:cs="Arial"/>
        </w:rPr>
        <w:lastRenderedPageBreak/>
        <w:t xml:space="preserve">College of Policing (2022) </w:t>
      </w:r>
      <w:r>
        <w:rPr>
          <w:rFonts w:ascii="Arial" w:eastAsia="Calibri" w:hAnsi="Arial" w:cs="Arial"/>
          <w:i/>
          <w:iCs/>
        </w:rPr>
        <w:t>What Works Centre for Crime Reduction</w:t>
      </w:r>
      <w:r>
        <w:rPr>
          <w:rFonts w:ascii="Arial" w:eastAsia="Calibri" w:hAnsi="Arial" w:cs="Arial"/>
        </w:rPr>
        <w:t>. Available at</w:t>
      </w:r>
      <w:r w:rsidRPr="00211F46">
        <w:t xml:space="preserve"> </w:t>
      </w:r>
      <w:hyperlink r:id="rId12" w:history="1">
        <w:r w:rsidRPr="001E7E86">
          <w:rPr>
            <w:rStyle w:val="Hyperlink"/>
            <w:rFonts w:ascii="Arial" w:hAnsi="Arial" w:cs="Arial"/>
          </w:rPr>
          <w:t>https://</w:t>
        </w:r>
        <w:r w:rsidRPr="001E7E86">
          <w:rPr>
            <w:rStyle w:val="Hyperlink"/>
            <w:rFonts w:ascii="Arial" w:eastAsia="Calibri" w:hAnsi="Arial" w:cs="Arial"/>
          </w:rPr>
          <w:t>www.college.police.uk/research/what-works-centre-crime-reduction</w:t>
        </w:r>
      </w:hyperlink>
      <w:r>
        <w:rPr>
          <w:rFonts w:ascii="Arial" w:eastAsia="Calibri" w:hAnsi="Arial" w:cs="Arial"/>
        </w:rPr>
        <w:t xml:space="preserve"> (Accessed: 22 November 2022). </w:t>
      </w:r>
    </w:p>
    <w:p w14:paraId="4DC8FEA6" w14:textId="77777777" w:rsidR="00EC5973" w:rsidRPr="00AB46D7" w:rsidRDefault="00EC5973" w:rsidP="00EC5973">
      <w:pPr>
        <w:spacing w:before="240"/>
        <w:jc w:val="both"/>
        <w:rPr>
          <w:rFonts w:ascii="Arial" w:hAnsi="Arial" w:cs="Arial"/>
        </w:rPr>
      </w:pPr>
      <w:r w:rsidRPr="00AB46D7">
        <w:rPr>
          <w:rFonts w:ascii="Arial" w:hAnsi="Arial" w:cs="Arial"/>
        </w:rPr>
        <w:t xml:space="preserve">Connor, M. and Pakora, J. (2012), </w:t>
      </w:r>
      <w:r w:rsidRPr="00AB46D7">
        <w:rPr>
          <w:rFonts w:ascii="Arial" w:hAnsi="Arial" w:cs="Arial"/>
          <w:i/>
          <w:iCs/>
        </w:rPr>
        <w:t xml:space="preserve">Coaching and Mentoring at Work: Developing Effective Practice, </w:t>
      </w:r>
      <w:r w:rsidRPr="00AB46D7">
        <w:rPr>
          <w:rFonts w:ascii="Arial" w:hAnsi="Arial" w:cs="Arial"/>
        </w:rPr>
        <w:t>2</w:t>
      </w:r>
      <w:r w:rsidRPr="00AB46D7">
        <w:rPr>
          <w:rFonts w:ascii="Arial" w:hAnsi="Arial" w:cs="Arial"/>
          <w:vertAlign w:val="superscript"/>
        </w:rPr>
        <w:t>nd</w:t>
      </w:r>
      <w:r w:rsidRPr="00AB46D7">
        <w:rPr>
          <w:rFonts w:ascii="Arial" w:hAnsi="Arial" w:cs="Arial"/>
        </w:rPr>
        <w:t xml:space="preserve"> Edition</w:t>
      </w:r>
      <w:r w:rsidRPr="00AB46D7">
        <w:rPr>
          <w:rFonts w:ascii="Arial" w:hAnsi="Arial" w:cs="Arial"/>
          <w:i/>
          <w:iCs/>
        </w:rPr>
        <w:t xml:space="preserve">. </w:t>
      </w:r>
      <w:r w:rsidRPr="00AB46D7">
        <w:rPr>
          <w:rFonts w:ascii="Arial" w:hAnsi="Arial" w:cs="Arial"/>
        </w:rPr>
        <w:t xml:space="preserve">Berkshire: Open University Press. </w:t>
      </w:r>
    </w:p>
    <w:p w14:paraId="32DE05B1" w14:textId="77777777" w:rsidR="00EC5973" w:rsidRPr="00AB46D7" w:rsidRDefault="00EC5973" w:rsidP="00EC5973">
      <w:pPr>
        <w:spacing w:before="240"/>
        <w:jc w:val="both"/>
        <w:rPr>
          <w:rFonts w:ascii="Arial" w:hAnsi="Arial" w:cs="Arial"/>
        </w:rPr>
      </w:pPr>
      <w:r w:rsidRPr="00AB46D7">
        <w:rPr>
          <w:rFonts w:ascii="Arial" w:hAnsi="Arial" w:cs="Arial"/>
        </w:rPr>
        <w:t xml:space="preserve">Cox, C. and Kirby, S. (2018), ‘Can high education reduce the negative consequences of police occupational culture amongst new recruits?’, </w:t>
      </w:r>
      <w:r w:rsidRPr="00AB46D7">
        <w:rPr>
          <w:rFonts w:ascii="Arial" w:hAnsi="Arial" w:cs="Arial"/>
          <w:i/>
          <w:iCs/>
        </w:rPr>
        <w:t xml:space="preserve">An International Journal of Police Strategies &amp; Management, </w:t>
      </w:r>
      <w:r w:rsidRPr="00AB46D7">
        <w:rPr>
          <w:rFonts w:ascii="Arial" w:hAnsi="Arial" w:cs="Arial"/>
        </w:rPr>
        <w:t xml:space="preserve">41(5), pp. 550-562. </w:t>
      </w:r>
    </w:p>
    <w:p w14:paraId="0A8D138C" w14:textId="77777777" w:rsidR="00EC5973" w:rsidRPr="00AB46D7" w:rsidRDefault="00EC5973" w:rsidP="00EC5973">
      <w:pPr>
        <w:spacing w:before="240"/>
        <w:jc w:val="both"/>
        <w:rPr>
          <w:rFonts w:ascii="Arial" w:hAnsi="Arial" w:cs="Arial"/>
        </w:rPr>
      </w:pPr>
      <w:r w:rsidRPr="00AB46D7">
        <w:rPr>
          <w:rFonts w:ascii="Arial" w:hAnsi="Arial" w:cs="Arial"/>
        </w:rPr>
        <w:t xml:space="preserve">Crank, J. (1998), </w:t>
      </w:r>
      <w:r w:rsidRPr="00AB46D7">
        <w:rPr>
          <w:rFonts w:ascii="Arial" w:hAnsi="Arial" w:cs="Arial"/>
          <w:i/>
          <w:iCs/>
        </w:rPr>
        <w:t xml:space="preserve">Understanding Police Culture. </w:t>
      </w:r>
      <w:r w:rsidRPr="00AB46D7">
        <w:rPr>
          <w:rFonts w:ascii="Arial" w:hAnsi="Arial" w:cs="Arial"/>
        </w:rPr>
        <w:t xml:space="preserve">London: Routledge. </w:t>
      </w:r>
    </w:p>
    <w:p w14:paraId="613396D5" w14:textId="77777777" w:rsidR="00EC5973" w:rsidRDefault="00EC5973" w:rsidP="00EC5973">
      <w:pPr>
        <w:spacing w:before="240"/>
        <w:jc w:val="both"/>
        <w:rPr>
          <w:rFonts w:ascii="Arial" w:hAnsi="Arial" w:cs="Arial"/>
        </w:rPr>
      </w:pPr>
      <w:r w:rsidRPr="00B959ED">
        <w:rPr>
          <w:rFonts w:ascii="Arial" w:hAnsi="Arial" w:cs="Arial"/>
        </w:rPr>
        <w:t>Crown Prosecution Service (CPS), (2021), Rape and Sexual Abuse- Chapter 15: Sexual Harm Prevention Orders (SHPOs). Available at:</w:t>
      </w:r>
      <w:r>
        <w:rPr>
          <w:rFonts w:ascii="Arial" w:hAnsi="Arial" w:cs="Arial"/>
        </w:rPr>
        <w:t xml:space="preserve"> </w:t>
      </w:r>
      <w:hyperlink r:id="rId13" w:history="1">
        <w:r w:rsidRPr="00BE0275">
          <w:rPr>
            <w:rStyle w:val="Hyperlink"/>
            <w:rFonts w:ascii="Arial" w:hAnsi="Arial" w:cs="Arial"/>
          </w:rPr>
          <w:t>https://www.cps.gov.uk/legal-guidance/rape-and-sexual-abuse-chapter-15-sexual-harm-prevention-orders-shpos</w:t>
        </w:r>
      </w:hyperlink>
      <w:r w:rsidRPr="00B959ED">
        <w:rPr>
          <w:rFonts w:ascii="Arial" w:hAnsi="Arial" w:cs="Arial"/>
        </w:rPr>
        <w:t xml:space="preserve"> (Accessed 16 October 2022). </w:t>
      </w:r>
    </w:p>
    <w:p w14:paraId="132E5355" w14:textId="77777777" w:rsidR="00EC5973" w:rsidRDefault="00EC5973" w:rsidP="00EC5973">
      <w:pPr>
        <w:spacing w:before="240"/>
        <w:jc w:val="both"/>
        <w:rPr>
          <w:rFonts w:ascii="Arial" w:hAnsi="Arial" w:cs="Arial"/>
        </w:rPr>
      </w:pPr>
      <w:r w:rsidRPr="00BF31E8">
        <w:rPr>
          <w:rFonts w:ascii="Arial" w:hAnsi="Arial" w:cs="Arial"/>
        </w:rPr>
        <w:t>Day, S. and Stanley</w:t>
      </w:r>
      <w:r>
        <w:rPr>
          <w:rFonts w:ascii="Arial" w:hAnsi="Arial" w:cs="Arial"/>
        </w:rPr>
        <w:t xml:space="preserve">, </w:t>
      </w:r>
      <w:r w:rsidRPr="00BF31E8">
        <w:rPr>
          <w:rFonts w:ascii="Arial" w:hAnsi="Arial" w:cs="Arial"/>
        </w:rPr>
        <w:t xml:space="preserve">E. (2021) Surviving State-Led Disaster: The Legacies of Hillsborough’ </w:t>
      </w:r>
      <w:r w:rsidRPr="00BF31E8">
        <w:rPr>
          <w:rFonts w:ascii="Arial" w:hAnsi="Arial" w:cs="Arial"/>
          <w:i/>
          <w:iCs/>
        </w:rPr>
        <w:t xml:space="preserve">State Crime Journal, </w:t>
      </w:r>
      <w:r w:rsidRPr="00BF31E8">
        <w:rPr>
          <w:rFonts w:ascii="Arial" w:hAnsi="Arial" w:cs="Arial"/>
        </w:rPr>
        <w:t xml:space="preserve">10(2), pp. 197-216. </w:t>
      </w:r>
    </w:p>
    <w:p w14:paraId="733F9135" w14:textId="77777777" w:rsidR="00EC5973" w:rsidRPr="00160ECC" w:rsidRDefault="00EC5973" w:rsidP="00EC5973">
      <w:pPr>
        <w:spacing w:before="240" w:line="257" w:lineRule="auto"/>
        <w:ind w:right="531"/>
        <w:jc w:val="both"/>
        <w:rPr>
          <w:rFonts w:ascii="Arial" w:eastAsia="Calibri" w:hAnsi="Arial" w:cs="Arial"/>
        </w:rPr>
      </w:pPr>
      <w:r>
        <w:rPr>
          <w:rFonts w:ascii="Arial" w:eastAsia="Calibri" w:hAnsi="Arial" w:cs="Arial"/>
        </w:rPr>
        <w:t>De La Rue, L. et al. (2014) ‘</w:t>
      </w:r>
      <w:r>
        <w:rPr>
          <w:rFonts w:ascii="Arial" w:eastAsia="Calibri" w:hAnsi="Arial" w:cs="Arial"/>
          <w:i/>
          <w:iCs/>
        </w:rPr>
        <w:t>School-Based Interventions to Reduce Dating and Sexual Violence: A Systematic Review’</w:t>
      </w:r>
      <w:r>
        <w:rPr>
          <w:rFonts w:ascii="Arial" w:eastAsia="Calibri" w:hAnsi="Arial" w:cs="Arial"/>
        </w:rPr>
        <w:t xml:space="preserve"> (Campbell Systematic Reviews).</w:t>
      </w:r>
    </w:p>
    <w:p w14:paraId="68B29A55" w14:textId="77777777" w:rsidR="00EC5973" w:rsidRDefault="00EC5973" w:rsidP="00EC5973">
      <w:pPr>
        <w:spacing w:before="240" w:line="257" w:lineRule="auto"/>
        <w:ind w:right="531"/>
        <w:jc w:val="both"/>
        <w:rPr>
          <w:rFonts w:ascii="Arial" w:hAnsi="Arial" w:cs="Arial"/>
        </w:rPr>
      </w:pPr>
      <w:r>
        <w:rPr>
          <w:rFonts w:ascii="Arial" w:hAnsi="Arial" w:cs="Arial"/>
        </w:rPr>
        <w:t xml:space="preserve">Fitzpatrick, B. (2009) ‘Immunity from the Law’ in R. Billingsley (ed.) </w:t>
      </w:r>
      <w:r>
        <w:rPr>
          <w:rFonts w:ascii="Arial" w:hAnsi="Arial" w:cs="Arial"/>
          <w:i/>
          <w:iCs/>
        </w:rPr>
        <w:t xml:space="preserve">Covert Human Intelligence Sources: The ‘Unlovely’ Face of Police Work. </w:t>
      </w:r>
      <w:r>
        <w:rPr>
          <w:rFonts w:ascii="Arial" w:hAnsi="Arial" w:cs="Arial"/>
        </w:rPr>
        <w:t xml:space="preserve">Hampshire: Waterside Press, pp. 57-72. </w:t>
      </w:r>
    </w:p>
    <w:p w14:paraId="26D7A74A" w14:textId="77777777" w:rsidR="00EC5973" w:rsidRDefault="00EC5973" w:rsidP="00EC5973">
      <w:pPr>
        <w:spacing w:before="240"/>
        <w:jc w:val="both"/>
        <w:rPr>
          <w:rFonts w:ascii="Arial" w:hAnsi="Arial" w:cs="Arial"/>
        </w:rPr>
      </w:pPr>
      <w:r w:rsidRPr="00BF31E8">
        <w:rPr>
          <w:rFonts w:ascii="Arial" w:hAnsi="Arial" w:cs="Arial"/>
        </w:rPr>
        <w:t>Foley, J. and Massey</w:t>
      </w:r>
      <w:r>
        <w:rPr>
          <w:rFonts w:ascii="Arial" w:hAnsi="Arial" w:cs="Arial"/>
        </w:rPr>
        <w:t xml:space="preserve">, </w:t>
      </w:r>
      <w:r w:rsidRPr="00BF31E8">
        <w:rPr>
          <w:rFonts w:ascii="Arial" w:hAnsi="Arial" w:cs="Arial"/>
        </w:rPr>
        <w:t xml:space="preserve">K. (2019) ‘Police officers and post-traumatic stress disorder: Discussing the deficit in research, identification and prevention in England and Wales’, </w:t>
      </w:r>
      <w:r w:rsidRPr="00BF31E8">
        <w:rPr>
          <w:rFonts w:ascii="Arial" w:hAnsi="Arial" w:cs="Arial"/>
          <w:i/>
          <w:iCs/>
        </w:rPr>
        <w:t xml:space="preserve">The Police Journal, </w:t>
      </w:r>
      <w:r w:rsidRPr="00BF31E8">
        <w:rPr>
          <w:rFonts w:ascii="Arial" w:hAnsi="Arial" w:cs="Arial"/>
        </w:rPr>
        <w:t>92(1)</w:t>
      </w:r>
      <w:r w:rsidRPr="00BF31E8">
        <w:rPr>
          <w:rFonts w:ascii="Arial" w:hAnsi="Arial" w:cs="Arial"/>
          <w:i/>
          <w:iCs/>
        </w:rPr>
        <w:t xml:space="preserve">, </w:t>
      </w:r>
      <w:r w:rsidRPr="00BF31E8">
        <w:rPr>
          <w:rFonts w:ascii="Arial" w:hAnsi="Arial" w:cs="Arial"/>
        </w:rPr>
        <w:t xml:space="preserve">pp.23-34. </w:t>
      </w:r>
    </w:p>
    <w:p w14:paraId="3A3997C0" w14:textId="77777777" w:rsidR="00EC5973" w:rsidRPr="00B959ED" w:rsidRDefault="00EC5973" w:rsidP="00EC5973">
      <w:pPr>
        <w:spacing w:before="240"/>
        <w:jc w:val="both"/>
        <w:rPr>
          <w:rFonts w:ascii="Arial" w:hAnsi="Arial" w:cs="Arial"/>
        </w:rPr>
      </w:pPr>
      <w:r w:rsidRPr="00B959ED">
        <w:rPr>
          <w:rFonts w:ascii="Arial" w:hAnsi="Arial" w:cs="Arial"/>
        </w:rPr>
        <w:t>Grange, T. (2011) 'Challenges for the police service', in A. Matreaves (ed.) Sex Offenders in the Community. London: Routledge, pp. 219-232.</w:t>
      </w:r>
    </w:p>
    <w:p w14:paraId="4E7F80BC" w14:textId="77777777" w:rsidR="00EC5973" w:rsidRDefault="00EC5973" w:rsidP="00EC5973">
      <w:pPr>
        <w:spacing w:before="240" w:line="257" w:lineRule="auto"/>
        <w:ind w:right="531"/>
        <w:jc w:val="both"/>
        <w:rPr>
          <w:rFonts w:ascii="Arial" w:eastAsia="Calibri" w:hAnsi="Arial" w:cs="Arial"/>
          <w:i/>
          <w:iCs/>
        </w:rPr>
      </w:pPr>
      <w:r>
        <w:rPr>
          <w:rFonts w:ascii="Arial" w:eastAsia="Calibri" w:hAnsi="Arial" w:cs="Arial"/>
        </w:rPr>
        <w:t xml:space="preserve">HM Government (2021) </w:t>
      </w:r>
      <w:r>
        <w:rPr>
          <w:rFonts w:ascii="Arial" w:eastAsia="Calibri" w:hAnsi="Arial" w:cs="Arial"/>
          <w:i/>
          <w:iCs/>
        </w:rPr>
        <w:t xml:space="preserve">Tackling Violence Against Women &amp; Girls: The safety of women and girls across the country is our priority. </w:t>
      </w:r>
    </w:p>
    <w:p w14:paraId="0C7A79ED" w14:textId="77777777" w:rsidR="00EC5973" w:rsidRPr="00AB46D7" w:rsidRDefault="00EC5973" w:rsidP="00EC5973">
      <w:pPr>
        <w:spacing w:before="240"/>
        <w:jc w:val="both"/>
        <w:rPr>
          <w:rFonts w:ascii="Arial" w:hAnsi="Arial" w:cs="Arial"/>
          <w:i/>
          <w:iCs/>
        </w:rPr>
      </w:pPr>
      <w:r w:rsidRPr="00AB46D7">
        <w:rPr>
          <w:rFonts w:ascii="Arial" w:hAnsi="Arial" w:cs="Arial"/>
        </w:rPr>
        <w:t xml:space="preserve">HMICFRS (2019), </w:t>
      </w:r>
      <w:r w:rsidRPr="00AB46D7">
        <w:rPr>
          <w:rFonts w:ascii="Arial" w:hAnsi="Arial" w:cs="Arial"/>
          <w:i/>
          <w:iCs/>
        </w:rPr>
        <w:t xml:space="preserve">PEEL spotlight report. Shining a light on Betrayal: Abuse of position for a sexual purpose. </w:t>
      </w:r>
    </w:p>
    <w:p w14:paraId="51A43377" w14:textId="77777777" w:rsidR="00EC5973" w:rsidRPr="00B959ED" w:rsidRDefault="00EC5973" w:rsidP="00EC5973">
      <w:pPr>
        <w:spacing w:before="240"/>
        <w:jc w:val="both"/>
        <w:rPr>
          <w:rFonts w:ascii="Arial" w:hAnsi="Arial" w:cs="Arial"/>
        </w:rPr>
      </w:pPr>
      <w:r w:rsidRPr="00B959ED">
        <w:rPr>
          <w:rFonts w:ascii="Arial" w:hAnsi="Arial" w:cs="Arial"/>
        </w:rPr>
        <w:t>Hudson, K et al. (2015) ‘Trends in the management of registered sexual offenders across England and Wales: a geographical approach to the study of sexual offending’ Journal of Sexual Aggression, 21(1), pp. 56-70.</w:t>
      </w:r>
    </w:p>
    <w:p w14:paraId="2357492E" w14:textId="77777777" w:rsidR="00EC5973" w:rsidRDefault="00EC5973" w:rsidP="00EC5973">
      <w:pPr>
        <w:spacing w:before="240"/>
        <w:jc w:val="both"/>
        <w:rPr>
          <w:rFonts w:ascii="Arial" w:hAnsi="Arial" w:cs="Arial"/>
        </w:rPr>
      </w:pPr>
      <w:r w:rsidRPr="00BF31E8">
        <w:rPr>
          <w:rFonts w:ascii="Arial" w:hAnsi="Arial" w:cs="Arial"/>
        </w:rPr>
        <w:t xml:space="preserve">IOPC (2018), </w:t>
      </w:r>
      <w:r w:rsidRPr="00BF31E8">
        <w:rPr>
          <w:rFonts w:ascii="Arial" w:hAnsi="Arial" w:cs="Arial"/>
          <w:i/>
          <w:iCs/>
        </w:rPr>
        <w:t>Hillsborough Investigation</w:t>
      </w:r>
      <w:r w:rsidRPr="00BF31E8">
        <w:rPr>
          <w:rFonts w:ascii="Arial" w:hAnsi="Arial" w:cs="Arial"/>
        </w:rPr>
        <w:t xml:space="preserve">. Available at: </w:t>
      </w:r>
      <w:hyperlink r:id="rId14" w:anchor="criminaltrial" w:history="1">
        <w:r w:rsidRPr="00BF31E8">
          <w:rPr>
            <w:rStyle w:val="Hyperlink"/>
            <w:rFonts w:ascii="Arial" w:hAnsi="Arial" w:cs="Arial"/>
          </w:rPr>
          <w:t>https://policeconduct.gov.uk/investigations/hillsborough-investigation#criminaltrial</w:t>
        </w:r>
      </w:hyperlink>
      <w:r w:rsidRPr="00BF31E8">
        <w:rPr>
          <w:rFonts w:ascii="Arial" w:hAnsi="Arial" w:cs="Arial"/>
        </w:rPr>
        <w:t xml:space="preserve"> (Accessed: 21</w:t>
      </w:r>
      <w:r w:rsidRPr="00BF31E8">
        <w:rPr>
          <w:rFonts w:ascii="Arial" w:hAnsi="Arial" w:cs="Arial"/>
          <w:vertAlign w:val="superscript"/>
        </w:rPr>
        <w:t xml:space="preserve"> </w:t>
      </w:r>
      <w:r w:rsidRPr="00BF31E8">
        <w:rPr>
          <w:rFonts w:ascii="Arial" w:hAnsi="Arial" w:cs="Arial"/>
        </w:rPr>
        <w:t>November 2022)</w:t>
      </w:r>
      <w:r>
        <w:rPr>
          <w:rFonts w:ascii="Arial" w:hAnsi="Arial" w:cs="Arial"/>
        </w:rPr>
        <w:t>.</w:t>
      </w:r>
    </w:p>
    <w:p w14:paraId="669F213B" w14:textId="77777777" w:rsidR="00EC5973" w:rsidRPr="00AB46D7" w:rsidRDefault="00EC5973" w:rsidP="00EC5973">
      <w:pPr>
        <w:spacing w:before="240"/>
        <w:jc w:val="both"/>
        <w:rPr>
          <w:rFonts w:ascii="Arial" w:hAnsi="Arial" w:cs="Arial"/>
          <w:i/>
          <w:iCs/>
        </w:rPr>
      </w:pPr>
      <w:r w:rsidRPr="00AB46D7">
        <w:rPr>
          <w:rFonts w:ascii="Arial" w:hAnsi="Arial" w:cs="Arial"/>
        </w:rPr>
        <w:t xml:space="preserve">IOPC (2022) </w:t>
      </w:r>
      <w:r w:rsidRPr="00AB46D7">
        <w:rPr>
          <w:rFonts w:ascii="Arial" w:hAnsi="Arial" w:cs="Arial"/>
          <w:i/>
          <w:iCs/>
        </w:rPr>
        <w:t>Learning the Lessons: Improving policing policy and practice.</w:t>
      </w:r>
    </w:p>
    <w:p w14:paraId="01CAC521" w14:textId="77777777" w:rsidR="00EC5973" w:rsidRPr="00B959ED" w:rsidRDefault="00EC5973" w:rsidP="00EC5973">
      <w:pPr>
        <w:spacing w:before="240"/>
        <w:jc w:val="both"/>
        <w:rPr>
          <w:rFonts w:ascii="Arial" w:hAnsi="Arial" w:cs="Arial"/>
        </w:rPr>
      </w:pPr>
      <w:r w:rsidRPr="00B959ED">
        <w:rPr>
          <w:rFonts w:ascii="Arial" w:hAnsi="Arial" w:cs="Arial"/>
        </w:rPr>
        <w:t>Kemshall, H. and Wood</w:t>
      </w:r>
      <w:r>
        <w:rPr>
          <w:rFonts w:ascii="Arial" w:hAnsi="Arial" w:cs="Arial"/>
        </w:rPr>
        <w:t>,</w:t>
      </w:r>
      <w:r w:rsidRPr="00B959ED">
        <w:rPr>
          <w:rFonts w:ascii="Arial" w:hAnsi="Arial" w:cs="Arial"/>
        </w:rPr>
        <w:t xml:space="preserve"> J. (2008) ‘Risk and Public Protection: Responding to Involuntary and ‘Taboo’ Risk, Social Policy and Administration, 42(6), pp. 611-629.</w:t>
      </w:r>
    </w:p>
    <w:p w14:paraId="5AF93DA8" w14:textId="77777777" w:rsidR="00EC5973" w:rsidRDefault="00EC5973" w:rsidP="00EC5973">
      <w:pPr>
        <w:spacing w:before="240" w:line="257" w:lineRule="auto"/>
        <w:ind w:right="531"/>
        <w:jc w:val="both"/>
        <w:rPr>
          <w:rFonts w:ascii="Arial" w:eastAsia="Calibri" w:hAnsi="Arial" w:cs="Arial"/>
        </w:rPr>
      </w:pPr>
      <w:r>
        <w:rPr>
          <w:rFonts w:ascii="Arial" w:eastAsia="Calibri" w:hAnsi="Arial" w:cs="Arial"/>
        </w:rPr>
        <w:lastRenderedPageBreak/>
        <w:t xml:space="preserve">Koker, P. D. et al. (2013) ‘A Systematic Review of Interventions for Preventing Adolescent Intimate Partner Violence’, </w:t>
      </w:r>
      <w:r>
        <w:rPr>
          <w:rFonts w:ascii="Arial" w:eastAsia="Calibri" w:hAnsi="Arial" w:cs="Arial"/>
          <w:i/>
          <w:iCs/>
        </w:rPr>
        <w:t xml:space="preserve">Journal of Adolescent Health, </w:t>
      </w:r>
      <w:r>
        <w:rPr>
          <w:rFonts w:ascii="Arial" w:eastAsia="Calibri" w:hAnsi="Arial" w:cs="Arial"/>
        </w:rPr>
        <w:t xml:space="preserve">54(1), pp. 3-13. </w:t>
      </w:r>
    </w:p>
    <w:p w14:paraId="26BF387E" w14:textId="77777777" w:rsidR="00EC5973" w:rsidRPr="00DD0DCA" w:rsidRDefault="00EC5973" w:rsidP="00EC5973">
      <w:pPr>
        <w:spacing w:before="240" w:line="257" w:lineRule="auto"/>
        <w:ind w:right="531"/>
        <w:jc w:val="both"/>
        <w:rPr>
          <w:rFonts w:ascii="Arial" w:hAnsi="Arial" w:cs="Arial"/>
        </w:rPr>
      </w:pPr>
      <w:r>
        <w:rPr>
          <w:rFonts w:ascii="Arial" w:hAnsi="Arial" w:cs="Arial"/>
        </w:rPr>
        <w:t xml:space="preserve">Lennon, J. (2009) ‘A Defence Perspective’ in R. Billingsley (ed.) </w:t>
      </w:r>
      <w:r>
        <w:rPr>
          <w:rFonts w:ascii="Arial" w:hAnsi="Arial" w:cs="Arial"/>
          <w:i/>
          <w:iCs/>
        </w:rPr>
        <w:t>Covert Human Intelligence Sources: The ‘Unlovely’ Face of Police Work.</w:t>
      </w:r>
      <w:r>
        <w:rPr>
          <w:rFonts w:ascii="Arial" w:hAnsi="Arial" w:cs="Arial"/>
        </w:rPr>
        <w:t xml:space="preserve"> Hampshire: Waterside Press, pp. 29-42.</w:t>
      </w:r>
    </w:p>
    <w:p w14:paraId="10E6F7D1" w14:textId="77777777" w:rsidR="00EC5973" w:rsidRPr="00A74AA0" w:rsidRDefault="00EC5973" w:rsidP="00EC5973">
      <w:pPr>
        <w:spacing w:before="240" w:line="257" w:lineRule="auto"/>
        <w:ind w:right="531"/>
        <w:jc w:val="both"/>
        <w:rPr>
          <w:rFonts w:ascii="Arial" w:eastAsia="Calibri" w:hAnsi="Arial" w:cs="Arial"/>
        </w:rPr>
      </w:pPr>
      <w:r>
        <w:rPr>
          <w:rFonts w:ascii="Arial" w:eastAsia="Calibri" w:hAnsi="Arial" w:cs="Arial"/>
        </w:rPr>
        <w:t xml:space="preserve">Lumsden. K and Goode, J. (2018) ‘Policing Research and the Rise of the ‘Evidence-Base’: Police Officer and Staff Understandings of Research, its Implementation and ‘What Works’’, </w:t>
      </w:r>
      <w:r>
        <w:rPr>
          <w:rFonts w:ascii="Arial" w:eastAsia="Calibri" w:hAnsi="Arial" w:cs="Arial"/>
          <w:i/>
          <w:iCs/>
        </w:rPr>
        <w:t xml:space="preserve">Sociology, </w:t>
      </w:r>
      <w:r>
        <w:rPr>
          <w:rFonts w:ascii="Arial" w:eastAsia="Calibri" w:hAnsi="Arial" w:cs="Arial"/>
        </w:rPr>
        <w:t xml:space="preserve">52(4), pp. 813-829. </w:t>
      </w:r>
    </w:p>
    <w:p w14:paraId="07BDCFB1" w14:textId="77777777" w:rsidR="00EC5973" w:rsidRPr="00B959ED" w:rsidRDefault="00EC5973" w:rsidP="00EC5973">
      <w:pPr>
        <w:spacing w:before="240"/>
        <w:jc w:val="both"/>
        <w:rPr>
          <w:rFonts w:ascii="Arial" w:hAnsi="Arial" w:cs="Arial"/>
        </w:rPr>
      </w:pPr>
      <w:r w:rsidRPr="00B959ED">
        <w:rPr>
          <w:rFonts w:ascii="Arial" w:hAnsi="Arial" w:cs="Arial"/>
        </w:rPr>
        <w:t xml:space="preserve">MAPPA (2022), </w:t>
      </w:r>
      <w:r w:rsidRPr="00BF31E8">
        <w:rPr>
          <w:rFonts w:ascii="Arial" w:hAnsi="Arial" w:cs="Arial"/>
          <w:i/>
          <w:iCs/>
        </w:rPr>
        <w:t>MAPPA GUIDANCE</w:t>
      </w:r>
      <w:r w:rsidRPr="00B959ED">
        <w:rPr>
          <w:rFonts w:ascii="Arial" w:hAnsi="Arial" w:cs="Arial"/>
        </w:rPr>
        <w:t xml:space="preserve">. </w:t>
      </w:r>
    </w:p>
    <w:p w14:paraId="17D566B6" w14:textId="77777777" w:rsidR="00EC5973" w:rsidRDefault="00EC5973" w:rsidP="00EC5973">
      <w:pPr>
        <w:spacing w:before="240"/>
        <w:jc w:val="both"/>
        <w:rPr>
          <w:rFonts w:ascii="Arial" w:eastAsia="Arial" w:hAnsi="Arial" w:cs="Arial"/>
        </w:rPr>
      </w:pPr>
      <w:r w:rsidRPr="00BF31E8">
        <w:rPr>
          <w:rFonts w:ascii="Arial" w:eastAsia="Arial" w:hAnsi="Arial" w:cs="Arial"/>
        </w:rPr>
        <w:t>Ménard K. S. and Arter</w:t>
      </w:r>
      <w:r>
        <w:rPr>
          <w:rFonts w:ascii="Arial" w:eastAsia="Arial" w:hAnsi="Arial" w:cs="Arial"/>
        </w:rPr>
        <w:t xml:space="preserve">, </w:t>
      </w:r>
      <w:r w:rsidRPr="00BF31E8">
        <w:rPr>
          <w:rFonts w:ascii="Arial" w:eastAsia="Arial" w:hAnsi="Arial" w:cs="Arial"/>
        </w:rPr>
        <w:t xml:space="preserve">M. (2013) ‘Police Officer Alcohol Use and Trauma Symptoms: Associations with Critical Incidents, Coping and Social Stressors, </w:t>
      </w:r>
      <w:r w:rsidRPr="00BF31E8">
        <w:rPr>
          <w:rFonts w:ascii="Arial" w:eastAsia="Arial" w:hAnsi="Arial" w:cs="Arial"/>
          <w:i/>
          <w:iCs/>
        </w:rPr>
        <w:t xml:space="preserve">International Journal of Stress Management, </w:t>
      </w:r>
      <w:r w:rsidRPr="00BF31E8">
        <w:rPr>
          <w:rFonts w:ascii="Arial" w:eastAsia="Arial" w:hAnsi="Arial" w:cs="Arial"/>
        </w:rPr>
        <w:t>20(1), pp. 37-56</w:t>
      </w:r>
    </w:p>
    <w:p w14:paraId="70D20A70" w14:textId="77777777" w:rsidR="00EC5973" w:rsidRDefault="00EC5973" w:rsidP="00EC5973">
      <w:pPr>
        <w:spacing w:before="240"/>
        <w:jc w:val="both"/>
        <w:rPr>
          <w:rFonts w:ascii="Arial" w:eastAsia="Arial" w:hAnsi="Arial" w:cs="Arial"/>
        </w:rPr>
      </w:pPr>
      <w:r w:rsidRPr="00BF31E8">
        <w:rPr>
          <w:rFonts w:ascii="Arial" w:eastAsia="Arial" w:hAnsi="Arial" w:cs="Arial"/>
        </w:rPr>
        <w:t xml:space="preserve">Miller et al. (2022) ‘The development of a UK police traumatic events checklist’, </w:t>
      </w:r>
      <w:r w:rsidRPr="00BF31E8">
        <w:rPr>
          <w:rFonts w:ascii="Arial" w:eastAsia="Arial" w:hAnsi="Arial" w:cs="Arial"/>
          <w:i/>
          <w:iCs/>
        </w:rPr>
        <w:t xml:space="preserve">The Police Journal, </w:t>
      </w:r>
      <w:r w:rsidRPr="00BF31E8">
        <w:rPr>
          <w:rFonts w:ascii="Arial" w:eastAsia="Arial" w:hAnsi="Arial" w:cs="Arial"/>
        </w:rPr>
        <w:t>95(1), pp. 207-223</w:t>
      </w:r>
    </w:p>
    <w:p w14:paraId="44E75EFA" w14:textId="77777777" w:rsidR="00EC5973" w:rsidRPr="00A04C3B" w:rsidRDefault="00EC5973" w:rsidP="00EC5973">
      <w:pPr>
        <w:spacing w:before="240" w:line="257" w:lineRule="auto"/>
        <w:ind w:right="531"/>
        <w:jc w:val="both"/>
        <w:rPr>
          <w:rFonts w:ascii="Arial" w:hAnsi="Arial" w:cs="Arial"/>
        </w:rPr>
      </w:pPr>
      <w:r>
        <w:rPr>
          <w:rFonts w:ascii="Arial" w:hAnsi="Arial" w:cs="Arial"/>
        </w:rPr>
        <w:t xml:space="preserve">Miller, S. (2022) ‘Truth-seeking and the principles of discrimination, necessity, proportionality and reciprocity in national security intelligence activity’ in S. Miller, M. Regan and P. Walsh (eds) </w:t>
      </w:r>
      <w:r>
        <w:rPr>
          <w:rFonts w:ascii="Arial" w:hAnsi="Arial" w:cs="Arial"/>
          <w:i/>
          <w:iCs/>
        </w:rPr>
        <w:t xml:space="preserve">National Security Intelligence and Ethics. </w:t>
      </w:r>
      <w:r>
        <w:rPr>
          <w:rFonts w:ascii="Arial" w:hAnsi="Arial" w:cs="Arial"/>
        </w:rPr>
        <w:t>London: Routledge, pp. 21-38</w:t>
      </w:r>
    </w:p>
    <w:p w14:paraId="7B33730F" w14:textId="77777777" w:rsidR="00EC5973" w:rsidRDefault="00EC5973" w:rsidP="00EC5973">
      <w:pPr>
        <w:spacing w:before="240" w:line="257" w:lineRule="auto"/>
        <w:ind w:right="531"/>
        <w:jc w:val="both"/>
        <w:rPr>
          <w:rFonts w:ascii="Arial" w:hAnsi="Arial" w:cs="Arial"/>
        </w:rPr>
      </w:pPr>
      <w:r>
        <w:rPr>
          <w:rFonts w:ascii="Arial" w:hAnsi="Arial" w:cs="Arial"/>
        </w:rPr>
        <w:t xml:space="preserve">Moffett, L., et al. (2022), ‘Inside the shadows: a survey of UK human source intelligence (HUMINT) practitioners, examining their considerations when handling a covert human intelligence source (CHIS)’ </w:t>
      </w:r>
      <w:r>
        <w:rPr>
          <w:rFonts w:ascii="Arial" w:hAnsi="Arial" w:cs="Arial"/>
          <w:i/>
          <w:iCs/>
        </w:rPr>
        <w:t xml:space="preserve">Psychiatry, Psychology and Law, </w:t>
      </w:r>
      <w:r>
        <w:rPr>
          <w:rFonts w:ascii="Arial" w:hAnsi="Arial" w:cs="Arial"/>
        </w:rPr>
        <w:t xml:space="preserve">29(4), pp. 487-505. </w:t>
      </w:r>
    </w:p>
    <w:p w14:paraId="7FD20945" w14:textId="77777777" w:rsidR="00EC5973" w:rsidRPr="00C34A5A" w:rsidRDefault="00EC5973" w:rsidP="00EC5973">
      <w:pPr>
        <w:spacing w:before="240" w:line="257" w:lineRule="auto"/>
        <w:ind w:right="531"/>
        <w:jc w:val="both"/>
      </w:pPr>
      <w:r>
        <w:rPr>
          <w:rFonts w:ascii="Arial" w:hAnsi="Arial" w:cs="Arial"/>
        </w:rPr>
        <w:t xml:space="preserve">Nunan J., et al. (2020) ‘Eliciting human intelligence: police source handlers’ perceptions and experiences of rapport during covert human intelligence sources (CHIS) interactions’, </w:t>
      </w:r>
      <w:r>
        <w:rPr>
          <w:rFonts w:ascii="Arial" w:hAnsi="Arial" w:cs="Arial"/>
          <w:i/>
          <w:iCs/>
        </w:rPr>
        <w:t xml:space="preserve">Psychiatry, Psychology and Law, </w:t>
      </w:r>
      <w:r>
        <w:rPr>
          <w:rFonts w:ascii="Arial" w:hAnsi="Arial" w:cs="Arial"/>
        </w:rPr>
        <w:t>27(4), pp. 511-537.</w:t>
      </w:r>
    </w:p>
    <w:p w14:paraId="37BAA1F7" w14:textId="77777777" w:rsidR="00EC5973" w:rsidRDefault="00EC5973" w:rsidP="00EC5973">
      <w:pPr>
        <w:spacing w:before="240" w:line="257" w:lineRule="auto"/>
        <w:ind w:right="531"/>
        <w:jc w:val="both"/>
        <w:rPr>
          <w:rFonts w:ascii="Arial" w:hAnsi="Arial" w:cs="Arial"/>
        </w:rPr>
      </w:pPr>
      <w:r>
        <w:rPr>
          <w:rFonts w:ascii="Arial" w:hAnsi="Arial" w:cs="Arial"/>
        </w:rPr>
        <w:t xml:space="preserve">Nunan J., et al. (2022) ‘The impact of rapport on intelligence yield: police source handler telephone interactions with covert human intelligence sources’ </w:t>
      </w:r>
      <w:r>
        <w:rPr>
          <w:rFonts w:ascii="Arial" w:hAnsi="Arial" w:cs="Arial"/>
          <w:i/>
          <w:iCs/>
        </w:rPr>
        <w:t xml:space="preserve">Psychiatry, Psychology and Law, </w:t>
      </w:r>
      <w:r>
        <w:rPr>
          <w:rFonts w:ascii="Arial" w:hAnsi="Arial" w:cs="Arial"/>
        </w:rPr>
        <w:t>29(1), pp. 1-19.</w:t>
      </w:r>
    </w:p>
    <w:p w14:paraId="0DE44AFD" w14:textId="77777777" w:rsidR="00EC5973" w:rsidRDefault="00EC5973" w:rsidP="00EC5973">
      <w:pPr>
        <w:spacing w:before="240"/>
        <w:jc w:val="both"/>
        <w:rPr>
          <w:rFonts w:ascii="Arial" w:hAnsi="Arial" w:cs="Arial"/>
        </w:rPr>
      </w:pPr>
      <w:r w:rsidRPr="00BF31E8">
        <w:rPr>
          <w:rFonts w:ascii="Arial" w:hAnsi="Arial" w:cs="Arial"/>
        </w:rPr>
        <w:t>Pasciak, A. and Kelley</w:t>
      </w:r>
      <w:r>
        <w:rPr>
          <w:rFonts w:ascii="Arial" w:hAnsi="Arial" w:cs="Arial"/>
        </w:rPr>
        <w:t xml:space="preserve">, </w:t>
      </w:r>
      <w:r w:rsidRPr="00BF31E8">
        <w:rPr>
          <w:rFonts w:ascii="Arial" w:hAnsi="Arial" w:cs="Arial"/>
        </w:rPr>
        <w:t xml:space="preserve">T. (2013) ‘Conformity to Traditional Gender Norms by Male Police Officers exposed to Trauma: Implications for Critical Incident Stress Debriefing’, </w:t>
      </w:r>
      <w:r w:rsidRPr="00BF31E8">
        <w:rPr>
          <w:rFonts w:ascii="Arial" w:hAnsi="Arial" w:cs="Arial"/>
          <w:i/>
          <w:iCs/>
        </w:rPr>
        <w:t xml:space="preserve">Applied Psychology in Criminal Justice, </w:t>
      </w:r>
      <w:r w:rsidRPr="00BF31E8">
        <w:rPr>
          <w:rFonts w:ascii="Arial" w:hAnsi="Arial" w:cs="Arial"/>
        </w:rPr>
        <w:t>9(2), pp. 137-156.</w:t>
      </w:r>
    </w:p>
    <w:p w14:paraId="0A1D7F9D" w14:textId="77777777" w:rsidR="00EC5973" w:rsidRDefault="00EC5973" w:rsidP="00EC5973">
      <w:pPr>
        <w:spacing w:before="240"/>
        <w:jc w:val="both"/>
        <w:rPr>
          <w:rFonts w:ascii="Arial" w:hAnsi="Arial" w:cs="Arial"/>
        </w:rPr>
      </w:pPr>
      <w:r w:rsidRPr="00BF31E8">
        <w:rPr>
          <w:rFonts w:ascii="Arial" w:hAnsi="Arial" w:cs="Arial"/>
        </w:rPr>
        <w:t xml:space="preserve">Pollock, K. (2013) </w:t>
      </w:r>
      <w:r w:rsidRPr="00BF31E8">
        <w:rPr>
          <w:rFonts w:ascii="Arial" w:hAnsi="Arial" w:cs="Arial"/>
          <w:i/>
          <w:iCs/>
        </w:rPr>
        <w:t xml:space="preserve">Review of Persistent Lessons Identified Relating to Interoperability from Emergencies and Major Incidents since 1986. </w:t>
      </w:r>
      <w:r w:rsidRPr="00BF31E8">
        <w:rPr>
          <w:rFonts w:ascii="Arial" w:hAnsi="Arial" w:cs="Arial"/>
        </w:rPr>
        <w:t xml:space="preserve">Available at: </w:t>
      </w:r>
      <w:hyperlink r:id="rId15" w:history="1">
        <w:r w:rsidRPr="00BF31E8">
          <w:rPr>
            <w:rStyle w:val="Hyperlink"/>
            <w:rFonts w:ascii="Arial" w:hAnsi="Arial" w:cs="Arial"/>
          </w:rPr>
          <w:t>https://www.jesip.org.uk/uploads/media/pdf/Pollock_Review_Oct_2013.pdf</w:t>
        </w:r>
      </w:hyperlink>
      <w:r w:rsidRPr="00BF31E8">
        <w:rPr>
          <w:rFonts w:ascii="Arial" w:hAnsi="Arial" w:cs="Arial"/>
        </w:rPr>
        <w:t xml:space="preserve"> (Accessed: 21 November 2022)</w:t>
      </w:r>
    </w:p>
    <w:p w14:paraId="28B56A40" w14:textId="77777777" w:rsidR="00EC5973" w:rsidRPr="00B959ED" w:rsidRDefault="00EC5973" w:rsidP="00EC5973">
      <w:pPr>
        <w:spacing w:before="240"/>
        <w:jc w:val="both"/>
        <w:rPr>
          <w:rFonts w:ascii="Arial" w:hAnsi="Arial" w:cs="Arial"/>
        </w:rPr>
      </w:pPr>
      <w:r w:rsidRPr="00B959ED">
        <w:rPr>
          <w:rFonts w:ascii="Arial" w:hAnsi="Arial" w:cs="Arial"/>
        </w:rPr>
        <w:t>Sanchez, R. V. et al. (2019) ‘A Concept Analysis of Trauma Coercive Bonding in the Commercial Sexual Exploitation of Children’, Journal of Paediatric Nursing, 46(1), pp. 48-54.</w:t>
      </w:r>
    </w:p>
    <w:p w14:paraId="52B9E647" w14:textId="77777777" w:rsidR="00EC5973" w:rsidRDefault="00EC5973" w:rsidP="00EC5973">
      <w:pPr>
        <w:spacing w:before="240"/>
        <w:jc w:val="both"/>
        <w:rPr>
          <w:rFonts w:ascii="Arial" w:hAnsi="Arial" w:cs="Arial"/>
        </w:rPr>
      </w:pPr>
      <w:r w:rsidRPr="00BF31E8">
        <w:rPr>
          <w:rFonts w:ascii="Arial" w:hAnsi="Arial" w:cs="Arial"/>
        </w:rPr>
        <w:t xml:space="preserve">Scraton, P. (2013) ‘Policing with Contempt: The Degrading Truth and Denial of Justice in the Aftermath of the Hillsborough Disaster’, </w:t>
      </w:r>
      <w:r w:rsidRPr="00BF31E8">
        <w:rPr>
          <w:rFonts w:ascii="Arial" w:hAnsi="Arial" w:cs="Arial"/>
          <w:i/>
          <w:iCs/>
        </w:rPr>
        <w:t xml:space="preserve">Journal of Law and Society, </w:t>
      </w:r>
      <w:r w:rsidRPr="00BF31E8">
        <w:rPr>
          <w:rFonts w:ascii="Arial" w:hAnsi="Arial" w:cs="Arial"/>
        </w:rPr>
        <w:t>26(3), pp. 273-297.</w:t>
      </w:r>
    </w:p>
    <w:p w14:paraId="40C40124" w14:textId="77777777" w:rsidR="00EC5973" w:rsidRPr="00AB46D7" w:rsidRDefault="00EC5973" w:rsidP="00EC5973">
      <w:pPr>
        <w:spacing w:before="240"/>
        <w:jc w:val="both"/>
        <w:rPr>
          <w:rFonts w:ascii="Arial" w:hAnsi="Arial" w:cs="Arial"/>
        </w:rPr>
      </w:pPr>
      <w:r w:rsidRPr="00AB46D7">
        <w:rPr>
          <w:rFonts w:ascii="Arial" w:hAnsi="Arial" w:cs="Arial"/>
        </w:rPr>
        <w:t xml:space="preserve">Stout, B. (2010) </w:t>
      </w:r>
      <w:r w:rsidRPr="00AB46D7">
        <w:rPr>
          <w:rFonts w:ascii="Arial" w:hAnsi="Arial" w:cs="Arial"/>
          <w:i/>
          <w:iCs/>
        </w:rPr>
        <w:t xml:space="preserve">Equality and Diversity in Policing. </w:t>
      </w:r>
      <w:r w:rsidRPr="00AB46D7">
        <w:rPr>
          <w:rFonts w:ascii="Arial" w:hAnsi="Arial" w:cs="Arial"/>
        </w:rPr>
        <w:t xml:space="preserve">Exeter: Learning Matters. </w:t>
      </w:r>
    </w:p>
    <w:p w14:paraId="3A6CA9A1" w14:textId="77777777" w:rsidR="00EC5973" w:rsidRPr="00AB46D7" w:rsidRDefault="00EC5973" w:rsidP="00EC5973">
      <w:pPr>
        <w:spacing w:before="240"/>
        <w:jc w:val="both"/>
        <w:rPr>
          <w:rFonts w:ascii="Arial" w:hAnsi="Arial" w:cs="Arial"/>
        </w:rPr>
      </w:pPr>
      <w:r w:rsidRPr="00AB46D7">
        <w:rPr>
          <w:rFonts w:ascii="Arial" w:hAnsi="Arial" w:cs="Arial"/>
        </w:rPr>
        <w:lastRenderedPageBreak/>
        <w:t xml:space="preserve">Sweeting, F. and Cole, T. (2022) ‘Sexual Misconduct in Police Recruits as identified by Police Trainers’, </w:t>
      </w:r>
      <w:r w:rsidRPr="00AB46D7">
        <w:rPr>
          <w:rFonts w:ascii="Arial" w:hAnsi="Arial" w:cs="Arial"/>
          <w:i/>
          <w:iCs/>
        </w:rPr>
        <w:t>Police Journal: Theory, Practice and Principles,</w:t>
      </w:r>
      <w:r w:rsidRPr="00AB46D7">
        <w:rPr>
          <w:rFonts w:ascii="Arial" w:hAnsi="Arial" w:cs="Arial"/>
        </w:rPr>
        <w:t xml:space="preserve"> pp. 1-22. </w:t>
      </w:r>
    </w:p>
    <w:p w14:paraId="75B46060" w14:textId="77777777" w:rsidR="00EC5973" w:rsidRPr="00AB46D7" w:rsidRDefault="00EC5973" w:rsidP="00EC5973">
      <w:pPr>
        <w:spacing w:before="240"/>
        <w:jc w:val="both"/>
        <w:rPr>
          <w:rFonts w:ascii="Arial" w:hAnsi="Arial" w:cs="Arial"/>
        </w:rPr>
      </w:pPr>
      <w:r w:rsidRPr="00AB46D7">
        <w:rPr>
          <w:rFonts w:ascii="Arial" w:hAnsi="Arial" w:cs="Arial"/>
        </w:rPr>
        <w:t xml:space="preserve">Sweeting, F. et al. (2020 ‘Outcomes of Police Sexual Misconduct in the UK’, </w:t>
      </w:r>
      <w:r w:rsidRPr="00AB46D7">
        <w:rPr>
          <w:rFonts w:ascii="Arial" w:hAnsi="Arial" w:cs="Arial"/>
          <w:i/>
          <w:iCs/>
        </w:rPr>
        <w:t xml:space="preserve">Policing, </w:t>
      </w:r>
      <w:r w:rsidRPr="00AB46D7">
        <w:rPr>
          <w:rFonts w:ascii="Arial" w:hAnsi="Arial" w:cs="Arial"/>
        </w:rPr>
        <w:t xml:space="preserve">15(2), pp. 1339-1351. </w:t>
      </w:r>
    </w:p>
    <w:p w14:paraId="23E22961" w14:textId="77777777" w:rsidR="00EC5973" w:rsidRPr="00B959ED" w:rsidRDefault="00EC5973" w:rsidP="00EC5973">
      <w:pPr>
        <w:spacing w:before="240"/>
        <w:jc w:val="both"/>
        <w:rPr>
          <w:rFonts w:ascii="Arial" w:hAnsi="Arial" w:cs="Arial"/>
        </w:rPr>
      </w:pPr>
      <w:r w:rsidRPr="00B959ED">
        <w:rPr>
          <w:rFonts w:ascii="Arial" w:hAnsi="Arial" w:cs="Arial"/>
        </w:rPr>
        <w:t>Thomas, T. (2016) Policing Sexual Offences and Sex Offenders, London: Palgrave Macmillan.</w:t>
      </w:r>
    </w:p>
    <w:p w14:paraId="365A344C" w14:textId="77777777" w:rsidR="00EC5973" w:rsidRPr="00E40452" w:rsidRDefault="00EC5973" w:rsidP="00EC5973">
      <w:pPr>
        <w:spacing w:before="240" w:line="257" w:lineRule="auto"/>
        <w:ind w:right="531"/>
        <w:jc w:val="both"/>
        <w:rPr>
          <w:rFonts w:ascii="Arial" w:eastAsia="Calibri" w:hAnsi="Arial" w:cs="Arial"/>
        </w:rPr>
      </w:pPr>
      <w:r>
        <w:rPr>
          <w:rFonts w:ascii="Arial" w:eastAsia="Calibri" w:hAnsi="Arial" w:cs="Arial"/>
        </w:rPr>
        <w:t xml:space="preserve">Violence Prevention Unit (2021), </w:t>
      </w:r>
      <w:r>
        <w:rPr>
          <w:rFonts w:ascii="Arial" w:eastAsia="Calibri" w:hAnsi="Arial" w:cs="Arial"/>
          <w:i/>
          <w:iCs/>
        </w:rPr>
        <w:t xml:space="preserve">What Works to Prevent Violence against Women, Domestic Abuse and Sexual Violence (VAWDASV)? Systematic Evidence Assessment </w:t>
      </w:r>
      <w:r>
        <w:rPr>
          <w:rFonts w:ascii="Arial" w:eastAsia="Calibri" w:hAnsi="Arial" w:cs="Arial"/>
        </w:rPr>
        <w:t xml:space="preserve">(Public Health Wales NHS Trust: Wales). </w:t>
      </w:r>
    </w:p>
    <w:p w14:paraId="3D951B14" w14:textId="77777777" w:rsidR="00EC5973" w:rsidRDefault="00EC5973" w:rsidP="00EC5973">
      <w:pPr>
        <w:spacing w:before="240"/>
        <w:jc w:val="both"/>
        <w:rPr>
          <w:rFonts w:ascii="Arial" w:hAnsi="Arial" w:cs="Arial"/>
        </w:rPr>
      </w:pPr>
      <w:r w:rsidRPr="00BF31E8">
        <w:rPr>
          <w:rFonts w:ascii="Arial" w:hAnsi="Arial" w:cs="Arial"/>
        </w:rPr>
        <w:t>Watson, L. and Andrews</w:t>
      </w:r>
      <w:r>
        <w:rPr>
          <w:rFonts w:ascii="Arial" w:hAnsi="Arial" w:cs="Arial"/>
        </w:rPr>
        <w:t>,</w:t>
      </w:r>
      <w:r w:rsidRPr="00BF31E8">
        <w:rPr>
          <w:rFonts w:ascii="Arial" w:hAnsi="Arial" w:cs="Arial"/>
        </w:rPr>
        <w:t xml:space="preserve"> L. (2017) ‘The Effect of a Trauma Risk Management Program on Stigma and Barriers to Help-Seeking the Police’, </w:t>
      </w:r>
      <w:r w:rsidRPr="00BF31E8">
        <w:rPr>
          <w:rFonts w:ascii="Arial" w:hAnsi="Arial" w:cs="Arial"/>
          <w:i/>
          <w:iCs/>
        </w:rPr>
        <w:t>International Journal of Stress Management</w:t>
      </w:r>
      <w:r w:rsidRPr="00BF31E8">
        <w:rPr>
          <w:rFonts w:ascii="Arial" w:hAnsi="Arial" w:cs="Arial"/>
        </w:rPr>
        <w:t xml:space="preserve">, 25(4), pp. 348-356. </w:t>
      </w:r>
    </w:p>
    <w:p w14:paraId="1C3CB572" w14:textId="77777777" w:rsidR="00EC5973" w:rsidRPr="00B959ED" w:rsidRDefault="00EC5973" w:rsidP="00EC5973">
      <w:pPr>
        <w:spacing w:before="240"/>
        <w:jc w:val="both"/>
        <w:rPr>
          <w:rFonts w:ascii="Arial" w:hAnsi="Arial" w:cs="Arial"/>
        </w:rPr>
      </w:pPr>
      <w:r w:rsidRPr="00B959ED">
        <w:rPr>
          <w:rFonts w:ascii="Arial" w:hAnsi="Arial" w:cs="Arial"/>
        </w:rPr>
        <w:t xml:space="preserve">Wilson, R. J. and Yates, P. M. (2009) ‘Effective interventions and the Good Lives Model: Maximizing treatment gains for sexual offenders’ Aggression and Violent Behaviour, 14(1), pp. 157-161. </w:t>
      </w:r>
    </w:p>
    <w:p w14:paraId="69AD9372" w14:textId="77777777" w:rsidR="00EC5973" w:rsidRPr="00EC5973" w:rsidRDefault="00EC5973" w:rsidP="00EC5973">
      <w:pPr>
        <w:jc w:val="both"/>
        <w:rPr>
          <w:rFonts w:ascii="Arial" w:hAnsi="Arial" w:cs="Arial"/>
          <w:b/>
          <w:bCs/>
          <w:u w:val="single"/>
        </w:rPr>
      </w:pPr>
    </w:p>
    <w:sectPr w:rsidR="00EC5973" w:rsidRPr="00EC59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38870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973"/>
    <w:rsid w:val="00846D49"/>
    <w:rsid w:val="008E184C"/>
    <w:rsid w:val="00AA1F81"/>
    <w:rsid w:val="00DE607E"/>
    <w:rsid w:val="00E13E90"/>
    <w:rsid w:val="00EC5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4E822"/>
  <w15:chartTrackingRefBased/>
  <w15:docId w15:val="{D7BFD6A8-C629-467F-8413-468A0372B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5973"/>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legclearfix">
    <w:name w:val="legclearfix"/>
    <w:basedOn w:val="Normal"/>
    <w:rsid w:val="00EC59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EC5973"/>
  </w:style>
  <w:style w:type="character" w:styleId="Hyperlink">
    <w:name w:val="Hyperlink"/>
    <w:basedOn w:val="DefaultParagraphFont"/>
    <w:uiPriority w:val="99"/>
    <w:unhideWhenUsed/>
    <w:rsid w:val="00EC59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app/civil-emergencies/disaster-victim-identification/definitions" TargetMode="External"/><Relationship Id="rId13" Type="http://schemas.openxmlformats.org/officeDocument/2006/relationships/hyperlink" Target="https://www.cps.gov.uk/legal-guidance/rape-and-sexual-abuse-chapter-15-sexual-harm-prevention-orders-shpos" TargetMode="External"/><Relationship Id="rId3" Type="http://schemas.openxmlformats.org/officeDocument/2006/relationships/settings" Target="settings.xml"/><Relationship Id="rId7" Type="http://schemas.openxmlformats.org/officeDocument/2006/relationships/hyperlink" Target="https://www.college.police.uk/app/information-management/management-police-information/collection-and-recording" TargetMode="External"/><Relationship Id="rId12" Type="http://schemas.openxmlformats.org/officeDocument/2006/relationships/hyperlink" Target="https://www.college.police.uk/research/what-works-centre-crime-reduc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ictionary.cambridge.org/dictionary/english/professionalism" TargetMode="External"/><Relationship Id="rId11" Type="http://schemas.openxmlformats.org/officeDocument/2006/relationships/hyperlink" Target="https://www.college.police.uk/research/crime-reduction-toolkit/electronic-tagging-sex-offences" TargetMode="External"/><Relationship Id="rId5" Type="http://schemas.openxmlformats.org/officeDocument/2006/relationships/hyperlink" Target="https://www.bbc.co.uk/news/uk-england-somerset-59576957" TargetMode="External"/><Relationship Id="rId15" Type="http://schemas.openxmlformats.org/officeDocument/2006/relationships/hyperlink" Target="https://www.jesip.org.uk/uploads/media/pdf/Pollock_Review_Oct_2013.pdf" TargetMode="External"/><Relationship Id="rId10" Type="http://schemas.openxmlformats.org/officeDocument/2006/relationships/hyperlink" Target="https://www.college.police.uk/research/crime-reduction-toolkit/problem-oriented-policing" TargetMode="External"/><Relationship Id="rId4" Type="http://schemas.openxmlformats.org/officeDocument/2006/relationships/webSettings" Target="webSettings.xml"/><Relationship Id="rId9" Type="http://schemas.openxmlformats.org/officeDocument/2006/relationships/hyperlink" Target="https://www.college.police.uk/app/intelligence-management/intelligence-collection-development-and-dissemination" TargetMode="External"/><Relationship Id="rId14" Type="http://schemas.openxmlformats.org/officeDocument/2006/relationships/hyperlink" Target="https://policeconduct.gov.uk/investigations/hillsborough-investig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16</Pages>
  <Words>7280</Words>
  <Characters>41498</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Robinson</dc:creator>
  <cp:keywords/>
  <dc:description/>
  <cp:lastModifiedBy>Charlotte Robinson</cp:lastModifiedBy>
  <cp:revision>2</cp:revision>
  <dcterms:created xsi:type="dcterms:W3CDTF">2022-11-26T19:48:00Z</dcterms:created>
  <dcterms:modified xsi:type="dcterms:W3CDTF">2022-11-26T20:01:00Z</dcterms:modified>
</cp:coreProperties>
</file>