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0EC09" w14:textId="790D8113" w:rsidR="001C3AF3" w:rsidRPr="001C3AF3" w:rsidRDefault="001C3AF3" w:rsidP="001C3AF3">
      <w:pPr>
        <w:jc w:val="center"/>
        <w:rPr>
          <w:u w:val="single"/>
        </w:rPr>
      </w:pPr>
      <w:r w:rsidRPr="001C3AF3">
        <w:rPr>
          <w:u w:val="single"/>
        </w:rPr>
        <w:t>Methods</w:t>
      </w:r>
    </w:p>
    <w:p w14:paraId="0F3FACE3" w14:textId="77777777" w:rsidR="00EA25B1" w:rsidRPr="001C3AF3" w:rsidRDefault="00EA25B1" w:rsidP="00EA25B1">
      <w:pPr>
        <w:jc w:val="center"/>
        <w:rPr>
          <w:u w:val="single"/>
        </w:rPr>
      </w:pPr>
    </w:p>
    <w:p w14:paraId="6F30989C" w14:textId="7171EE49" w:rsidR="001C3AF3" w:rsidRDefault="001C3AF3" w:rsidP="00EA25B1"/>
    <w:p w14:paraId="288B833A" w14:textId="77777777" w:rsidR="001C3AF3" w:rsidRDefault="001C3AF3" w:rsidP="001C3AF3">
      <w:pPr>
        <w:jc w:val="center"/>
      </w:pPr>
    </w:p>
    <w:p w14:paraId="33923DEB" w14:textId="5B5C2907" w:rsidR="001C3AF3" w:rsidRPr="001C3AF3" w:rsidRDefault="001C3AF3" w:rsidP="001C3AF3">
      <w:pPr>
        <w:rPr>
          <w:rFonts w:ascii="Times New Roman" w:hAnsi="Times New Roman" w:cs="Times New Roman"/>
        </w:rPr>
      </w:pPr>
      <w:r w:rsidRPr="001C3AF3">
        <w:rPr>
          <w:rFonts w:ascii="Times New Roman" w:hAnsi="Times New Roman" w:cs="Times New Roman"/>
        </w:rPr>
        <w:t xml:space="preserve">The methodology of this study involves several key steps to investigate the relationship between attentional control and assessment experiences, guided by relevant theories and empirical research. Firstly, data is collected on the research topic, focusing on participants' attentional control and assessment experiences. This data collection includes the completion of two questionnaires: the </w:t>
      </w:r>
      <w:proofErr w:type="spellStart"/>
      <w:r w:rsidRPr="001C3AF3">
        <w:rPr>
          <w:rFonts w:ascii="Times New Roman" w:hAnsi="Times New Roman" w:cs="Times New Roman"/>
        </w:rPr>
        <w:t>Derryberry</w:t>
      </w:r>
      <w:proofErr w:type="spellEnd"/>
      <w:r w:rsidRPr="001C3AF3">
        <w:rPr>
          <w:rFonts w:ascii="Times New Roman" w:hAnsi="Times New Roman" w:cs="Times New Roman"/>
        </w:rPr>
        <w:t xml:space="preserve"> and Reed (2002) Attentional Control Scale, and the Gibbs and Simpson (2003) Assessment Experience Questionnaire. The first questionnaire assesses participants' attentional control through a 20-item Likert scale, while the second delves into various aspects of assessment experiences with six sections of questions. Following data collection, the gathered information is </w:t>
      </w:r>
      <w:r w:rsidRPr="001C3AF3">
        <w:rPr>
          <w:rFonts w:ascii="Times New Roman" w:hAnsi="Times New Roman" w:cs="Times New Roman"/>
        </w:rPr>
        <w:t>analysed</w:t>
      </w:r>
      <w:r w:rsidRPr="001C3AF3">
        <w:rPr>
          <w:rFonts w:ascii="Times New Roman" w:hAnsi="Times New Roman" w:cs="Times New Roman"/>
        </w:rPr>
        <w:t xml:space="preserve"> to compare and evaluate the potential links between attentional control and assessment experiences. This comparative analysis is grounded in established theories of attention and previous empirical research in the field. By following this systematic methodology, the study aims to contribute to a deeper understanding of how attentional control influences individuals' experiences with assessments, drawing connections to existing theoretical frameworks and empirical </w:t>
      </w:r>
      <w:r w:rsidRPr="001C3AF3">
        <w:rPr>
          <w:rFonts w:ascii="Times New Roman" w:hAnsi="Times New Roman" w:cs="Times New Roman"/>
        </w:rPr>
        <w:t>findings.</w:t>
      </w:r>
    </w:p>
    <w:p w14:paraId="365B9953" w14:textId="77777777" w:rsidR="001C3AF3" w:rsidRPr="001C3AF3" w:rsidRDefault="001C3AF3" w:rsidP="001C3AF3">
      <w:pPr>
        <w:rPr>
          <w:rFonts w:ascii="Times New Roman" w:hAnsi="Times New Roman" w:cs="Times New Roman"/>
        </w:rPr>
      </w:pPr>
      <w:r w:rsidRPr="001C3AF3">
        <w:rPr>
          <w:rFonts w:ascii="Times New Roman" w:hAnsi="Times New Roman" w:cs="Times New Roman"/>
        </w:rPr>
        <w:t>Attentional control and assessment experiences are crucial aspects of cognitive functioning and educational psychology, playing significant roles in learning outcomes and academic success. This study aims to delve into these areas using a mixed-methods approach, combining quantitative measures of attentional control with qualitative insights into participants' assessment experiences. The methodology employed in this research encompasses several key steps, each carefully designed to ensure rigorous data collection, ethical considerations, and participant confidentiality.</w:t>
      </w:r>
    </w:p>
    <w:p w14:paraId="0CF2AD6C" w14:textId="77777777" w:rsidR="001C3AF3" w:rsidRPr="001C3AF3" w:rsidRDefault="001C3AF3" w:rsidP="001C3AF3">
      <w:pPr>
        <w:rPr>
          <w:rFonts w:ascii="Times New Roman" w:hAnsi="Times New Roman" w:cs="Times New Roman"/>
        </w:rPr>
      </w:pPr>
    </w:p>
    <w:p w14:paraId="7315DA58" w14:textId="77777777" w:rsidR="001C3AF3" w:rsidRPr="001C3AF3" w:rsidRDefault="001C3AF3" w:rsidP="001C3AF3">
      <w:pPr>
        <w:rPr>
          <w:rFonts w:ascii="Times New Roman" w:hAnsi="Times New Roman" w:cs="Times New Roman"/>
        </w:rPr>
      </w:pPr>
    </w:p>
    <w:p w14:paraId="28664FF7" w14:textId="631B196A" w:rsidR="001C3AF3" w:rsidRPr="001C3AF3" w:rsidRDefault="001C3AF3" w:rsidP="001C3AF3">
      <w:pPr>
        <w:rPr>
          <w:rFonts w:ascii="Times New Roman" w:hAnsi="Times New Roman" w:cs="Times New Roman"/>
        </w:rPr>
      </w:pPr>
      <w:r w:rsidRPr="001C3AF3">
        <w:rPr>
          <w:rFonts w:ascii="Times New Roman" w:hAnsi="Times New Roman" w:cs="Times New Roman"/>
        </w:rPr>
        <w:t xml:space="preserve">Recruitment and </w:t>
      </w:r>
      <w:r w:rsidRPr="001C3AF3">
        <w:rPr>
          <w:rFonts w:ascii="Times New Roman" w:hAnsi="Times New Roman" w:cs="Times New Roman"/>
        </w:rPr>
        <w:t>Enrolment</w:t>
      </w:r>
    </w:p>
    <w:p w14:paraId="499250E4" w14:textId="5218DA76" w:rsidR="001C3AF3" w:rsidRDefault="001C3AF3" w:rsidP="001C3AF3">
      <w:pPr>
        <w:rPr>
          <w:rFonts w:ascii="Times New Roman" w:hAnsi="Times New Roman" w:cs="Times New Roman"/>
        </w:rPr>
      </w:pPr>
      <w:r w:rsidRPr="001C3AF3">
        <w:rPr>
          <w:rFonts w:ascii="Times New Roman" w:hAnsi="Times New Roman" w:cs="Times New Roman"/>
        </w:rPr>
        <w:t xml:space="preserve">Participants for this study are recruited through the institution's </w:t>
      </w:r>
      <w:r>
        <w:rPr>
          <w:rFonts w:ascii="Times New Roman" w:hAnsi="Times New Roman" w:cs="Times New Roman"/>
        </w:rPr>
        <w:t>experiment management</w:t>
      </w:r>
      <w:r w:rsidRPr="001C3AF3">
        <w:rPr>
          <w:rFonts w:ascii="Times New Roman" w:hAnsi="Times New Roman" w:cs="Times New Roman"/>
        </w:rPr>
        <w:t xml:space="preserve"> System (EMS), a centralized platform designed for managing study </w:t>
      </w:r>
      <w:r w:rsidRPr="001C3AF3">
        <w:rPr>
          <w:rFonts w:ascii="Times New Roman" w:hAnsi="Times New Roman" w:cs="Times New Roman"/>
        </w:rPr>
        <w:t>enrolments</w:t>
      </w:r>
      <w:r w:rsidRPr="001C3AF3">
        <w:rPr>
          <w:rFonts w:ascii="Times New Roman" w:hAnsi="Times New Roman" w:cs="Times New Roman"/>
        </w:rPr>
        <w:t xml:space="preserve">. This system allows for efficient participant sign-up and ensures </w:t>
      </w:r>
      <w:r w:rsidRPr="001C3AF3">
        <w:rPr>
          <w:rFonts w:ascii="Times New Roman" w:hAnsi="Times New Roman" w:cs="Times New Roman"/>
        </w:rPr>
        <w:t xml:space="preserve">all participants </w:t>
      </w:r>
      <w:r w:rsidRPr="001C3AF3">
        <w:rPr>
          <w:rFonts w:ascii="Times New Roman" w:hAnsi="Times New Roman" w:cs="Times New Roman"/>
        </w:rPr>
        <w:t>will be undergraduate and post graduate students, studying one of the Psychology related degree courses at UWTSD.</w:t>
      </w:r>
      <w:r w:rsidRPr="001C3AF3">
        <w:rPr>
          <w:rFonts w:ascii="Times New Roman" w:hAnsi="Times New Roman" w:cs="Times New Roman"/>
        </w:rPr>
        <w:t xml:space="preserve"> </w:t>
      </w:r>
      <w:r w:rsidRPr="001C3AF3">
        <w:rPr>
          <w:rFonts w:ascii="Times New Roman" w:hAnsi="Times New Roman" w:cs="Times New Roman"/>
        </w:rPr>
        <w:t xml:space="preserve">All undergraduate participants will be recruited via the psychology department experiment management system on a voluntary basis, in exchange for course credits. Otherwise, purely voluntarily by post graduate students. </w:t>
      </w:r>
      <w:r w:rsidRPr="001C3AF3">
        <w:rPr>
          <w:rFonts w:ascii="Times New Roman" w:hAnsi="Times New Roman" w:cs="Times New Roman"/>
        </w:rPr>
        <w:t>F</w:t>
      </w:r>
      <w:r w:rsidRPr="001C3AF3">
        <w:rPr>
          <w:rFonts w:ascii="Times New Roman" w:hAnsi="Times New Roman" w:cs="Times New Roman"/>
        </w:rPr>
        <w:t>or undergraduate students signing up via the EMS, they will be identified via their unique EMS ID. A different unique study ID code will then be assigned to their data</w:t>
      </w:r>
      <w:r w:rsidRPr="001C3AF3">
        <w:rPr>
          <w:rFonts w:ascii="Times New Roman" w:hAnsi="Times New Roman" w:cs="Times New Roman"/>
        </w:rPr>
        <w:t xml:space="preserve"> allowing their personal details to become completely anonymous and untraceable. U</w:t>
      </w:r>
      <w:r w:rsidRPr="001C3AF3">
        <w:rPr>
          <w:rFonts w:ascii="Times New Roman" w:hAnsi="Times New Roman" w:cs="Times New Roman"/>
        </w:rPr>
        <w:t xml:space="preserve">pon signing up for the study, participants are directed to the online survey hosted on the Qualtrics platform. This seamless transition from recruitment to data collection streamlines the process and minimizes potential barriers to </w:t>
      </w:r>
      <w:r w:rsidRPr="001C3AF3">
        <w:rPr>
          <w:rFonts w:ascii="Times New Roman" w:hAnsi="Times New Roman" w:cs="Times New Roman"/>
        </w:rPr>
        <w:t xml:space="preserve">participation. If the participant is unhappy to continue within the study, they can close their browser at any time which will withdraw them from the study. </w:t>
      </w:r>
    </w:p>
    <w:p w14:paraId="5139E3E0" w14:textId="134A9470" w:rsidR="00EA25B1" w:rsidRPr="001C3AF3" w:rsidRDefault="00EA25B1" w:rsidP="001C3AF3">
      <w:pPr>
        <w:rPr>
          <w:rFonts w:ascii="Times New Roman" w:hAnsi="Times New Roman" w:cs="Times New Roman"/>
        </w:rPr>
      </w:pPr>
      <w:r>
        <w:rPr>
          <w:rFonts w:ascii="Times New Roman" w:hAnsi="Times New Roman" w:cs="Times New Roman"/>
        </w:rPr>
        <w:t>How many participants/</w:t>
      </w:r>
      <w:proofErr w:type="gramStart"/>
      <w:r>
        <w:rPr>
          <w:rFonts w:ascii="Times New Roman" w:hAnsi="Times New Roman" w:cs="Times New Roman"/>
        </w:rPr>
        <w:t>minimum</w:t>
      </w:r>
      <w:proofErr w:type="gramEnd"/>
      <w:r>
        <w:rPr>
          <w:rFonts w:ascii="Times New Roman" w:hAnsi="Times New Roman" w:cs="Times New Roman"/>
        </w:rPr>
        <w:t xml:space="preserve"> and maximum for entire study-</w:t>
      </w:r>
    </w:p>
    <w:p w14:paraId="4B26949E" w14:textId="77777777" w:rsidR="001C3AF3" w:rsidRPr="001C3AF3" w:rsidRDefault="001C3AF3" w:rsidP="001C3AF3">
      <w:pPr>
        <w:rPr>
          <w:rFonts w:ascii="Times New Roman" w:hAnsi="Times New Roman" w:cs="Times New Roman"/>
        </w:rPr>
      </w:pPr>
    </w:p>
    <w:p w14:paraId="6F05945D" w14:textId="386647FE" w:rsidR="001C3AF3" w:rsidRPr="001C3AF3" w:rsidRDefault="001C3AF3" w:rsidP="001C3AF3">
      <w:pPr>
        <w:rPr>
          <w:rFonts w:ascii="Times New Roman" w:hAnsi="Times New Roman" w:cs="Times New Roman"/>
        </w:rPr>
      </w:pPr>
    </w:p>
    <w:p w14:paraId="75B36556" w14:textId="77777777" w:rsidR="001C3AF3" w:rsidRPr="001C3AF3" w:rsidRDefault="001C3AF3" w:rsidP="001C3AF3">
      <w:pPr>
        <w:rPr>
          <w:rFonts w:ascii="Times New Roman" w:hAnsi="Times New Roman" w:cs="Times New Roman"/>
        </w:rPr>
      </w:pPr>
      <w:r w:rsidRPr="001C3AF3">
        <w:rPr>
          <w:rFonts w:ascii="Times New Roman" w:hAnsi="Times New Roman" w:cs="Times New Roman"/>
        </w:rPr>
        <w:t>Informed Consent</w:t>
      </w:r>
    </w:p>
    <w:p w14:paraId="7E4379B1" w14:textId="016C6F6E" w:rsidR="001C3AF3" w:rsidRPr="001C3AF3" w:rsidRDefault="001C3AF3" w:rsidP="001C3AF3">
      <w:pPr>
        <w:rPr>
          <w:rFonts w:ascii="Times New Roman" w:hAnsi="Times New Roman" w:cs="Times New Roman"/>
        </w:rPr>
      </w:pPr>
      <w:r w:rsidRPr="001C3AF3">
        <w:rPr>
          <w:rFonts w:ascii="Times New Roman" w:hAnsi="Times New Roman" w:cs="Times New Roman"/>
        </w:rPr>
        <w:t xml:space="preserve">Ethical considerations are paramount in this study, and participants are provided with comprehensive information regarding their involvement. Upon entering the study, participants encounter an information sheet that provides a detailed overview of the research objectives, methodology, and potential risks and benefits. This information sheet serves </w:t>
      </w:r>
      <w:r w:rsidRPr="001C3AF3">
        <w:rPr>
          <w:rFonts w:ascii="Times New Roman" w:hAnsi="Times New Roman" w:cs="Times New Roman"/>
        </w:rPr>
        <w:t>to</w:t>
      </w:r>
      <w:r w:rsidRPr="001C3AF3">
        <w:rPr>
          <w:rFonts w:ascii="Times New Roman" w:hAnsi="Times New Roman" w:cs="Times New Roman"/>
        </w:rPr>
        <w:t xml:space="preserve"> </w:t>
      </w:r>
      <w:r w:rsidRPr="001C3AF3">
        <w:rPr>
          <w:rFonts w:ascii="Times New Roman" w:hAnsi="Times New Roman" w:cs="Times New Roman"/>
        </w:rPr>
        <w:lastRenderedPageBreak/>
        <w:t>establish transparency, ensuring that participants have a clear understanding of the study's purpose and procedures. Following the information sheet, participants are presented with a consent form. This form outlines their rights as participants, including the right to withdraw from the study at any time without penalty. Consent is indicated by a confirmation box, and participants also have the option to download both the information sheet and consent form for their records.</w:t>
      </w:r>
    </w:p>
    <w:p w14:paraId="2F28EAF4" w14:textId="6098161C" w:rsidR="001C3AF3" w:rsidRPr="001C3AF3" w:rsidRDefault="001C3AF3" w:rsidP="001C3AF3">
      <w:pPr>
        <w:rPr>
          <w:rFonts w:ascii="Times New Roman" w:hAnsi="Times New Roman" w:cs="Times New Roman"/>
        </w:rPr>
      </w:pPr>
      <w:r w:rsidRPr="001C3AF3">
        <w:rPr>
          <w:rFonts w:ascii="Times New Roman" w:hAnsi="Times New Roman" w:cs="Times New Roman"/>
        </w:rPr>
        <w:t>Participants will need to provide their full consent by confirming within the consent form boxes, this will also include their gender and age. If this section is not confirmed the participant will be unable to continue to complete the study.</w:t>
      </w:r>
    </w:p>
    <w:p w14:paraId="028C5264" w14:textId="0D5E674B" w:rsidR="001C3AF3" w:rsidRDefault="001C3AF3" w:rsidP="001C3AF3">
      <w:pPr>
        <w:rPr>
          <w:rFonts w:ascii="Times New Roman" w:hAnsi="Times New Roman" w:cs="Times New Roman"/>
        </w:rPr>
      </w:pPr>
      <w:r w:rsidRPr="001C3AF3">
        <w:rPr>
          <w:rFonts w:ascii="Times New Roman" w:hAnsi="Times New Roman" w:cs="Times New Roman"/>
        </w:rPr>
        <w:t>Include BPS guidelines throughout-</w:t>
      </w:r>
    </w:p>
    <w:p w14:paraId="4404FB74" w14:textId="0153EE0D" w:rsidR="001C3AF3" w:rsidRDefault="001C3AF3" w:rsidP="001C3AF3">
      <w:pPr>
        <w:rPr>
          <w:rFonts w:ascii="Times New Roman" w:hAnsi="Times New Roman" w:cs="Times New Roman"/>
        </w:rPr>
      </w:pPr>
      <w:r>
        <w:rPr>
          <w:rFonts w:ascii="Times New Roman" w:hAnsi="Times New Roman" w:cs="Times New Roman"/>
        </w:rPr>
        <w:t>Downloadable documents for study debrief and consent form-</w:t>
      </w:r>
    </w:p>
    <w:p w14:paraId="7334D44B" w14:textId="35C0D1D5" w:rsidR="001C3AF3" w:rsidRPr="001C3AF3" w:rsidRDefault="001C3AF3" w:rsidP="001C3AF3">
      <w:pPr>
        <w:rPr>
          <w:rFonts w:ascii="Times New Roman" w:hAnsi="Times New Roman" w:cs="Times New Roman"/>
        </w:rPr>
      </w:pPr>
      <w:r>
        <w:rPr>
          <w:rFonts w:ascii="Times New Roman" w:hAnsi="Times New Roman" w:cs="Times New Roman"/>
        </w:rPr>
        <w:t>What is included in each consent form-</w:t>
      </w:r>
    </w:p>
    <w:p w14:paraId="7DA07967" w14:textId="77777777" w:rsidR="001C3AF3" w:rsidRPr="001C3AF3" w:rsidRDefault="001C3AF3" w:rsidP="001C3AF3">
      <w:pPr>
        <w:rPr>
          <w:rFonts w:ascii="Times New Roman" w:hAnsi="Times New Roman" w:cs="Times New Roman"/>
        </w:rPr>
      </w:pPr>
    </w:p>
    <w:p w14:paraId="105E593C" w14:textId="77777777" w:rsidR="001C3AF3" w:rsidRPr="001C3AF3" w:rsidRDefault="001C3AF3" w:rsidP="001C3AF3">
      <w:pPr>
        <w:rPr>
          <w:rFonts w:ascii="Times New Roman" w:hAnsi="Times New Roman" w:cs="Times New Roman"/>
        </w:rPr>
      </w:pPr>
      <w:r w:rsidRPr="001C3AF3">
        <w:rPr>
          <w:rFonts w:ascii="Times New Roman" w:hAnsi="Times New Roman" w:cs="Times New Roman"/>
        </w:rPr>
        <w:t>Data Collection</w:t>
      </w:r>
    </w:p>
    <w:p w14:paraId="0E920D2B" w14:textId="77777777" w:rsidR="001C3AF3" w:rsidRPr="001C3AF3" w:rsidRDefault="001C3AF3" w:rsidP="001C3AF3">
      <w:pPr>
        <w:rPr>
          <w:rFonts w:ascii="Times New Roman" w:hAnsi="Times New Roman" w:cs="Times New Roman"/>
        </w:rPr>
      </w:pPr>
      <w:r w:rsidRPr="001C3AF3">
        <w:rPr>
          <w:rFonts w:ascii="Times New Roman" w:hAnsi="Times New Roman" w:cs="Times New Roman"/>
        </w:rPr>
        <w:t>Attentional Control Assessment</w:t>
      </w:r>
    </w:p>
    <w:p w14:paraId="140FF135" w14:textId="77777777" w:rsidR="001C3AF3" w:rsidRPr="001C3AF3" w:rsidRDefault="001C3AF3" w:rsidP="001C3AF3">
      <w:pPr>
        <w:rPr>
          <w:rFonts w:ascii="Times New Roman" w:hAnsi="Times New Roman" w:cs="Times New Roman"/>
        </w:rPr>
      </w:pPr>
    </w:p>
    <w:p w14:paraId="42A535C7" w14:textId="77777777" w:rsidR="001C3AF3" w:rsidRPr="001C3AF3" w:rsidRDefault="001C3AF3" w:rsidP="001C3AF3">
      <w:pPr>
        <w:rPr>
          <w:rFonts w:ascii="Times New Roman" w:hAnsi="Times New Roman" w:cs="Times New Roman"/>
        </w:rPr>
      </w:pPr>
      <w:r w:rsidRPr="001C3AF3">
        <w:rPr>
          <w:rFonts w:ascii="Times New Roman" w:hAnsi="Times New Roman" w:cs="Times New Roman"/>
        </w:rPr>
        <w:t xml:space="preserve">The data collection process begins with the administration of the </w:t>
      </w:r>
      <w:proofErr w:type="spellStart"/>
      <w:r w:rsidRPr="001C3AF3">
        <w:rPr>
          <w:rFonts w:ascii="Times New Roman" w:hAnsi="Times New Roman" w:cs="Times New Roman"/>
        </w:rPr>
        <w:t>Derryberry</w:t>
      </w:r>
      <w:proofErr w:type="spellEnd"/>
      <w:r w:rsidRPr="001C3AF3">
        <w:rPr>
          <w:rFonts w:ascii="Times New Roman" w:hAnsi="Times New Roman" w:cs="Times New Roman"/>
        </w:rPr>
        <w:t xml:space="preserve"> and Reed (2002) Attentional Control Scale. This questionnaire, comprising 20 items, is designed to assess participants' ability to control their attention across various situations. Participants are asked to rate each item on a 1-4 Likert scale, providing valuable insights into their perceived attentional abilities. This quantitative measure offers a standardized approach to understanding attentional control and allows for comparisons across participants.</w:t>
      </w:r>
    </w:p>
    <w:p w14:paraId="21575D30" w14:textId="34065537" w:rsidR="001C3AF3" w:rsidRPr="001C3AF3" w:rsidRDefault="001C3AF3" w:rsidP="001C3AF3">
      <w:pPr>
        <w:rPr>
          <w:rFonts w:ascii="Times New Roman" w:hAnsi="Times New Roman" w:cs="Times New Roman"/>
        </w:rPr>
      </w:pPr>
      <w:r w:rsidRPr="001C3AF3">
        <w:rPr>
          <w:rFonts w:ascii="Times New Roman" w:hAnsi="Times New Roman" w:cs="Times New Roman"/>
        </w:rPr>
        <w:t>Reverse scoring-</w:t>
      </w:r>
    </w:p>
    <w:p w14:paraId="570CDD9F" w14:textId="77777777" w:rsidR="001C3AF3" w:rsidRPr="001C3AF3" w:rsidRDefault="001C3AF3" w:rsidP="001C3AF3">
      <w:pPr>
        <w:rPr>
          <w:rFonts w:ascii="Times New Roman" w:hAnsi="Times New Roman" w:cs="Times New Roman"/>
        </w:rPr>
      </w:pPr>
    </w:p>
    <w:p w14:paraId="239EFDCC" w14:textId="77777777" w:rsidR="001C3AF3" w:rsidRPr="001C3AF3" w:rsidRDefault="001C3AF3" w:rsidP="001C3AF3">
      <w:pPr>
        <w:rPr>
          <w:rFonts w:ascii="Times New Roman" w:hAnsi="Times New Roman" w:cs="Times New Roman"/>
        </w:rPr>
      </w:pPr>
      <w:r w:rsidRPr="001C3AF3">
        <w:rPr>
          <w:rFonts w:ascii="Times New Roman" w:hAnsi="Times New Roman" w:cs="Times New Roman"/>
        </w:rPr>
        <w:t>Assessment Experiences</w:t>
      </w:r>
    </w:p>
    <w:p w14:paraId="257B3734" w14:textId="77777777" w:rsidR="001C3AF3" w:rsidRPr="001C3AF3" w:rsidRDefault="001C3AF3" w:rsidP="001C3AF3">
      <w:pPr>
        <w:rPr>
          <w:rFonts w:ascii="Times New Roman" w:hAnsi="Times New Roman" w:cs="Times New Roman"/>
        </w:rPr>
      </w:pPr>
    </w:p>
    <w:p w14:paraId="0301934C" w14:textId="77777777" w:rsidR="001C3AF3" w:rsidRPr="001C3AF3" w:rsidRDefault="001C3AF3" w:rsidP="001C3AF3">
      <w:pPr>
        <w:rPr>
          <w:rFonts w:ascii="Times New Roman" w:hAnsi="Times New Roman" w:cs="Times New Roman"/>
        </w:rPr>
      </w:pPr>
      <w:r w:rsidRPr="001C3AF3">
        <w:rPr>
          <w:rFonts w:ascii="Times New Roman" w:hAnsi="Times New Roman" w:cs="Times New Roman"/>
        </w:rPr>
        <w:t>Following the completion of the Attentional Control Scale, participants proceed to the qualitative component of the study, the Gibbs and Simpson (2003) Assessment Experience Questionnaire. This questionnaire consists of six sections, each focusing on different aspects of participants' experiences with assessments. Within each section, participants respond to open-ended questions, providing rich qualitative data on their attitudes, emotions, and perceptions related to assessments. This qualitative approach complements the quantitative data, offering deeper insights into the nuanced nature of assessment experiences.</w:t>
      </w:r>
    </w:p>
    <w:p w14:paraId="6E7C7012" w14:textId="77777777" w:rsidR="001C3AF3" w:rsidRPr="001C3AF3" w:rsidRDefault="001C3AF3" w:rsidP="001C3AF3">
      <w:pPr>
        <w:rPr>
          <w:rFonts w:ascii="Times New Roman" w:hAnsi="Times New Roman" w:cs="Times New Roman"/>
        </w:rPr>
      </w:pPr>
    </w:p>
    <w:p w14:paraId="36E45BDA" w14:textId="77777777" w:rsidR="001C3AF3" w:rsidRPr="001C3AF3" w:rsidRDefault="001C3AF3" w:rsidP="001C3AF3">
      <w:pPr>
        <w:rPr>
          <w:rFonts w:ascii="Times New Roman" w:hAnsi="Times New Roman" w:cs="Times New Roman"/>
        </w:rPr>
      </w:pPr>
      <w:r w:rsidRPr="001C3AF3">
        <w:rPr>
          <w:rFonts w:ascii="Times New Roman" w:hAnsi="Times New Roman" w:cs="Times New Roman"/>
        </w:rPr>
        <w:t>Participant Debriefing</w:t>
      </w:r>
    </w:p>
    <w:p w14:paraId="71A48798" w14:textId="77777777" w:rsidR="001C3AF3" w:rsidRPr="001C3AF3" w:rsidRDefault="001C3AF3" w:rsidP="001C3AF3">
      <w:pPr>
        <w:rPr>
          <w:rFonts w:ascii="Times New Roman" w:hAnsi="Times New Roman" w:cs="Times New Roman"/>
        </w:rPr>
      </w:pPr>
      <w:r w:rsidRPr="001C3AF3">
        <w:rPr>
          <w:rFonts w:ascii="Times New Roman" w:hAnsi="Times New Roman" w:cs="Times New Roman"/>
        </w:rPr>
        <w:t>Ethical considerations extend beyond data collection to the participant debriefing process. Upon completing both questionnaires, participants are presented with a debrief form. This form serves multiple purposes: it reiterates the study's objectives and rationale, provides contact information for the researcher and supervisors, and offers participants an opportunity to ask questions or seek clarification. The debriefing process is essential for ensuring that participants are fully informed about the study and its implications, promoting transparency and ethical conduct throughout the research.</w:t>
      </w:r>
    </w:p>
    <w:p w14:paraId="0B681117" w14:textId="15E7D63F" w:rsidR="001C3AF3" w:rsidRPr="001C3AF3" w:rsidRDefault="001C3AF3" w:rsidP="001C3AF3">
      <w:pPr>
        <w:rPr>
          <w:rFonts w:ascii="Times New Roman" w:hAnsi="Times New Roman" w:cs="Times New Roman"/>
        </w:rPr>
      </w:pPr>
      <w:r w:rsidRPr="001C3AF3">
        <w:rPr>
          <w:rFonts w:ascii="Times New Roman" w:hAnsi="Times New Roman" w:cs="Times New Roman"/>
        </w:rPr>
        <w:t>Downloadable consent, debrief at start and end of study-</w:t>
      </w:r>
    </w:p>
    <w:p w14:paraId="4FF2C469" w14:textId="77777777" w:rsidR="001C3AF3" w:rsidRPr="001C3AF3" w:rsidRDefault="001C3AF3" w:rsidP="001C3AF3">
      <w:pPr>
        <w:rPr>
          <w:rFonts w:ascii="Times New Roman" w:hAnsi="Times New Roman" w:cs="Times New Roman"/>
        </w:rPr>
      </w:pPr>
    </w:p>
    <w:p w14:paraId="7B27A02C" w14:textId="64DF3BB5" w:rsidR="001C3AF3" w:rsidRPr="001C3AF3" w:rsidRDefault="001C3AF3" w:rsidP="001C3AF3">
      <w:pPr>
        <w:rPr>
          <w:rFonts w:ascii="Times New Roman" w:hAnsi="Times New Roman" w:cs="Times New Roman"/>
        </w:rPr>
      </w:pPr>
      <w:r w:rsidRPr="001C3AF3">
        <w:rPr>
          <w:rFonts w:ascii="Times New Roman" w:hAnsi="Times New Roman" w:cs="Times New Roman"/>
        </w:rPr>
        <w:t>Data Storage and Confidentiality</w:t>
      </w:r>
      <w:r w:rsidRPr="001C3AF3">
        <w:rPr>
          <w:rFonts w:ascii="Times New Roman" w:eastAsia="Times New Roman" w:hAnsi="Times New Roman" w:cs="Times New Roman"/>
          <w:vanish/>
          <w:kern w:val="0"/>
          <w:lang w:eastAsia="en-GB"/>
          <w14:ligatures w14:val="none"/>
        </w:rPr>
        <w:t>Top of Form</w:t>
      </w:r>
    </w:p>
    <w:p w14:paraId="3A389F16" w14:textId="77777777" w:rsidR="001C3AF3" w:rsidRPr="001C3AF3" w:rsidRDefault="001C3AF3" w:rsidP="001C3AF3">
      <w:pPr>
        <w:pBdr>
          <w:top w:val="single" w:sz="6" w:space="1" w:color="auto"/>
        </w:pBdr>
        <w:rPr>
          <w:rFonts w:ascii="Times New Roman" w:eastAsia="Times New Roman" w:hAnsi="Times New Roman" w:cs="Times New Roman"/>
          <w:vanish/>
          <w:kern w:val="0"/>
          <w:lang w:eastAsia="en-GB"/>
          <w14:ligatures w14:val="none"/>
        </w:rPr>
      </w:pPr>
      <w:r w:rsidRPr="001C3AF3">
        <w:rPr>
          <w:rFonts w:ascii="Times New Roman" w:eastAsia="Times New Roman" w:hAnsi="Times New Roman" w:cs="Times New Roman"/>
          <w:vanish/>
          <w:kern w:val="0"/>
          <w:lang w:eastAsia="en-GB"/>
          <w14:ligatures w14:val="none"/>
        </w:rPr>
        <w:t>Bottom of Form</w:t>
      </w:r>
    </w:p>
    <w:p w14:paraId="293BE66F" w14:textId="77777777" w:rsidR="001C3AF3" w:rsidRPr="001C3AF3" w:rsidRDefault="001C3AF3" w:rsidP="001C3AF3">
      <w:pPr>
        <w:rPr>
          <w:rFonts w:ascii="Times New Roman" w:eastAsia="Times New Roman" w:hAnsi="Times New Roman" w:cs="Times New Roman"/>
          <w:kern w:val="0"/>
          <w:lang w:eastAsia="en-GB"/>
          <w14:ligatures w14:val="none"/>
        </w:rPr>
      </w:pPr>
    </w:p>
    <w:p w14:paraId="0D85ED54" w14:textId="77777777" w:rsidR="001C3AF3" w:rsidRPr="001C3AF3" w:rsidRDefault="001C3AF3" w:rsidP="001C3AF3">
      <w:pPr>
        <w:rPr>
          <w:rFonts w:ascii="Times New Roman" w:hAnsi="Times New Roman" w:cs="Times New Roman"/>
        </w:rPr>
      </w:pPr>
    </w:p>
    <w:p w14:paraId="6DFA261D" w14:textId="67EF4B8C" w:rsidR="001C3AF3" w:rsidRPr="001C3AF3" w:rsidRDefault="001C3AF3" w:rsidP="001C3AF3">
      <w:pPr>
        <w:rPr>
          <w:rFonts w:ascii="Times New Roman" w:hAnsi="Times New Roman" w:cs="Times New Roman"/>
        </w:rPr>
      </w:pPr>
      <w:r w:rsidRPr="001C3AF3">
        <w:rPr>
          <w:rFonts w:ascii="Times New Roman" w:hAnsi="Times New Roman" w:cs="Times New Roman"/>
        </w:rPr>
        <w:t xml:space="preserve">The collected data is of utmost importance and is handled with stringent measures to ensure participant confidentiality and data security. All data is securely stored in a </w:t>
      </w:r>
      <w:r w:rsidRPr="001C3AF3">
        <w:rPr>
          <w:rFonts w:ascii="Times New Roman" w:hAnsi="Times New Roman" w:cs="Times New Roman"/>
        </w:rPr>
        <w:t>password protected</w:t>
      </w:r>
      <w:r w:rsidRPr="001C3AF3">
        <w:rPr>
          <w:rFonts w:ascii="Times New Roman" w:hAnsi="Times New Roman" w:cs="Times New Roman"/>
        </w:rPr>
        <w:t xml:space="preserve"> Qualtrics account, accessible only to authorized</w:t>
      </w:r>
      <w:r>
        <w:rPr>
          <w:rFonts w:ascii="Times New Roman" w:hAnsi="Times New Roman" w:cs="Times New Roman"/>
        </w:rPr>
        <w:t xml:space="preserve"> by myself and my assigned </w:t>
      </w:r>
      <w:r>
        <w:rPr>
          <w:rFonts w:ascii="Times New Roman" w:hAnsi="Times New Roman" w:cs="Times New Roman"/>
        </w:rPr>
        <w:lastRenderedPageBreak/>
        <w:t>dissertation tutor</w:t>
      </w:r>
      <w:r w:rsidRPr="001C3AF3">
        <w:rPr>
          <w:rFonts w:ascii="Times New Roman" w:hAnsi="Times New Roman" w:cs="Times New Roman"/>
        </w:rPr>
        <w:t xml:space="preserve">. </w:t>
      </w:r>
      <w:r w:rsidRPr="001C3AF3">
        <w:rPr>
          <w:rFonts w:ascii="Times New Roman" w:hAnsi="Times New Roman" w:cs="Times New Roman"/>
        </w:rPr>
        <w:t>By complying with BPS guidelines throughout this section</w:t>
      </w:r>
      <w:r w:rsidRPr="001C3AF3">
        <w:rPr>
          <w:rFonts w:ascii="Times New Roman" w:hAnsi="Times New Roman" w:cs="Times New Roman"/>
        </w:rPr>
        <w:t xml:space="preserve">, to safeguard against data loss or corruption, anonymized copies of the data are stored in a university OneDrive folder, also </w:t>
      </w:r>
      <w:r w:rsidRPr="001C3AF3">
        <w:rPr>
          <w:rFonts w:ascii="Times New Roman" w:hAnsi="Times New Roman" w:cs="Times New Roman"/>
        </w:rPr>
        <w:t>password protected</w:t>
      </w:r>
      <w:r w:rsidRPr="001C3AF3">
        <w:rPr>
          <w:rFonts w:ascii="Times New Roman" w:hAnsi="Times New Roman" w:cs="Times New Roman"/>
        </w:rPr>
        <w:t>. These measures are in strict compliance with data protection regulations and ethical guidelines, ensuring the privacy and confidentiality of participants' responses.</w:t>
      </w:r>
    </w:p>
    <w:p w14:paraId="636CDEF7" w14:textId="0994FBA3" w:rsidR="001C3AF3" w:rsidRDefault="001C3AF3" w:rsidP="001C3AF3">
      <w:pPr>
        <w:rPr>
          <w:rFonts w:ascii="Times New Roman" w:hAnsi="Times New Roman" w:cs="Times New Roman"/>
        </w:rPr>
      </w:pPr>
      <w:r w:rsidRPr="001C3AF3">
        <w:rPr>
          <w:rFonts w:ascii="Times New Roman" w:hAnsi="Times New Roman" w:cs="Times New Roman"/>
        </w:rPr>
        <w:t xml:space="preserve">Add BPS guidelines about data storage and collection- </w:t>
      </w:r>
    </w:p>
    <w:p w14:paraId="37BCF998" w14:textId="73877BF4" w:rsidR="001C3AF3" w:rsidRPr="001C3AF3" w:rsidRDefault="001C3AF3" w:rsidP="001C3AF3">
      <w:pPr>
        <w:rPr>
          <w:rFonts w:ascii="Times New Roman" w:hAnsi="Times New Roman" w:cs="Times New Roman"/>
        </w:rPr>
      </w:pPr>
      <w:r>
        <w:rPr>
          <w:rFonts w:ascii="Times New Roman" w:hAnsi="Times New Roman" w:cs="Times New Roman"/>
        </w:rPr>
        <w:t>The importance of this and why-</w:t>
      </w:r>
    </w:p>
    <w:p w14:paraId="417A3BD8" w14:textId="299F6831" w:rsidR="001C3AF3" w:rsidRPr="001C3AF3" w:rsidRDefault="001C3AF3" w:rsidP="001C3AF3">
      <w:pPr>
        <w:rPr>
          <w:rFonts w:ascii="Times New Roman" w:hAnsi="Times New Roman" w:cs="Times New Roman"/>
        </w:rPr>
      </w:pPr>
      <w:r w:rsidRPr="001C3AF3">
        <w:rPr>
          <w:rFonts w:ascii="Times New Roman" w:hAnsi="Times New Roman" w:cs="Times New Roman"/>
        </w:rPr>
        <w:t xml:space="preserve"> </w:t>
      </w:r>
    </w:p>
    <w:p w14:paraId="7E3B6CA6" w14:textId="4268135B" w:rsidR="001C3AF3" w:rsidRPr="001C3AF3" w:rsidRDefault="001C3AF3" w:rsidP="001C3AF3">
      <w:pPr>
        <w:rPr>
          <w:rFonts w:ascii="Times New Roman" w:hAnsi="Times New Roman" w:cs="Times New Roman"/>
        </w:rPr>
      </w:pPr>
      <w:r w:rsidRPr="001C3AF3">
        <w:rPr>
          <w:rFonts w:ascii="Times New Roman" w:hAnsi="Times New Roman" w:cs="Times New Roman"/>
        </w:rPr>
        <w:t>In conclusion, this methodology employs a systematic and ethical approach to investigate attentional control and assessment experiences among participants. By combining quantitative measures of attentional control with qualitative insights into assessment experiences, the study aims to provide a comprehensive understanding of these crucial aspects of cognitive functioning and learning. From recruitment and informed consent to data collection and storage, each step is meticulously designed to uphold ethical standards, ensure participant confidentiality, and generate valuable insights into attentional control and assessment experiences. This research contributes to the existing body of knowledge in cognitive psychology and educational research, shedding light on important factors that influence learning outcomes and academic success.</w:t>
      </w:r>
    </w:p>
    <w:p w14:paraId="7BFBFF32" w14:textId="77777777" w:rsidR="001C3AF3" w:rsidRPr="001C3AF3" w:rsidRDefault="001C3AF3" w:rsidP="001C3AF3">
      <w:pPr>
        <w:rPr>
          <w:rFonts w:ascii="Times New Roman" w:hAnsi="Times New Roman" w:cs="Times New Roman"/>
        </w:rPr>
      </w:pPr>
    </w:p>
    <w:p w14:paraId="1EA18474" w14:textId="77777777" w:rsidR="001C3AF3" w:rsidRPr="001C3AF3" w:rsidRDefault="001C3AF3" w:rsidP="001C3AF3">
      <w:pPr>
        <w:rPr>
          <w:rFonts w:ascii="Times New Roman" w:hAnsi="Times New Roman" w:cs="Times New Roman"/>
        </w:rPr>
      </w:pPr>
    </w:p>
    <w:p w14:paraId="35A54ADA" w14:textId="77777777" w:rsidR="001C3AF3" w:rsidRPr="001C3AF3" w:rsidRDefault="001C3AF3" w:rsidP="001C3AF3">
      <w:pPr>
        <w:rPr>
          <w:rFonts w:ascii="Times New Roman" w:hAnsi="Times New Roman" w:cs="Times New Roman"/>
        </w:rPr>
      </w:pPr>
    </w:p>
    <w:p w14:paraId="18FAF33A" w14:textId="77777777" w:rsidR="001C3AF3" w:rsidRPr="001C3AF3" w:rsidRDefault="001C3AF3" w:rsidP="001C3AF3">
      <w:pPr>
        <w:rPr>
          <w:rFonts w:ascii="Times New Roman" w:hAnsi="Times New Roman" w:cs="Times New Roman"/>
        </w:rPr>
      </w:pPr>
    </w:p>
    <w:p w14:paraId="5264DB09" w14:textId="77777777" w:rsidR="001C3AF3" w:rsidRDefault="001C3AF3" w:rsidP="001C3AF3"/>
    <w:p w14:paraId="14FB513F" w14:textId="77777777" w:rsidR="001C3AF3" w:rsidRDefault="001C3AF3" w:rsidP="001C3AF3"/>
    <w:p w14:paraId="2F32FEBD" w14:textId="77777777" w:rsidR="001C3AF3" w:rsidRDefault="001C3AF3" w:rsidP="001C3AF3"/>
    <w:p w14:paraId="47610165" w14:textId="77777777" w:rsidR="001C3AF3" w:rsidRDefault="001C3AF3" w:rsidP="001C3AF3"/>
    <w:p w14:paraId="02C8B186" w14:textId="77777777" w:rsidR="001C3AF3" w:rsidRDefault="001C3AF3" w:rsidP="001C3AF3"/>
    <w:p w14:paraId="3BF43C54" w14:textId="77777777" w:rsidR="001C3AF3" w:rsidRDefault="001C3AF3" w:rsidP="001C3AF3"/>
    <w:p w14:paraId="60076C3D" w14:textId="77777777" w:rsidR="001C3AF3" w:rsidRDefault="001C3AF3" w:rsidP="001C3AF3"/>
    <w:p w14:paraId="2D759F55" w14:textId="77777777" w:rsidR="001C3AF3" w:rsidRDefault="001C3AF3" w:rsidP="001C3AF3"/>
    <w:p w14:paraId="67526693" w14:textId="77777777" w:rsidR="001C3AF3" w:rsidRDefault="001C3AF3" w:rsidP="001C3AF3"/>
    <w:p w14:paraId="37F917B7" w14:textId="77777777" w:rsidR="001C3AF3" w:rsidRDefault="001C3AF3" w:rsidP="001C3AF3"/>
    <w:p w14:paraId="741FBECC" w14:textId="77777777" w:rsidR="001C3AF3" w:rsidRDefault="001C3AF3" w:rsidP="001C3AF3"/>
    <w:p w14:paraId="4B7E1844" w14:textId="77777777" w:rsidR="001C3AF3" w:rsidRDefault="001C3AF3" w:rsidP="001C3AF3"/>
    <w:p w14:paraId="2475C2F8" w14:textId="77777777" w:rsidR="001C3AF3" w:rsidRDefault="001C3AF3" w:rsidP="001C3AF3"/>
    <w:p w14:paraId="3515E72C" w14:textId="77777777" w:rsidR="001C3AF3" w:rsidRDefault="001C3AF3" w:rsidP="001C3AF3"/>
    <w:p w14:paraId="069D5DE1" w14:textId="77777777" w:rsidR="001C3AF3" w:rsidRDefault="001C3AF3" w:rsidP="001C3AF3"/>
    <w:p w14:paraId="22A3214A" w14:textId="77777777" w:rsidR="001C3AF3" w:rsidRDefault="001C3AF3" w:rsidP="001C3AF3"/>
    <w:p w14:paraId="3F65B578" w14:textId="77777777" w:rsidR="001C3AF3" w:rsidRDefault="001C3AF3" w:rsidP="001C3AF3"/>
    <w:p w14:paraId="6F1ACCA2" w14:textId="77777777" w:rsidR="001C3AF3" w:rsidRDefault="001C3AF3" w:rsidP="001C3AF3"/>
    <w:p w14:paraId="39765A13" w14:textId="77777777" w:rsidR="001C3AF3" w:rsidRDefault="001C3AF3" w:rsidP="001C3AF3"/>
    <w:p w14:paraId="671530CD" w14:textId="77777777" w:rsidR="001C3AF3" w:rsidRDefault="001C3AF3" w:rsidP="001C3AF3"/>
    <w:p w14:paraId="55D3C6EC" w14:textId="77777777" w:rsidR="001C3AF3" w:rsidRDefault="001C3AF3" w:rsidP="001C3AF3"/>
    <w:p w14:paraId="1D0E2A01" w14:textId="77777777" w:rsidR="001C3AF3" w:rsidRDefault="001C3AF3" w:rsidP="001C3AF3"/>
    <w:p w14:paraId="742E81C1" w14:textId="77777777" w:rsidR="001C3AF3" w:rsidRDefault="001C3AF3" w:rsidP="001C3AF3"/>
    <w:p w14:paraId="7E5882F7" w14:textId="77777777" w:rsidR="001C3AF3" w:rsidRDefault="001C3AF3" w:rsidP="001C3AF3"/>
    <w:p w14:paraId="6F408E6F" w14:textId="77777777" w:rsidR="001C3AF3" w:rsidRDefault="001C3AF3" w:rsidP="001C3AF3"/>
    <w:p w14:paraId="4B23B6A8" w14:textId="77777777" w:rsidR="001C3AF3" w:rsidRDefault="001C3AF3" w:rsidP="001C3AF3"/>
    <w:p w14:paraId="419E03F4" w14:textId="77777777" w:rsidR="001C3AF3" w:rsidRDefault="001C3AF3" w:rsidP="001C3AF3"/>
    <w:p w14:paraId="3C0D7DBE" w14:textId="77777777" w:rsidR="001C3AF3" w:rsidRDefault="001C3AF3" w:rsidP="001C3AF3"/>
    <w:p w14:paraId="7C05EA64" w14:textId="77777777" w:rsidR="001C3AF3" w:rsidRDefault="001C3AF3" w:rsidP="001C3AF3"/>
    <w:p w14:paraId="6F963F19" w14:textId="77777777" w:rsidR="001C3AF3" w:rsidRDefault="001C3AF3" w:rsidP="001C3AF3"/>
    <w:p w14:paraId="77A574D1" w14:textId="77777777" w:rsidR="001C3AF3" w:rsidRDefault="001C3AF3" w:rsidP="001C3AF3"/>
    <w:p w14:paraId="31202A88" w14:textId="77777777" w:rsidR="001C3AF3" w:rsidRDefault="001C3AF3" w:rsidP="001C3AF3"/>
    <w:p w14:paraId="09286E5A" w14:textId="77777777" w:rsidR="001C3AF3" w:rsidRDefault="001C3AF3" w:rsidP="001C3AF3"/>
    <w:p w14:paraId="72019F49" w14:textId="77777777" w:rsidR="001C3AF3" w:rsidRDefault="001C3AF3" w:rsidP="001C3AF3"/>
    <w:p w14:paraId="699B22D3" w14:textId="0107DF63" w:rsidR="001C3AF3" w:rsidRPr="001C3AF3" w:rsidRDefault="001C3AF3" w:rsidP="001C3AF3">
      <w:pPr>
        <w:jc w:val="center"/>
        <w:rPr>
          <w:u w:val="single"/>
        </w:rPr>
      </w:pPr>
      <w:r w:rsidRPr="001C3AF3">
        <w:rPr>
          <w:u w:val="single"/>
        </w:rPr>
        <w:t>Literature Review</w:t>
      </w:r>
    </w:p>
    <w:sectPr w:rsidR="001C3AF3" w:rsidRPr="001C3A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A16"/>
    <w:rsid w:val="001C3AF3"/>
    <w:rsid w:val="00623A16"/>
    <w:rsid w:val="00EA2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41FC1A"/>
  <w15:docId w15:val="{137FE2FF-1CBC-7346-A7C7-CFBD5779D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3AF3"/>
    <w:pPr>
      <w:spacing w:before="100" w:beforeAutospacing="1" w:after="100" w:afterAutospacing="1"/>
    </w:pPr>
    <w:rPr>
      <w:rFonts w:ascii="Times New Roman" w:eastAsia="Times New Roman" w:hAnsi="Times New Roman" w:cs="Times New Roman"/>
      <w:kern w:val="0"/>
      <w:lang w:eastAsia="en-GB"/>
    </w:rPr>
  </w:style>
  <w:style w:type="paragraph" w:styleId="z-TopofForm">
    <w:name w:val="HTML Top of Form"/>
    <w:basedOn w:val="Normal"/>
    <w:next w:val="Normal"/>
    <w:link w:val="z-TopofFormChar"/>
    <w:hidden/>
    <w:uiPriority w:val="99"/>
    <w:semiHidden/>
    <w:unhideWhenUsed/>
    <w:rsid w:val="001C3AF3"/>
    <w:pPr>
      <w:pBdr>
        <w:bottom w:val="single" w:sz="6" w:space="1" w:color="auto"/>
      </w:pBdr>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1C3AF3"/>
    <w:rPr>
      <w:rFonts w:ascii="Arial" w:eastAsia="Times New Roman" w:hAnsi="Arial" w:cs="Arial"/>
      <w:vanish/>
      <w:kern w:val="0"/>
      <w:sz w:val="16"/>
      <w:szCs w:val="16"/>
      <w:lang w:eastAsia="en-GB"/>
    </w:rPr>
  </w:style>
  <w:style w:type="paragraph" w:styleId="z-BottomofForm">
    <w:name w:val="HTML Bottom of Form"/>
    <w:basedOn w:val="Normal"/>
    <w:next w:val="Normal"/>
    <w:link w:val="z-BottomofFormChar"/>
    <w:hidden/>
    <w:uiPriority w:val="99"/>
    <w:semiHidden/>
    <w:unhideWhenUsed/>
    <w:rsid w:val="001C3AF3"/>
    <w:pPr>
      <w:pBdr>
        <w:top w:val="single" w:sz="6" w:space="1" w:color="auto"/>
      </w:pBdr>
      <w:jc w:val="center"/>
    </w:pPr>
    <w:rPr>
      <w:rFonts w:ascii="Arial" w:eastAsia="Times New Roman" w:hAnsi="Arial" w:cs="Arial"/>
      <w:vanish/>
      <w:kern w:val="0"/>
      <w:sz w:val="16"/>
      <w:szCs w:val="16"/>
      <w:lang w:eastAsia="en-GB"/>
    </w:rPr>
  </w:style>
  <w:style w:type="character" w:customStyle="1" w:styleId="z-BottomofFormChar">
    <w:name w:val="z-Bottom of Form Char"/>
    <w:basedOn w:val="DefaultParagraphFont"/>
    <w:link w:val="z-BottomofForm"/>
    <w:uiPriority w:val="99"/>
    <w:semiHidden/>
    <w:rsid w:val="001C3AF3"/>
    <w:rPr>
      <w:rFonts w:ascii="Arial" w:eastAsia="Times New Roman" w:hAnsi="Arial" w:cs="Arial"/>
      <w:vanish/>
      <w:kern w:val="0"/>
      <w:sz w:val="16"/>
      <w:szCs w:val="16"/>
      <w:lang w:eastAsia="en-GB"/>
    </w:rPr>
  </w:style>
  <w:style w:type="table" w:styleId="TableGrid">
    <w:name w:val="Table Grid"/>
    <w:basedOn w:val="TableNormal"/>
    <w:rsid w:val="001C3AF3"/>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40395">
      <w:bodyDiv w:val="1"/>
      <w:marLeft w:val="0"/>
      <w:marRight w:val="0"/>
      <w:marTop w:val="0"/>
      <w:marBottom w:val="0"/>
      <w:divBdr>
        <w:top w:val="none" w:sz="0" w:space="0" w:color="auto"/>
        <w:left w:val="none" w:sz="0" w:space="0" w:color="auto"/>
        <w:bottom w:val="none" w:sz="0" w:space="0" w:color="auto"/>
        <w:right w:val="none" w:sz="0" w:space="0" w:color="auto"/>
      </w:divBdr>
    </w:div>
    <w:div w:id="687416171">
      <w:bodyDiv w:val="1"/>
      <w:marLeft w:val="0"/>
      <w:marRight w:val="0"/>
      <w:marTop w:val="0"/>
      <w:marBottom w:val="0"/>
      <w:divBdr>
        <w:top w:val="none" w:sz="0" w:space="0" w:color="auto"/>
        <w:left w:val="none" w:sz="0" w:space="0" w:color="auto"/>
        <w:bottom w:val="none" w:sz="0" w:space="0" w:color="auto"/>
        <w:right w:val="none" w:sz="0" w:space="0" w:color="auto"/>
      </w:divBdr>
      <w:divsChild>
        <w:div w:id="654339243">
          <w:marLeft w:val="0"/>
          <w:marRight w:val="0"/>
          <w:marTop w:val="0"/>
          <w:marBottom w:val="0"/>
          <w:divBdr>
            <w:top w:val="single" w:sz="2" w:space="0" w:color="E3E3E3"/>
            <w:left w:val="single" w:sz="2" w:space="0" w:color="E3E3E3"/>
            <w:bottom w:val="single" w:sz="2" w:space="0" w:color="E3E3E3"/>
            <w:right w:val="single" w:sz="2" w:space="0" w:color="E3E3E3"/>
          </w:divBdr>
          <w:divsChild>
            <w:div w:id="538323211">
              <w:marLeft w:val="0"/>
              <w:marRight w:val="0"/>
              <w:marTop w:val="0"/>
              <w:marBottom w:val="0"/>
              <w:divBdr>
                <w:top w:val="single" w:sz="2" w:space="0" w:color="E3E3E3"/>
                <w:left w:val="single" w:sz="2" w:space="0" w:color="E3E3E3"/>
                <w:bottom w:val="single" w:sz="2" w:space="0" w:color="E3E3E3"/>
                <w:right w:val="single" w:sz="2" w:space="0" w:color="E3E3E3"/>
              </w:divBdr>
              <w:divsChild>
                <w:div w:id="1000766580">
                  <w:marLeft w:val="0"/>
                  <w:marRight w:val="0"/>
                  <w:marTop w:val="0"/>
                  <w:marBottom w:val="0"/>
                  <w:divBdr>
                    <w:top w:val="single" w:sz="2" w:space="0" w:color="E3E3E3"/>
                    <w:left w:val="single" w:sz="2" w:space="0" w:color="E3E3E3"/>
                    <w:bottom w:val="single" w:sz="2" w:space="0" w:color="E3E3E3"/>
                    <w:right w:val="single" w:sz="2" w:space="0" w:color="E3E3E3"/>
                  </w:divBdr>
                  <w:divsChild>
                    <w:div w:id="400294440">
                      <w:marLeft w:val="0"/>
                      <w:marRight w:val="0"/>
                      <w:marTop w:val="0"/>
                      <w:marBottom w:val="0"/>
                      <w:divBdr>
                        <w:top w:val="single" w:sz="2" w:space="0" w:color="E3E3E3"/>
                        <w:left w:val="single" w:sz="2" w:space="0" w:color="E3E3E3"/>
                        <w:bottom w:val="single" w:sz="2" w:space="0" w:color="E3E3E3"/>
                        <w:right w:val="single" w:sz="2" w:space="0" w:color="E3E3E3"/>
                      </w:divBdr>
                      <w:divsChild>
                        <w:div w:id="610279767">
                          <w:marLeft w:val="0"/>
                          <w:marRight w:val="0"/>
                          <w:marTop w:val="0"/>
                          <w:marBottom w:val="0"/>
                          <w:divBdr>
                            <w:top w:val="single" w:sz="2" w:space="0" w:color="E3E3E3"/>
                            <w:left w:val="single" w:sz="2" w:space="0" w:color="E3E3E3"/>
                            <w:bottom w:val="single" w:sz="2" w:space="0" w:color="E3E3E3"/>
                            <w:right w:val="single" w:sz="2" w:space="0" w:color="E3E3E3"/>
                          </w:divBdr>
                          <w:divsChild>
                            <w:div w:id="1024090250">
                              <w:marLeft w:val="0"/>
                              <w:marRight w:val="0"/>
                              <w:marTop w:val="100"/>
                              <w:marBottom w:val="100"/>
                              <w:divBdr>
                                <w:top w:val="single" w:sz="2" w:space="0" w:color="E3E3E3"/>
                                <w:left w:val="single" w:sz="2" w:space="0" w:color="E3E3E3"/>
                                <w:bottom w:val="single" w:sz="2" w:space="0" w:color="E3E3E3"/>
                                <w:right w:val="single" w:sz="2" w:space="0" w:color="E3E3E3"/>
                              </w:divBdr>
                              <w:divsChild>
                                <w:div w:id="510528918">
                                  <w:marLeft w:val="0"/>
                                  <w:marRight w:val="0"/>
                                  <w:marTop w:val="0"/>
                                  <w:marBottom w:val="0"/>
                                  <w:divBdr>
                                    <w:top w:val="single" w:sz="2" w:space="0" w:color="E3E3E3"/>
                                    <w:left w:val="single" w:sz="2" w:space="0" w:color="E3E3E3"/>
                                    <w:bottom w:val="single" w:sz="2" w:space="0" w:color="E3E3E3"/>
                                    <w:right w:val="single" w:sz="2" w:space="0" w:color="E3E3E3"/>
                                  </w:divBdr>
                                  <w:divsChild>
                                    <w:div w:id="1481969512">
                                      <w:marLeft w:val="0"/>
                                      <w:marRight w:val="0"/>
                                      <w:marTop w:val="0"/>
                                      <w:marBottom w:val="0"/>
                                      <w:divBdr>
                                        <w:top w:val="single" w:sz="2" w:space="0" w:color="E3E3E3"/>
                                        <w:left w:val="single" w:sz="2" w:space="0" w:color="E3E3E3"/>
                                        <w:bottom w:val="single" w:sz="2" w:space="0" w:color="E3E3E3"/>
                                        <w:right w:val="single" w:sz="2" w:space="0" w:color="E3E3E3"/>
                                      </w:divBdr>
                                      <w:divsChild>
                                        <w:div w:id="492061606">
                                          <w:marLeft w:val="0"/>
                                          <w:marRight w:val="0"/>
                                          <w:marTop w:val="0"/>
                                          <w:marBottom w:val="0"/>
                                          <w:divBdr>
                                            <w:top w:val="single" w:sz="2" w:space="0" w:color="E3E3E3"/>
                                            <w:left w:val="single" w:sz="2" w:space="0" w:color="E3E3E3"/>
                                            <w:bottom w:val="single" w:sz="2" w:space="0" w:color="E3E3E3"/>
                                            <w:right w:val="single" w:sz="2" w:space="0" w:color="E3E3E3"/>
                                          </w:divBdr>
                                          <w:divsChild>
                                            <w:div w:id="1076443304">
                                              <w:marLeft w:val="0"/>
                                              <w:marRight w:val="0"/>
                                              <w:marTop w:val="0"/>
                                              <w:marBottom w:val="0"/>
                                              <w:divBdr>
                                                <w:top w:val="single" w:sz="2" w:space="0" w:color="E3E3E3"/>
                                                <w:left w:val="single" w:sz="2" w:space="0" w:color="E3E3E3"/>
                                                <w:bottom w:val="single" w:sz="2" w:space="0" w:color="E3E3E3"/>
                                                <w:right w:val="single" w:sz="2" w:space="0" w:color="E3E3E3"/>
                                              </w:divBdr>
                                              <w:divsChild>
                                                <w:div w:id="180170817">
                                                  <w:marLeft w:val="0"/>
                                                  <w:marRight w:val="0"/>
                                                  <w:marTop w:val="0"/>
                                                  <w:marBottom w:val="0"/>
                                                  <w:divBdr>
                                                    <w:top w:val="single" w:sz="2" w:space="0" w:color="E3E3E3"/>
                                                    <w:left w:val="single" w:sz="2" w:space="0" w:color="E3E3E3"/>
                                                    <w:bottom w:val="single" w:sz="2" w:space="0" w:color="E3E3E3"/>
                                                    <w:right w:val="single" w:sz="2" w:space="0" w:color="E3E3E3"/>
                                                  </w:divBdr>
                                                  <w:divsChild>
                                                    <w:div w:id="112941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0771483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4</Pages>
  <Words>1197</Words>
  <Characters>6827</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Ridgway (2004822)</dc:creator>
  <cp:keywords/>
  <dc:description/>
  <cp:lastModifiedBy>Caitlin Ridgway (2004822)</cp:lastModifiedBy>
  <cp:revision>2</cp:revision>
  <dcterms:created xsi:type="dcterms:W3CDTF">2024-03-03T22:36:00Z</dcterms:created>
  <dcterms:modified xsi:type="dcterms:W3CDTF">2024-03-03T23:53:00Z</dcterms:modified>
</cp:coreProperties>
</file>