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Arial Unicode MS" w:hAnsi="Georgia" w:eastAsia="Arial Unicode MS"/>
          <w:b w:val="0"/>
          <w:bCs w:val="0"/>
          <w:i w:val="0"/>
          <w:iCs w:val="0"/>
          <w:caps w:val="0"/>
          <w:smallCaps w:val="0"/>
          <w:strike w:val="0"/>
          <w:dstrike w:val="0"/>
          <w:outline w:val="0"/>
          <w:color w:val="000000"/>
          <w:spacing w:val="0"/>
          <w:kern w:val="0"/>
          <w:position w:val="0"/>
          <w:sz w:val="21"/>
          <w:szCs w:val="21"/>
          <w:u w:val="none" w:color="000000"/>
          <w:vertAlign w:val="baseline"/>
          <w:rtl w:val="0"/>
          <w:lang w:val="en-US"/>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1"/>
          <w:szCs w:val="21"/>
          <w:u w:val="none" w:color="000000"/>
          <w:vertAlign w:val="baseline"/>
          <w:rtl w:val="0"/>
          <w:lang w:val="en-US"/>
        </w:rPr>
        <w:drawing>
          <wp:inline distT="0" distB="0" distL="0" distR="0">
            <wp:extent cx="1908049" cy="635661"/>
            <wp:effectExtent l="0" t="0" r="0"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TSD_logo2010.png"/>
                    <pic:cNvPicPr>
                      <a:picLocks noChangeAspect="1"/>
                    </pic:cNvPicPr>
                  </pic:nvPicPr>
                  <pic:blipFill>
                    <a:blip r:embed="rId4">
                      <a:extLst/>
                    </a:blip>
                    <a:stretch>
                      <a:fillRect/>
                    </a:stretch>
                  </pic:blipFill>
                  <pic:spPr>
                    <a:xfrm>
                      <a:off x="0" y="0"/>
                      <a:ext cx="1908049" cy="635661"/>
                    </a:xfrm>
                    <a:prstGeom prst="rect">
                      <a:avLst/>
                    </a:prstGeom>
                    <a:ln w="19050" cap="flat">
                      <a:solidFill>
                        <a:srgbClr val="000000"/>
                      </a:solidFill>
                      <a:prstDash val="solid"/>
                      <a:round/>
                    </a:ln>
                    <a:effectLst/>
                  </pic:spPr>
                </pic:pic>
              </a:graphicData>
            </a:graphic>
          </wp:inline>
        </w:drawing>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Arial Unicode MS" w:hAnsi="Georgia" w:eastAsia="Arial Unicode MS"/>
          <w:b w:val="0"/>
          <w:bCs w:val="0"/>
          <w:i w:val="0"/>
          <w:iCs w:val="0"/>
          <w:caps w:val="0"/>
          <w:smallCaps w:val="0"/>
          <w:strike w:val="0"/>
          <w:dstrike w:val="0"/>
          <w:outline w:val="0"/>
          <w:color w:val="000000"/>
          <w:spacing w:val="0"/>
          <w:kern w:val="0"/>
          <w:position w:val="0"/>
          <w:sz w:val="21"/>
          <w:szCs w:val="21"/>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Arial Unicode MS" w:hAnsi="Georgia" w:eastAsia="Arial Unicode MS"/>
          <w:b w:val="0"/>
          <w:bCs w:val="0"/>
          <w:i w:val="0"/>
          <w:iCs w:val="0"/>
          <w:caps w:val="0"/>
          <w:smallCaps w:val="0"/>
          <w:strike w:val="0"/>
          <w:dstrike w:val="0"/>
          <w:outline w:val="0"/>
          <w:color w:val="000000"/>
          <w:spacing w:val="0"/>
          <w:kern w:val="0"/>
          <w:position w:val="0"/>
          <w:sz w:val="21"/>
          <w:szCs w:val="21"/>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Fonts w:ascii="Arial" w:cs="Arial" w:hAnsi="Arial" w:eastAsia="Arial"/>
          <w:b w:val="1"/>
          <w:bCs w:val="1"/>
          <w:i w:val="0"/>
          <w:iCs w:val="0"/>
          <w:caps w:val="0"/>
          <w:smallCaps w:val="0"/>
          <w:strike w:val="0"/>
          <w:dstrike w:val="0"/>
          <w:outline w:val="0"/>
          <w:color w:val="000000"/>
          <w:spacing w:val="0"/>
          <w:kern w:val="0"/>
          <w:position w:val="0"/>
          <w:sz w:val="28"/>
          <w:szCs w:val="28"/>
          <w:u w:val="none" w:color="000000"/>
          <w:vertAlign w:val="baseline"/>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8"/>
          <w:szCs w:val="28"/>
          <w:u w:val="none" w:color="000000"/>
          <w:vertAlign w:val="baseline"/>
          <w:rtl w:val="0"/>
        </w:rPr>
        <w:t xml:space="preserve">Postgraduate/Distance Learning </w:t>
      </w:r>
    </w:p>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Fonts w:ascii="Arial" w:cs="Arial" w:hAnsi="Arial" w:eastAsia="Arial"/>
          <w:b w:val="1"/>
          <w:bCs w:val="1"/>
          <w:i w:val="0"/>
          <w:iCs w:val="0"/>
          <w:caps w:val="0"/>
          <w:smallCaps w:val="0"/>
          <w:strike w:val="0"/>
          <w:dstrike w:val="0"/>
          <w:outline w:val="0"/>
          <w:color w:val="000000"/>
          <w:spacing w:val="0"/>
          <w:kern w:val="0"/>
          <w:position w:val="0"/>
          <w:sz w:val="28"/>
          <w:szCs w:val="28"/>
          <w:u w:val="none" w:color="000000"/>
          <w:vertAlign w:val="baseline"/>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8"/>
          <w:szCs w:val="28"/>
          <w:u w:val="none" w:color="000000"/>
          <w:vertAlign w:val="baseline"/>
          <w:rtl w:val="0"/>
        </w:rPr>
        <w:t>Assignment coversheet &amp; feedback form</w:t>
      </w:r>
    </w:p>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Fonts w:ascii="Arial" w:cs="Arial" w:hAnsi="Arial" w:eastAsia="Arial"/>
          <w:b w:val="1"/>
          <w:bCs w:val="1"/>
          <w:i w:val="0"/>
          <w:iCs w:val="0"/>
          <w:caps w:val="0"/>
          <w:smallCaps w:val="0"/>
          <w:strike w:val="0"/>
          <w:dstrike w:val="0"/>
          <w:outline w:val="0"/>
          <w:color w:val="000000"/>
          <w:spacing w:val="0"/>
          <w:kern w:val="0"/>
          <w:position w:val="0"/>
          <w:sz w:val="28"/>
          <w:szCs w:val="28"/>
          <w:u w:val="none" w:color="000000"/>
          <w:vertAlign w:val="baseline"/>
          <w:rtl w:val="0"/>
        </w:rPr>
      </w:pPr>
    </w:p>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Fonts w:ascii="Tahoma" w:cs="Tahoma" w:hAnsi="Tahoma" w:eastAsia="Tahoma"/>
          <w:b w:val="1"/>
          <w:bCs w:val="1"/>
          <w:i w:val="0"/>
          <w:iCs w:val="0"/>
          <w:caps w:val="0"/>
          <w:smallCaps w:val="0"/>
          <w:strike w:val="0"/>
          <w:dstrike w:val="0"/>
          <w:outline w:val="0"/>
          <w:color w:val="000000"/>
          <w:spacing w:val="0"/>
          <w:kern w:val="0"/>
          <w:position w:val="0"/>
          <w:sz w:val="20"/>
          <w:szCs w:val="20"/>
          <w:u w:val="none" w:color="000000"/>
          <w:vertAlign w:val="baseline"/>
          <w:rtl w:val="0"/>
        </w:rPr>
      </w:pPr>
      <w:r>
        <w:rPr>
          <w:rFonts w:ascii="Tahoma" w:cs="Arial Unicode MS" w:hAnsi="Tahoma" w:eastAsia="Arial Unicode MS"/>
          <w:b w:val="1"/>
          <w:bCs w:val="1"/>
          <w:i w:val="0"/>
          <w:iCs w:val="0"/>
          <w:caps w:val="0"/>
          <w:smallCaps w:val="0"/>
          <w:strike w:val="0"/>
          <w:dstrike w:val="0"/>
          <w:outline w:val="0"/>
          <w:color w:val="000000"/>
          <w:spacing w:val="0"/>
          <w:kern w:val="0"/>
          <w:position w:val="0"/>
          <w:sz w:val="20"/>
          <w:szCs w:val="20"/>
          <w:u w:val="none" w:color="000000"/>
          <w:vertAlign w:val="baseline"/>
          <w:rtl w:val="0"/>
        </w:rPr>
        <w:t>THIS SHEET MUST BE THE FIRST PAGE OF THE ASSIGNMENT YOU ARE SUBMITTING  (DO NOT SEND AS A SEPARATE FILE)</w:t>
      </w:r>
    </w:p>
    <w:tbl>
      <w:tblPr>
        <w:tblW w:w="9637"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210"/>
        <w:gridCol w:w="461"/>
        <w:gridCol w:w="1694"/>
        <w:gridCol w:w="311"/>
        <w:gridCol w:w="1961"/>
      </w:tblGrid>
      <w:tr>
        <w:tblPrEx>
          <w:shd w:val="clear" w:color="auto" w:fill="ced7e7"/>
        </w:tblPrEx>
        <w:trPr>
          <w:trHeight w:val="454" w:hRule="atLeast"/>
        </w:trPr>
        <w:tc>
          <w:tcPr>
            <w:tcW w:type="dxa" w:w="9637"/>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For completion by the student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w:t>
            </w:r>
          </w:p>
        </w:tc>
      </w:tr>
      <w:tr>
        <w:tblPrEx>
          <w:shd w:val="clear" w:color="auto" w:fill="ced7e7"/>
        </w:tblPrEx>
        <w:trPr>
          <w:trHeight w:val="723" w:hRule="atLeast"/>
        </w:trPr>
        <w:tc>
          <w:tcPr>
            <w:tcW w:type="dxa" w:w="9637"/>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Student Name: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 </w:t>
            </w: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Reece Morris</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Student </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University</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 </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Email: </w:t>
            </w: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1300653@student.uwtsd.ac.uk</w:t>
            </w:r>
          </w:p>
        </w:tc>
      </w:tr>
      <w:tr>
        <w:tblPrEx>
          <w:shd w:val="clear" w:color="auto" w:fill="ced7e7"/>
        </w:tblPrEx>
        <w:trPr>
          <w:trHeight w:val="1443" w:hRule="atLeast"/>
        </w:trPr>
        <w:tc>
          <w:tcPr>
            <w:tcW w:type="dxa" w:w="52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Module code: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 CLCL7003</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Module title: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 Theory and Methodology for the Study of Ancient Religions</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r>
          </w:p>
        </w:tc>
        <w:tc>
          <w:tcPr>
            <w:tcW w:type="dxa" w:w="2466"/>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Student ID number:</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1300653</w:t>
            </w:r>
          </w:p>
        </w:tc>
        <w:tc>
          <w:tcPr>
            <w:tcW w:type="dxa" w:w="19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Educational support needs:</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No</w:t>
            </w:r>
          </w:p>
        </w:tc>
      </w:tr>
      <w:tr>
        <w:tblPrEx>
          <w:shd w:val="clear" w:color="auto" w:fill="ced7e7"/>
        </w:tblPrEx>
        <w:trPr>
          <w:trHeight w:val="979" w:hRule="atLeast"/>
        </w:trPr>
        <w:tc>
          <w:tcPr>
            <w:tcW w:type="dxa" w:w="9637"/>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Assignment title: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 Encyclopaedia entry (Van Gennep</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s rites of passage)</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Assignment due date: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 24/01/2018</w:t>
            </w:r>
          </w:p>
        </w:tc>
      </w:tr>
      <w:tr>
        <w:tblPrEx>
          <w:shd w:val="clear" w:color="auto" w:fill="ced7e7"/>
        </w:tblPrEx>
        <w:trPr>
          <w:trHeight w:val="818" w:hRule="atLeast"/>
        </w:trPr>
        <w:tc>
          <w:tcPr>
            <w:tcW w:type="dxa" w:w="9637"/>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u w:color="000000"/>
                <w:rtl w:val="0"/>
                <w:lang w:val="en-US"/>
              </w:rPr>
              <w:t>This assignment is for the       1</w:t>
            </w:r>
            <w:r>
              <w:rPr>
                <w:rFonts w:ascii="Arial" w:hAnsi="Arial"/>
                <w:u w:color="000000"/>
                <w:vertAlign w:val="superscript"/>
                <w:rtl w:val="0"/>
                <w:lang w:val="en-US"/>
              </w:rPr>
              <w:t xml:space="preserve">st </w:t>
            </w:r>
            <w:r>
              <w:rPr>
                <w:rFonts w:ascii="Arial" w:hAnsi="Arial"/>
                <w:u w:color="000000"/>
                <w:rtl w:val="0"/>
                <w:lang w:val="en-US"/>
              </w:rPr>
              <w:t xml:space="preserve">    2</w:t>
            </w:r>
            <w:r>
              <w:rPr>
                <w:rFonts w:ascii="Arial" w:hAnsi="Arial"/>
                <w:u w:color="000000"/>
                <w:vertAlign w:val="superscript"/>
                <w:rtl w:val="0"/>
                <w:lang w:val="en-US"/>
              </w:rPr>
              <w:t>nd</w:t>
            </w:r>
            <w:r>
              <w:rPr>
                <w:rFonts w:ascii="Arial" w:hAnsi="Arial"/>
                <w:u w:color="000000"/>
                <w:rtl w:val="0"/>
                <w:lang w:val="en-US"/>
              </w:rPr>
              <w:t xml:space="preserve">       3</w:t>
            </w:r>
            <w:r>
              <w:rPr>
                <w:rFonts w:ascii="Arial" w:hAnsi="Arial"/>
                <w:u w:color="000000"/>
                <w:vertAlign w:val="superscript"/>
                <w:rtl w:val="0"/>
                <w:lang w:val="en-US"/>
              </w:rPr>
              <w:t>rd</w:t>
            </w:r>
            <w:r>
              <w:rPr>
                <w:rFonts w:ascii="Arial" w:hAnsi="Arial"/>
                <w:u w:color="000000"/>
                <w:rtl w:val="0"/>
                <w:lang w:val="en-US"/>
              </w:rPr>
              <w:t xml:space="preserve">        4</w:t>
            </w:r>
            <w:r>
              <w:rPr>
                <w:rFonts w:ascii="Arial" w:hAnsi="Arial"/>
                <w:u w:color="000000"/>
                <w:vertAlign w:val="superscript"/>
                <w:rtl w:val="0"/>
                <w:lang w:val="en-US"/>
              </w:rPr>
              <w:t>th</w:t>
            </w:r>
            <w:r>
              <w:rPr>
                <w:rFonts w:ascii="Arial" w:hAnsi="Arial"/>
                <w:u w:color="000000"/>
                <w:rtl w:val="0"/>
                <w:lang w:val="en-US"/>
              </w:rPr>
              <w:t xml:space="preserve">       5</w:t>
            </w:r>
            <w:r>
              <w:rPr>
                <w:rFonts w:ascii="Arial" w:hAnsi="Arial"/>
                <w:u w:color="000000"/>
                <w:vertAlign w:val="superscript"/>
                <w:rtl w:val="0"/>
                <w:lang w:val="en-US"/>
              </w:rPr>
              <w:t>th</w:t>
            </w:r>
            <w:r>
              <w:rPr>
                <w:rFonts w:ascii="Arial" w:hAnsi="Arial"/>
                <w:u w:color="000000"/>
                <w:rtl w:val="0"/>
                <w:lang w:val="en-US"/>
              </w:rPr>
              <w:t xml:space="preserve">       6</w:t>
            </w:r>
            <w:r>
              <w:rPr>
                <w:rFonts w:ascii="Arial" w:hAnsi="Arial"/>
                <w:u w:color="000000"/>
                <w:vertAlign w:val="superscript"/>
                <w:rtl w:val="0"/>
                <w:lang w:val="en-US"/>
              </w:rPr>
              <w:t>th</w:t>
            </w:r>
            <w:r>
              <w:rPr>
                <w:rFonts w:ascii="Arial" w:hAnsi="Arial"/>
                <w:u w:color="000000"/>
                <w:rtl w:val="0"/>
                <w:lang w:val="en-US"/>
              </w:rPr>
              <w:t xml:space="preserve"> </w:t>
            </w:r>
            <w:r>
              <w:rPr>
                <w:rFonts w:ascii="Arial" w:hAnsi="Arial"/>
                <w:b w:val="1"/>
                <w:bCs w:val="1"/>
                <w:u w:color="000000"/>
                <w:rtl w:val="0"/>
                <w:lang w:val="en-US"/>
              </w:rPr>
              <w:t xml:space="preserve">   </w:t>
            </w:r>
            <w:r>
              <w:rPr>
                <w:rFonts w:ascii="Arial" w:hAnsi="Arial"/>
                <w:u w:color="000000"/>
                <w:rtl w:val="0"/>
                <w:lang w:val="en-US"/>
              </w:rPr>
              <w:t>module of the degree</w:t>
            </w:r>
          </w:p>
        </w:tc>
      </w:tr>
      <w:tr>
        <w:tblPrEx>
          <w:shd w:val="clear" w:color="auto" w:fill="ced7e7"/>
        </w:tblPrEx>
        <w:trPr>
          <w:trHeight w:val="2090" w:hRule="atLeast"/>
        </w:trPr>
        <w:tc>
          <w:tcPr>
            <w:tcW w:type="dxa" w:w="9637"/>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I confirm that this is my original work and that I have adhered to the University policy on plagiarism.</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Signed</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           </w:t>
            </w: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 xml:space="preserve"> Reece Morris</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Calibri" w:cs="Calibri" w:hAnsi="Calibri" w:eastAsia="Calibri"/>
                <w:b w:val="1"/>
                <w:bCs w:val="1"/>
                <w:i w:val="0"/>
                <w:iCs w:val="0"/>
                <w:caps w:val="0"/>
                <w:smallCaps w:val="0"/>
                <w:strike w:val="0"/>
                <w:dstrike w:val="0"/>
                <w:outline w:val="0"/>
                <w:color w:val="000000"/>
                <w:spacing w:val="0"/>
                <w:kern w:val="0"/>
                <w:position w:val="0"/>
                <w:sz w:val="44"/>
                <w:szCs w:val="44"/>
                <w:u w:val="none" w:color="000000"/>
                <w:vertAlign w:val="baseline"/>
                <w:rtl w:val="0"/>
              </w:rPr>
            </w:pPr>
            <w:r>
              <w:rPr>
                <w:rFonts w:ascii="Calibri" w:cs="Calibri" w:hAnsi="Calibri" w:eastAsia="Calibri"/>
                <w:b w:val="1"/>
                <w:bCs w:val="1"/>
                <w:i w:val="0"/>
                <w:iCs w:val="0"/>
                <w:caps w:val="0"/>
                <w:smallCaps w:val="0"/>
                <w:strike w:val="0"/>
                <w:dstrike w:val="0"/>
                <w:outline w:val="0"/>
                <w:color w:val="000000"/>
                <w:spacing w:val="0"/>
                <w:kern w:val="0"/>
                <w:position w:val="0"/>
                <w:sz w:val="24"/>
                <w:szCs w:val="24"/>
                <w:u w:val="none" w:color="000000"/>
                <w:vertAlign w:val="baseline"/>
                <w:rtl w:val="0"/>
                <w:lang w:val="en-US"/>
              </w:rPr>
              <w:t xml:space="preserve">Email submission:if you are submitting this form via email, please tick this box </w:t>
            </w:r>
            <w:r>
              <w:rPr>
                <w:rFonts w:ascii="Calibri" w:cs="Calibri" w:hAnsi="Calibri" w:eastAsia="Calibri" w:hint="default"/>
                <w:b w:val="1"/>
                <w:bCs w:val="1"/>
                <w:i w:val="0"/>
                <w:iCs w:val="0"/>
                <w:caps w:val="0"/>
                <w:smallCaps w:val="0"/>
                <w:strike w:val="0"/>
                <w:dstrike w:val="0"/>
                <w:outline w:val="0"/>
                <w:color w:val="000000"/>
                <w:spacing w:val="0"/>
                <w:kern w:val="0"/>
                <w:position w:val="0"/>
                <w:sz w:val="44"/>
                <w:szCs w:val="44"/>
                <w:u w:val="none" w:color="000000"/>
                <w:vertAlign w:val="baseline"/>
                <w:rtl w:val="0"/>
                <w:lang w:val="en-US"/>
              </w:rPr>
              <w:t>□</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Calibri" w:cs="Calibri" w:hAnsi="Calibri" w:eastAsia="Calibri"/>
                <w:b w:val="1"/>
                <w:bCs w:val="1"/>
                <w:i w:val="0"/>
                <w:iCs w:val="0"/>
                <w:caps w:val="0"/>
                <w:smallCaps w:val="0"/>
                <w:strike w:val="0"/>
                <w:dstrike w:val="0"/>
                <w:outline w:val="0"/>
                <w:color w:val="000000"/>
                <w:spacing w:val="0"/>
                <w:kern w:val="0"/>
                <w:position w:val="0"/>
                <w:sz w:val="24"/>
                <w:szCs w:val="24"/>
                <w:u w:val="none" w:color="000000"/>
                <w:vertAlign w:val="baseline"/>
                <w:rtl w:val="0"/>
                <w:lang w:val="en-US"/>
              </w:rPr>
              <w:t>(as a substitute for your signature) to confirm that you agree to the above declaration.</w:t>
            </w:r>
          </w:p>
        </w:tc>
      </w:tr>
      <w:tr>
        <w:tblPrEx>
          <w:shd w:val="clear" w:color="auto" w:fill="ced7e7"/>
        </w:tblPrEx>
        <w:trPr>
          <w:trHeight w:val="5443" w:hRule="atLeast"/>
        </w:trPr>
        <w:tc>
          <w:tcPr>
            <w:tcW w:type="dxa" w:w="9637"/>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Arial" w:cs="Arial" w:hAnsi="Arial" w:eastAsia="Arial"/>
                <w:b w:val="1"/>
                <w:bCs w:val="1"/>
                <w:sz w:val="24"/>
                <w:szCs w:val="24"/>
                <w:u w:color="000000"/>
                <w:rtl w:val="0"/>
                <w:lang w:val="en-US"/>
              </w:rPr>
            </w:pPr>
          </w:p>
          <w:p>
            <w:pPr>
              <w:pStyle w:val="Body"/>
              <w:jc w:val="left"/>
              <w:rPr>
                <w:rFonts w:ascii="Arial" w:cs="Arial" w:hAnsi="Arial" w:eastAsia="Arial"/>
                <w:sz w:val="24"/>
                <w:szCs w:val="24"/>
                <w:u w:color="000000"/>
              </w:rPr>
            </w:pPr>
            <w:r>
              <w:rPr>
                <w:rFonts w:ascii="Arial" w:hAnsi="Arial"/>
                <w:b w:val="1"/>
                <w:bCs w:val="1"/>
                <w:sz w:val="24"/>
                <w:szCs w:val="24"/>
                <w:u w:color="000000"/>
                <w:rtl w:val="0"/>
                <w:lang w:val="en-US"/>
              </w:rPr>
              <w:t>Assignment Mark</w:t>
            </w:r>
          </w:p>
          <w:p>
            <w:pPr>
              <w:pStyle w:val="Body"/>
              <w:bidi w:val="0"/>
              <w:ind w:left="0" w:right="0" w:firstLine="0"/>
              <w:jc w:val="left"/>
              <w:rPr>
                <w:rFonts w:ascii="Arial" w:cs="Arial" w:hAnsi="Arial" w:eastAsia="Arial"/>
                <w:sz w:val="20"/>
                <w:szCs w:val="20"/>
                <w:u w:color="000000"/>
                <w:rtl w:val="0"/>
                <w:lang w:val="en-US"/>
              </w:rPr>
            </w:pPr>
          </w:p>
          <w:p>
            <w:pPr>
              <w:pStyle w:val="Body"/>
              <w:bidi w:val="0"/>
              <w:ind w:left="0" w:right="0" w:firstLine="0"/>
              <w:jc w:val="left"/>
              <w:rPr>
                <w:rFonts w:ascii="Arial" w:cs="Arial" w:hAnsi="Arial" w:eastAsia="Arial"/>
                <w:sz w:val="20"/>
                <w:szCs w:val="20"/>
                <w:u w:color="000000"/>
                <w:rtl w:val="0"/>
                <w:lang w:val="en-US"/>
              </w:rPr>
            </w:pPr>
            <w:r>
              <w:rPr>
                <w:rFonts w:ascii="Arial" w:hAnsi="Arial"/>
                <w:sz w:val="20"/>
                <w:szCs w:val="20"/>
                <w:u w:color="000000"/>
                <w:rtl w:val="0"/>
                <w:lang w:val="en-US"/>
              </w:rPr>
              <w:t>1</w:t>
            </w:r>
            <w:r>
              <w:rPr>
                <w:rFonts w:ascii="Arial" w:hAnsi="Arial"/>
                <w:sz w:val="20"/>
                <w:szCs w:val="20"/>
                <w:u w:color="000000"/>
                <w:vertAlign w:val="superscript"/>
                <w:rtl w:val="0"/>
                <w:lang w:val="en-US"/>
              </w:rPr>
              <w:t>st</w:t>
            </w:r>
            <w:r>
              <w:rPr>
                <w:rFonts w:ascii="Arial" w:hAnsi="Arial"/>
                <w:sz w:val="20"/>
                <w:szCs w:val="20"/>
                <w:u w:color="000000"/>
                <w:rtl w:val="0"/>
                <w:lang w:val="en-US"/>
              </w:rPr>
              <w:t xml:space="preserve"> Marker</w:t>
            </w:r>
            <w:r>
              <w:rPr>
                <w:rFonts w:ascii="Arial" w:hAnsi="Arial" w:hint="default"/>
                <w:sz w:val="20"/>
                <w:szCs w:val="20"/>
                <w:u w:color="000000"/>
                <w:rtl w:val="0"/>
                <w:lang w:val="en-US"/>
              </w:rPr>
              <w:t>’</w:t>
            </w:r>
            <w:r>
              <w:rPr>
                <w:rFonts w:ascii="Arial" w:hAnsi="Arial"/>
                <w:sz w:val="20"/>
                <w:szCs w:val="20"/>
                <w:u w:color="000000"/>
                <w:rtl w:val="0"/>
                <w:lang w:val="en-US"/>
              </w:rPr>
              <w:t>s Provisional mark</w:t>
              <w:tab/>
            </w:r>
          </w:p>
          <w:p>
            <w:pPr>
              <w:pStyle w:val="Body"/>
              <w:bidi w:val="0"/>
              <w:ind w:left="0" w:right="0" w:firstLine="0"/>
              <w:jc w:val="left"/>
              <w:rPr>
                <w:rFonts w:ascii="Arial" w:cs="Arial" w:hAnsi="Arial" w:eastAsia="Arial"/>
                <w:sz w:val="20"/>
                <w:szCs w:val="20"/>
                <w:u w:color="000000"/>
                <w:rtl w:val="0"/>
                <w:lang w:val="en-US"/>
              </w:rPr>
            </w:pPr>
          </w:p>
          <w:p>
            <w:pPr>
              <w:pStyle w:val="Body"/>
              <w:bidi w:val="0"/>
              <w:ind w:left="0" w:right="0" w:firstLine="0"/>
              <w:jc w:val="left"/>
              <w:rPr>
                <w:rFonts w:ascii="Arial" w:cs="Arial" w:hAnsi="Arial" w:eastAsia="Arial"/>
                <w:sz w:val="20"/>
                <w:szCs w:val="20"/>
                <w:u w:color="000000"/>
                <w:rtl w:val="0"/>
                <w:lang w:val="en-US"/>
              </w:rPr>
            </w:pPr>
            <w:r>
              <w:rPr>
                <w:rFonts w:ascii="Arial" w:hAnsi="Arial"/>
                <w:sz w:val="20"/>
                <w:szCs w:val="20"/>
                <w:u w:color="000000"/>
                <w:rtl w:val="0"/>
                <w:lang w:val="en-US"/>
              </w:rPr>
              <w:t>2</w:t>
            </w:r>
            <w:r>
              <w:rPr>
                <w:rFonts w:ascii="Arial" w:hAnsi="Arial"/>
                <w:sz w:val="20"/>
                <w:szCs w:val="20"/>
                <w:u w:color="000000"/>
                <w:vertAlign w:val="superscript"/>
                <w:rtl w:val="0"/>
                <w:lang w:val="en-US"/>
              </w:rPr>
              <w:t>nd</w:t>
            </w:r>
            <w:r>
              <w:rPr>
                <w:rFonts w:ascii="Arial" w:hAnsi="Arial"/>
                <w:sz w:val="20"/>
                <w:szCs w:val="20"/>
                <w:u w:color="000000"/>
                <w:rtl w:val="0"/>
                <w:lang w:val="en-US"/>
              </w:rPr>
              <w:t xml:space="preserve"> Marker</w:t>
            </w:r>
            <w:r>
              <w:rPr>
                <w:rFonts w:ascii="Arial" w:hAnsi="Arial" w:hint="default"/>
                <w:sz w:val="20"/>
                <w:szCs w:val="20"/>
                <w:u w:color="000000"/>
                <w:rtl w:val="0"/>
                <w:lang w:val="en-US"/>
              </w:rPr>
              <w:t>’</w:t>
            </w:r>
            <w:r>
              <w:rPr>
                <w:rFonts w:ascii="Arial" w:hAnsi="Arial"/>
                <w:sz w:val="20"/>
                <w:szCs w:val="20"/>
                <w:u w:color="000000"/>
                <w:rtl w:val="0"/>
                <w:lang w:val="en-US"/>
              </w:rPr>
              <w:t>s/Moderator</w:t>
            </w:r>
            <w:r>
              <w:rPr>
                <w:rFonts w:ascii="Arial" w:hAnsi="Arial" w:hint="default"/>
                <w:sz w:val="20"/>
                <w:szCs w:val="20"/>
                <w:u w:color="000000"/>
                <w:rtl w:val="0"/>
                <w:lang w:val="en-US"/>
              </w:rPr>
              <w:t>’</w:t>
            </w:r>
            <w:r>
              <w:rPr>
                <w:rFonts w:ascii="Arial" w:hAnsi="Arial"/>
                <w:sz w:val="20"/>
                <w:szCs w:val="20"/>
                <w:u w:color="000000"/>
                <w:rtl w:val="0"/>
                <w:lang w:val="en-US"/>
              </w:rPr>
              <w:t>s provisional mark</w:t>
              <w:tab/>
            </w:r>
          </w:p>
          <w:p>
            <w:pPr>
              <w:pStyle w:val="Body"/>
              <w:bidi w:val="0"/>
              <w:ind w:left="0" w:right="0" w:firstLine="0"/>
              <w:jc w:val="left"/>
              <w:rPr>
                <w:rFonts w:ascii="Arial" w:cs="Arial" w:hAnsi="Arial" w:eastAsia="Arial"/>
                <w:sz w:val="20"/>
                <w:szCs w:val="20"/>
                <w:u w:color="000000"/>
                <w:rtl w:val="0"/>
                <w:lang w:val="en-US"/>
              </w:rPr>
            </w:pPr>
          </w:p>
          <w:p>
            <w:pPr>
              <w:pStyle w:val="Body"/>
              <w:bidi w:val="0"/>
              <w:ind w:left="0" w:right="0" w:firstLine="0"/>
              <w:jc w:val="left"/>
              <w:rPr>
                <w:rFonts w:ascii="Arial" w:cs="Arial" w:hAnsi="Arial" w:eastAsia="Arial"/>
                <w:sz w:val="20"/>
                <w:szCs w:val="20"/>
                <w:u w:color="000000"/>
                <w:rtl w:val="0"/>
                <w:lang w:val="en-US"/>
              </w:rPr>
            </w:pPr>
            <w:r>
              <w:rPr>
                <w:rFonts w:ascii="Arial" w:hAnsi="Arial"/>
                <w:sz w:val="20"/>
                <w:szCs w:val="20"/>
                <w:u w:color="000000"/>
                <w:rtl w:val="0"/>
                <w:lang w:val="en-US"/>
              </w:rPr>
              <w:t>External Examiner</w:t>
            </w:r>
            <w:r>
              <w:rPr>
                <w:rFonts w:ascii="Arial" w:hAnsi="Arial" w:hint="default"/>
                <w:sz w:val="20"/>
                <w:szCs w:val="20"/>
                <w:u w:color="000000"/>
                <w:rtl w:val="0"/>
                <w:lang w:val="en-US"/>
              </w:rPr>
              <w:t>’</w:t>
            </w:r>
            <w:r>
              <w:rPr>
                <w:rFonts w:ascii="Arial" w:hAnsi="Arial"/>
                <w:sz w:val="20"/>
                <w:szCs w:val="20"/>
                <w:u w:color="000000"/>
                <w:rtl w:val="0"/>
                <w:lang w:val="en-US"/>
              </w:rPr>
              <w:t>s mark (if relevant)</w:t>
              <w:tab/>
            </w:r>
          </w:p>
          <w:p>
            <w:pPr>
              <w:pStyle w:val="Body"/>
              <w:bidi w:val="0"/>
              <w:ind w:left="0" w:right="0" w:firstLine="0"/>
              <w:jc w:val="left"/>
              <w:rPr>
                <w:rFonts w:ascii="Arial" w:cs="Arial" w:hAnsi="Arial" w:eastAsia="Arial"/>
                <w:sz w:val="20"/>
                <w:szCs w:val="20"/>
                <w:u w:color="000000"/>
                <w:rtl w:val="0"/>
                <w:lang w:val="en-US"/>
              </w:rPr>
            </w:pPr>
          </w:p>
          <w:p>
            <w:pPr>
              <w:pStyle w:val="Body"/>
              <w:bidi w:val="0"/>
              <w:ind w:left="0" w:right="0" w:firstLine="0"/>
              <w:jc w:val="left"/>
              <w:rPr>
                <w:rFonts w:ascii="Arial" w:cs="Arial" w:hAnsi="Arial" w:eastAsia="Arial"/>
                <w:b w:val="1"/>
                <w:bCs w:val="1"/>
                <w:sz w:val="20"/>
                <w:szCs w:val="20"/>
                <w:u w:color="000000"/>
                <w:rtl w:val="0"/>
              </w:rPr>
            </w:pPr>
            <w:r>
              <w:rPr>
                <w:rFonts w:ascii="Arial" w:hAnsi="Arial"/>
                <w:b w:val="1"/>
                <w:bCs w:val="1"/>
                <w:sz w:val="20"/>
                <w:szCs w:val="20"/>
                <w:u w:color="000000"/>
                <w:rtl w:val="0"/>
                <w:lang w:val="en-US"/>
              </w:rPr>
              <w:t>Final Mark</w:t>
            </w:r>
          </w:p>
          <w:p>
            <w:pPr>
              <w:pStyle w:val="Body"/>
              <w:bidi w:val="0"/>
              <w:ind w:left="0" w:right="0" w:firstLine="0"/>
              <w:jc w:val="left"/>
              <w:rPr>
                <w:rFonts w:ascii="Arial" w:cs="Arial" w:hAnsi="Arial" w:eastAsia="Arial"/>
                <w:b w:val="1"/>
                <w:bCs w:val="1"/>
                <w:sz w:val="20"/>
                <w:szCs w:val="20"/>
                <w:u w:color="000000"/>
                <w:rtl w:val="0"/>
              </w:rPr>
            </w:pPr>
            <w:r>
              <w:rPr>
                <w:rFonts w:ascii="Arial" w:cs="Arial" w:hAnsi="Arial" w:eastAsia="Arial"/>
                <w:b w:val="1"/>
                <w:bCs w:val="1"/>
                <w:sz w:val="20"/>
                <w:szCs w:val="20"/>
                <w:u w:color="000000"/>
                <w:rtl w:val="0"/>
              </w:rPr>
              <w:tab/>
            </w:r>
          </w:p>
          <w:p>
            <w:pPr>
              <w:keepNext w:val="0"/>
              <w:keepLines w:val="0"/>
              <w:pageBreakBefore w:val="0"/>
              <w:widowControl w:val="1"/>
              <w:shd w:val="clear" w:color="auto" w:fill="auto"/>
              <w:suppressAutoHyphens w:val="0"/>
              <w:bidi w:val="0"/>
              <w:spacing w:before="0" w:after="0" w:line="240" w:lineRule="auto"/>
              <w:ind w:left="142" w:right="34"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142"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NB.</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  All marks are provisional until confirmed by the Final Examination Board.</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For completion by Marker 1 :</w:t>
            </w: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Comments:</w:t>
            </w: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r>
          </w:p>
        </w:tc>
      </w:tr>
      <w:tr>
        <w:tblPrEx>
          <w:shd w:val="clear" w:color="auto" w:fill="ced7e7"/>
        </w:tblPrEx>
        <w:trPr>
          <w:trHeight w:val="332" w:hRule="atLeast"/>
        </w:trPr>
        <w:tc>
          <w:tcPr>
            <w:tcW w:type="dxa" w:w="736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keepNext w:val="0"/>
              <w:keepLines w:val="0"/>
              <w:pageBreakBefore w:val="0"/>
              <w:widowControl w:val="1"/>
              <w:shd w:val="clear" w:color="auto" w:fill="auto"/>
              <w:suppressAutoHyphens w:val="0"/>
              <w:bidi w:val="0"/>
              <w:spacing w:before="100" w:after="100" w:line="240" w:lineRule="auto"/>
              <w:ind w:left="142"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Marker</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s signature:</w:t>
            </w:r>
          </w:p>
        </w:tc>
        <w:tc>
          <w:tcPr>
            <w:tcW w:type="dxa" w:w="227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keepNext w:val="0"/>
              <w:keepLines w:val="0"/>
              <w:pageBreakBefore w:val="0"/>
              <w:widowControl w:val="1"/>
              <w:shd w:val="clear" w:color="auto" w:fill="auto"/>
              <w:suppressAutoHyphens w:val="0"/>
              <w:bidi w:val="0"/>
              <w:spacing w:before="100" w:after="100" w:line="240" w:lineRule="auto"/>
              <w:ind w:left="142"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Date:</w:t>
            </w:r>
          </w:p>
        </w:tc>
      </w:tr>
      <w:tr>
        <w:tblPrEx>
          <w:shd w:val="clear" w:color="auto" w:fill="ced7e7"/>
        </w:tblPrEx>
        <w:trPr>
          <w:trHeight w:val="1923" w:hRule="atLeast"/>
        </w:trPr>
        <w:tc>
          <w:tcPr>
            <w:tcW w:type="dxa" w:w="9637"/>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1"/>
                <w:iCs w:val="1"/>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For completion by Marker 2/Moderator:</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Comments: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r>
          </w:p>
        </w:tc>
      </w:tr>
      <w:tr>
        <w:tblPrEx>
          <w:shd w:val="clear" w:color="auto" w:fill="ced7e7"/>
        </w:tblPrEx>
        <w:trPr>
          <w:trHeight w:val="560" w:hRule="atLeast"/>
        </w:trPr>
        <w:tc>
          <w:tcPr>
            <w:tcW w:type="dxa" w:w="567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Marker</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s Signature:</w:t>
            </w:r>
          </w:p>
        </w:tc>
        <w:tc>
          <w:tcPr>
            <w:tcW w:type="dxa" w:w="3966"/>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Date:</w:t>
            </w:r>
          </w:p>
        </w:tc>
      </w:tr>
      <w:tr>
        <w:tblPrEx>
          <w:shd w:val="clear" w:color="auto" w:fill="ced7e7"/>
        </w:tblPrEx>
        <w:trPr>
          <w:trHeight w:val="2883" w:hRule="atLeast"/>
        </w:trPr>
        <w:tc>
          <w:tcPr>
            <w:tcW w:type="dxa" w:w="9637"/>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Arial" w:cs="Arial" w:hAnsi="Arial" w:eastAsia="Arial"/>
                <w:b w:val="1"/>
                <w:bCs w:val="1"/>
                <w:u w:color="000000"/>
                <w:rtl w:val="0"/>
              </w:rPr>
            </w:pPr>
            <w:r>
              <w:rPr>
                <w:rFonts w:ascii="Arial" w:hAnsi="Arial"/>
                <w:b w:val="1"/>
                <w:bCs w:val="1"/>
                <w:u w:color="000000"/>
                <w:rtl w:val="0"/>
                <w:lang w:val="en-US"/>
              </w:rPr>
              <w:t>External Examiner</w:t>
            </w:r>
            <w:r>
              <w:rPr>
                <w:rFonts w:ascii="Arial" w:hAnsi="Arial" w:hint="default"/>
                <w:b w:val="1"/>
                <w:bCs w:val="1"/>
                <w:u w:color="000000"/>
                <w:rtl w:val="0"/>
                <w:lang w:val="en-US"/>
              </w:rPr>
              <w:t>’</w:t>
            </w:r>
            <w:r>
              <w:rPr>
                <w:rFonts w:ascii="Arial" w:hAnsi="Arial"/>
                <w:b w:val="1"/>
                <w:bCs w:val="1"/>
                <w:u w:color="000000"/>
                <w:rtl w:val="0"/>
                <w:lang w:val="en-US"/>
              </w:rPr>
              <w:t>s comments (if relevant)</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r>
          </w:p>
        </w:tc>
      </w:tr>
      <w:tr>
        <w:tblPrEx>
          <w:shd w:val="clear" w:color="auto" w:fill="ced7e7"/>
        </w:tblPrEx>
        <w:trPr>
          <w:trHeight w:val="560" w:hRule="atLeast"/>
        </w:trPr>
        <w:tc>
          <w:tcPr>
            <w:tcW w:type="dxa" w:w="567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u w:color="000000"/>
                <w:rtl w:val="0"/>
                <w:lang w:val="en-US"/>
              </w:rPr>
              <w:t>External Examiner</w:t>
            </w:r>
            <w:r>
              <w:rPr>
                <w:rFonts w:ascii="Arial" w:hAnsi="Arial" w:hint="default"/>
                <w:u w:color="000000"/>
                <w:rtl w:val="0"/>
                <w:lang w:val="en-US"/>
              </w:rPr>
              <w:t>’</w:t>
            </w:r>
            <w:r>
              <w:rPr>
                <w:rFonts w:ascii="Arial" w:hAnsi="Arial"/>
                <w:u w:color="000000"/>
                <w:rtl w:val="0"/>
                <w:lang w:val="en-US"/>
              </w:rPr>
              <w:t>s Signature:</w:t>
            </w:r>
          </w:p>
        </w:tc>
        <w:tc>
          <w:tcPr>
            <w:tcW w:type="dxa" w:w="3966"/>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u w:color="000000"/>
                <w:rtl w:val="0"/>
                <w:lang w:val="en-US"/>
              </w:rPr>
              <w:t>Date:</w:t>
            </w:r>
          </w:p>
        </w:tc>
      </w:tr>
    </w:tbl>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Fonts w:ascii="Tahoma" w:cs="Tahoma" w:hAnsi="Tahoma" w:eastAsia="Tahoma"/>
          <w:b w:val="1"/>
          <w:bCs w:val="1"/>
          <w:i w:val="0"/>
          <w:iCs w:val="0"/>
          <w:caps w:val="0"/>
          <w:smallCaps w:val="0"/>
          <w:strike w:val="0"/>
          <w:dstrike w:val="0"/>
          <w:outline w:val="0"/>
          <w:color w:val="000000"/>
          <w:spacing w:val="0"/>
          <w:kern w:val="0"/>
          <w:position w:val="0"/>
          <w:sz w:val="20"/>
          <w:szCs w:val="20"/>
          <w:u w:val="none" w:color="000000"/>
          <w:vertAlign w:val="baseline"/>
          <w:rtl w:val="0"/>
        </w:rPr>
      </w:pPr>
    </w:p>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Fonts w:ascii="Trebuchet MS" w:cs="Trebuchet MS" w:hAnsi="Trebuchet MS" w:eastAsia="Trebuchet MS"/>
          <w:b w:val="1"/>
          <w:bCs w:val="1"/>
          <w:i w:val="0"/>
          <w:iCs w:val="0"/>
          <w:caps w:val="0"/>
          <w:smallCaps w:val="0"/>
          <w:strike w:val="0"/>
          <w:dstrike w:val="0"/>
          <w:outline w:val="0"/>
          <w:color w:val="000000"/>
          <w:spacing w:val="0"/>
          <w:kern w:val="0"/>
          <w:position w:val="0"/>
          <w:sz w:val="20"/>
          <w:szCs w:val="20"/>
          <w:u w:val="none" w:color="000000"/>
          <w:vertAlign w:val="baseline"/>
          <w:rtl w:val="0"/>
        </w:rPr>
      </w:pPr>
    </w:p>
    <w:p>
      <w:pPr>
        <w:pStyle w:val="Body"/>
        <w:spacing w:line="360" w:lineRule="auto"/>
        <w:ind w:left="283" w:right="284" w:firstLine="0"/>
        <w:jc w:val="center"/>
        <w:rPr>
          <w:rFonts w:ascii="Trebuchet MS" w:cs="Trebuchet MS" w:hAnsi="Trebuchet MS" w:eastAsia="Trebuchet MS"/>
          <w:sz w:val="24"/>
          <w:szCs w:val="24"/>
          <w:u w:val="single"/>
        </w:rPr>
      </w:pPr>
    </w:p>
    <w:p>
      <w:pPr>
        <w:pStyle w:val="Body"/>
        <w:spacing w:line="360" w:lineRule="auto"/>
        <w:ind w:left="283" w:right="284" w:firstLine="0"/>
        <w:jc w:val="center"/>
        <w:rPr>
          <w:rFonts w:ascii="Trebuchet MS" w:cs="Trebuchet MS" w:hAnsi="Trebuchet MS" w:eastAsia="Trebuchet MS"/>
          <w:sz w:val="24"/>
          <w:szCs w:val="24"/>
          <w:u w:val="single"/>
        </w:rPr>
      </w:pPr>
    </w:p>
    <w:p>
      <w:pPr>
        <w:pStyle w:val="Body"/>
        <w:spacing w:line="360" w:lineRule="auto"/>
        <w:ind w:left="283" w:right="284" w:firstLine="0"/>
        <w:jc w:val="center"/>
        <w:rPr>
          <w:rFonts w:ascii="Times New Roman" w:cs="Times New Roman" w:hAnsi="Times New Roman" w:eastAsia="Times New Roman"/>
          <w:sz w:val="24"/>
          <w:szCs w:val="24"/>
          <w:u w:val="single"/>
        </w:rPr>
      </w:pPr>
      <w:r>
        <w:rPr>
          <w:rFonts w:ascii="Times New Roman" w:hAnsi="Times New Roman"/>
          <w:sz w:val="24"/>
          <w:szCs w:val="24"/>
          <w:u w:val="single"/>
          <w:rtl w:val="0"/>
          <w:lang w:val="en-US"/>
        </w:rPr>
        <w:t>Arnold v</w:t>
      </w:r>
      <w:r>
        <w:rPr>
          <w:rFonts w:ascii="Times New Roman" w:hAnsi="Times New Roman"/>
          <w:sz w:val="24"/>
          <w:szCs w:val="24"/>
          <w:u w:val="single"/>
          <w:rtl w:val="0"/>
          <w:lang w:val="nl-NL"/>
        </w:rPr>
        <w:t>an Gennep</w:t>
      </w:r>
      <w:r>
        <w:rPr>
          <w:rFonts w:ascii="Times New Roman" w:hAnsi="Times New Roman" w:hint="default"/>
          <w:sz w:val="24"/>
          <w:szCs w:val="24"/>
          <w:u w:val="single"/>
          <w:rtl w:val="0"/>
          <w:lang w:val="en-US"/>
        </w:rPr>
        <w:t>’</w:t>
      </w:r>
      <w:r>
        <w:rPr>
          <w:rFonts w:ascii="Times New Roman" w:hAnsi="Times New Roman"/>
          <w:sz w:val="24"/>
          <w:szCs w:val="24"/>
          <w:u w:val="single"/>
          <w:rtl w:val="0"/>
        </w:rPr>
        <w:t xml:space="preserve">s </w:t>
      </w:r>
      <w:r>
        <w:rPr>
          <w:rFonts w:ascii="Times New Roman" w:hAnsi="Times New Roman"/>
          <w:sz w:val="24"/>
          <w:szCs w:val="24"/>
          <w:u w:val="single"/>
          <w:rtl w:val="0"/>
          <w:lang w:val="en-US"/>
        </w:rPr>
        <w:t>r</w:t>
      </w:r>
      <w:r>
        <w:rPr>
          <w:rFonts w:ascii="Times New Roman" w:hAnsi="Times New Roman"/>
          <w:sz w:val="24"/>
          <w:szCs w:val="24"/>
          <w:u w:val="single"/>
          <w:rtl w:val="0"/>
          <w:lang w:val="en-US"/>
        </w:rPr>
        <w:t xml:space="preserve">ites of </w:t>
      </w:r>
      <w:r>
        <w:rPr>
          <w:rFonts w:ascii="Times New Roman" w:hAnsi="Times New Roman"/>
          <w:sz w:val="24"/>
          <w:szCs w:val="24"/>
          <w:u w:val="single"/>
          <w:rtl w:val="0"/>
          <w:lang w:val="en-US"/>
        </w:rPr>
        <w:t>p</w:t>
      </w:r>
      <w:r>
        <w:rPr>
          <w:rFonts w:ascii="Times New Roman" w:hAnsi="Times New Roman"/>
          <w:sz w:val="24"/>
          <w:szCs w:val="24"/>
          <w:u w:val="single"/>
          <w:rtl w:val="0"/>
          <w:lang w:val="fr-FR"/>
        </w:rPr>
        <w:t>assage</w:t>
      </w:r>
    </w:p>
    <w:p>
      <w:pPr>
        <w:pStyle w:val="Body"/>
        <w:spacing w:line="360" w:lineRule="auto"/>
        <w:ind w:left="283" w:right="284" w:firstLine="0"/>
        <w:jc w:val="center"/>
        <w:rPr>
          <w:rFonts w:ascii="Times New Roman" w:cs="Times New Roman" w:hAnsi="Times New Roman" w:eastAsia="Times New Roman"/>
          <w:sz w:val="24"/>
          <w:szCs w:val="24"/>
          <w:u w:val="single"/>
        </w:rPr>
      </w:pPr>
    </w:p>
    <w:p>
      <w:pPr>
        <w:pStyle w:val="Body"/>
        <w:spacing w:line="360" w:lineRule="auto"/>
        <w:ind w:left="283" w:right="284" w:firstLine="0"/>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ethnographer and folklorist Arnold van Gennep developed a framework of comprehending certain rituals that are concerned with the transition of a person or persons from one state of their life/being to another. He called these </w:t>
      </w:r>
      <w:r>
        <w:rPr>
          <w:rFonts w:ascii="Times New Roman" w:hAnsi="Times New Roman" w:hint="default"/>
          <w:sz w:val="24"/>
          <w:szCs w:val="24"/>
          <w:rtl w:val="0"/>
          <w:lang w:val="en-US"/>
        </w:rPr>
        <w:t>‘</w:t>
      </w:r>
      <w:r>
        <w:rPr>
          <w:rFonts w:ascii="Times New Roman" w:hAnsi="Times New Roman"/>
          <w:i w:val="1"/>
          <w:iCs w:val="1"/>
          <w:sz w:val="24"/>
          <w:szCs w:val="24"/>
          <w:rtl w:val="0"/>
          <w:lang w:val="en-US"/>
        </w:rPr>
        <w:t>rites de passage</w:t>
      </w:r>
      <w:r>
        <w:rPr>
          <w:rFonts w:ascii="Times New Roman" w:hAnsi="Times New Roman" w:hint="default"/>
          <w:sz w:val="24"/>
          <w:szCs w:val="24"/>
          <w:rtl w:val="0"/>
          <w:lang w:val="en-US"/>
        </w:rPr>
        <w:t>’</w:t>
      </w:r>
      <w:r>
        <w:rPr>
          <w:rFonts w:ascii="Times New Roman" w:hAnsi="Times New Roman"/>
          <w:sz w:val="24"/>
          <w:szCs w:val="24"/>
          <w:rtl w:val="0"/>
          <w:lang w:val="en-US"/>
        </w:rPr>
        <w:t>, or rites of passage. Since the publication in 1908 of Van Gennep</w:t>
      </w:r>
      <w:r>
        <w:rPr>
          <w:rFonts w:ascii="Times New Roman" w:hAnsi="Times New Roman" w:hint="default"/>
          <w:sz w:val="24"/>
          <w:szCs w:val="24"/>
          <w:rtl w:val="0"/>
          <w:lang w:val="en-US"/>
        </w:rPr>
        <w:t>’</w:t>
      </w:r>
      <w:r>
        <w:rPr>
          <w:rFonts w:ascii="Times New Roman" w:hAnsi="Times New Roman"/>
          <w:sz w:val="24"/>
          <w:szCs w:val="24"/>
          <w:rtl w:val="0"/>
          <w:lang w:val="en-US"/>
        </w:rPr>
        <w:t xml:space="preserve">s highly influential work </w:t>
      </w:r>
      <w:r>
        <w:rPr>
          <w:rFonts w:ascii="Times New Roman" w:hAnsi="Times New Roman"/>
          <w:i w:val="1"/>
          <w:iCs w:val="1"/>
          <w:sz w:val="24"/>
          <w:szCs w:val="24"/>
          <w:rtl w:val="0"/>
          <w:lang w:val="en-US"/>
        </w:rPr>
        <w:t>The Rites of Passage</w:t>
      </w:r>
      <w:r>
        <w:rPr>
          <w:rFonts w:ascii="Times New Roman" w:hAnsi="Times New Roman"/>
          <w:sz w:val="24"/>
          <w:szCs w:val="24"/>
          <w:rtl w:val="0"/>
          <w:lang w:val="en-US"/>
        </w:rPr>
        <w:t xml:space="preserve">, his theory has been expanded and developed by a number of scholars, perhaps most notably the </w:t>
      </w:r>
      <w:r>
        <w:rPr>
          <w:rFonts w:ascii="Times New Roman" w:hAnsi="Times New Roman"/>
          <w:sz w:val="24"/>
          <w:szCs w:val="24"/>
          <w:rtl w:val="0"/>
          <w:lang w:val="en-US"/>
        </w:rPr>
        <w:t>British anthropologist</w:t>
      </w:r>
      <w:r>
        <w:rPr>
          <w:rFonts w:ascii="Times New Roman" w:hAnsi="Times New Roman"/>
          <w:sz w:val="24"/>
          <w:szCs w:val="24"/>
          <w:rtl w:val="0"/>
          <w:lang w:val="en-US"/>
        </w:rPr>
        <w:t xml:space="preserve"> Victor Turner.</w:t>
      </w:r>
    </w:p>
    <w:p>
      <w:pPr>
        <w:pStyle w:val="Body"/>
        <w:spacing w:line="360" w:lineRule="auto"/>
        <w:ind w:left="283" w:right="284" w:firstLine="0"/>
        <w:jc w:val="both"/>
        <w:rPr>
          <w:rFonts w:ascii="Times New Roman" w:cs="Times New Roman" w:hAnsi="Times New Roman" w:eastAsia="Times New Roman"/>
          <w:sz w:val="24"/>
          <w:szCs w:val="24"/>
        </w:rPr>
      </w:pPr>
    </w:p>
    <w:p>
      <w:pPr>
        <w:pStyle w:val="Body"/>
        <w:spacing w:line="360" w:lineRule="auto"/>
        <w:ind w:left="283" w:right="284" w:firstLine="0"/>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Van Gennep thought that society is akin to </w:t>
      </w:r>
      <w:r>
        <w:rPr>
          <w:rFonts w:ascii="Times New Roman" w:hAnsi="Times New Roman" w:hint="default"/>
          <w:sz w:val="24"/>
          <w:szCs w:val="24"/>
          <w:rtl w:val="0"/>
          <w:lang w:val="en-US"/>
        </w:rPr>
        <w:t>“</w:t>
      </w:r>
      <w:r>
        <w:rPr>
          <w:rFonts w:ascii="Times New Roman" w:hAnsi="Times New Roman"/>
          <w:sz w:val="24"/>
          <w:szCs w:val="24"/>
          <w:rtl w:val="0"/>
          <w:lang w:val="en-US"/>
        </w:rPr>
        <w:t>a house divided into rooms and corridors</w:t>
      </w:r>
      <w:r>
        <w:rPr>
          <w:rFonts w:ascii="Times New Roman" w:hAnsi="Times New Roman" w:hint="default"/>
          <w:sz w:val="24"/>
          <w:szCs w:val="24"/>
          <w:rtl w:val="0"/>
          <w:lang w:val="en-US"/>
        </w:rPr>
        <w:t xml:space="preserve">” </w:t>
      </w:r>
      <w:r>
        <w:rPr>
          <w:rFonts w:ascii="Times New Roman" w:hAnsi="Times New Roman"/>
          <w:sz w:val="24"/>
          <w:szCs w:val="24"/>
          <w:rtl w:val="0"/>
        </w:rPr>
        <w:t>(1960 [1908]: 2</w:t>
      </w:r>
      <w:r>
        <w:rPr>
          <w:rFonts w:ascii="Times New Roman" w:hAnsi="Times New Roman"/>
          <w:sz w:val="24"/>
          <w:szCs w:val="24"/>
          <w:rtl w:val="0"/>
          <w:lang w:val="en-US"/>
        </w:rPr>
        <w:t>6</w:t>
      </w:r>
      <w:r>
        <w:rPr>
          <w:rFonts w:ascii="Times New Roman" w:hAnsi="Times New Roman"/>
          <w:sz w:val="24"/>
          <w:szCs w:val="24"/>
          <w:rtl w:val="0"/>
        </w:rPr>
        <w:t>)</w:t>
      </w:r>
      <w:r>
        <w:rPr>
          <w:rFonts w:ascii="Times New Roman" w:hAnsi="Times New Roman"/>
          <w:sz w:val="24"/>
          <w:szCs w:val="24"/>
          <w:rtl w:val="0"/>
          <w:lang w:val="en-US"/>
        </w:rPr>
        <w:t>. Rites of passage mark the transition from one room or corridor to another, and may be experienced by individuals and/or groups. He also believed that transitioning from one group or social situation to another is implicit by the very fact of existence, and that as a consequence an individual</w:t>
      </w:r>
      <w:r>
        <w:rPr>
          <w:rFonts w:ascii="Times New Roman" w:hAnsi="Times New Roman" w:hint="default"/>
          <w:sz w:val="24"/>
          <w:szCs w:val="24"/>
          <w:rtl w:val="0"/>
          <w:lang w:val="en-US"/>
        </w:rPr>
        <w:t>’</w:t>
      </w:r>
      <w:r>
        <w:rPr>
          <w:rFonts w:ascii="Times New Roman" w:hAnsi="Times New Roman"/>
          <w:sz w:val="24"/>
          <w:szCs w:val="24"/>
          <w:rtl w:val="0"/>
          <w:lang w:val="en-US"/>
        </w:rPr>
        <w:t xml:space="preserve">s life consists of a series of stages that have similar beginnings and endings, including birth; puberty (social and physiological); marriage; becoming a parent; advancing to a higher social status; specialising in an occupation; and death </w:t>
      </w:r>
      <w:r>
        <w:rPr>
          <w:rFonts w:ascii="Times New Roman" w:hAnsi="Times New Roman"/>
          <w:sz w:val="24"/>
          <w:szCs w:val="24"/>
          <w:rtl w:val="0"/>
        </w:rPr>
        <w:t>(</w:t>
      </w:r>
      <w:r>
        <w:rPr>
          <w:rFonts w:ascii="Times New Roman" w:hAnsi="Times New Roman"/>
          <w:sz w:val="24"/>
          <w:szCs w:val="24"/>
          <w:rtl w:val="0"/>
          <w:lang w:val="en-US"/>
        </w:rPr>
        <w:t xml:space="preserve">Van Gennep </w:t>
      </w:r>
      <w:r>
        <w:rPr>
          <w:rFonts w:ascii="Times New Roman" w:hAnsi="Times New Roman"/>
          <w:sz w:val="24"/>
          <w:szCs w:val="24"/>
          <w:rtl w:val="0"/>
        </w:rPr>
        <w:t>1960 [1908]: 3)</w:t>
      </w:r>
      <w:r>
        <w:rPr>
          <w:rFonts w:ascii="Times New Roman" w:hAnsi="Times New Roman"/>
          <w:sz w:val="24"/>
          <w:szCs w:val="24"/>
          <w:rtl w:val="0"/>
          <w:lang w:val="en-US"/>
        </w:rPr>
        <w:t xml:space="preserve">. The purpose of these ceremonies is to allow the individual to pass from one of these stages, which is clearly defined, to another, which is equally well defined. </w:t>
      </w:r>
    </w:p>
    <w:p>
      <w:pPr>
        <w:pStyle w:val="Body"/>
        <w:spacing w:line="360" w:lineRule="auto"/>
        <w:ind w:left="283" w:right="284" w:firstLine="0"/>
        <w:jc w:val="both"/>
        <w:rPr>
          <w:rFonts w:ascii="Times New Roman" w:cs="Times New Roman" w:hAnsi="Times New Roman" w:eastAsia="Times New Roman"/>
          <w:sz w:val="24"/>
          <w:szCs w:val="24"/>
        </w:rPr>
      </w:pPr>
    </w:p>
    <w:p>
      <w:pPr>
        <w:pStyle w:val="Body"/>
        <w:spacing w:line="360" w:lineRule="auto"/>
        <w:ind w:left="283" w:right="284" w:firstLine="0"/>
        <w:jc w:val="both"/>
        <w:rPr>
          <w:rFonts w:ascii="Times New Roman" w:cs="Times New Roman" w:hAnsi="Times New Roman" w:eastAsia="Times New Roman"/>
          <w:sz w:val="24"/>
          <w:szCs w:val="24"/>
        </w:rPr>
      </w:pPr>
      <w:r>
        <w:rPr>
          <w:rFonts w:ascii="Times New Roman" w:hAnsi="Times New Roman"/>
          <w:sz w:val="24"/>
          <w:szCs w:val="24"/>
          <w:rtl w:val="0"/>
          <w:lang w:val="en-US"/>
        </w:rPr>
        <w:t>The ultimate end goal of the transition is the same, and as a result the ways of attaining the end goal are analogous, though evidently not identical in detail (V</w:t>
      </w:r>
      <w:r>
        <w:rPr>
          <w:rFonts w:ascii="Times New Roman" w:hAnsi="Times New Roman"/>
          <w:sz w:val="24"/>
          <w:szCs w:val="24"/>
          <w:rtl w:val="0"/>
          <w:lang w:val="nl-NL"/>
        </w:rPr>
        <w:t>an Gennep 1960 [1908]: 3)</w:t>
      </w:r>
      <w:r>
        <w:rPr>
          <w:rFonts w:ascii="Times New Roman" w:hAnsi="Times New Roman"/>
          <w:sz w:val="24"/>
          <w:szCs w:val="24"/>
          <w:rtl w:val="0"/>
          <w:lang w:val="en-US"/>
        </w:rPr>
        <w:t xml:space="preserve">. There is a great degree of similarity between the rites of passage of the aforementioned types of stages of life </w:t>
      </w:r>
      <w:r>
        <w:rPr>
          <w:rFonts w:ascii="Times New Roman" w:hAnsi="Times New Roman"/>
          <w:sz w:val="24"/>
          <w:szCs w:val="24"/>
          <w:rtl w:val="0"/>
        </w:rPr>
        <w:t>(</w:t>
      </w:r>
      <w:r>
        <w:rPr>
          <w:rFonts w:ascii="Times New Roman" w:hAnsi="Times New Roman"/>
          <w:sz w:val="24"/>
          <w:szCs w:val="24"/>
          <w:rtl w:val="0"/>
          <w:lang w:val="en-US"/>
        </w:rPr>
        <w:t>V</w:t>
      </w:r>
      <w:r>
        <w:rPr>
          <w:rFonts w:ascii="Times New Roman" w:hAnsi="Times New Roman"/>
          <w:sz w:val="24"/>
          <w:szCs w:val="24"/>
          <w:rtl w:val="0"/>
          <w:lang w:val="nl-NL"/>
        </w:rPr>
        <w:t>an Gennep 1960 [1908]: 3)</w:t>
      </w:r>
      <w:r>
        <w:rPr>
          <w:rFonts w:ascii="Times New Roman" w:hAnsi="Times New Roman"/>
          <w:sz w:val="24"/>
          <w:szCs w:val="24"/>
          <w:rtl w:val="0"/>
          <w:lang w:val="en-US"/>
        </w:rPr>
        <w:t xml:space="preserve">. However, Van Gennep believed that some rites, which are a consequence of changing months, seasons, and years (and thus dictated by nature), should be grouped together, and was unclear on determining a scheme by which they should be described </w:t>
      </w:r>
      <w:r>
        <w:rPr>
          <w:rFonts w:ascii="Times New Roman" w:hAnsi="Times New Roman"/>
          <w:sz w:val="24"/>
          <w:szCs w:val="24"/>
          <w:rtl w:val="0"/>
        </w:rPr>
        <w:t>(</w:t>
      </w:r>
      <w:r>
        <w:rPr>
          <w:rFonts w:ascii="Times New Roman" w:hAnsi="Times New Roman"/>
          <w:sz w:val="24"/>
          <w:szCs w:val="24"/>
          <w:rtl w:val="0"/>
          <w:lang w:val="en-US"/>
        </w:rPr>
        <w:t>V</w:t>
      </w:r>
      <w:r>
        <w:rPr>
          <w:rFonts w:ascii="Times New Roman" w:hAnsi="Times New Roman"/>
          <w:sz w:val="24"/>
          <w:szCs w:val="24"/>
          <w:rtl w:val="0"/>
          <w:lang w:val="nl-NL"/>
        </w:rPr>
        <w:t>an Gennep 1960 [1908]:</w:t>
      </w:r>
      <w:r>
        <w:rPr>
          <w:rFonts w:ascii="Times New Roman" w:hAnsi="Times New Roman"/>
          <w:sz w:val="24"/>
          <w:szCs w:val="24"/>
          <w:rtl w:val="0"/>
          <w:lang w:val="en-US"/>
        </w:rPr>
        <w:t xml:space="preserve"> 4). Some rituals can be a combination of several different forms of rites of passage. The Jewish festival of Passover, for instance, combines ceremonies of changing seasons with that of the commemoration of the deliverance of the Israelites from Egypt </w:t>
      </w:r>
      <w:r>
        <w:rPr>
          <w:rFonts w:ascii="Times New Roman" w:hAnsi="Times New Roman"/>
          <w:sz w:val="24"/>
          <w:szCs w:val="24"/>
          <w:rtl w:val="0"/>
        </w:rPr>
        <w:t>(</w:t>
      </w:r>
      <w:r>
        <w:rPr>
          <w:rFonts w:ascii="Times New Roman" w:hAnsi="Times New Roman"/>
          <w:sz w:val="24"/>
          <w:szCs w:val="24"/>
          <w:rtl w:val="0"/>
          <w:lang w:val="en-US"/>
        </w:rPr>
        <w:t>V</w:t>
      </w:r>
      <w:r>
        <w:rPr>
          <w:rFonts w:ascii="Times New Roman" w:hAnsi="Times New Roman"/>
          <w:sz w:val="24"/>
          <w:szCs w:val="24"/>
          <w:rtl w:val="0"/>
          <w:lang w:val="nl-NL"/>
        </w:rPr>
        <w:t xml:space="preserve">an Gennep 1960 [1908]: </w:t>
      </w:r>
      <w:r>
        <w:rPr>
          <w:rFonts w:ascii="Times New Roman" w:hAnsi="Times New Roman"/>
          <w:sz w:val="24"/>
          <w:szCs w:val="24"/>
          <w:rtl w:val="0"/>
          <w:lang w:val="en-US"/>
        </w:rPr>
        <w:t>40</w:t>
      </w:r>
      <w:r>
        <w:rPr>
          <w:rFonts w:ascii="Times New Roman" w:hAnsi="Times New Roman"/>
          <w:sz w:val="24"/>
          <w:szCs w:val="24"/>
          <w:rtl w:val="0"/>
        </w:rPr>
        <w:t>)</w:t>
      </w:r>
      <w:r>
        <w:rPr>
          <w:rFonts w:ascii="Times New Roman" w:hAnsi="Times New Roman"/>
          <w:sz w:val="24"/>
          <w:szCs w:val="24"/>
          <w:rtl w:val="0"/>
          <w:lang w:val="en-US"/>
        </w:rPr>
        <w:t>. As such it cannot be easily categorised.</w:t>
      </w:r>
    </w:p>
    <w:p>
      <w:pPr>
        <w:pStyle w:val="Body"/>
        <w:spacing w:line="360" w:lineRule="auto"/>
        <w:ind w:left="283" w:right="284" w:firstLine="0"/>
        <w:jc w:val="both"/>
        <w:rPr>
          <w:rFonts w:ascii="Times New Roman" w:cs="Times New Roman" w:hAnsi="Times New Roman" w:eastAsia="Times New Roman"/>
          <w:sz w:val="24"/>
          <w:szCs w:val="24"/>
        </w:rPr>
      </w:pPr>
    </w:p>
    <w:p>
      <w:pPr>
        <w:pStyle w:val="Body"/>
        <w:spacing w:line="360" w:lineRule="auto"/>
        <w:ind w:left="283" w:right="284" w:firstLine="0"/>
        <w:jc w:val="both"/>
        <w:rPr>
          <w:rFonts w:ascii="Times New Roman" w:cs="Times New Roman" w:hAnsi="Times New Roman" w:eastAsia="Times New Roman"/>
          <w:sz w:val="24"/>
          <w:szCs w:val="24"/>
        </w:rPr>
      </w:pPr>
      <w:r>
        <w:rPr>
          <w:rFonts w:ascii="Times New Roman" w:hAnsi="Times New Roman"/>
          <w:sz w:val="24"/>
          <w:szCs w:val="24"/>
          <w:rtl w:val="0"/>
          <w:lang w:val="en-US"/>
        </w:rPr>
        <w:t>Van Gennep</w:t>
      </w:r>
      <w:r>
        <w:rPr>
          <w:rFonts w:ascii="Times New Roman" w:hAnsi="Times New Roman" w:hint="default"/>
          <w:sz w:val="24"/>
          <w:szCs w:val="24"/>
          <w:rtl w:val="0"/>
          <w:lang w:val="en-US"/>
        </w:rPr>
        <w:t>’</w:t>
      </w:r>
      <w:r>
        <w:rPr>
          <w:rFonts w:ascii="Times New Roman" w:hAnsi="Times New Roman"/>
          <w:sz w:val="24"/>
          <w:szCs w:val="24"/>
          <w:rtl w:val="0"/>
          <w:lang w:val="en-US"/>
        </w:rPr>
        <w:t>s rites of passage are not limited to events that take place within a person</w:t>
      </w:r>
      <w:r>
        <w:rPr>
          <w:rFonts w:ascii="Times New Roman" w:hAnsi="Times New Roman" w:hint="default"/>
          <w:sz w:val="24"/>
          <w:szCs w:val="24"/>
          <w:rtl w:val="0"/>
          <w:lang w:val="en-US"/>
        </w:rPr>
        <w:t>’</w:t>
      </w:r>
      <w:r>
        <w:rPr>
          <w:rFonts w:ascii="Times New Roman" w:hAnsi="Times New Roman"/>
          <w:sz w:val="24"/>
          <w:szCs w:val="24"/>
          <w:rtl w:val="0"/>
          <w:lang w:val="en-US"/>
        </w:rPr>
        <w:t xml:space="preserve">s lifetime. Death </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the cessation of life in a person </w:t>
      </w:r>
      <w:r>
        <w:rPr>
          <w:rFonts w:ascii="Times New Roman" w:hAnsi="Times New Roman" w:hint="default"/>
          <w:sz w:val="24"/>
          <w:szCs w:val="24"/>
          <w:rtl w:val="0"/>
          <w:lang w:val="en-US"/>
        </w:rPr>
        <w:t xml:space="preserve">— </w:t>
      </w:r>
      <w:r>
        <w:rPr>
          <w:rFonts w:ascii="Times New Roman" w:hAnsi="Times New Roman"/>
          <w:sz w:val="24"/>
          <w:szCs w:val="24"/>
          <w:rtl w:val="0"/>
          <w:lang w:val="en-US"/>
        </w:rPr>
        <w:t>can be seen as the supreme transitionary phase from one state of being to the other. Burial or funerary rituals are perhaps the most complex and multi-layered of Van Gennep</w:t>
      </w:r>
      <w:r>
        <w:rPr>
          <w:rFonts w:ascii="Times New Roman" w:hAnsi="Times New Roman" w:hint="default"/>
          <w:sz w:val="24"/>
          <w:szCs w:val="24"/>
          <w:rtl w:val="0"/>
          <w:lang w:val="en-US"/>
        </w:rPr>
        <w:t>’</w:t>
      </w:r>
      <w:r>
        <w:rPr>
          <w:rFonts w:ascii="Times New Roman" w:hAnsi="Times New Roman"/>
          <w:sz w:val="24"/>
          <w:szCs w:val="24"/>
          <w:rtl w:val="0"/>
          <w:lang w:val="en-US"/>
        </w:rPr>
        <w:t xml:space="preserve">s rites of passage, and are an often interconnected web of rites-within-rites that involve both the deceased and the mourners they leave behind. Scholar Fiona Bowie notes that although rites of passage are most commonly associated with initiation rituals, the framework that Van Gennep developed can be applied to a much wider range of ritual/ceremony </w:t>
      </w:r>
      <w:r>
        <w:rPr>
          <w:rFonts w:ascii="Times New Roman" w:hAnsi="Times New Roman"/>
          <w:sz w:val="24"/>
          <w:szCs w:val="24"/>
          <w:rtl w:val="0"/>
        </w:rPr>
        <w:t>(2000: 152)</w:t>
      </w:r>
      <w:r>
        <w:rPr>
          <w:rFonts w:ascii="Times New Roman" w:hAnsi="Times New Roman"/>
          <w:sz w:val="24"/>
          <w:szCs w:val="24"/>
          <w:rtl w:val="0"/>
          <w:lang w:val="en-US"/>
        </w:rPr>
        <w:t>.</w:t>
      </w:r>
    </w:p>
    <w:p>
      <w:pPr>
        <w:pStyle w:val="Body"/>
        <w:spacing w:line="360" w:lineRule="auto"/>
        <w:ind w:left="283" w:right="284" w:firstLine="0"/>
        <w:jc w:val="both"/>
        <w:rPr>
          <w:rFonts w:ascii="Times New Roman" w:cs="Times New Roman" w:hAnsi="Times New Roman" w:eastAsia="Times New Roman"/>
          <w:sz w:val="24"/>
          <w:szCs w:val="24"/>
        </w:rPr>
      </w:pPr>
    </w:p>
    <w:p>
      <w:pPr>
        <w:pStyle w:val="Body"/>
        <w:spacing w:line="360" w:lineRule="auto"/>
        <w:ind w:left="283" w:right="284" w:firstLine="0"/>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To Van Gennep, rites of passage consist of three distinct categories or subdivisions. The first are known as rites of separation, the second as transition rites, and the third as rites of incorporation </w:t>
      </w:r>
      <w:r>
        <w:rPr>
          <w:rFonts w:ascii="Times New Roman" w:hAnsi="Times New Roman"/>
          <w:sz w:val="24"/>
          <w:szCs w:val="24"/>
          <w:rtl w:val="0"/>
        </w:rPr>
        <w:t>(</w:t>
      </w:r>
      <w:r>
        <w:rPr>
          <w:rFonts w:ascii="Times New Roman" w:hAnsi="Times New Roman"/>
          <w:sz w:val="24"/>
          <w:szCs w:val="24"/>
          <w:rtl w:val="0"/>
          <w:lang w:val="en-US"/>
        </w:rPr>
        <w:t>V</w:t>
      </w:r>
      <w:r>
        <w:rPr>
          <w:rFonts w:ascii="Times New Roman" w:hAnsi="Times New Roman"/>
          <w:sz w:val="24"/>
          <w:szCs w:val="24"/>
          <w:rtl w:val="0"/>
          <w:lang w:val="nl-NL"/>
        </w:rPr>
        <w:t xml:space="preserve">an Gennep 1960 [1908]: </w:t>
      </w:r>
      <w:r>
        <w:rPr>
          <w:rFonts w:ascii="Times New Roman" w:hAnsi="Times New Roman"/>
          <w:sz w:val="24"/>
          <w:szCs w:val="24"/>
          <w:rtl w:val="0"/>
          <w:lang w:val="en-US"/>
        </w:rPr>
        <w:t>10-11</w:t>
      </w:r>
      <w:r>
        <w:rPr>
          <w:rFonts w:ascii="Times New Roman" w:hAnsi="Times New Roman"/>
          <w:sz w:val="24"/>
          <w:szCs w:val="24"/>
          <w:rtl w:val="0"/>
        </w:rPr>
        <w:t>)</w:t>
      </w:r>
      <w:r>
        <w:rPr>
          <w:rFonts w:ascii="Times New Roman" w:hAnsi="Times New Roman"/>
          <w:sz w:val="24"/>
          <w:szCs w:val="24"/>
          <w:rtl w:val="0"/>
          <w:lang w:val="en-US"/>
        </w:rPr>
        <w:t xml:space="preserve">. These rites may be found with varying degrees of development and emphasis in ceremonial patterns </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for instance, Van Gennep believed that rites of separation were prominent in funeral ceremonies; rites of incorporation in marriages; and transition rites in pregnancy, betrothal, and initiation </w:t>
      </w:r>
      <w:r>
        <w:rPr>
          <w:rFonts w:ascii="Times New Roman" w:hAnsi="Times New Roman"/>
          <w:sz w:val="24"/>
          <w:szCs w:val="24"/>
          <w:rtl w:val="0"/>
        </w:rPr>
        <w:t>(</w:t>
      </w:r>
      <w:r>
        <w:rPr>
          <w:rFonts w:ascii="Times New Roman" w:hAnsi="Times New Roman"/>
          <w:sz w:val="24"/>
          <w:szCs w:val="24"/>
          <w:rtl w:val="0"/>
          <w:lang w:val="en-US"/>
        </w:rPr>
        <w:t>V</w:t>
      </w:r>
      <w:r>
        <w:rPr>
          <w:rFonts w:ascii="Times New Roman" w:hAnsi="Times New Roman"/>
          <w:sz w:val="24"/>
          <w:szCs w:val="24"/>
          <w:rtl w:val="0"/>
          <w:lang w:val="nl-NL"/>
        </w:rPr>
        <w:t xml:space="preserve">an Gennep 1960 [1908]: </w:t>
      </w:r>
      <w:r>
        <w:rPr>
          <w:rFonts w:ascii="Times New Roman" w:hAnsi="Times New Roman"/>
          <w:sz w:val="24"/>
          <w:szCs w:val="24"/>
          <w:rtl w:val="0"/>
          <w:lang w:val="en-US"/>
        </w:rPr>
        <w:t xml:space="preserve">11). </w:t>
      </w:r>
      <w:r>
        <w:rPr>
          <w:rFonts w:ascii="Times New Roman" w:hAnsi="Times New Roman"/>
          <w:sz w:val="24"/>
          <w:szCs w:val="24"/>
          <w:rtl w:val="0"/>
          <w:lang w:val="en-US"/>
        </w:rPr>
        <w:t xml:space="preserve">Any behaviour could be called a rite of passage to </w:t>
      </w:r>
      <w:r>
        <w:rPr>
          <w:rFonts w:ascii="Times New Roman" w:hAnsi="Times New Roman"/>
          <w:sz w:val="24"/>
          <w:szCs w:val="24"/>
          <w:rtl w:val="0"/>
          <w:lang w:val="en-US"/>
        </w:rPr>
        <w:t>V</w:t>
      </w:r>
      <w:r>
        <w:rPr>
          <w:rFonts w:ascii="Times New Roman" w:hAnsi="Times New Roman"/>
          <w:sz w:val="24"/>
          <w:szCs w:val="24"/>
          <w:rtl w:val="0"/>
          <w:lang w:val="en-US"/>
        </w:rPr>
        <w:t>an Gennep, as long as it possessed the same threefold structure that he had identified of separation, transition, and incorporation (Bowie 2000: 161).</w:t>
      </w:r>
      <w:r>
        <w:rPr>
          <w:rFonts w:ascii="Times New Roman" w:hAnsi="Times New Roman"/>
          <w:sz w:val="24"/>
          <w:szCs w:val="24"/>
          <w:rtl w:val="0"/>
          <w:lang w:val="en-US"/>
        </w:rPr>
        <w:t xml:space="preserve"> Van Gennep drew the comparison between these types of rites and the act of  an individual entering a building and crossing the threshold, and the rites that some cultures associate with such an act. In a dwelling, the door is the boundary between foreign and domestic worlds, in a temple between the profane and the sacred; and as such the act of crossing the threshold is to become united with a new world that is different from the one that was left behind </w:t>
      </w:r>
      <w:r>
        <w:rPr>
          <w:rFonts w:ascii="Times New Roman" w:hAnsi="Times New Roman"/>
          <w:sz w:val="24"/>
          <w:szCs w:val="24"/>
          <w:rtl w:val="0"/>
        </w:rPr>
        <w:t>(</w:t>
      </w:r>
      <w:r>
        <w:rPr>
          <w:rFonts w:ascii="Times New Roman" w:hAnsi="Times New Roman"/>
          <w:sz w:val="24"/>
          <w:szCs w:val="24"/>
          <w:rtl w:val="0"/>
          <w:lang w:val="en-US"/>
        </w:rPr>
        <w:t>V</w:t>
      </w:r>
      <w:r>
        <w:rPr>
          <w:rFonts w:ascii="Times New Roman" w:hAnsi="Times New Roman"/>
          <w:sz w:val="24"/>
          <w:szCs w:val="24"/>
          <w:rtl w:val="0"/>
          <w:lang w:val="nl-NL"/>
        </w:rPr>
        <w:t xml:space="preserve">an Gennep 1960 [1908]: </w:t>
      </w:r>
      <w:r>
        <w:rPr>
          <w:rFonts w:ascii="Times New Roman" w:hAnsi="Times New Roman"/>
          <w:sz w:val="24"/>
          <w:szCs w:val="24"/>
          <w:rtl w:val="0"/>
          <w:lang w:val="en-US"/>
        </w:rPr>
        <w:t>20</w:t>
      </w:r>
      <w:r>
        <w:rPr>
          <w:rFonts w:ascii="Times New Roman" w:hAnsi="Times New Roman"/>
          <w:sz w:val="24"/>
          <w:szCs w:val="24"/>
          <w:rtl w:val="0"/>
        </w:rPr>
        <w:t>).</w:t>
      </w:r>
    </w:p>
    <w:p>
      <w:pPr>
        <w:pStyle w:val="Body"/>
        <w:spacing w:line="360" w:lineRule="auto"/>
        <w:ind w:left="283" w:right="284" w:firstLine="0"/>
        <w:jc w:val="both"/>
        <w:rPr>
          <w:rFonts w:ascii="Times New Roman" w:cs="Times New Roman" w:hAnsi="Times New Roman" w:eastAsia="Times New Roman"/>
          <w:sz w:val="24"/>
          <w:szCs w:val="24"/>
        </w:rPr>
      </w:pPr>
    </w:p>
    <w:p>
      <w:pPr>
        <w:pStyle w:val="Body"/>
        <w:spacing w:line="360" w:lineRule="auto"/>
        <w:ind w:left="283" w:right="284" w:firstLine="0"/>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Situating this comparison against the larger overall conception of rites of passage, Van Gennep stated that rites that are performed on the threshold itself would fall under the category of transitional rites, while acts of purification such as washing and cleansing are rites of separation, and acts such as eating a meal are rites of incorporation. Van Gennep referred to the rites of separation from a previous world </w:t>
      </w:r>
      <w:r>
        <w:rPr>
          <w:rFonts w:ascii="Times New Roman" w:hAnsi="Times New Roman"/>
          <w:i w:val="1"/>
          <w:iCs w:val="1"/>
          <w:sz w:val="24"/>
          <w:szCs w:val="24"/>
          <w:rtl w:val="0"/>
          <w:lang w:val="en-US"/>
        </w:rPr>
        <w:t>preliminal</w:t>
      </w:r>
      <w:r>
        <w:rPr>
          <w:rFonts w:ascii="Times New Roman" w:hAnsi="Times New Roman"/>
          <w:sz w:val="24"/>
          <w:szCs w:val="24"/>
          <w:rtl w:val="0"/>
          <w:lang w:val="en-US"/>
        </w:rPr>
        <w:t xml:space="preserve">, those which occur during the transitional stage </w:t>
      </w:r>
      <w:r>
        <w:rPr>
          <w:rFonts w:ascii="Times New Roman" w:hAnsi="Times New Roman"/>
          <w:i w:val="1"/>
          <w:iCs w:val="1"/>
          <w:sz w:val="24"/>
          <w:szCs w:val="24"/>
          <w:rtl w:val="0"/>
          <w:lang w:val="en-US"/>
        </w:rPr>
        <w:t xml:space="preserve">liminal </w:t>
      </w:r>
      <w:r>
        <w:rPr>
          <w:rFonts w:ascii="Times New Roman" w:hAnsi="Times New Roman"/>
          <w:sz w:val="24"/>
          <w:szCs w:val="24"/>
          <w:rtl w:val="0"/>
          <w:lang w:val="en-US"/>
        </w:rPr>
        <w:t xml:space="preserve">(or </w:t>
      </w:r>
      <w:r>
        <w:rPr>
          <w:rFonts w:ascii="Times New Roman" w:hAnsi="Times New Roman"/>
          <w:i w:val="1"/>
          <w:iCs w:val="1"/>
          <w:sz w:val="24"/>
          <w:szCs w:val="24"/>
          <w:rtl w:val="0"/>
          <w:lang w:val="en-US"/>
        </w:rPr>
        <w:t>threshold</w:t>
      </w:r>
      <w:r>
        <w:rPr>
          <w:rFonts w:ascii="Times New Roman" w:hAnsi="Times New Roman"/>
          <w:sz w:val="24"/>
          <w:szCs w:val="24"/>
          <w:rtl w:val="0"/>
          <w:lang w:val="en-US"/>
        </w:rPr>
        <w:t xml:space="preserve">), and ceremonies of incorporation </w:t>
      </w:r>
      <w:r>
        <w:rPr>
          <w:rFonts w:ascii="Times New Roman" w:hAnsi="Times New Roman"/>
          <w:i w:val="1"/>
          <w:iCs w:val="1"/>
          <w:sz w:val="24"/>
          <w:szCs w:val="24"/>
          <w:rtl w:val="0"/>
          <w:lang w:val="en-US"/>
        </w:rPr>
        <w:t>post-liminal</w:t>
      </w:r>
      <w:r>
        <w:rPr>
          <w:rFonts w:ascii="Times New Roman" w:hAnsi="Times New Roman"/>
          <w:sz w:val="24"/>
          <w:szCs w:val="24"/>
          <w:rtl w:val="0"/>
          <w:lang w:val="en-US"/>
        </w:rPr>
        <w:t xml:space="preserve"> rites (</w:t>
      </w:r>
      <w:r>
        <w:rPr>
          <w:rFonts w:ascii="Times New Roman" w:hAnsi="Times New Roman"/>
          <w:sz w:val="24"/>
          <w:szCs w:val="24"/>
          <w:rtl w:val="0"/>
        </w:rPr>
        <w:t>1960 [1908]:</w:t>
      </w:r>
      <w:r>
        <w:rPr>
          <w:rFonts w:ascii="Times New Roman" w:hAnsi="Times New Roman"/>
          <w:sz w:val="24"/>
          <w:szCs w:val="24"/>
          <w:rtl w:val="0"/>
          <w:lang w:val="en-US"/>
        </w:rPr>
        <w:t xml:space="preserve"> 21). To illustrate these three types of rites, we shall frame them within the example of marriage, as marriage features all three with great clarity, and because Van Gennep considered marriage to be the most important transition from one social category to another </w:t>
      </w:r>
      <w:r>
        <w:rPr>
          <w:rFonts w:ascii="Times New Roman" w:hAnsi="Times New Roman"/>
          <w:sz w:val="24"/>
          <w:szCs w:val="24"/>
          <w:rtl w:val="0"/>
        </w:rPr>
        <w:t>(1960 [1908]: 11</w:t>
      </w:r>
      <w:r>
        <w:rPr>
          <w:rFonts w:ascii="Times New Roman" w:hAnsi="Times New Roman"/>
          <w:sz w:val="24"/>
          <w:szCs w:val="24"/>
          <w:rtl w:val="0"/>
          <w:lang w:val="en-US"/>
        </w:rPr>
        <w:t>6</w:t>
      </w:r>
      <w:r>
        <w:rPr>
          <w:rFonts w:ascii="Times New Roman" w:hAnsi="Times New Roman"/>
          <w:sz w:val="24"/>
          <w:szCs w:val="24"/>
          <w:rtl w:val="0"/>
        </w:rPr>
        <w:t>)</w:t>
      </w:r>
      <w:r>
        <w:rPr>
          <w:rFonts w:ascii="Times New Roman" w:hAnsi="Times New Roman"/>
          <w:sz w:val="24"/>
          <w:szCs w:val="24"/>
          <w:rtl w:val="0"/>
          <w:lang w:val="en-US"/>
        </w:rPr>
        <w:t>.</w:t>
      </w:r>
    </w:p>
    <w:p>
      <w:pPr>
        <w:pStyle w:val="Body"/>
        <w:spacing w:line="360" w:lineRule="auto"/>
        <w:ind w:left="283" w:right="284" w:firstLine="0"/>
        <w:jc w:val="both"/>
        <w:rPr>
          <w:rFonts w:ascii="Times New Roman" w:cs="Times New Roman" w:hAnsi="Times New Roman" w:eastAsia="Times New Roman"/>
          <w:sz w:val="24"/>
          <w:szCs w:val="24"/>
        </w:rPr>
      </w:pPr>
    </w:p>
    <w:p>
      <w:pPr>
        <w:pStyle w:val="Body"/>
        <w:spacing w:line="360" w:lineRule="auto"/>
        <w:ind w:left="283" w:right="284" w:firstLine="0"/>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Separation rites part the person undergoing the rite of passage from the previous state that they were in. In the case of marriage, rites of separation feature in a myriad of different ways, but can include the disposal of something associated with bachelorhood, or covering oneself with a veil </w:t>
      </w:r>
      <w:r>
        <w:rPr>
          <w:rFonts w:ascii="Times New Roman" w:hAnsi="Times New Roman"/>
          <w:sz w:val="24"/>
          <w:szCs w:val="24"/>
          <w:rtl w:val="0"/>
        </w:rPr>
        <w:t>(</w:t>
      </w:r>
      <w:r>
        <w:rPr>
          <w:rFonts w:ascii="Times New Roman" w:hAnsi="Times New Roman"/>
          <w:sz w:val="24"/>
          <w:szCs w:val="24"/>
          <w:rtl w:val="0"/>
          <w:lang w:val="en-US"/>
        </w:rPr>
        <w:t>V</w:t>
      </w:r>
      <w:r>
        <w:rPr>
          <w:rFonts w:ascii="Times New Roman" w:hAnsi="Times New Roman"/>
          <w:sz w:val="24"/>
          <w:szCs w:val="24"/>
          <w:rtl w:val="0"/>
          <w:lang w:val="nl-NL"/>
        </w:rPr>
        <w:t xml:space="preserve">an Gennep 1960 [1908]: </w:t>
      </w:r>
      <w:r>
        <w:rPr>
          <w:rFonts w:ascii="Times New Roman" w:hAnsi="Times New Roman"/>
          <w:sz w:val="24"/>
          <w:szCs w:val="24"/>
          <w:rtl w:val="0"/>
          <w:lang w:val="en-US"/>
        </w:rPr>
        <w:t>130</w:t>
      </w:r>
      <w:r>
        <w:rPr>
          <w:rFonts w:ascii="Times New Roman" w:hAnsi="Times New Roman"/>
          <w:sz w:val="24"/>
          <w:szCs w:val="24"/>
          <w:rtl w:val="0"/>
        </w:rPr>
        <w:t>)</w:t>
      </w:r>
      <w:r>
        <w:rPr>
          <w:rFonts w:ascii="Times New Roman" w:hAnsi="Times New Roman"/>
          <w:sz w:val="24"/>
          <w:szCs w:val="24"/>
          <w:rtl w:val="0"/>
          <w:lang w:val="en-US"/>
        </w:rPr>
        <w:t xml:space="preserve">. Though typically thought of when discussing ceremonies of being initiated or entering a new state, rites of separation can include rites that do the opposite </w:t>
      </w:r>
      <w:r>
        <w:rPr>
          <w:rFonts w:ascii="Times New Roman" w:hAnsi="Times New Roman" w:hint="default"/>
          <w:sz w:val="24"/>
          <w:szCs w:val="24"/>
          <w:rtl w:val="0"/>
          <w:lang w:val="en-US"/>
        </w:rPr>
        <w:t xml:space="preserve">— </w:t>
      </w:r>
      <w:r>
        <w:rPr>
          <w:rFonts w:ascii="Times New Roman" w:hAnsi="Times New Roman"/>
          <w:sz w:val="24"/>
          <w:szCs w:val="24"/>
          <w:rtl w:val="0"/>
          <w:lang w:val="en-US"/>
        </w:rPr>
        <w:t>to banish, expel, and excommunicate, as seen in the instance of the Roman Catholic church</w:t>
      </w:r>
      <w:r>
        <w:rPr>
          <w:rFonts w:ascii="Times New Roman" w:hAnsi="Times New Roman" w:hint="default"/>
          <w:sz w:val="24"/>
          <w:szCs w:val="24"/>
          <w:rtl w:val="0"/>
          <w:lang w:val="en-US"/>
        </w:rPr>
        <w:t>’</w:t>
      </w:r>
      <w:r>
        <w:rPr>
          <w:rFonts w:ascii="Times New Roman" w:hAnsi="Times New Roman"/>
          <w:sz w:val="24"/>
          <w:szCs w:val="24"/>
          <w:rtl w:val="0"/>
          <w:lang w:val="en-US"/>
        </w:rPr>
        <w:t xml:space="preserve">s practice of the latter, for example </w:t>
      </w:r>
      <w:r>
        <w:rPr>
          <w:rFonts w:ascii="Times New Roman" w:hAnsi="Times New Roman"/>
          <w:sz w:val="24"/>
          <w:szCs w:val="24"/>
          <w:rtl w:val="0"/>
        </w:rPr>
        <w:t>(</w:t>
      </w:r>
      <w:r>
        <w:rPr>
          <w:rFonts w:ascii="Times New Roman" w:hAnsi="Times New Roman"/>
          <w:sz w:val="24"/>
          <w:szCs w:val="24"/>
          <w:rtl w:val="0"/>
          <w:lang w:val="en-US"/>
        </w:rPr>
        <w:t>V</w:t>
      </w:r>
      <w:r>
        <w:rPr>
          <w:rFonts w:ascii="Times New Roman" w:hAnsi="Times New Roman"/>
          <w:sz w:val="24"/>
          <w:szCs w:val="24"/>
          <w:rtl w:val="0"/>
          <w:lang w:val="nl-NL"/>
        </w:rPr>
        <w:t>an Gennep 1960 [1908]: 113)</w:t>
      </w:r>
      <w:r>
        <w:rPr>
          <w:rFonts w:ascii="Times New Roman" w:hAnsi="Times New Roman"/>
          <w:sz w:val="24"/>
          <w:szCs w:val="24"/>
          <w:rtl w:val="0"/>
          <w:lang w:val="en-US"/>
        </w:rPr>
        <w:t xml:space="preserve">. These rites are based on the same principle as those of consecration </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that of setting </w:t>
      </w:r>
      <w:r>
        <w:rPr>
          <w:rFonts w:ascii="Times New Roman" w:hAnsi="Times New Roman"/>
          <w:sz w:val="24"/>
          <w:szCs w:val="24"/>
          <w:rtl w:val="0"/>
          <w:lang w:val="en-US"/>
        </w:rPr>
        <w:t>a person or an object</w:t>
      </w:r>
      <w:r>
        <w:rPr>
          <w:rFonts w:ascii="Times New Roman" w:hAnsi="Times New Roman"/>
          <w:sz w:val="24"/>
          <w:szCs w:val="24"/>
          <w:rtl w:val="0"/>
          <w:lang w:val="en-US"/>
        </w:rPr>
        <w:t xml:space="preserve"> apart </w:t>
      </w:r>
      <w:r>
        <w:rPr>
          <w:rFonts w:ascii="Times New Roman" w:hAnsi="Times New Roman"/>
          <w:sz w:val="24"/>
          <w:szCs w:val="24"/>
          <w:rtl w:val="0"/>
        </w:rPr>
        <w:t>(</w:t>
      </w:r>
      <w:r>
        <w:rPr>
          <w:rFonts w:ascii="Times New Roman" w:hAnsi="Times New Roman"/>
          <w:sz w:val="24"/>
          <w:szCs w:val="24"/>
          <w:rtl w:val="0"/>
          <w:lang w:val="en-US"/>
        </w:rPr>
        <w:t>V</w:t>
      </w:r>
      <w:r>
        <w:rPr>
          <w:rFonts w:ascii="Times New Roman" w:hAnsi="Times New Roman"/>
          <w:sz w:val="24"/>
          <w:szCs w:val="24"/>
          <w:rtl w:val="0"/>
          <w:lang w:val="nl-NL"/>
        </w:rPr>
        <w:t xml:space="preserve">an Gennep 1960 [1908]: </w:t>
      </w:r>
      <w:r>
        <w:rPr>
          <w:rFonts w:ascii="Times New Roman" w:hAnsi="Times New Roman"/>
          <w:sz w:val="24"/>
          <w:szCs w:val="24"/>
          <w:rtl w:val="0"/>
          <w:lang w:val="en-US"/>
        </w:rPr>
        <w:t>113-114</w:t>
      </w:r>
      <w:r>
        <w:rPr>
          <w:rFonts w:ascii="Times New Roman" w:hAnsi="Times New Roman"/>
          <w:sz w:val="24"/>
          <w:szCs w:val="24"/>
          <w:rtl w:val="0"/>
        </w:rPr>
        <w:t>)</w:t>
      </w:r>
      <w:r>
        <w:rPr>
          <w:rFonts w:ascii="Times New Roman" w:hAnsi="Times New Roman"/>
          <w:sz w:val="24"/>
          <w:szCs w:val="24"/>
          <w:rtl w:val="0"/>
          <w:lang w:val="en-US"/>
        </w:rPr>
        <w:t xml:space="preserve">. </w:t>
      </w:r>
    </w:p>
    <w:p>
      <w:pPr>
        <w:pStyle w:val="Body"/>
        <w:spacing w:line="360" w:lineRule="auto"/>
        <w:ind w:left="283" w:right="284" w:firstLine="0"/>
        <w:jc w:val="both"/>
        <w:rPr>
          <w:rFonts w:ascii="Times New Roman" w:cs="Times New Roman" w:hAnsi="Times New Roman" w:eastAsia="Times New Roman"/>
          <w:sz w:val="24"/>
          <w:szCs w:val="24"/>
        </w:rPr>
      </w:pPr>
    </w:p>
    <w:p>
      <w:pPr>
        <w:pStyle w:val="Body"/>
        <w:spacing w:line="360" w:lineRule="auto"/>
        <w:ind w:left="283" w:right="284" w:firstLine="0"/>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middle phase, the transitionary phase, is that point when the person/persons undergoing the rite of passage are in between the two stages that form the state of being that is left behind and the state of being that is to be entered. A couple in the state of being betrothed are in a transitionary phase </w:t>
      </w:r>
      <w:r>
        <w:rPr>
          <w:rFonts w:ascii="Times New Roman" w:hAnsi="Times New Roman"/>
          <w:sz w:val="24"/>
          <w:szCs w:val="24"/>
          <w:rtl w:val="0"/>
        </w:rPr>
        <w:t>(</w:t>
      </w:r>
      <w:r>
        <w:rPr>
          <w:rFonts w:ascii="Times New Roman" w:hAnsi="Times New Roman"/>
          <w:sz w:val="24"/>
          <w:szCs w:val="24"/>
          <w:rtl w:val="0"/>
          <w:lang w:val="en-US"/>
        </w:rPr>
        <w:t>V</w:t>
      </w:r>
      <w:r>
        <w:rPr>
          <w:rFonts w:ascii="Times New Roman" w:hAnsi="Times New Roman"/>
          <w:sz w:val="24"/>
          <w:szCs w:val="24"/>
          <w:rtl w:val="0"/>
          <w:lang w:val="nl-NL"/>
        </w:rPr>
        <w:t xml:space="preserve">an Gennep 1960 [1908]: </w:t>
      </w:r>
      <w:r>
        <w:rPr>
          <w:rFonts w:ascii="Times New Roman" w:hAnsi="Times New Roman"/>
          <w:sz w:val="24"/>
          <w:szCs w:val="24"/>
          <w:rtl w:val="0"/>
          <w:lang w:val="en-US"/>
        </w:rPr>
        <w:t>116</w:t>
      </w:r>
      <w:r>
        <w:rPr>
          <w:rFonts w:ascii="Times New Roman" w:hAnsi="Times New Roman"/>
          <w:sz w:val="24"/>
          <w:szCs w:val="24"/>
          <w:rtl w:val="0"/>
        </w:rPr>
        <w:t>)</w:t>
      </w:r>
      <w:r>
        <w:rPr>
          <w:rFonts w:ascii="Times New Roman" w:hAnsi="Times New Roman"/>
          <w:sz w:val="24"/>
          <w:szCs w:val="24"/>
          <w:rtl w:val="0"/>
          <w:lang w:val="en-US"/>
        </w:rPr>
        <w:t>, as they are between one social status (being single) and another (being a married couple). Victor Turner further developed Van Gennep</w:t>
      </w:r>
      <w:r>
        <w:rPr>
          <w:rFonts w:ascii="Times New Roman" w:hAnsi="Times New Roman" w:hint="default"/>
          <w:sz w:val="24"/>
          <w:szCs w:val="24"/>
          <w:rtl w:val="0"/>
          <w:lang w:val="en-US"/>
        </w:rPr>
        <w:t>’</w:t>
      </w:r>
      <w:r>
        <w:rPr>
          <w:rFonts w:ascii="Times New Roman" w:hAnsi="Times New Roman"/>
          <w:sz w:val="24"/>
          <w:szCs w:val="24"/>
          <w:rtl w:val="0"/>
          <w:lang w:val="en-US"/>
        </w:rPr>
        <w:t xml:space="preserve">s idea of the transitionary or liminal phase, and believed that liminality was a state that could be experienced indefinitely (Bowie 2000: 152). Rites of incorporation may not be desired by the people who have undergone rites which place them in the liminal phase: this may be seen, for instance, in the example of monks and nuns. In addition, liminality, according to Turner, is a state that brings with it </w:t>
      </w:r>
      <w:r>
        <w:rPr>
          <w:rFonts w:ascii="Times New Roman" w:hAnsi="Times New Roman" w:hint="default"/>
          <w:sz w:val="24"/>
          <w:szCs w:val="24"/>
          <w:rtl w:val="0"/>
          <w:lang w:val="en-US"/>
        </w:rPr>
        <w:t>‘</w:t>
      </w:r>
      <w:r>
        <w:rPr>
          <w:rFonts w:ascii="Times New Roman" w:hAnsi="Times New Roman"/>
          <w:sz w:val="24"/>
          <w:szCs w:val="24"/>
          <w:rtl w:val="0"/>
          <w:lang w:val="en-US"/>
        </w:rPr>
        <w:t>communitas</w:t>
      </w:r>
      <w:r>
        <w:rPr>
          <w:rFonts w:ascii="Times New Roman" w:hAnsi="Times New Roman" w:hint="default"/>
          <w:sz w:val="24"/>
          <w:szCs w:val="24"/>
          <w:rtl w:val="0"/>
          <w:lang w:val="en-US"/>
        </w:rPr>
        <w:t>’</w:t>
      </w:r>
      <w:r>
        <w:rPr>
          <w:rFonts w:ascii="Times New Roman" w:hAnsi="Times New Roman"/>
          <w:sz w:val="24"/>
          <w:szCs w:val="24"/>
          <w:rtl w:val="0"/>
          <w:lang w:val="en-US"/>
        </w:rPr>
        <w:t xml:space="preserve">, which can be described as </w:t>
      </w:r>
      <w:r>
        <w:rPr>
          <w:rFonts w:ascii="Times New Roman" w:hAnsi="Times New Roman" w:hint="default"/>
          <w:sz w:val="24"/>
          <w:szCs w:val="24"/>
          <w:rtl w:val="0"/>
          <w:lang w:val="en-US"/>
        </w:rPr>
        <w:t>“</w:t>
      </w:r>
      <w:r>
        <w:rPr>
          <w:rFonts w:ascii="Times New Roman" w:hAnsi="Times New Roman"/>
          <w:sz w:val="24"/>
          <w:szCs w:val="24"/>
          <w:rtl w:val="0"/>
          <w:lang w:val="en-US"/>
        </w:rPr>
        <w:t>a communal bond that results from the social levelling and shared experience of liminality</w:t>
      </w:r>
      <w:r>
        <w:rPr>
          <w:rFonts w:ascii="Times New Roman" w:hAnsi="Times New Roman" w:hint="default"/>
          <w:sz w:val="24"/>
          <w:szCs w:val="24"/>
          <w:rtl w:val="0"/>
          <w:lang w:val="en-US"/>
        </w:rPr>
        <w:t xml:space="preserve">” </w:t>
      </w:r>
      <w:r>
        <w:rPr>
          <w:rFonts w:ascii="Times New Roman" w:hAnsi="Times New Roman"/>
          <w:sz w:val="24"/>
          <w:szCs w:val="24"/>
          <w:rtl w:val="0"/>
          <w:lang w:val="en-US"/>
        </w:rPr>
        <w:t>(Bowie 2000: 152). This phase of the rite of passage, then, acts as a means of placing its participants on an equal footing which results in strengthening the sense of the collective.</w:t>
      </w:r>
    </w:p>
    <w:p>
      <w:pPr>
        <w:pStyle w:val="Body"/>
        <w:spacing w:line="360" w:lineRule="auto"/>
        <w:ind w:left="283" w:right="284" w:firstLine="0"/>
        <w:jc w:val="both"/>
        <w:rPr>
          <w:rFonts w:ascii="Times New Roman" w:cs="Times New Roman" w:hAnsi="Times New Roman" w:eastAsia="Times New Roman"/>
          <w:sz w:val="24"/>
          <w:szCs w:val="24"/>
        </w:rPr>
      </w:pPr>
    </w:p>
    <w:p>
      <w:pPr>
        <w:pStyle w:val="Body"/>
        <w:spacing w:line="360" w:lineRule="auto"/>
        <w:ind w:left="283" w:right="284" w:firstLine="0"/>
        <w:jc w:val="both"/>
        <w:rPr>
          <w:rFonts w:ascii="Times New Roman" w:cs="Times New Roman" w:hAnsi="Times New Roman" w:eastAsia="Times New Roman"/>
          <w:sz w:val="24"/>
          <w:szCs w:val="24"/>
        </w:rPr>
      </w:pPr>
      <w:r>
        <w:rPr>
          <w:rFonts w:ascii="Times New Roman" w:hAnsi="Times New Roman"/>
          <w:sz w:val="24"/>
          <w:szCs w:val="24"/>
          <w:rtl w:val="0"/>
          <w:lang w:val="en-US"/>
        </w:rPr>
        <w:t>Rites of incorporation are generally rites which are situated at the end of an individual</w:t>
      </w:r>
      <w:r>
        <w:rPr>
          <w:rFonts w:ascii="Times New Roman" w:hAnsi="Times New Roman" w:hint="default"/>
          <w:sz w:val="24"/>
          <w:szCs w:val="24"/>
          <w:rtl w:val="0"/>
          <w:lang w:val="en-US"/>
        </w:rPr>
        <w:t>’</w:t>
      </w:r>
      <w:r>
        <w:rPr>
          <w:rFonts w:ascii="Times New Roman" w:hAnsi="Times New Roman"/>
          <w:sz w:val="24"/>
          <w:szCs w:val="24"/>
          <w:rtl w:val="0"/>
          <w:lang w:val="en-US"/>
        </w:rPr>
        <w:t xml:space="preserve">s journey. For instance, the rite of incorporation in marriage is generally the recognition of the changed status of the newlyweds, but more specifically includes the marriage rites themselves, which are ones of permanent incorporation into the new environment of the couple </w:t>
      </w:r>
      <w:r>
        <w:rPr>
          <w:rFonts w:ascii="Times New Roman" w:hAnsi="Times New Roman"/>
          <w:sz w:val="24"/>
          <w:szCs w:val="24"/>
          <w:rtl w:val="0"/>
        </w:rPr>
        <w:t>(</w:t>
      </w:r>
      <w:r>
        <w:rPr>
          <w:rFonts w:ascii="Times New Roman" w:hAnsi="Times New Roman"/>
          <w:sz w:val="24"/>
          <w:szCs w:val="24"/>
          <w:rtl w:val="0"/>
          <w:lang w:val="en-US"/>
        </w:rPr>
        <w:t>V</w:t>
      </w:r>
      <w:r>
        <w:rPr>
          <w:rFonts w:ascii="Times New Roman" w:hAnsi="Times New Roman"/>
          <w:sz w:val="24"/>
          <w:szCs w:val="24"/>
          <w:rtl w:val="0"/>
          <w:lang w:val="nl-NL"/>
        </w:rPr>
        <w:t>an Gennep 1960 [1908]: 113-114)</w:t>
      </w:r>
      <w:r>
        <w:rPr>
          <w:rFonts w:ascii="Times New Roman" w:hAnsi="Times New Roman"/>
          <w:sz w:val="24"/>
          <w:szCs w:val="24"/>
          <w:rtl w:val="0"/>
          <w:lang w:val="en-US"/>
        </w:rPr>
        <w:t xml:space="preserve">. Rites of incorporation may have a collective significance (particularly ones concerned with marriage), whether it be for joining individuals to different groups, or groups as whole to another </w:t>
      </w:r>
      <w:r>
        <w:rPr>
          <w:rFonts w:ascii="Times New Roman" w:hAnsi="Times New Roman"/>
          <w:sz w:val="24"/>
          <w:szCs w:val="24"/>
          <w:rtl w:val="0"/>
        </w:rPr>
        <w:t>(</w:t>
      </w:r>
      <w:r>
        <w:rPr>
          <w:rFonts w:ascii="Times New Roman" w:hAnsi="Times New Roman"/>
          <w:sz w:val="24"/>
          <w:szCs w:val="24"/>
          <w:rtl w:val="0"/>
          <w:lang w:val="en-US"/>
        </w:rPr>
        <w:t>V</w:t>
      </w:r>
      <w:r>
        <w:rPr>
          <w:rFonts w:ascii="Times New Roman" w:hAnsi="Times New Roman"/>
          <w:sz w:val="24"/>
          <w:szCs w:val="24"/>
          <w:rtl w:val="0"/>
          <w:lang w:val="nl-NL"/>
        </w:rPr>
        <w:t xml:space="preserve">an Gennep 1960 [1908]: </w:t>
      </w:r>
      <w:r>
        <w:rPr>
          <w:rFonts w:ascii="Times New Roman" w:hAnsi="Times New Roman"/>
          <w:sz w:val="24"/>
          <w:szCs w:val="24"/>
          <w:rtl w:val="0"/>
          <w:lang w:val="en-US"/>
        </w:rPr>
        <w:t>132</w:t>
      </w:r>
      <w:r>
        <w:rPr>
          <w:rFonts w:ascii="Times New Roman" w:hAnsi="Times New Roman"/>
          <w:sz w:val="24"/>
          <w:szCs w:val="24"/>
          <w:rtl w:val="0"/>
        </w:rPr>
        <w:t>)</w:t>
      </w:r>
      <w:r>
        <w:rPr>
          <w:rFonts w:ascii="Times New Roman" w:hAnsi="Times New Roman"/>
          <w:sz w:val="24"/>
          <w:szCs w:val="24"/>
          <w:rtl w:val="0"/>
          <w:lang w:val="en-US"/>
        </w:rPr>
        <w:t xml:space="preserve">. </w:t>
      </w:r>
    </w:p>
    <w:p>
      <w:pPr>
        <w:pStyle w:val="Body"/>
        <w:spacing w:line="360" w:lineRule="auto"/>
        <w:ind w:left="283" w:right="284" w:firstLine="0"/>
        <w:jc w:val="both"/>
        <w:rPr>
          <w:rFonts w:ascii="Times New Roman" w:cs="Times New Roman" w:hAnsi="Times New Roman" w:eastAsia="Times New Roman"/>
          <w:sz w:val="24"/>
          <w:szCs w:val="24"/>
        </w:rPr>
      </w:pPr>
    </w:p>
    <w:p>
      <w:pPr>
        <w:pStyle w:val="Body"/>
        <w:spacing w:line="360" w:lineRule="auto"/>
        <w:ind w:left="283" w:right="284" w:firstLine="0"/>
        <w:jc w:val="both"/>
        <w:rPr>
          <w:rFonts w:ascii="Times New Roman" w:cs="Times New Roman" w:hAnsi="Times New Roman" w:eastAsia="Times New Roman"/>
          <w:sz w:val="24"/>
          <w:szCs w:val="24"/>
        </w:rPr>
      </w:pPr>
    </w:p>
    <w:p>
      <w:pPr>
        <w:pStyle w:val="Body"/>
        <w:spacing w:line="360" w:lineRule="auto"/>
        <w:ind w:left="283" w:right="284" w:firstLine="0"/>
        <w:jc w:val="both"/>
        <w:rPr>
          <w:rFonts w:ascii="Times New Roman" w:cs="Times New Roman" w:hAnsi="Times New Roman" w:eastAsia="Times New Roman"/>
          <w:sz w:val="24"/>
          <w:szCs w:val="24"/>
        </w:rPr>
      </w:pPr>
    </w:p>
    <w:p>
      <w:pPr>
        <w:pStyle w:val="Body"/>
        <w:spacing w:line="360" w:lineRule="auto"/>
        <w:ind w:left="283" w:right="284" w:firstLine="0"/>
        <w:jc w:val="both"/>
        <w:rPr>
          <w:rFonts w:ascii="Times New Roman" w:cs="Times New Roman" w:hAnsi="Times New Roman" w:eastAsia="Times New Roman"/>
          <w:sz w:val="24"/>
          <w:szCs w:val="24"/>
          <w:u w:val="single"/>
        </w:rPr>
      </w:pPr>
    </w:p>
    <w:p>
      <w:pPr>
        <w:pStyle w:val="Body"/>
        <w:spacing w:line="360" w:lineRule="auto"/>
        <w:ind w:left="283" w:right="284" w:firstLine="0"/>
        <w:jc w:val="both"/>
        <w:rPr>
          <w:rFonts w:ascii="Times New Roman" w:cs="Times New Roman" w:hAnsi="Times New Roman" w:eastAsia="Times New Roman"/>
          <w:sz w:val="24"/>
          <w:szCs w:val="24"/>
          <w:u w:val="single"/>
        </w:rPr>
      </w:pPr>
    </w:p>
    <w:p>
      <w:pPr>
        <w:pStyle w:val="Body"/>
        <w:spacing w:line="360" w:lineRule="auto"/>
        <w:ind w:left="283" w:right="284" w:firstLine="0"/>
        <w:jc w:val="both"/>
        <w:rPr>
          <w:rFonts w:ascii="Times New Roman" w:cs="Times New Roman" w:hAnsi="Times New Roman" w:eastAsia="Times New Roman"/>
          <w:sz w:val="24"/>
          <w:szCs w:val="24"/>
          <w:u w:val="single"/>
        </w:rPr>
      </w:pPr>
    </w:p>
    <w:p>
      <w:pPr>
        <w:pStyle w:val="Body"/>
        <w:spacing w:line="360" w:lineRule="auto"/>
        <w:ind w:left="283" w:right="284" w:firstLine="0"/>
        <w:jc w:val="both"/>
        <w:rPr>
          <w:rFonts w:ascii="Times New Roman" w:cs="Times New Roman" w:hAnsi="Times New Roman" w:eastAsia="Times New Roman"/>
          <w:sz w:val="24"/>
          <w:szCs w:val="24"/>
          <w:u w:val="single"/>
        </w:rPr>
      </w:pPr>
    </w:p>
    <w:p>
      <w:pPr>
        <w:pStyle w:val="Body"/>
        <w:spacing w:line="360" w:lineRule="auto"/>
        <w:ind w:left="283" w:right="284" w:firstLine="0"/>
        <w:jc w:val="both"/>
        <w:rPr>
          <w:rFonts w:ascii="Times New Roman" w:cs="Times New Roman" w:hAnsi="Times New Roman" w:eastAsia="Times New Roman"/>
          <w:sz w:val="24"/>
          <w:szCs w:val="24"/>
          <w:u w:val="single"/>
        </w:rPr>
      </w:pPr>
    </w:p>
    <w:p>
      <w:pPr>
        <w:pStyle w:val="Body"/>
        <w:spacing w:line="360" w:lineRule="auto"/>
        <w:ind w:left="283" w:right="284" w:firstLine="0"/>
        <w:jc w:val="both"/>
        <w:rPr>
          <w:rFonts w:ascii="Times New Roman" w:cs="Times New Roman" w:hAnsi="Times New Roman" w:eastAsia="Times New Roman"/>
          <w:sz w:val="24"/>
          <w:szCs w:val="24"/>
          <w:u w:val="single"/>
        </w:rPr>
      </w:pPr>
    </w:p>
    <w:p>
      <w:pPr>
        <w:pStyle w:val="Body"/>
        <w:spacing w:line="360" w:lineRule="auto"/>
        <w:ind w:left="283" w:right="284" w:firstLine="0"/>
        <w:jc w:val="both"/>
        <w:rPr>
          <w:rFonts w:ascii="Times New Roman" w:cs="Times New Roman" w:hAnsi="Times New Roman" w:eastAsia="Times New Roman"/>
          <w:sz w:val="24"/>
          <w:szCs w:val="24"/>
          <w:u w:val="single"/>
        </w:rPr>
      </w:pPr>
    </w:p>
    <w:p>
      <w:pPr>
        <w:pStyle w:val="Body"/>
        <w:spacing w:line="360" w:lineRule="auto"/>
        <w:ind w:left="283" w:right="284" w:firstLine="0"/>
        <w:jc w:val="both"/>
        <w:rPr>
          <w:rFonts w:ascii="Times New Roman" w:cs="Times New Roman" w:hAnsi="Times New Roman" w:eastAsia="Times New Roman"/>
          <w:sz w:val="24"/>
          <w:szCs w:val="24"/>
          <w:u w:val="single"/>
        </w:rPr>
      </w:pPr>
    </w:p>
    <w:p>
      <w:pPr>
        <w:pStyle w:val="Body"/>
        <w:spacing w:line="360" w:lineRule="auto"/>
        <w:ind w:left="283" w:right="284" w:firstLine="0"/>
        <w:jc w:val="both"/>
        <w:rPr>
          <w:rFonts w:ascii="Times New Roman" w:cs="Times New Roman" w:hAnsi="Times New Roman" w:eastAsia="Times New Roman"/>
          <w:sz w:val="24"/>
          <w:szCs w:val="24"/>
          <w:u w:val="single"/>
        </w:rPr>
      </w:pPr>
    </w:p>
    <w:p>
      <w:pPr>
        <w:pStyle w:val="Body"/>
        <w:spacing w:line="360" w:lineRule="auto"/>
        <w:ind w:left="283" w:right="284" w:firstLine="0"/>
        <w:jc w:val="both"/>
        <w:rPr>
          <w:rFonts w:ascii="Times New Roman" w:cs="Times New Roman" w:hAnsi="Times New Roman" w:eastAsia="Times New Roman"/>
          <w:sz w:val="24"/>
          <w:szCs w:val="24"/>
          <w:u w:val="single"/>
        </w:rPr>
      </w:pPr>
    </w:p>
    <w:p>
      <w:pPr>
        <w:pStyle w:val="Body"/>
        <w:spacing w:line="360" w:lineRule="auto"/>
        <w:ind w:left="283" w:right="284" w:firstLine="0"/>
        <w:jc w:val="both"/>
        <w:rPr>
          <w:rFonts w:ascii="Times New Roman" w:cs="Times New Roman" w:hAnsi="Times New Roman" w:eastAsia="Times New Roman"/>
          <w:sz w:val="24"/>
          <w:szCs w:val="24"/>
          <w:u w:val="single"/>
        </w:rPr>
      </w:pPr>
    </w:p>
    <w:p>
      <w:pPr>
        <w:pStyle w:val="Body"/>
        <w:spacing w:line="360" w:lineRule="auto"/>
        <w:ind w:left="283" w:right="284" w:firstLine="0"/>
        <w:jc w:val="both"/>
        <w:rPr>
          <w:rFonts w:ascii="Times New Roman" w:cs="Times New Roman" w:hAnsi="Times New Roman" w:eastAsia="Times New Roman"/>
          <w:sz w:val="24"/>
          <w:szCs w:val="24"/>
          <w:u w:val="single"/>
        </w:rPr>
      </w:pPr>
    </w:p>
    <w:p>
      <w:pPr>
        <w:pStyle w:val="Body"/>
        <w:spacing w:line="360" w:lineRule="auto"/>
        <w:ind w:left="283" w:right="284" w:firstLine="0"/>
        <w:jc w:val="both"/>
        <w:rPr>
          <w:rFonts w:ascii="Times New Roman" w:cs="Times New Roman" w:hAnsi="Times New Roman" w:eastAsia="Times New Roman"/>
          <w:sz w:val="24"/>
          <w:szCs w:val="24"/>
          <w:u w:val="single"/>
        </w:rPr>
      </w:pPr>
    </w:p>
    <w:p>
      <w:pPr>
        <w:pStyle w:val="Body"/>
        <w:spacing w:line="360" w:lineRule="auto"/>
        <w:ind w:left="283" w:right="284" w:firstLine="0"/>
        <w:jc w:val="both"/>
        <w:rPr>
          <w:rFonts w:ascii="Times New Roman" w:cs="Times New Roman" w:hAnsi="Times New Roman" w:eastAsia="Times New Roman"/>
          <w:sz w:val="24"/>
          <w:szCs w:val="24"/>
          <w:u w:val="single"/>
        </w:rPr>
      </w:pPr>
    </w:p>
    <w:p>
      <w:pPr>
        <w:pStyle w:val="Body"/>
        <w:spacing w:line="360" w:lineRule="auto"/>
        <w:ind w:left="283" w:right="284" w:firstLine="0"/>
        <w:jc w:val="both"/>
        <w:rPr>
          <w:rFonts w:ascii="Times New Roman" w:cs="Times New Roman" w:hAnsi="Times New Roman" w:eastAsia="Times New Roman"/>
          <w:sz w:val="24"/>
          <w:szCs w:val="24"/>
          <w:u w:val="single"/>
        </w:rPr>
      </w:pPr>
    </w:p>
    <w:p>
      <w:pPr>
        <w:pStyle w:val="Body"/>
        <w:spacing w:line="360" w:lineRule="auto"/>
        <w:ind w:left="283" w:right="284" w:firstLine="0"/>
        <w:jc w:val="both"/>
        <w:rPr>
          <w:rFonts w:ascii="Times New Roman" w:cs="Times New Roman" w:hAnsi="Times New Roman" w:eastAsia="Times New Roman"/>
          <w:sz w:val="24"/>
          <w:szCs w:val="24"/>
          <w:u w:val="single"/>
        </w:rPr>
      </w:pPr>
    </w:p>
    <w:p>
      <w:pPr>
        <w:pStyle w:val="Body"/>
        <w:spacing w:line="360" w:lineRule="auto"/>
        <w:ind w:left="283" w:right="284" w:firstLine="0"/>
        <w:jc w:val="both"/>
        <w:rPr>
          <w:rFonts w:ascii="Times New Roman" w:cs="Times New Roman" w:hAnsi="Times New Roman" w:eastAsia="Times New Roman"/>
          <w:sz w:val="24"/>
          <w:szCs w:val="24"/>
          <w:u w:val="single"/>
        </w:rPr>
      </w:pPr>
    </w:p>
    <w:p>
      <w:pPr>
        <w:pStyle w:val="Body"/>
        <w:spacing w:line="360" w:lineRule="auto"/>
        <w:ind w:left="283" w:right="284" w:firstLine="0"/>
        <w:jc w:val="both"/>
        <w:rPr>
          <w:rFonts w:ascii="Times New Roman" w:cs="Times New Roman" w:hAnsi="Times New Roman" w:eastAsia="Times New Roman"/>
          <w:sz w:val="24"/>
          <w:szCs w:val="24"/>
          <w:u w:val="single"/>
        </w:rPr>
      </w:pPr>
    </w:p>
    <w:p>
      <w:pPr>
        <w:pStyle w:val="Body"/>
        <w:spacing w:line="360" w:lineRule="auto"/>
        <w:ind w:left="283" w:right="284" w:firstLine="0"/>
        <w:jc w:val="both"/>
        <w:rPr>
          <w:rFonts w:ascii="Times New Roman" w:cs="Times New Roman" w:hAnsi="Times New Roman" w:eastAsia="Times New Roman"/>
          <w:sz w:val="24"/>
          <w:szCs w:val="24"/>
          <w:u w:val="single"/>
        </w:rPr>
      </w:pPr>
    </w:p>
    <w:p>
      <w:pPr>
        <w:pStyle w:val="Body"/>
        <w:spacing w:line="360" w:lineRule="auto"/>
        <w:ind w:left="283" w:right="284" w:firstLine="0"/>
        <w:jc w:val="both"/>
        <w:rPr>
          <w:rFonts w:ascii="Times New Roman" w:cs="Times New Roman" w:hAnsi="Times New Roman" w:eastAsia="Times New Roman"/>
          <w:sz w:val="24"/>
          <w:szCs w:val="24"/>
          <w:u w:val="single"/>
        </w:rPr>
      </w:pPr>
    </w:p>
    <w:p>
      <w:pPr>
        <w:pStyle w:val="Body"/>
        <w:spacing w:line="360" w:lineRule="auto"/>
        <w:ind w:left="283" w:right="284" w:firstLine="0"/>
        <w:jc w:val="both"/>
        <w:rPr>
          <w:rFonts w:ascii="Times New Roman" w:cs="Times New Roman" w:hAnsi="Times New Roman" w:eastAsia="Times New Roman"/>
          <w:sz w:val="24"/>
          <w:szCs w:val="24"/>
          <w:u w:val="single"/>
        </w:rPr>
      </w:pPr>
    </w:p>
    <w:p>
      <w:pPr>
        <w:pStyle w:val="Body"/>
        <w:spacing w:line="360" w:lineRule="auto"/>
        <w:ind w:left="283" w:right="284" w:firstLine="0"/>
        <w:jc w:val="both"/>
        <w:rPr>
          <w:rFonts w:ascii="Times New Roman" w:cs="Times New Roman" w:hAnsi="Times New Roman" w:eastAsia="Times New Roman"/>
          <w:sz w:val="24"/>
          <w:szCs w:val="24"/>
          <w:u w:val="single"/>
        </w:rPr>
      </w:pPr>
      <w:r>
        <w:rPr>
          <w:rFonts w:ascii="Times New Roman" w:hAnsi="Times New Roman"/>
          <w:sz w:val="24"/>
          <w:szCs w:val="24"/>
          <w:u w:val="single"/>
          <w:rtl w:val="0"/>
          <w:lang w:val="en-US"/>
        </w:rPr>
        <w:t>Bibliography</w:t>
      </w:r>
    </w:p>
    <w:p>
      <w:pPr>
        <w:pStyle w:val="Body"/>
        <w:spacing w:line="360" w:lineRule="auto"/>
        <w:ind w:left="283" w:right="284" w:firstLine="0"/>
        <w:jc w:val="both"/>
        <w:rPr>
          <w:rFonts w:ascii="Times New Roman" w:cs="Times New Roman" w:hAnsi="Times New Roman" w:eastAsia="Times New Roman"/>
          <w:sz w:val="24"/>
          <w:szCs w:val="24"/>
        </w:rPr>
      </w:pPr>
    </w:p>
    <w:p>
      <w:pPr>
        <w:pStyle w:val="Body"/>
        <w:spacing w:line="360" w:lineRule="auto"/>
        <w:ind w:left="283" w:right="284" w:firstLine="0"/>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Bowie, F. 2000. </w:t>
      </w:r>
      <w:r>
        <w:rPr>
          <w:rFonts w:ascii="Times New Roman" w:hAnsi="Times New Roman"/>
          <w:i w:val="1"/>
          <w:iCs w:val="1"/>
          <w:sz w:val="24"/>
          <w:szCs w:val="24"/>
          <w:rtl w:val="0"/>
          <w:lang w:val="en-US"/>
        </w:rPr>
        <w:t>The Anthropology of Religion</w:t>
      </w:r>
      <w:r>
        <w:rPr>
          <w:rFonts w:ascii="Times New Roman" w:hAnsi="Times New Roman"/>
          <w:sz w:val="24"/>
          <w:szCs w:val="24"/>
          <w:rtl w:val="0"/>
          <w:lang w:val="en-US"/>
        </w:rPr>
        <w:t xml:space="preserve"> (Oxford: Blackwell)</w:t>
      </w:r>
    </w:p>
    <w:p>
      <w:pPr>
        <w:pStyle w:val="Body"/>
        <w:spacing w:line="360" w:lineRule="auto"/>
        <w:ind w:left="283" w:right="284" w:firstLine="0"/>
        <w:jc w:val="both"/>
        <w:rPr>
          <w:rFonts w:ascii="Times New Roman" w:cs="Times New Roman" w:hAnsi="Times New Roman" w:eastAsia="Times New Roman"/>
          <w:sz w:val="24"/>
          <w:szCs w:val="24"/>
        </w:rPr>
      </w:pPr>
    </w:p>
    <w:p>
      <w:pPr>
        <w:pStyle w:val="Body"/>
        <w:spacing w:line="360" w:lineRule="auto"/>
        <w:ind w:left="283" w:right="284" w:firstLine="0"/>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Gennep, A. van. 1960 (1908). </w:t>
      </w:r>
      <w:r>
        <w:rPr>
          <w:rFonts w:ascii="Times New Roman" w:hAnsi="Times New Roman"/>
          <w:i w:val="1"/>
          <w:iCs w:val="1"/>
          <w:sz w:val="24"/>
          <w:szCs w:val="24"/>
          <w:rtl w:val="0"/>
          <w:lang w:val="en-US"/>
        </w:rPr>
        <w:t>The Rites of Passage</w:t>
      </w:r>
      <w:r>
        <w:rPr>
          <w:rFonts w:ascii="Times New Roman" w:hAnsi="Times New Roman"/>
          <w:sz w:val="24"/>
          <w:szCs w:val="24"/>
          <w:rtl w:val="0"/>
          <w:lang w:val="en-US"/>
        </w:rPr>
        <w:t xml:space="preserve"> (Chicago: University of Chicago Press)</w:t>
      </w:r>
    </w:p>
    <w:p>
      <w:pPr>
        <w:pStyle w:val="Body"/>
        <w:spacing w:line="360" w:lineRule="auto"/>
        <w:ind w:left="283" w:right="284" w:firstLine="0"/>
        <w:jc w:val="both"/>
      </w:pPr>
      <w:r>
        <w:rPr>
          <w:rFonts w:ascii="Times New Roman" w:cs="Times New Roman" w:hAnsi="Times New Roman" w:eastAsia="Times New Roman"/>
          <w:sz w:val="24"/>
          <w:szCs w:val="24"/>
        </w:rPr>
      </w:r>
    </w:p>
    <w:sectPr>
      <w:headerReference w:type="default" r:id="rId5"/>
      <w:footerReference w:type="default" r:id="rId6"/>
      <w:pgSz w:w="11906" w:h="16838" w:orient="portrait"/>
      <w:pgMar w:top="1417" w:right="1134" w:bottom="1417"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 w:name="Helvetica Neue">
    <w:charset w:val="00"/>
    <w:family w:val="roman"/>
    <w:pitch w:val="default"/>
  </w:font>
  <w:font w:name="Georgia">
    <w:charset w:val="00"/>
    <w:family w:val="roman"/>
    <w:pitch w:val="default"/>
  </w:font>
  <w:font w:name="Tahoma">
    <w:charset w:val="00"/>
    <w:family w:val="roman"/>
    <w:pitch w:val="default"/>
  </w:font>
  <w:font w:name="Cambria">
    <w:charset w:val="00"/>
    <w:family w:val="roman"/>
    <w:pitch w:val="default"/>
  </w:font>
  <w:font w:name="Calibri">
    <w:charset w:val="00"/>
    <w:family w:val="roman"/>
    <w:pitch w:val="default"/>
  </w:font>
  <w:font w:name="Trebuchet MS">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rFonts w:ascii="Times New Roman" w:hAnsi="Times New Roman"/>
      </w:rPr>
      <w:tab/>
    </w:r>
    <w:r>
      <w:rPr>
        <w:rFonts w:ascii="Times New Roman" w:hAnsi="Times New Roman"/>
      </w:rPr>
      <w:fldChar w:fldCharType="begin" w:fldLock="0"/>
    </w:r>
    <w:r>
      <w:rPr>
        <w:rFonts w:ascii="Times New Roman" w:hAnsi="Times New Roman"/>
      </w:rPr>
      <w:instrText xml:space="preserve"> PAGE </w:instrText>
    </w:r>
    <w:r>
      <w:rPr>
        <w:rFonts w:ascii="Times New Roman" w:hAnsi="Times New Roman"/>
      </w:rPr>
      <w:fldChar w:fldCharType="separate" w:fldLock="0"/>
    </w:r>
    <w:r>
      <w:rPr>
        <w:rFonts w:ascii="Times New Roman" w:hAnsi="Times New Roman"/>
      </w:rPr>
      <w:t>7</w:t>
    </w:r>
    <w:r>
      <w:rPr>
        <w:rFonts w:ascii="Times New Roman" w:hAnsi="Times New Roman"/>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theme" Target="theme/theme1.xml"/></Relationships>

</file>

<file path=word/theme/_rels/theme1.xml.rels><?xml version="1.0" encoding="UTF-8" standalone="yes"?><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r:embed="rId1"/>
          <a:srcRect l="0" t="0" r="0" b="0"/>
          <a:tile tx="0" ty="0" sx="100000" sy="100000" flip="none" algn="tl"/>
        </a:blipFill>
        <a:ln w="12700" cap="flat">
          <a:noFill/>
          <a:miter lim="400000"/>
        </a:ln>
        <a:effectLst>
          <a:outerShdw sx="100000" sy="100000" kx="0" ky="0" algn="b" rotWithShape="0" blurRad="38100" dist="25400" dir="5400000">
            <a:srgbClr val="000000">
              <a:alpha val="50000"/>
            </a:srgbClr>
          </a:outerShdw>
        </a:effectLst>
        <a:sp3d/>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outerShdw sx="100000" sy="100000" kx="0" ky="0" algn="b" rotWithShape="0" blurRad="25400" dist="23998" dir="270000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635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