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2E8FC34E" w:rsidR="00A05FE2" w:rsidRDefault="00313B70">
      <w:pPr>
        <w:pStyle w:val="Normal1"/>
        <w:jc w:val="center"/>
        <w:rPr>
          <w:b/>
          <w:sz w:val="32"/>
          <w:szCs w:val="32"/>
        </w:rPr>
      </w:pPr>
      <w:r>
        <w:rPr>
          <w:b/>
          <w:noProof/>
          <w:sz w:val="32"/>
          <w:szCs w:val="32"/>
        </w:rPr>
        <w:drawing>
          <wp:inline distT="0" distB="0" distL="0" distR="0" wp14:anchorId="5C44636C" wp14:editId="2676AF90">
            <wp:extent cx="3013364" cy="1504604"/>
            <wp:effectExtent l="0" t="0" r="0" b="63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013364" cy="1504604"/>
                    </a:xfrm>
                    <a:prstGeom prst="rect">
                      <a:avLst/>
                    </a:prstGeom>
                  </pic:spPr>
                </pic:pic>
              </a:graphicData>
            </a:graphic>
          </wp:inline>
        </w:drawing>
      </w:r>
    </w:p>
    <w:p w14:paraId="00000002" w14:textId="77777777" w:rsidR="00A05FE2" w:rsidRPr="00313B70" w:rsidRDefault="00A05FE2">
      <w:pPr>
        <w:pStyle w:val="Normal1"/>
        <w:jc w:val="center"/>
        <w:rPr>
          <w:b/>
          <w:sz w:val="52"/>
          <w:szCs w:val="52"/>
        </w:rPr>
      </w:pPr>
    </w:p>
    <w:p w14:paraId="00000003" w14:textId="4E55C92E" w:rsidR="00A05FE2" w:rsidRPr="00313B70" w:rsidRDefault="00313B70">
      <w:pPr>
        <w:pStyle w:val="Normal1"/>
        <w:jc w:val="center"/>
        <w:rPr>
          <w:b/>
          <w:sz w:val="52"/>
          <w:szCs w:val="52"/>
        </w:rPr>
      </w:pPr>
      <w:r w:rsidRPr="00313B70">
        <w:rPr>
          <w:b/>
          <w:sz w:val="52"/>
          <w:szCs w:val="52"/>
        </w:rPr>
        <w:t xml:space="preserve">Community Engagament </w:t>
      </w:r>
    </w:p>
    <w:p w14:paraId="00000004" w14:textId="798FE476" w:rsidR="00A05FE2" w:rsidRDefault="00A05FE2">
      <w:pPr>
        <w:pStyle w:val="Normal1"/>
        <w:jc w:val="center"/>
        <w:rPr>
          <w:b/>
          <w:sz w:val="32"/>
          <w:szCs w:val="32"/>
        </w:rPr>
      </w:pPr>
    </w:p>
    <w:p w14:paraId="203C6E9E" w14:textId="496C5EAB" w:rsidR="00526EC5" w:rsidRDefault="00526EC5">
      <w:pPr>
        <w:pStyle w:val="Normal1"/>
        <w:jc w:val="center"/>
        <w:rPr>
          <w:b/>
          <w:sz w:val="32"/>
          <w:szCs w:val="32"/>
        </w:rPr>
      </w:pPr>
    </w:p>
    <w:p w14:paraId="5D789398" w14:textId="77777777" w:rsidR="00526EC5" w:rsidRDefault="00526EC5">
      <w:pPr>
        <w:pStyle w:val="Normal1"/>
        <w:jc w:val="center"/>
        <w:rPr>
          <w:b/>
          <w:sz w:val="32"/>
          <w:szCs w:val="32"/>
        </w:rPr>
      </w:pPr>
    </w:p>
    <w:p w14:paraId="49DB8439" w14:textId="680A03C8" w:rsidR="00DF31EE" w:rsidRDefault="00526EC5">
      <w:pPr>
        <w:pStyle w:val="Normal1"/>
        <w:jc w:val="center"/>
        <w:rPr>
          <w:b/>
          <w:sz w:val="36"/>
          <w:szCs w:val="36"/>
        </w:rPr>
      </w:pPr>
      <w:r>
        <w:rPr>
          <w:b/>
          <w:sz w:val="36"/>
          <w:szCs w:val="36"/>
        </w:rPr>
        <w:t xml:space="preserve">Programme: BA Business Management </w:t>
      </w:r>
    </w:p>
    <w:p w14:paraId="634003CB" w14:textId="4ED86A95" w:rsidR="00526EC5" w:rsidRDefault="00526EC5">
      <w:pPr>
        <w:pStyle w:val="Normal1"/>
        <w:jc w:val="center"/>
        <w:rPr>
          <w:b/>
          <w:sz w:val="36"/>
          <w:szCs w:val="36"/>
        </w:rPr>
      </w:pPr>
      <w:r>
        <w:rPr>
          <w:b/>
          <w:sz w:val="36"/>
          <w:szCs w:val="36"/>
        </w:rPr>
        <w:t>Module code: LCBB4002</w:t>
      </w:r>
    </w:p>
    <w:p w14:paraId="5F7DB151" w14:textId="4356F208" w:rsidR="00526EC5" w:rsidRDefault="00526EC5" w:rsidP="00526EC5">
      <w:pPr>
        <w:pStyle w:val="Normal1"/>
        <w:jc w:val="center"/>
        <w:rPr>
          <w:b/>
          <w:sz w:val="36"/>
          <w:szCs w:val="36"/>
        </w:rPr>
      </w:pPr>
      <w:r>
        <w:rPr>
          <w:b/>
          <w:sz w:val="36"/>
          <w:szCs w:val="36"/>
        </w:rPr>
        <w:t>Lecturer’s name: Dr Akinseye Aluko</w:t>
      </w:r>
    </w:p>
    <w:p w14:paraId="262A81EC" w14:textId="0728274B" w:rsidR="00DF31EE" w:rsidRDefault="00000000" w:rsidP="00526EC5">
      <w:pPr>
        <w:pStyle w:val="Normal1"/>
        <w:jc w:val="center"/>
        <w:rPr>
          <w:b/>
          <w:sz w:val="36"/>
          <w:szCs w:val="36"/>
        </w:rPr>
      </w:pPr>
      <w:r w:rsidRPr="00DF31EE">
        <w:rPr>
          <w:b/>
          <w:sz w:val="36"/>
          <w:szCs w:val="36"/>
        </w:rPr>
        <w:t>Assessment 2</w:t>
      </w:r>
      <w:r w:rsidR="00526EC5">
        <w:rPr>
          <w:b/>
          <w:sz w:val="36"/>
          <w:szCs w:val="36"/>
        </w:rPr>
        <w:t>:</w:t>
      </w:r>
      <w:r w:rsidRPr="00DF31EE">
        <w:rPr>
          <w:b/>
          <w:sz w:val="36"/>
          <w:szCs w:val="36"/>
        </w:rPr>
        <w:t xml:space="preserve"> Reflective Evaluation</w:t>
      </w:r>
    </w:p>
    <w:p w14:paraId="07F1B15D" w14:textId="520FB27D" w:rsidR="00313B70" w:rsidRDefault="00313B70">
      <w:pPr>
        <w:pStyle w:val="Normal1"/>
        <w:jc w:val="center"/>
        <w:rPr>
          <w:b/>
          <w:sz w:val="36"/>
          <w:szCs w:val="36"/>
        </w:rPr>
      </w:pPr>
      <w:r>
        <w:rPr>
          <w:b/>
          <w:sz w:val="36"/>
          <w:szCs w:val="36"/>
        </w:rPr>
        <w:t>Student name: Loredana Zsofi</w:t>
      </w:r>
    </w:p>
    <w:p w14:paraId="3F3F4312" w14:textId="60B65006" w:rsidR="00313B70" w:rsidRDefault="00313B70">
      <w:pPr>
        <w:pStyle w:val="Normal1"/>
        <w:jc w:val="center"/>
        <w:rPr>
          <w:b/>
          <w:sz w:val="36"/>
          <w:szCs w:val="36"/>
        </w:rPr>
      </w:pPr>
      <w:r>
        <w:rPr>
          <w:b/>
          <w:sz w:val="36"/>
          <w:szCs w:val="36"/>
        </w:rPr>
        <w:t>Student id: 2111130</w:t>
      </w:r>
    </w:p>
    <w:p w14:paraId="363A38F4" w14:textId="77777777" w:rsidR="00DF31EE" w:rsidRDefault="00DF31EE">
      <w:pPr>
        <w:rPr>
          <w:b/>
          <w:sz w:val="32"/>
          <w:szCs w:val="32"/>
        </w:rPr>
      </w:pPr>
      <w:r>
        <w:rPr>
          <w:b/>
          <w:sz w:val="32"/>
          <w:szCs w:val="32"/>
        </w:rPr>
        <w:br w:type="page"/>
      </w:r>
    </w:p>
    <w:sdt>
      <w:sdtPr>
        <w:rPr>
          <w:rFonts w:ascii="Times New Roman" w:eastAsia="Times New Roman" w:hAnsi="Times New Roman" w:cs="Times New Roman"/>
          <w:color w:val="auto"/>
          <w:sz w:val="24"/>
          <w:szCs w:val="24"/>
          <w:lang w:val=""/>
        </w:rPr>
        <w:id w:val="801506971"/>
        <w:docPartObj>
          <w:docPartGallery w:val="Table of Contents"/>
          <w:docPartUnique/>
        </w:docPartObj>
      </w:sdtPr>
      <w:sdtEndPr>
        <w:rPr>
          <w:b/>
          <w:bCs/>
          <w:noProof/>
        </w:rPr>
      </w:sdtEndPr>
      <w:sdtContent>
        <w:p w14:paraId="0AE0F663" w14:textId="22BBC0E1" w:rsidR="00DF31EE" w:rsidRPr="00DF31EE" w:rsidRDefault="00DF31EE" w:rsidP="00DF31EE">
          <w:pPr>
            <w:pStyle w:val="TOCHeading"/>
            <w:jc w:val="center"/>
            <w:rPr>
              <w:rFonts w:ascii="Times New Roman" w:hAnsi="Times New Roman" w:cs="Times New Roman"/>
              <w:b/>
              <w:bCs/>
              <w:color w:val="auto"/>
              <w:sz w:val="24"/>
              <w:szCs w:val="24"/>
            </w:rPr>
          </w:pPr>
          <w:r w:rsidRPr="00DF31EE">
            <w:rPr>
              <w:rFonts w:ascii="Times New Roman" w:hAnsi="Times New Roman" w:cs="Times New Roman"/>
              <w:b/>
              <w:bCs/>
              <w:color w:val="auto"/>
              <w:sz w:val="24"/>
              <w:szCs w:val="24"/>
            </w:rPr>
            <w:t>Table of Contents</w:t>
          </w:r>
        </w:p>
        <w:p w14:paraId="4BAAB367" w14:textId="5ED5A244" w:rsidR="00DF31EE" w:rsidRDefault="00DF31EE">
          <w:pPr>
            <w:pStyle w:val="TOC1"/>
            <w:tabs>
              <w:tab w:val="right" w:leader="dot" w:pos="9350"/>
            </w:tabs>
            <w:rPr>
              <w:rFonts w:asciiTheme="minorHAnsi" w:eastAsiaTheme="minorEastAsia" w:hAnsiTheme="minorHAnsi" w:cstheme="minorBidi"/>
              <w:noProof/>
              <w:sz w:val="22"/>
              <w:szCs w:val="22"/>
              <w:lang w:val="en-IN" w:eastAsia="en-IN"/>
            </w:rPr>
          </w:pPr>
          <w:r>
            <w:fldChar w:fldCharType="begin"/>
          </w:r>
          <w:r>
            <w:instrText xml:space="preserve"> TOC \o "1-3" \h \z \u </w:instrText>
          </w:r>
          <w:r>
            <w:fldChar w:fldCharType="separate"/>
          </w:r>
          <w:hyperlink w:anchor="_Toc129881620" w:history="1">
            <w:r w:rsidRPr="00642757">
              <w:rPr>
                <w:rStyle w:val="Hyperlink"/>
                <w:noProof/>
              </w:rPr>
              <w:t>Introduction</w:t>
            </w:r>
            <w:r>
              <w:rPr>
                <w:noProof/>
                <w:webHidden/>
              </w:rPr>
              <w:tab/>
            </w:r>
            <w:r>
              <w:rPr>
                <w:noProof/>
                <w:webHidden/>
              </w:rPr>
              <w:fldChar w:fldCharType="begin"/>
            </w:r>
            <w:r>
              <w:rPr>
                <w:noProof/>
                <w:webHidden/>
              </w:rPr>
              <w:instrText xml:space="preserve"> PAGEREF _Toc129881620 \h </w:instrText>
            </w:r>
            <w:r>
              <w:rPr>
                <w:noProof/>
                <w:webHidden/>
              </w:rPr>
            </w:r>
            <w:r>
              <w:rPr>
                <w:noProof/>
                <w:webHidden/>
              </w:rPr>
              <w:fldChar w:fldCharType="separate"/>
            </w:r>
            <w:r>
              <w:rPr>
                <w:noProof/>
                <w:webHidden/>
              </w:rPr>
              <w:t>3</w:t>
            </w:r>
            <w:r>
              <w:rPr>
                <w:noProof/>
                <w:webHidden/>
              </w:rPr>
              <w:fldChar w:fldCharType="end"/>
            </w:r>
          </w:hyperlink>
        </w:p>
        <w:p w14:paraId="6EB1671C" w14:textId="1A3570BE" w:rsidR="00DF31EE" w:rsidRDefault="00000000">
          <w:pPr>
            <w:pStyle w:val="TOC1"/>
            <w:tabs>
              <w:tab w:val="right" w:leader="dot" w:pos="9350"/>
            </w:tabs>
            <w:rPr>
              <w:rFonts w:asciiTheme="minorHAnsi" w:eastAsiaTheme="minorEastAsia" w:hAnsiTheme="minorHAnsi" w:cstheme="minorBidi"/>
              <w:noProof/>
              <w:sz w:val="22"/>
              <w:szCs w:val="22"/>
              <w:lang w:val="en-IN" w:eastAsia="en-IN"/>
            </w:rPr>
          </w:pPr>
          <w:hyperlink w:anchor="_Toc129881621" w:history="1">
            <w:r w:rsidR="00DF31EE" w:rsidRPr="00642757">
              <w:rPr>
                <w:rStyle w:val="Hyperlink"/>
                <w:noProof/>
              </w:rPr>
              <w:t>Discussion</w:t>
            </w:r>
            <w:r w:rsidR="00DF31EE">
              <w:rPr>
                <w:noProof/>
                <w:webHidden/>
              </w:rPr>
              <w:tab/>
            </w:r>
            <w:r w:rsidR="00DF31EE">
              <w:rPr>
                <w:noProof/>
                <w:webHidden/>
              </w:rPr>
              <w:fldChar w:fldCharType="begin"/>
            </w:r>
            <w:r w:rsidR="00DF31EE">
              <w:rPr>
                <w:noProof/>
                <w:webHidden/>
              </w:rPr>
              <w:instrText xml:space="preserve"> PAGEREF _Toc129881621 \h </w:instrText>
            </w:r>
            <w:r w:rsidR="00DF31EE">
              <w:rPr>
                <w:noProof/>
                <w:webHidden/>
              </w:rPr>
            </w:r>
            <w:r w:rsidR="00DF31EE">
              <w:rPr>
                <w:noProof/>
                <w:webHidden/>
              </w:rPr>
              <w:fldChar w:fldCharType="separate"/>
            </w:r>
            <w:r w:rsidR="00DF31EE">
              <w:rPr>
                <w:noProof/>
                <w:webHidden/>
              </w:rPr>
              <w:t>3</w:t>
            </w:r>
            <w:r w:rsidR="00DF31EE">
              <w:rPr>
                <w:noProof/>
                <w:webHidden/>
              </w:rPr>
              <w:fldChar w:fldCharType="end"/>
            </w:r>
          </w:hyperlink>
        </w:p>
        <w:p w14:paraId="26CD7E35" w14:textId="0A5A0CD0" w:rsidR="00DF31EE" w:rsidRDefault="00000000">
          <w:pPr>
            <w:pStyle w:val="TOC2"/>
            <w:tabs>
              <w:tab w:val="right" w:leader="dot" w:pos="9350"/>
            </w:tabs>
            <w:rPr>
              <w:rFonts w:asciiTheme="minorHAnsi" w:eastAsiaTheme="minorEastAsia" w:hAnsiTheme="minorHAnsi" w:cstheme="minorBidi"/>
              <w:noProof/>
              <w:sz w:val="22"/>
              <w:szCs w:val="22"/>
              <w:lang w:val="en-IN" w:eastAsia="en-IN"/>
            </w:rPr>
          </w:pPr>
          <w:hyperlink w:anchor="_Toc129881622" w:history="1">
            <w:r w:rsidR="00DF31EE" w:rsidRPr="00642757">
              <w:rPr>
                <w:rStyle w:val="Hyperlink"/>
                <w:noProof/>
              </w:rPr>
              <w:t>Different principles, standards and strategies are currently being adopted in the council.</w:t>
            </w:r>
            <w:r w:rsidR="00DF31EE">
              <w:rPr>
                <w:noProof/>
                <w:webHidden/>
              </w:rPr>
              <w:tab/>
            </w:r>
            <w:r w:rsidR="00DF31EE">
              <w:rPr>
                <w:noProof/>
                <w:webHidden/>
              </w:rPr>
              <w:fldChar w:fldCharType="begin"/>
            </w:r>
            <w:r w:rsidR="00DF31EE">
              <w:rPr>
                <w:noProof/>
                <w:webHidden/>
              </w:rPr>
              <w:instrText xml:space="preserve"> PAGEREF _Toc129881622 \h </w:instrText>
            </w:r>
            <w:r w:rsidR="00DF31EE">
              <w:rPr>
                <w:noProof/>
                <w:webHidden/>
              </w:rPr>
            </w:r>
            <w:r w:rsidR="00DF31EE">
              <w:rPr>
                <w:noProof/>
                <w:webHidden/>
              </w:rPr>
              <w:fldChar w:fldCharType="separate"/>
            </w:r>
            <w:r w:rsidR="00DF31EE">
              <w:rPr>
                <w:noProof/>
                <w:webHidden/>
              </w:rPr>
              <w:t>3</w:t>
            </w:r>
            <w:r w:rsidR="00DF31EE">
              <w:rPr>
                <w:noProof/>
                <w:webHidden/>
              </w:rPr>
              <w:fldChar w:fldCharType="end"/>
            </w:r>
          </w:hyperlink>
        </w:p>
        <w:p w14:paraId="346F736C" w14:textId="6D3651DD" w:rsidR="00DF31EE" w:rsidRDefault="00000000">
          <w:pPr>
            <w:pStyle w:val="TOC1"/>
            <w:tabs>
              <w:tab w:val="right" w:leader="dot" w:pos="9350"/>
            </w:tabs>
            <w:rPr>
              <w:rFonts w:asciiTheme="minorHAnsi" w:eastAsiaTheme="minorEastAsia" w:hAnsiTheme="minorHAnsi" w:cstheme="minorBidi"/>
              <w:noProof/>
              <w:sz w:val="22"/>
              <w:szCs w:val="22"/>
              <w:lang w:val="en-IN" w:eastAsia="en-IN"/>
            </w:rPr>
          </w:pPr>
          <w:hyperlink w:anchor="_Toc129881623" w:history="1">
            <w:r w:rsidR="00DF31EE" w:rsidRPr="00642757">
              <w:rPr>
                <w:rStyle w:val="Hyperlink"/>
                <w:noProof/>
              </w:rPr>
              <w:t>Conclusion</w:t>
            </w:r>
            <w:r w:rsidR="00DF31EE">
              <w:rPr>
                <w:noProof/>
                <w:webHidden/>
              </w:rPr>
              <w:tab/>
            </w:r>
            <w:r w:rsidR="00DF31EE">
              <w:rPr>
                <w:noProof/>
                <w:webHidden/>
              </w:rPr>
              <w:fldChar w:fldCharType="begin"/>
            </w:r>
            <w:r w:rsidR="00DF31EE">
              <w:rPr>
                <w:noProof/>
                <w:webHidden/>
              </w:rPr>
              <w:instrText xml:space="preserve"> PAGEREF _Toc129881623 \h </w:instrText>
            </w:r>
            <w:r w:rsidR="00DF31EE">
              <w:rPr>
                <w:noProof/>
                <w:webHidden/>
              </w:rPr>
            </w:r>
            <w:r w:rsidR="00DF31EE">
              <w:rPr>
                <w:noProof/>
                <w:webHidden/>
              </w:rPr>
              <w:fldChar w:fldCharType="separate"/>
            </w:r>
            <w:r w:rsidR="00DF31EE">
              <w:rPr>
                <w:noProof/>
                <w:webHidden/>
              </w:rPr>
              <w:t>6</w:t>
            </w:r>
            <w:r w:rsidR="00DF31EE">
              <w:rPr>
                <w:noProof/>
                <w:webHidden/>
              </w:rPr>
              <w:fldChar w:fldCharType="end"/>
            </w:r>
          </w:hyperlink>
        </w:p>
        <w:p w14:paraId="32ABCA9B" w14:textId="16E9468C" w:rsidR="00DF31EE" w:rsidRDefault="00000000">
          <w:pPr>
            <w:pStyle w:val="TOC1"/>
            <w:tabs>
              <w:tab w:val="right" w:leader="dot" w:pos="9350"/>
            </w:tabs>
            <w:rPr>
              <w:rFonts w:asciiTheme="minorHAnsi" w:eastAsiaTheme="minorEastAsia" w:hAnsiTheme="minorHAnsi" w:cstheme="minorBidi"/>
              <w:noProof/>
              <w:sz w:val="22"/>
              <w:szCs w:val="22"/>
              <w:lang w:val="en-IN" w:eastAsia="en-IN"/>
            </w:rPr>
          </w:pPr>
          <w:hyperlink w:anchor="_Toc129881624" w:history="1">
            <w:r w:rsidR="00DF31EE" w:rsidRPr="00642757">
              <w:rPr>
                <w:rStyle w:val="Hyperlink"/>
                <w:noProof/>
              </w:rPr>
              <w:t>Recommendations</w:t>
            </w:r>
            <w:r w:rsidR="00DF31EE">
              <w:rPr>
                <w:noProof/>
                <w:webHidden/>
              </w:rPr>
              <w:tab/>
            </w:r>
            <w:r w:rsidR="00DF31EE">
              <w:rPr>
                <w:noProof/>
                <w:webHidden/>
              </w:rPr>
              <w:fldChar w:fldCharType="begin"/>
            </w:r>
            <w:r w:rsidR="00DF31EE">
              <w:rPr>
                <w:noProof/>
                <w:webHidden/>
              </w:rPr>
              <w:instrText xml:space="preserve"> PAGEREF _Toc129881624 \h </w:instrText>
            </w:r>
            <w:r w:rsidR="00DF31EE">
              <w:rPr>
                <w:noProof/>
                <w:webHidden/>
              </w:rPr>
            </w:r>
            <w:r w:rsidR="00DF31EE">
              <w:rPr>
                <w:noProof/>
                <w:webHidden/>
              </w:rPr>
              <w:fldChar w:fldCharType="separate"/>
            </w:r>
            <w:r w:rsidR="00DF31EE">
              <w:rPr>
                <w:noProof/>
                <w:webHidden/>
              </w:rPr>
              <w:t>7</w:t>
            </w:r>
            <w:r w:rsidR="00DF31EE">
              <w:rPr>
                <w:noProof/>
                <w:webHidden/>
              </w:rPr>
              <w:fldChar w:fldCharType="end"/>
            </w:r>
          </w:hyperlink>
        </w:p>
        <w:p w14:paraId="03886405" w14:textId="77306FA4" w:rsidR="00DF31EE" w:rsidRDefault="00000000">
          <w:pPr>
            <w:pStyle w:val="TOC2"/>
            <w:tabs>
              <w:tab w:val="right" w:leader="dot" w:pos="9350"/>
            </w:tabs>
            <w:rPr>
              <w:rFonts w:asciiTheme="minorHAnsi" w:eastAsiaTheme="minorEastAsia" w:hAnsiTheme="minorHAnsi" w:cstheme="minorBidi"/>
              <w:noProof/>
              <w:sz w:val="22"/>
              <w:szCs w:val="22"/>
              <w:lang w:val="en-IN" w:eastAsia="en-IN"/>
            </w:rPr>
          </w:pPr>
          <w:hyperlink w:anchor="_Toc129881625" w:history="1">
            <w:r w:rsidR="00DF31EE" w:rsidRPr="00642757">
              <w:rPr>
                <w:rStyle w:val="Hyperlink"/>
                <w:noProof/>
              </w:rPr>
              <w:t>Drafting a forward-looking plan or recommendation to have a seamless process in their community engagement</w:t>
            </w:r>
            <w:r w:rsidR="00DF31EE">
              <w:rPr>
                <w:noProof/>
                <w:webHidden/>
              </w:rPr>
              <w:tab/>
            </w:r>
            <w:r w:rsidR="00DF31EE">
              <w:rPr>
                <w:noProof/>
                <w:webHidden/>
              </w:rPr>
              <w:fldChar w:fldCharType="begin"/>
            </w:r>
            <w:r w:rsidR="00DF31EE">
              <w:rPr>
                <w:noProof/>
                <w:webHidden/>
              </w:rPr>
              <w:instrText xml:space="preserve"> PAGEREF _Toc129881625 \h </w:instrText>
            </w:r>
            <w:r w:rsidR="00DF31EE">
              <w:rPr>
                <w:noProof/>
                <w:webHidden/>
              </w:rPr>
            </w:r>
            <w:r w:rsidR="00DF31EE">
              <w:rPr>
                <w:noProof/>
                <w:webHidden/>
              </w:rPr>
              <w:fldChar w:fldCharType="separate"/>
            </w:r>
            <w:r w:rsidR="00DF31EE">
              <w:rPr>
                <w:noProof/>
                <w:webHidden/>
              </w:rPr>
              <w:t>7</w:t>
            </w:r>
            <w:r w:rsidR="00DF31EE">
              <w:rPr>
                <w:noProof/>
                <w:webHidden/>
              </w:rPr>
              <w:fldChar w:fldCharType="end"/>
            </w:r>
          </w:hyperlink>
        </w:p>
        <w:p w14:paraId="2271C0C7" w14:textId="1C80CD1D" w:rsidR="00DF31EE" w:rsidRDefault="00000000">
          <w:pPr>
            <w:pStyle w:val="TOC1"/>
            <w:tabs>
              <w:tab w:val="right" w:leader="dot" w:pos="9350"/>
            </w:tabs>
            <w:rPr>
              <w:rFonts w:asciiTheme="minorHAnsi" w:eastAsiaTheme="minorEastAsia" w:hAnsiTheme="minorHAnsi" w:cstheme="minorBidi"/>
              <w:noProof/>
              <w:sz w:val="22"/>
              <w:szCs w:val="22"/>
              <w:lang w:val="en-IN" w:eastAsia="en-IN"/>
            </w:rPr>
          </w:pPr>
          <w:hyperlink w:anchor="_Toc129881626" w:history="1">
            <w:r w:rsidR="00DF31EE" w:rsidRPr="00642757">
              <w:rPr>
                <w:rStyle w:val="Hyperlink"/>
                <w:noProof/>
              </w:rPr>
              <w:t>Reference list</w:t>
            </w:r>
            <w:r w:rsidR="00DF31EE">
              <w:rPr>
                <w:noProof/>
                <w:webHidden/>
              </w:rPr>
              <w:tab/>
            </w:r>
            <w:r w:rsidR="00DF31EE">
              <w:rPr>
                <w:noProof/>
                <w:webHidden/>
              </w:rPr>
              <w:fldChar w:fldCharType="begin"/>
            </w:r>
            <w:r w:rsidR="00DF31EE">
              <w:rPr>
                <w:noProof/>
                <w:webHidden/>
              </w:rPr>
              <w:instrText xml:space="preserve"> PAGEREF _Toc129881626 \h </w:instrText>
            </w:r>
            <w:r w:rsidR="00DF31EE">
              <w:rPr>
                <w:noProof/>
                <w:webHidden/>
              </w:rPr>
            </w:r>
            <w:r w:rsidR="00DF31EE">
              <w:rPr>
                <w:noProof/>
                <w:webHidden/>
              </w:rPr>
              <w:fldChar w:fldCharType="separate"/>
            </w:r>
            <w:r w:rsidR="00DF31EE">
              <w:rPr>
                <w:noProof/>
                <w:webHidden/>
              </w:rPr>
              <w:t>9</w:t>
            </w:r>
            <w:r w:rsidR="00DF31EE">
              <w:rPr>
                <w:noProof/>
                <w:webHidden/>
              </w:rPr>
              <w:fldChar w:fldCharType="end"/>
            </w:r>
          </w:hyperlink>
        </w:p>
        <w:p w14:paraId="7358EAF6" w14:textId="00FD452C" w:rsidR="00DF31EE" w:rsidRDefault="00DF31EE">
          <w:r>
            <w:rPr>
              <w:b/>
              <w:bCs/>
              <w:noProof/>
            </w:rPr>
            <w:fldChar w:fldCharType="end"/>
          </w:r>
        </w:p>
      </w:sdtContent>
    </w:sdt>
    <w:p w14:paraId="00000006" w14:textId="47C6F1E2" w:rsidR="00A05FE2" w:rsidRDefault="00000000">
      <w:pPr>
        <w:pStyle w:val="Normal1"/>
        <w:jc w:val="center"/>
        <w:rPr>
          <w:b/>
          <w:sz w:val="32"/>
          <w:szCs w:val="32"/>
        </w:rPr>
      </w:pPr>
      <w:r>
        <w:br w:type="page"/>
      </w:r>
    </w:p>
    <w:p w14:paraId="00000007" w14:textId="77777777" w:rsidR="00A05FE2" w:rsidRDefault="00000000">
      <w:pPr>
        <w:pStyle w:val="Heading1"/>
      </w:pPr>
      <w:bookmarkStart w:id="0" w:name="_g71qe3mb43rl" w:colFirst="0" w:colLast="0"/>
      <w:bookmarkStart w:id="1" w:name="_Toc129881620"/>
      <w:bookmarkEnd w:id="0"/>
      <w:r>
        <w:lastRenderedPageBreak/>
        <w:t>Introduction</w:t>
      </w:r>
      <w:bookmarkEnd w:id="1"/>
    </w:p>
    <w:p w14:paraId="00000008" w14:textId="4840FBFE" w:rsidR="00A05FE2" w:rsidRDefault="00000000">
      <w:pPr>
        <w:pStyle w:val="Normal1"/>
      </w:pPr>
      <w:r>
        <w:t xml:space="preserve">Community practices and standards embody advanced propositions of specific thoughts that lead people to have a dignified social life. For this assessment, </w:t>
      </w:r>
      <w:r>
        <w:rPr>
          <w:b/>
          <w:i/>
        </w:rPr>
        <w:t>Havering Council</w:t>
      </w:r>
      <w:r>
        <w:t xml:space="preserve">, which </w:t>
      </w:r>
      <w:r w:rsidR="00313B70">
        <w:t xml:space="preserve">i </w:t>
      </w:r>
      <w:r>
        <w:t xml:space="preserve">selected in the previous examination, was considered for further critical evaluation. An expansive series of current potential standards, principles, and strategies that the chosen council implements are discussed in this study with the foundation of academic and secondary examples. Based on the discussion, a recommending section consisting of specific plans is being referred to improve the chosen community in the materialistic world. </w:t>
      </w:r>
    </w:p>
    <w:p w14:paraId="00000009" w14:textId="77777777" w:rsidR="00A05FE2" w:rsidRDefault="00000000">
      <w:pPr>
        <w:pStyle w:val="Heading1"/>
      </w:pPr>
      <w:bookmarkStart w:id="2" w:name="_9biraz7lywlt" w:colFirst="0" w:colLast="0"/>
      <w:bookmarkStart w:id="3" w:name="_Toc129881621"/>
      <w:bookmarkEnd w:id="2"/>
      <w:r>
        <w:t>Discussion</w:t>
      </w:r>
      <w:bookmarkEnd w:id="3"/>
    </w:p>
    <w:p w14:paraId="0000000A" w14:textId="77777777" w:rsidR="00A05FE2" w:rsidRDefault="00000000">
      <w:pPr>
        <w:pStyle w:val="Normal1"/>
      </w:pPr>
      <w:r>
        <w:t xml:space="preserve">This section includes a relevant discussion of important principles, standards and strategic actions adopted by the Havering Council to sustain the materialistic world by improving lifestyles and better dignified behavioural styles. </w:t>
      </w:r>
    </w:p>
    <w:p w14:paraId="0000000B" w14:textId="77777777" w:rsidR="00A05FE2" w:rsidRDefault="00000000">
      <w:pPr>
        <w:pStyle w:val="Heading2"/>
      </w:pPr>
      <w:bookmarkStart w:id="4" w:name="_1wccwkw2oe8" w:colFirst="0" w:colLast="0"/>
      <w:bookmarkStart w:id="5" w:name="_Toc129881622"/>
      <w:bookmarkEnd w:id="4"/>
      <w:r>
        <w:t>Different principles, standards and strategies are currently being adopted in the council.</w:t>
      </w:r>
      <w:bookmarkEnd w:id="5"/>
    </w:p>
    <w:p w14:paraId="0000000C" w14:textId="77777777" w:rsidR="00A05FE2" w:rsidRDefault="00000000">
      <w:pPr>
        <w:pStyle w:val="Normal1"/>
      </w:pPr>
      <w:r>
        <w:t xml:space="preserve">Havering London Borough Council is the local authority for the London Borough of Havering in England. Havering Council has applied numerous justifiable strategies by paying focus and attentiveness to develop positive concepts to sympathise with the underprivileged students or the engagement members. For example, the internal management information about the chosen council implies that Havering Council has a long waiting list of people looking for houses (Havering, 2023a). This perceived statement indicates that the committee has thrown light on the people management practices by targeting homeless people. For this reason, the Havering Council follows the principles of supporting homeless people, building better accommodations and improving equal lifestyle habits for everyone indiscriminately. In order to operate a vast scale of operational strategies, the higher authority or the upper management team of the Havering Council follows a hierarchical organisational standard. The community consists of twenty-five conservative party members, twenty-three havering resident association members, and five labour party members. </w:t>
      </w:r>
    </w:p>
    <w:p w14:paraId="0000000D" w14:textId="77777777" w:rsidR="00A05FE2" w:rsidRDefault="00000000">
      <w:pPr>
        <w:pStyle w:val="Normal1"/>
      </w:pPr>
      <w:r>
        <w:t xml:space="preserve">Havering Council, the local or regional U.K. authority, capitalises on the powers and functions of abiding by the London Government Act 1963 and subsequent legislation. In terms of </w:t>
      </w:r>
      <w:r>
        <w:lastRenderedPageBreak/>
        <w:t xml:space="preserve">conceptualising this statement, selecting legislative frameworks and deriving regulatory guidelines are helpful for the company to abide by the ethical rules for not affect the morals and ethics of people and the leading society. In this sense, legislative standards, ethical standards and moral features are the essential standards being adopted by Havering Council to develop community engagement further. In addition, Havering Council has reflected on the responsibilities of building control advice to help community members easily construct a building (Havering, 2023d). According to this contextual information about building development, it is clear that structuring and developing facilities are the strategic actions incorporated by the Havering Council to facilitate suitable survival in society. </w:t>
      </w:r>
    </w:p>
    <w:p w14:paraId="0000000E" w14:textId="77777777" w:rsidR="00A05FE2" w:rsidRDefault="00000000">
      <w:pPr>
        <w:pStyle w:val="Normal1"/>
      </w:pPr>
      <w:r>
        <w:t xml:space="preserve">The chosen community engagement has divided and well-functionalised the power system to generate and gain precepts for Greater London Authority and business rates. The creation of planning policies, national policies, educational policies and social services along with environmental health-oriented practices are adopted by the Havering Council in the U.K. Thus, the chosen community engagement has started creating worthwhile policies for helping members quickly build houses for better living lifestyles. Havering Council plans to provide a facilitative travel journey for disabled and elderly residents (Havering, 2023b). In showcasing responsibility for disabled residents, the chosen community of the United Kingdom has also applied tactics to make people aware of everything related to transportation. For example, the selected community-centric information affirms that Havering Council provides regular trips, organises school swimming contracts, provides airport service, and other social trips for the community members (Havering, 2023c). In the same light, the SEND policy, which stands for Special Educational Needs and Disabilities, is also applied by the Havering Council to give access to underprivileged people getting all sorts of educational advantages. Coates (2023) in the news article mentioned that Havering Council does not consistently enforce the Charter but has concerns about the relocation of the City markets. Due to this incapability, Havering Council has yet to be able to adhere to legal or ethical practices entirely, which is why the chosen council needs moral concepts for better community engagement. </w:t>
      </w:r>
    </w:p>
    <w:p w14:paraId="0000000F" w14:textId="77777777" w:rsidR="00A05FE2" w:rsidRDefault="00000000">
      <w:pPr>
        <w:pStyle w:val="Normal1"/>
      </w:pPr>
      <w:r>
        <w:t xml:space="preserve">Local businesses, police, venue and security teams, and social services, have absorbed a series of advantages to improve social cognitive behaviour in the leading community. Havering Council has employed a group of new night-time marshals in Romford town centre to aid the work to </w:t>
      </w:r>
      <w:r>
        <w:lastRenderedPageBreak/>
        <w:t xml:space="preserve">provide extra support for keeping residents and visitors safer at night (Havering, 2021). This strategy symbolises talent hiring, implementing and utilising concepts for better residential development and visitors' effective lifestyle movements. It has been enunciated by Coates (2023) that Havering Council has aimed at resolving homelessness issues by reducing the number of rough sleepers. The same policy further enables the council to solve mental health issues and other challenges facing sleepers on the roadside. The inclusion of secondary qualitative information depicts the scenario of Havering Council's strategies for resolving homelessness and mental health issues for the community members. It is worth personifying that reducing homelessness issues, improving the lifestyles of rough sleepers, and solving mental health issues are the strategies adopted by the Havering Council to ensure better lifestyles and better community engagement in the United Kingdom. The council creates safe environments for supporting vulnerable people and developing a homelessness charter with local businesses to ensure better social lifestyles for people. </w:t>
      </w:r>
    </w:p>
    <w:p w14:paraId="00000010" w14:textId="77777777" w:rsidR="00A05FE2" w:rsidRDefault="00000000">
      <w:pPr>
        <w:pStyle w:val="Normal1"/>
        <w:rPr>
          <w:highlight w:val="white"/>
        </w:rPr>
      </w:pPr>
      <w:r>
        <w:rPr>
          <w:highlight w:val="white"/>
        </w:rPr>
        <w:t xml:space="preserve">Dereso </w:t>
      </w:r>
      <w:r>
        <w:rPr>
          <w:i/>
          <w:highlight w:val="white"/>
        </w:rPr>
        <w:t>et al</w:t>
      </w:r>
      <w:r>
        <w:rPr>
          <w:highlight w:val="white"/>
        </w:rPr>
        <w:t xml:space="preserve">. (2021) mention that educational organisations are inclined to hire intellectual and self-motivated teachers to create innovative ideas for developing students' academic growth. From this concept, it can be further elucidated or emphasised the chosen matter in the context of Havering Council since the council has also deployed a range of innovative ideas and supported students' career-building concepts by fostering relations with educational institutions. According to this context, the Havering Council has played an essential role in helping students' career-building growth and enrichment in the pursuit of better community development. From the viewpoint of Eberhart </w:t>
      </w:r>
      <w:r>
        <w:rPr>
          <w:i/>
          <w:highlight w:val="white"/>
        </w:rPr>
        <w:t>et al.</w:t>
      </w:r>
      <w:r>
        <w:rPr>
          <w:highlight w:val="white"/>
        </w:rPr>
        <w:t xml:space="preserve"> (2020), stakeholder-centred community logic is a particular area of developed community engagement. In light of aligning with the perceived statement, it is admissible to interpret the previous findings in a specific context as Havering Council has strengthened the stakeholder management tactics by deploying potential strategies. In this case, hiring influential and talented people enables the Havering Council to stand by the people such as underprivileged students, homeless people and rough sleepers. That is how internal stakeholders' responsible and responsive work behaviour are the determinants of noteworthy external stakeholders' development while residing in the same community. </w:t>
      </w:r>
    </w:p>
    <w:p w14:paraId="00000011" w14:textId="77777777" w:rsidR="00A05FE2" w:rsidRDefault="00000000">
      <w:pPr>
        <w:pStyle w:val="Normal1"/>
        <w:rPr>
          <w:highlight w:val="white"/>
        </w:rPr>
      </w:pPr>
      <w:r>
        <w:t xml:space="preserve">According to </w:t>
      </w:r>
      <w:r>
        <w:rPr>
          <w:highlight w:val="white"/>
        </w:rPr>
        <w:t xml:space="preserve">Alam (2022), designing and implementing educational interventions increases the learning processes for students in order to ensure better sustainable community development. This </w:t>
      </w:r>
      <w:r>
        <w:rPr>
          <w:highlight w:val="white"/>
        </w:rPr>
        <w:lastRenderedPageBreak/>
        <w:t xml:space="preserve">statement can be proven justifiable with the consideration of the Social Learning Theory, as this behavioural theory makes people believe that imitating the behaviour of others is an attempt to enhance personality traits. For this contextual phase, the findings of the chosen council-oriented information conclude that education-centric strategies, building-centric strategies, health-oriented decisions and societal growth plans help each community member learn from each other to grow in the same community. </w:t>
      </w:r>
      <w:r>
        <w:t xml:space="preserve">Furthermore, in the words of </w:t>
      </w:r>
      <w:r>
        <w:rPr>
          <w:highlight w:val="white"/>
        </w:rPr>
        <w:t xml:space="preserve">Magdalena </w:t>
      </w:r>
      <w:r>
        <w:rPr>
          <w:i/>
          <w:highlight w:val="white"/>
        </w:rPr>
        <w:t>et al.</w:t>
      </w:r>
      <w:r>
        <w:rPr>
          <w:highlight w:val="white"/>
        </w:rPr>
        <w:t xml:space="preserve"> (2019</w:t>
      </w:r>
      <w:r>
        <w:t xml:space="preserve">), implementing corporate social responsibility initiatives aids businesses in getting ideas for developing a community through partnerships and various community development programs. According to this perspective, community development partnerships and C.S.R. initiatives are the privileged practices adopted by Havering Council to develop the community in a broader context. </w:t>
      </w:r>
    </w:p>
    <w:p w14:paraId="53255D47" w14:textId="77777777" w:rsidR="00825E89" w:rsidRDefault="00000000">
      <w:pPr>
        <w:pStyle w:val="Normal1"/>
      </w:pPr>
      <w:r>
        <w:t xml:space="preserve">However, a lack of self-regulation and self-awareness put such a negative or problematic challenging situation for Havering Council, and the blend of challenges or concerns negatively impacted the reputation of the chosen community of the United Kingdom. For example, the leader of the Havering Council, Cllr Damian White, was confidentially recorded outlining plans to modify ward boundaries to attain political advantages. This kind of secretly planned concept was one of the emerging challenges or impediments that put a question mark on the chosen Havering Council. Political conflicts, socio-political disagreement and undesirable illegal practices are the inherent challenging situations for the Havering Council, and these situations must be stopped with a set of recommendations. </w:t>
      </w:r>
    </w:p>
    <w:p w14:paraId="307403F0" w14:textId="6838FDAC" w:rsidR="00825E89" w:rsidRDefault="00825E89">
      <w:pPr>
        <w:pStyle w:val="Normal1"/>
      </w:pPr>
    </w:p>
    <w:p w14:paraId="00000013" w14:textId="5B784821" w:rsidR="00A05FE2" w:rsidRDefault="00000000">
      <w:pPr>
        <w:pStyle w:val="Normal1"/>
      </w:pPr>
      <w:r>
        <w:t xml:space="preserve">For this purpose, three great recommendations are proposed for the Havering Council to acquire further a seamless and impeccable process to develop the community members. </w:t>
      </w:r>
    </w:p>
    <w:p w14:paraId="00000014" w14:textId="77777777" w:rsidR="00A05FE2" w:rsidRDefault="00000000">
      <w:pPr>
        <w:pStyle w:val="Heading1"/>
      </w:pPr>
      <w:bookmarkStart w:id="6" w:name="_o3zqyzki3j2y" w:colFirst="0" w:colLast="0"/>
      <w:bookmarkStart w:id="7" w:name="_Toc129881623"/>
      <w:bookmarkEnd w:id="6"/>
      <w:r>
        <w:t>Conclusion</w:t>
      </w:r>
      <w:bookmarkEnd w:id="7"/>
    </w:p>
    <w:p w14:paraId="5F015FF8" w14:textId="3C87DA67" w:rsidR="005B7FE5" w:rsidRDefault="00000000">
      <w:pPr>
        <w:pStyle w:val="Normal1"/>
      </w:pPr>
      <w:r>
        <w:t xml:space="preserve">The study findings conclude that Havering Council deploys initiatives, standards, principles and strategic policies for better sociological and community development. With the adoption of various legislative features, the Havering Council has been able to diffuse brand awareness with the hope of emphasising people management and community engagement practices. Furthermore, shedding acute attention towards educational programs, health programs, transportation services, and other programs increases the readiness for community engagement practices. For this reason, the </w:t>
      </w:r>
      <w:r>
        <w:lastRenderedPageBreak/>
        <w:t xml:space="preserve">Havering Council has successfully facilitated social lifestyles of community engagement by equipping members with a range of privileges and facilities. </w:t>
      </w:r>
      <w:r w:rsidR="005B7FE5">
        <w:t xml:space="preserve">The amalgamation of reliable secondary qualitative information emphasises that health-centric strategies such as mental illness reduction philosophy is well-carried out by the Havering Council, Noteworthy stakeholder management practices and </w:t>
      </w:r>
      <w:r w:rsidR="006E70AD">
        <w:t>ethical planning concepts assist the internal stakeholders to demonstrate the cordial behaviour with community members in an external environment.</w:t>
      </w:r>
      <w:r w:rsidR="00D25809">
        <w:t xml:space="preserve"> </w:t>
      </w:r>
      <w:r>
        <w:t xml:space="preserve">However, some conceptual and contextual recommendations are provided below to increase further a seamless and impeccable process in the Havering Council of the United Kingdom community. </w:t>
      </w:r>
    </w:p>
    <w:p w14:paraId="00000016" w14:textId="77777777" w:rsidR="00A05FE2" w:rsidRDefault="00000000">
      <w:pPr>
        <w:pStyle w:val="Heading1"/>
      </w:pPr>
      <w:bookmarkStart w:id="8" w:name="_arv2ohzgs65" w:colFirst="0" w:colLast="0"/>
      <w:bookmarkStart w:id="9" w:name="_Toc129881624"/>
      <w:bookmarkEnd w:id="8"/>
      <w:r>
        <w:t>Recommendations</w:t>
      </w:r>
      <w:bookmarkEnd w:id="9"/>
      <w:r>
        <w:t xml:space="preserve"> </w:t>
      </w:r>
    </w:p>
    <w:p w14:paraId="00000017" w14:textId="77777777" w:rsidR="00A05FE2" w:rsidRDefault="00000000">
      <w:pPr>
        <w:pStyle w:val="Heading2"/>
      </w:pPr>
      <w:bookmarkStart w:id="10" w:name="_yvt7mkaau4rr" w:colFirst="0" w:colLast="0"/>
      <w:bookmarkStart w:id="11" w:name="_Toc129881625"/>
      <w:bookmarkEnd w:id="10"/>
      <w:r>
        <w:t>Drafting a forward-looking plan or recommendation to have a seamless process in their community engagement</w:t>
      </w:r>
      <w:bookmarkEnd w:id="11"/>
      <w:r>
        <w:t xml:space="preserve"> </w:t>
      </w:r>
    </w:p>
    <w:p w14:paraId="00000018" w14:textId="40F01B18" w:rsidR="00A05FE2" w:rsidRDefault="00000000" w:rsidP="00DF31EE">
      <w:pPr>
        <w:rPr>
          <w:b/>
        </w:rPr>
      </w:pPr>
      <w:bookmarkStart w:id="12" w:name="_ox37lwd9aaoe" w:colFirst="0" w:colLast="0"/>
      <w:bookmarkEnd w:id="12"/>
      <w:r>
        <w:t xml:space="preserve">Concerning the above critical findings, it is worth providing an account of vivid recommendations for enabling the Havering Council to acquire a seamless process in community engagement. </w:t>
      </w:r>
      <w:r w:rsidR="00D25809">
        <w:t xml:space="preserve">In terms of making an alignment with the previous findings, a set of three diverse suggestions is recommended which will further enable Havering Council to execute more valid and praisewothy, and the acceptable strategies, standards and poliies for the welfare and well-being of the community members. </w:t>
      </w:r>
    </w:p>
    <w:p w14:paraId="00000019" w14:textId="77777777" w:rsidR="00A05FE2" w:rsidRPr="00DF31EE" w:rsidRDefault="00000000" w:rsidP="00DF31EE">
      <w:pPr>
        <w:pStyle w:val="ListParagraph"/>
        <w:numPr>
          <w:ilvl w:val="0"/>
          <w:numId w:val="2"/>
        </w:numPr>
        <w:rPr>
          <w:b/>
        </w:rPr>
      </w:pPr>
      <w:bookmarkStart w:id="13" w:name="_v6sohtfxlgp6" w:colFirst="0" w:colLast="0"/>
      <w:bookmarkEnd w:id="13"/>
      <w:r>
        <w:t xml:space="preserve">According to the viewpoint of </w:t>
      </w:r>
      <w:r w:rsidRPr="00DF31EE">
        <w:rPr>
          <w:highlight w:val="white"/>
        </w:rPr>
        <w:t xml:space="preserve">Jiang </w:t>
      </w:r>
      <w:r w:rsidRPr="00DF31EE">
        <w:rPr>
          <w:i/>
          <w:highlight w:val="white"/>
        </w:rPr>
        <w:t>et al.</w:t>
      </w:r>
      <w:r w:rsidRPr="00DF31EE">
        <w:rPr>
          <w:highlight w:val="white"/>
        </w:rPr>
        <w:t xml:space="preserve"> (2023), the AIDA (Attention, Interest, Desire and Action) Model helps cultural companies foster relations with community engagement. This perceived statement recommends the better fruitful adoption of the AIDA model intending to interact with people in leading community engagement. Creating social media posts, uploading images, and giving information about travel, health, and other service-related aspects will help the Havering Council to abide by the rules of the proposed AIDA model. For example, the Havering Council community members can attain information about health, social service, health and other services that can generate positive desires. In this way, Havering Council can quickly solve issues or eliminate limitations to improve community members' sustainability and lifestyle.</w:t>
      </w:r>
    </w:p>
    <w:p w14:paraId="0000001A" w14:textId="77777777" w:rsidR="00A05FE2" w:rsidRPr="00DF31EE" w:rsidRDefault="00000000" w:rsidP="00DF31EE">
      <w:pPr>
        <w:pStyle w:val="ListParagraph"/>
        <w:numPr>
          <w:ilvl w:val="0"/>
          <w:numId w:val="2"/>
        </w:numPr>
        <w:rPr>
          <w:b/>
          <w:highlight w:val="white"/>
        </w:rPr>
      </w:pPr>
      <w:bookmarkStart w:id="14" w:name="_4hx8v6iv04d3" w:colFirst="0" w:colLast="0"/>
      <w:bookmarkEnd w:id="14"/>
      <w:r w:rsidRPr="00DF31EE">
        <w:rPr>
          <w:highlight w:val="white"/>
        </w:rPr>
        <w:t xml:space="preserve">It has been claimed by Van Schyndel </w:t>
      </w:r>
      <w:r w:rsidRPr="00DF31EE">
        <w:rPr>
          <w:i/>
          <w:highlight w:val="white"/>
        </w:rPr>
        <w:t>et al.</w:t>
      </w:r>
      <w:r w:rsidRPr="00DF31EE">
        <w:rPr>
          <w:highlight w:val="white"/>
        </w:rPr>
        <w:t xml:space="preserve"> (2019), the Boundary-Spanning Model and the Preliminary Competency Model are useful to organise and present prioritised activities for </w:t>
      </w:r>
      <w:r w:rsidRPr="00DF31EE">
        <w:rPr>
          <w:highlight w:val="white"/>
        </w:rPr>
        <w:lastRenderedPageBreak/>
        <w:t xml:space="preserve">the advancement of community engagements. Furthermore, deploying the professional development of community engagement professionals (C.E.P.s) increases the propensity for better social work and community development programs. In terms of conceptualising this scholarly information, it can be personified that the Boundary-Spanning Model and the Preliminary Competency Model will aid the community members of Havering Council to perceive better performance from the perspective of the institution. Thus, the proposition of two recommended models will enhance the service standards and the ethical work behaviour of the Havering Council in order to create significant implications on the values and beliefs of people in the community of Havering Council. </w:t>
      </w:r>
    </w:p>
    <w:p w14:paraId="0000001B" w14:textId="77777777" w:rsidR="00A05FE2" w:rsidRDefault="00000000" w:rsidP="00DF31EE">
      <w:pPr>
        <w:pStyle w:val="ListParagraph"/>
        <w:numPr>
          <w:ilvl w:val="0"/>
          <w:numId w:val="2"/>
        </w:numPr>
      </w:pPr>
      <w:bookmarkStart w:id="15" w:name="_w115d6v5dao3" w:colFirst="0" w:colLast="0"/>
      <w:bookmarkEnd w:id="15"/>
      <w:r w:rsidRPr="00DF31EE">
        <w:rPr>
          <w:highlight w:val="white"/>
        </w:rPr>
        <w:t xml:space="preserve">One of the academic underpinnings confirms that health information technology has the extreme potential to facilitate community engagement (Rajamani </w:t>
      </w:r>
      <w:r w:rsidRPr="00DF31EE">
        <w:rPr>
          <w:i/>
          <w:highlight w:val="white"/>
        </w:rPr>
        <w:t xml:space="preserve">et al. </w:t>
      </w:r>
      <w:r w:rsidRPr="00DF31EE">
        <w:rPr>
          <w:highlight w:val="white"/>
        </w:rPr>
        <w:t>2021). With the active consideration of the academic statement, it can be personified that effectiveness and the assertiveness of Health Information Technology will be helping Havering Council to capitalise on technical skills and software applications for getting data about people's health across the community. Thus, effectively harnessing health information technology and health informatics tools can increase the propensity of health-oriented practices for better development of the physical and mental health of community members.</w:t>
      </w:r>
    </w:p>
    <w:p w14:paraId="0000001C" w14:textId="1F80F6CD" w:rsidR="00A05FE2" w:rsidRDefault="00000000" w:rsidP="00DF31EE">
      <w:r>
        <w:t xml:space="preserve">Thus, the three recommendations mentioned will entirely enable the </w:t>
      </w:r>
      <w:r>
        <w:rPr>
          <w:highlight w:val="white"/>
        </w:rPr>
        <w:t xml:space="preserve">Havering Council to eliminate existing issues and avoid unforeseeable challenges by sharpening the departmental activities. In this way, the recommendations will help the selected council offer privileges accessible to every community member. </w:t>
      </w:r>
      <w:r w:rsidR="00F81AC5">
        <w:t>That is why the academic references justify the relevance of the proposed recommendations to ensure their validity</w:t>
      </w:r>
      <w:r w:rsidR="00F3006D">
        <w:t xml:space="preserve">. </w:t>
      </w:r>
    </w:p>
    <w:p w14:paraId="0000001D" w14:textId="77777777" w:rsidR="00A05FE2" w:rsidRDefault="00000000">
      <w:pPr>
        <w:pStyle w:val="Heading1"/>
      </w:pPr>
      <w:bookmarkStart w:id="16" w:name="_om0iqi82ftkj" w:colFirst="0" w:colLast="0"/>
      <w:bookmarkEnd w:id="16"/>
      <w:r>
        <w:br w:type="page"/>
      </w:r>
    </w:p>
    <w:p w14:paraId="0000001E" w14:textId="77777777" w:rsidR="00A05FE2" w:rsidRDefault="00000000">
      <w:pPr>
        <w:pStyle w:val="Heading1"/>
      </w:pPr>
      <w:bookmarkStart w:id="17" w:name="_1c1xu948lyls" w:colFirst="0" w:colLast="0"/>
      <w:bookmarkStart w:id="18" w:name="_Toc129881626"/>
      <w:bookmarkEnd w:id="17"/>
      <w:r>
        <w:lastRenderedPageBreak/>
        <w:t>Reference list</w:t>
      </w:r>
      <w:bookmarkEnd w:id="18"/>
      <w:r>
        <w:t xml:space="preserve"> </w:t>
      </w:r>
    </w:p>
    <w:p w14:paraId="2A81D05B" w14:textId="77777777" w:rsidR="00DF31EE" w:rsidRDefault="00DF31EE">
      <w:pPr>
        <w:pStyle w:val="Normal1"/>
        <w:spacing w:after="240"/>
        <w:rPr>
          <w:highlight w:val="white"/>
        </w:rPr>
      </w:pPr>
      <w:r>
        <w:rPr>
          <w:highlight w:val="white"/>
        </w:rPr>
        <w:t xml:space="preserve">Alam, A., 2022. Mapping a sustainable future through conceptualisation of transformative learning framework, education for sustainable development, critical reflection, and responsible citizenship: an exploration of pedagogies for twenty-first century learning. </w:t>
      </w:r>
      <w:r>
        <w:rPr>
          <w:i/>
          <w:highlight w:val="white"/>
        </w:rPr>
        <w:t>E.C.S. Transactions</w:t>
      </w:r>
      <w:r>
        <w:rPr>
          <w:highlight w:val="white"/>
        </w:rPr>
        <w:t xml:space="preserve">, </w:t>
      </w:r>
      <w:r>
        <w:rPr>
          <w:i/>
          <w:highlight w:val="white"/>
        </w:rPr>
        <w:t>107</w:t>
      </w:r>
      <w:r>
        <w:rPr>
          <w:highlight w:val="white"/>
        </w:rPr>
        <w:t>(1), p.9827.</w:t>
      </w:r>
    </w:p>
    <w:p w14:paraId="5122F405" w14:textId="77777777" w:rsidR="00DF31EE" w:rsidRDefault="00DF31EE">
      <w:pPr>
        <w:pStyle w:val="Normal1"/>
        <w:spacing w:before="240" w:after="240"/>
      </w:pPr>
      <w:r>
        <w:t xml:space="preserve">Coates, C. 2023. </w:t>
      </w:r>
      <w:r>
        <w:rPr>
          <w:i/>
        </w:rPr>
        <w:t>City of London market plans run into Sheep Trouble</w:t>
      </w:r>
      <w:r>
        <w:t xml:space="preserve"> | </w:t>
      </w:r>
      <w:r>
        <w:rPr>
          <w:i/>
        </w:rPr>
        <w:t>B.B.C. News</w:t>
      </w:r>
      <w:r>
        <w:t xml:space="preserve">. [online] B.B.C. Available at: &lt;https://www.bbc.com/news/uk-england-london-64704317&gt; [Accessed 16 March 2023]. </w:t>
      </w:r>
    </w:p>
    <w:p w14:paraId="052827C3" w14:textId="77777777" w:rsidR="00DF31EE" w:rsidRDefault="00DF31EE">
      <w:pPr>
        <w:pStyle w:val="Normal1"/>
        <w:spacing w:after="240"/>
        <w:rPr>
          <w:highlight w:val="white"/>
        </w:rPr>
      </w:pPr>
      <w:r>
        <w:rPr>
          <w:highlight w:val="white"/>
        </w:rPr>
        <w:t xml:space="preserve">Dereso, C.W., Domathoti, H.S.K. and Ch, R.G.N., 2021. The role of community engagement in higher education: Convergence relating to knowledge growth–a practical model and guidelines. </w:t>
      </w:r>
      <w:r>
        <w:rPr>
          <w:i/>
          <w:highlight w:val="white"/>
        </w:rPr>
        <w:t>Psychology and Education Journal</w:t>
      </w:r>
      <w:r>
        <w:rPr>
          <w:highlight w:val="white"/>
        </w:rPr>
        <w:t xml:space="preserve">, </w:t>
      </w:r>
      <w:r>
        <w:rPr>
          <w:i/>
          <w:highlight w:val="white"/>
        </w:rPr>
        <w:t>58</w:t>
      </w:r>
      <w:r>
        <w:rPr>
          <w:highlight w:val="white"/>
        </w:rPr>
        <w:t>(2), pp.6529-6534.</w:t>
      </w:r>
    </w:p>
    <w:p w14:paraId="708A28C5" w14:textId="77777777" w:rsidR="00DF31EE" w:rsidRDefault="00DF31EE">
      <w:pPr>
        <w:pStyle w:val="Normal1"/>
        <w:spacing w:after="240"/>
        <w:rPr>
          <w:highlight w:val="white"/>
        </w:rPr>
      </w:pPr>
      <w:r>
        <w:rPr>
          <w:highlight w:val="white"/>
        </w:rPr>
        <w:t xml:space="preserve">Eberhart, R., Rottner, R. and Lounsbury, M., 2020. </w:t>
      </w:r>
      <w:r>
        <w:rPr>
          <w:i/>
          <w:highlight w:val="white"/>
        </w:rPr>
        <w:t>Growth is complex: Community engagement and new venture strategic orientation in conflicted institutional environments</w:t>
      </w:r>
      <w:r>
        <w:rPr>
          <w:highlight w:val="white"/>
        </w:rPr>
        <w:t>. Stanford University Working Paper.</w:t>
      </w:r>
    </w:p>
    <w:p w14:paraId="7F4B11F6" w14:textId="77777777" w:rsidR="00DF31EE" w:rsidRDefault="00DF31EE">
      <w:pPr>
        <w:pStyle w:val="Normal1"/>
        <w:spacing w:before="240" w:after="240"/>
      </w:pPr>
      <w:r>
        <w:t xml:space="preserve">Havering, 2021. </w:t>
      </w:r>
      <w:r>
        <w:rPr>
          <w:i/>
        </w:rPr>
        <w:t>Night-time marshals hit streets to provide extra reassurance</w:t>
      </w:r>
      <w:r>
        <w:t xml:space="preserve"> | </w:t>
      </w:r>
      <w:r>
        <w:rPr>
          <w:i/>
        </w:rPr>
        <w:t>The London Borough Of Havering</w:t>
      </w:r>
      <w:r>
        <w:t xml:space="preserve">. [online] The London Borough Of Havering. Available at: &lt;https://www.havering.gov.uk/news/article/1039/night-time_marshals_hit_streets_to_provide_extra_reassurance&gt; [Accessed 16 March 2023]. </w:t>
      </w:r>
    </w:p>
    <w:p w14:paraId="7DFD0911" w14:textId="77777777" w:rsidR="00DF31EE" w:rsidRDefault="00DF31EE">
      <w:pPr>
        <w:pStyle w:val="Normal1"/>
        <w:spacing w:before="240" w:after="240"/>
      </w:pPr>
      <w:r>
        <w:t xml:space="preserve">Havering, 2023a. </w:t>
      </w:r>
      <w:r>
        <w:rPr>
          <w:i/>
        </w:rPr>
        <w:t>Housing</w:t>
      </w:r>
      <w:r>
        <w:t xml:space="preserve">, </w:t>
      </w:r>
      <w:r>
        <w:rPr>
          <w:i/>
        </w:rPr>
        <w:t>Housing | The London Borough Of Havering</w:t>
      </w:r>
      <w:r>
        <w:t>. [online] Havering. Available at: &lt;https://www.havering.gov.uk/info/20001/housing&gt; [Accessed 16 March 2023].</w:t>
      </w:r>
    </w:p>
    <w:p w14:paraId="6F51D75F" w14:textId="77777777" w:rsidR="00DF31EE" w:rsidRDefault="00DF31EE">
      <w:pPr>
        <w:pStyle w:val="Normal1"/>
        <w:spacing w:before="240" w:after="240"/>
      </w:pPr>
      <w:r>
        <w:t xml:space="preserve">Havering, 2023b. </w:t>
      </w:r>
      <w:r>
        <w:rPr>
          <w:i/>
        </w:rPr>
        <w:t>Travel</w:t>
      </w:r>
      <w:r>
        <w:t xml:space="preserve">, </w:t>
      </w:r>
      <w:r>
        <w:rPr>
          <w:i/>
        </w:rPr>
        <w:t>Travel | The London Borough Of Havering</w:t>
      </w:r>
      <w:r>
        <w:t xml:space="preserve">. [online] Havering. Available at: &lt;https://www.havering.gov.uk/info/20027/travel&gt; [Accessed 16 March 2023]. </w:t>
      </w:r>
    </w:p>
    <w:p w14:paraId="31C03DA4" w14:textId="77777777" w:rsidR="00DF31EE" w:rsidRDefault="00DF31EE">
      <w:pPr>
        <w:pStyle w:val="Normal1"/>
        <w:spacing w:before="240" w:after="240"/>
      </w:pPr>
      <w:r>
        <w:t xml:space="preserve">Havering, 2023c. </w:t>
      </w:r>
      <w:r>
        <w:rPr>
          <w:i/>
        </w:rPr>
        <w:t>Passenger transport</w:t>
      </w:r>
      <w:r>
        <w:t xml:space="preserve">, </w:t>
      </w:r>
      <w:r>
        <w:rPr>
          <w:i/>
        </w:rPr>
        <w:t>Passenger transport | The London Borough Of Havering</w:t>
      </w:r>
      <w:r>
        <w:t xml:space="preserve">. [online] Havering. Available at: &lt;https://www.havering.gov.uk/info/20027/travel/129/passenger_transport&gt; [Accessed: 16 March 2023]. </w:t>
      </w:r>
    </w:p>
    <w:p w14:paraId="3709863C" w14:textId="77777777" w:rsidR="00DF31EE" w:rsidRDefault="00DF31EE">
      <w:pPr>
        <w:pStyle w:val="Normal1"/>
        <w:spacing w:before="240" w:after="240"/>
      </w:pPr>
      <w:r>
        <w:lastRenderedPageBreak/>
        <w:t xml:space="preserve">Havering, 2023d. </w:t>
      </w:r>
      <w:r>
        <w:rPr>
          <w:i/>
        </w:rPr>
        <w:t>Building control</w:t>
      </w:r>
      <w:r>
        <w:t xml:space="preserve">, </w:t>
      </w:r>
      <w:r>
        <w:rPr>
          <w:i/>
        </w:rPr>
        <w:t>Building control | The London Borough Of Havering</w:t>
      </w:r>
      <w:r>
        <w:t xml:space="preserve">. [online] Havering. Available at: &lt;https://www.havering.gov.uk/info/20035/building_control&gt; [Accessed 16 March 2023]. </w:t>
      </w:r>
    </w:p>
    <w:p w14:paraId="036F747B" w14:textId="77777777" w:rsidR="00DF31EE" w:rsidRDefault="00DF31EE">
      <w:pPr>
        <w:pStyle w:val="Normal1"/>
        <w:spacing w:after="240"/>
        <w:rPr>
          <w:highlight w:val="white"/>
        </w:rPr>
      </w:pPr>
      <w:r>
        <w:rPr>
          <w:highlight w:val="white"/>
        </w:rPr>
        <w:t xml:space="preserve">Jiang, X., Chiu, D.K. and Chan, C.T., 2023. Application of the AIDA model in social media promotion and community engagement for small cultural organisations: A case study of the Choi Chang Sau Qin Society. In </w:t>
      </w:r>
      <w:r>
        <w:rPr>
          <w:i/>
          <w:highlight w:val="white"/>
        </w:rPr>
        <w:t>Community Engagement in the Online Space</w:t>
      </w:r>
      <w:r>
        <w:rPr>
          <w:highlight w:val="white"/>
        </w:rPr>
        <w:t xml:space="preserve"> (pp. 48-70). I.G.I. Global.</w:t>
      </w:r>
    </w:p>
    <w:p w14:paraId="65D44D80" w14:textId="77777777" w:rsidR="00DF31EE" w:rsidRDefault="00DF31EE">
      <w:pPr>
        <w:pStyle w:val="Normal1"/>
        <w:spacing w:after="240"/>
        <w:rPr>
          <w:highlight w:val="white"/>
        </w:rPr>
      </w:pPr>
      <w:r>
        <w:rPr>
          <w:highlight w:val="white"/>
        </w:rPr>
        <w:t xml:space="preserve">Magdalena, M., Suharsono, E.G. and Roekhudin, R., 2019. Reflection of Corporate Social Responsibility Implementation: Community Engagement In Sustainability Aspects. </w:t>
      </w:r>
      <w:r>
        <w:rPr>
          <w:i/>
          <w:highlight w:val="white"/>
        </w:rPr>
        <w:t>International Journal of Multicultural and Multireligious Understanding</w:t>
      </w:r>
      <w:r>
        <w:rPr>
          <w:highlight w:val="white"/>
        </w:rPr>
        <w:t xml:space="preserve">, </w:t>
      </w:r>
      <w:r>
        <w:rPr>
          <w:i/>
          <w:highlight w:val="white"/>
        </w:rPr>
        <w:t>5</w:t>
      </w:r>
      <w:r>
        <w:rPr>
          <w:highlight w:val="white"/>
        </w:rPr>
        <w:t>(5), pp.357-365.</w:t>
      </w:r>
    </w:p>
    <w:p w14:paraId="1CAE17E5" w14:textId="77777777" w:rsidR="00DF31EE" w:rsidRDefault="00DF31EE">
      <w:pPr>
        <w:pStyle w:val="Normal1"/>
        <w:spacing w:after="240"/>
        <w:rPr>
          <w:highlight w:val="white"/>
        </w:rPr>
      </w:pPr>
      <w:r>
        <w:rPr>
          <w:highlight w:val="white"/>
        </w:rPr>
        <w:t xml:space="preserve">Rajamani, G., Rodriguez Espinosa, P. and Rosas, L.G., 2021. Intersection of health informatics tools and community engagement in health-related research to reduce health inequities: scoping review. </w:t>
      </w:r>
      <w:r>
        <w:rPr>
          <w:i/>
          <w:highlight w:val="white"/>
        </w:rPr>
        <w:t>Journal of Participatory Medicine</w:t>
      </w:r>
      <w:r>
        <w:rPr>
          <w:highlight w:val="white"/>
        </w:rPr>
        <w:t xml:space="preserve">, </w:t>
      </w:r>
      <w:r>
        <w:rPr>
          <w:i/>
          <w:highlight w:val="white"/>
        </w:rPr>
        <w:t>13</w:t>
      </w:r>
      <w:r>
        <w:rPr>
          <w:highlight w:val="white"/>
        </w:rPr>
        <w:t>(3), p.e30062.</w:t>
      </w:r>
    </w:p>
    <w:p w14:paraId="5DD77159" w14:textId="77777777" w:rsidR="00DF31EE" w:rsidRDefault="00DF31EE">
      <w:pPr>
        <w:pStyle w:val="Normal1"/>
        <w:spacing w:after="240"/>
        <w:rPr>
          <w:highlight w:val="white"/>
        </w:rPr>
      </w:pPr>
      <w:r>
        <w:rPr>
          <w:highlight w:val="white"/>
        </w:rPr>
        <w:t xml:space="preserve">Van Schyndel, T., Pearl, A.J. and Purcell, J.W., 2019. Extending our conceptualisation of boundary-spanning leadership for community engagement. </w:t>
      </w:r>
      <w:r>
        <w:rPr>
          <w:i/>
          <w:highlight w:val="white"/>
        </w:rPr>
        <w:t>Journal of Higher Education Outreach and Engagement</w:t>
      </w:r>
      <w:r>
        <w:rPr>
          <w:highlight w:val="white"/>
        </w:rPr>
        <w:t xml:space="preserve">, </w:t>
      </w:r>
      <w:r>
        <w:rPr>
          <w:i/>
          <w:highlight w:val="white"/>
        </w:rPr>
        <w:t>23</w:t>
      </w:r>
      <w:r>
        <w:rPr>
          <w:highlight w:val="white"/>
        </w:rPr>
        <w:t>(2), pp.63-78.</w:t>
      </w:r>
    </w:p>
    <w:p w14:paraId="0000002D" w14:textId="77777777" w:rsidR="00A05FE2" w:rsidRDefault="00A05FE2">
      <w:pPr>
        <w:pStyle w:val="Normal1"/>
        <w:spacing w:after="240"/>
        <w:rPr>
          <w:highlight w:val="white"/>
        </w:rPr>
      </w:pPr>
    </w:p>
    <w:p w14:paraId="0000002E" w14:textId="77777777" w:rsidR="00A05FE2" w:rsidRDefault="00000000">
      <w:pPr>
        <w:pStyle w:val="Heading1"/>
      </w:pPr>
      <w:bookmarkStart w:id="19" w:name="_ykqokqg13sc4" w:colFirst="0" w:colLast="0"/>
      <w:bookmarkEnd w:id="19"/>
      <w:r>
        <w:br w:type="page"/>
      </w:r>
    </w:p>
    <w:p w14:paraId="0000002F" w14:textId="77777777" w:rsidR="00A05FE2" w:rsidRDefault="00A05FE2">
      <w:pPr>
        <w:pStyle w:val="Normal1"/>
      </w:pPr>
    </w:p>
    <w:p w14:paraId="00000030" w14:textId="77777777" w:rsidR="00A05FE2" w:rsidRDefault="00A05FE2">
      <w:pPr>
        <w:pStyle w:val="Normal1"/>
      </w:pPr>
    </w:p>
    <w:sectPr w:rsidR="00A05FE2" w:rsidSect="00DF31EE">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1550D2" w14:textId="77777777" w:rsidR="001E6221" w:rsidRDefault="001E6221" w:rsidP="00DF31EE">
      <w:pPr>
        <w:spacing w:before="0" w:after="0" w:line="240" w:lineRule="auto"/>
      </w:pPr>
      <w:r>
        <w:separator/>
      </w:r>
    </w:p>
  </w:endnote>
  <w:endnote w:type="continuationSeparator" w:id="0">
    <w:p w14:paraId="24B5492D" w14:textId="77777777" w:rsidR="001E6221" w:rsidRDefault="001E6221" w:rsidP="00DF31E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3268655"/>
      <w:docPartObj>
        <w:docPartGallery w:val="Page Numbers (Bottom of Page)"/>
        <w:docPartUnique/>
      </w:docPartObj>
    </w:sdtPr>
    <w:sdtEndPr>
      <w:rPr>
        <w:noProof/>
      </w:rPr>
    </w:sdtEndPr>
    <w:sdtContent>
      <w:p w14:paraId="2C17713B" w14:textId="729CE631" w:rsidR="00DF31EE" w:rsidRDefault="00DF31E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3C0F1C" w14:textId="77777777" w:rsidR="00DF31EE" w:rsidRDefault="00DF31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260CCF" w14:textId="77777777" w:rsidR="001E6221" w:rsidRDefault="001E6221" w:rsidP="00DF31EE">
      <w:pPr>
        <w:spacing w:before="0" w:after="0" w:line="240" w:lineRule="auto"/>
      </w:pPr>
      <w:r>
        <w:separator/>
      </w:r>
    </w:p>
  </w:footnote>
  <w:footnote w:type="continuationSeparator" w:id="0">
    <w:p w14:paraId="416042F3" w14:textId="77777777" w:rsidR="001E6221" w:rsidRDefault="001E6221" w:rsidP="00DF31E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091F2C"/>
    <w:multiLevelType w:val="hybridMultilevel"/>
    <w:tmpl w:val="376C8D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25FB9C6"/>
    <w:multiLevelType w:val="hybridMultilevel"/>
    <w:tmpl w:val="00000000"/>
    <w:lvl w:ilvl="0" w:tplc="4FCE219E">
      <w:start w:val="1"/>
      <w:numFmt w:val="bullet"/>
      <w:lvlText w:val="●"/>
      <w:lvlJc w:val="left"/>
      <w:pPr>
        <w:ind w:left="720" w:hanging="360"/>
      </w:pPr>
      <w:rPr>
        <w:u w:val="none"/>
      </w:rPr>
    </w:lvl>
    <w:lvl w:ilvl="1" w:tplc="04A80EB2">
      <w:start w:val="1"/>
      <w:numFmt w:val="bullet"/>
      <w:lvlText w:val="○"/>
      <w:lvlJc w:val="left"/>
      <w:pPr>
        <w:ind w:left="1440" w:hanging="360"/>
      </w:pPr>
      <w:rPr>
        <w:u w:val="none"/>
      </w:rPr>
    </w:lvl>
    <w:lvl w:ilvl="2" w:tplc="089EE68A">
      <w:start w:val="1"/>
      <w:numFmt w:val="bullet"/>
      <w:lvlText w:val="■"/>
      <w:lvlJc w:val="left"/>
      <w:pPr>
        <w:ind w:left="2160" w:hanging="360"/>
      </w:pPr>
      <w:rPr>
        <w:u w:val="none"/>
      </w:rPr>
    </w:lvl>
    <w:lvl w:ilvl="3" w:tplc="E9202602">
      <w:start w:val="1"/>
      <w:numFmt w:val="bullet"/>
      <w:lvlText w:val="●"/>
      <w:lvlJc w:val="left"/>
      <w:pPr>
        <w:ind w:left="2880" w:hanging="360"/>
      </w:pPr>
      <w:rPr>
        <w:u w:val="none"/>
      </w:rPr>
    </w:lvl>
    <w:lvl w:ilvl="4" w:tplc="77AA506A">
      <w:start w:val="1"/>
      <w:numFmt w:val="bullet"/>
      <w:lvlText w:val="○"/>
      <w:lvlJc w:val="left"/>
      <w:pPr>
        <w:ind w:left="3600" w:hanging="360"/>
      </w:pPr>
      <w:rPr>
        <w:u w:val="none"/>
      </w:rPr>
    </w:lvl>
    <w:lvl w:ilvl="5" w:tplc="47BAF994">
      <w:start w:val="1"/>
      <w:numFmt w:val="bullet"/>
      <w:lvlText w:val="■"/>
      <w:lvlJc w:val="left"/>
      <w:pPr>
        <w:ind w:left="4320" w:hanging="360"/>
      </w:pPr>
      <w:rPr>
        <w:u w:val="none"/>
      </w:rPr>
    </w:lvl>
    <w:lvl w:ilvl="6" w:tplc="321A6C78">
      <w:start w:val="1"/>
      <w:numFmt w:val="bullet"/>
      <w:lvlText w:val="●"/>
      <w:lvlJc w:val="left"/>
      <w:pPr>
        <w:ind w:left="5040" w:hanging="360"/>
      </w:pPr>
      <w:rPr>
        <w:u w:val="none"/>
      </w:rPr>
    </w:lvl>
    <w:lvl w:ilvl="7" w:tplc="B4326E0C">
      <w:start w:val="1"/>
      <w:numFmt w:val="bullet"/>
      <w:lvlText w:val="○"/>
      <w:lvlJc w:val="left"/>
      <w:pPr>
        <w:ind w:left="5760" w:hanging="360"/>
      </w:pPr>
      <w:rPr>
        <w:u w:val="none"/>
      </w:rPr>
    </w:lvl>
    <w:lvl w:ilvl="8" w:tplc="3F88943E">
      <w:start w:val="1"/>
      <w:numFmt w:val="bullet"/>
      <w:lvlText w:val="■"/>
      <w:lvlJc w:val="left"/>
      <w:pPr>
        <w:ind w:left="6480" w:hanging="360"/>
      </w:pPr>
      <w:rPr>
        <w:u w:val="none"/>
      </w:rPr>
    </w:lvl>
  </w:abstractNum>
  <w:num w:numId="1" w16cid:durableId="1458061474">
    <w:abstractNumId w:val="1"/>
  </w:num>
  <w:num w:numId="2" w16cid:durableId="16131251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5FE2"/>
    <w:rsid w:val="000A54F9"/>
    <w:rsid w:val="001E6221"/>
    <w:rsid w:val="00313B70"/>
    <w:rsid w:val="00526EC5"/>
    <w:rsid w:val="005B7FE5"/>
    <w:rsid w:val="006E70AD"/>
    <w:rsid w:val="007A29B2"/>
    <w:rsid w:val="00825E89"/>
    <w:rsid w:val="00A05FE2"/>
    <w:rsid w:val="00D25809"/>
    <w:rsid w:val="00DF31EE"/>
    <w:rsid w:val="00F3006D"/>
    <w:rsid w:val="00F317BE"/>
    <w:rsid w:val="00F81AC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A05E7"/>
  <w15:docId w15:val="{82F11EC7-9802-43D0-8F49-E4EA6CEAB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sz w:val="28"/>
      <w:szCs w:val="28"/>
    </w:rPr>
  </w:style>
  <w:style w:type="paragraph" w:styleId="Heading2">
    <w:name w:val="heading 2"/>
    <w:basedOn w:val="Normal1"/>
    <w:next w:val="Normal1"/>
    <w:pPr>
      <w:keepNext/>
      <w:keepLines/>
      <w:outlineLvl w:val="1"/>
    </w:pPr>
    <w:rPr>
      <w:b/>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0" w:after="60"/>
    </w:pPr>
    <w:rPr>
      <w:sz w:val="52"/>
      <w:szCs w:val="52"/>
    </w:rPr>
  </w:style>
  <w:style w:type="paragraph" w:styleId="Subtitle">
    <w:name w:val="Subtitle"/>
    <w:basedOn w:val="Normal1"/>
    <w:next w:val="Normal1"/>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DF31E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F31EE"/>
  </w:style>
  <w:style w:type="paragraph" w:styleId="Footer">
    <w:name w:val="footer"/>
    <w:basedOn w:val="Normal"/>
    <w:link w:val="FooterChar"/>
    <w:uiPriority w:val="99"/>
    <w:unhideWhenUsed/>
    <w:rsid w:val="00DF31E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F31EE"/>
  </w:style>
  <w:style w:type="paragraph" w:styleId="TOCHeading">
    <w:name w:val="TOC Heading"/>
    <w:basedOn w:val="Heading1"/>
    <w:next w:val="Normal"/>
    <w:uiPriority w:val="39"/>
    <w:unhideWhenUsed/>
    <w:qFormat/>
    <w:rsid w:val="00DF31E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F31EE"/>
    <w:pPr>
      <w:spacing w:after="100"/>
    </w:pPr>
  </w:style>
  <w:style w:type="paragraph" w:styleId="TOC2">
    <w:name w:val="toc 2"/>
    <w:basedOn w:val="Normal"/>
    <w:next w:val="Normal"/>
    <w:autoRedefine/>
    <w:uiPriority w:val="39"/>
    <w:unhideWhenUsed/>
    <w:rsid w:val="00DF31EE"/>
    <w:pPr>
      <w:spacing w:after="100"/>
      <w:ind w:left="240"/>
    </w:pPr>
  </w:style>
  <w:style w:type="character" w:styleId="Hyperlink">
    <w:name w:val="Hyperlink"/>
    <w:basedOn w:val="DefaultParagraphFont"/>
    <w:uiPriority w:val="99"/>
    <w:unhideWhenUsed/>
    <w:rsid w:val="00DF31EE"/>
    <w:rPr>
      <w:color w:val="0000FF" w:themeColor="hyperlink"/>
      <w:u w:val="single"/>
    </w:rPr>
  </w:style>
  <w:style w:type="paragraph" w:styleId="ListParagraph">
    <w:name w:val="List Paragraph"/>
    <w:basedOn w:val="Normal"/>
    <w:uiPriority w:val="34"/>
    <w:qFormat/>
    <w:rsid w:val="00DF31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305B74-1E4D-4237-8322-9F4BE7B50D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2758</Words>
  <Characters>15723</Characters>
  <Application>Microsoft Office Word</Application>
  <DocSecurity>0</DocSecurity>
  <Lines>131</Lines>
  <Paragraphs>36</Paragraphs>
  <ScaleCrop>false</ScaleCrop>
  <Company/>
  <LinksUpToDate>false</LinksUpToDate>
  <CharactersWithSpaces>18445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Loredana-Andreea Zsofi (2111130)</cp:lastModifiedBy>
  <cp:revision>3</cp:revision>
  <dcterms:created xsi:type="dcterms:W3CDTF">2023-03-16T12:31:00Z</dcterms:created>
  <dcterms:modified xsi:type="dcterms:W3CDTF">2023-03-18T23:27:00Z</dcterms:modified>
</cp:coreProperties>
</file>