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5D4E" w:rsidRPr="003A2F43" w:rsidRDefault="000B5D4E" w:rsidP="000B5D4E">
      <w:pPr>
        <w:pStyle w:val="NormalWeb"/>
        <w:spacing w:before="0" w:beforeAutospacing="0" w:after="0" w:afterAutospacing="0" w:line="360" w:lineRule="auto"/>
        <w:jc w:val="center"/>
        <w:rPr>
          <w:b/>
          <w:bCs/>
          <w:color w:val="000000"/>
          <w:sz w:val="32"/>
          <w:szCs w:val="32"/>
          <w:lang w:val="en-GB"/>
        </w:rPr>
      </w:pPr>
    </w:p>
    <w:p w:rsidR="00777AEC" w:rsidRPr="008E40D9" w:rsidRDefault="00777AEC" w:rsidP="000B5D4E">
      <w:pPr>
        <w:pStyle w:val="NormalWeb"/>
        <w:spacing w:before="0" w:beforeAutospacing="0" w:after="0" w:afterAutospacing="0" w:line="360" w:lineRule="auto"/>
        <w:jc w:val="center"/>
        <w:rPr>
          <w:b/>
          <w:bCs/>
          <w:color w:val="000000"/>
          <w:sz w:val="32"/>
          <w:szCs w:val="32"/>
          <w:lang w:val="en-GB"/>
        </w:rPr>
      </w:pPr>
    </w:p>
    <w:p w:rsidR="00777AEC" w:rsidRPr="008E40D9" w:rsidRDefault="00777AEC" w:rsidP="000B5D4E">
      <w:pPr>
        <w:pStyle w:val="NormalWeb"/>
        <w:spacing w:before="0" w:beforeAutospacing="0" w:after="0" w:afterAutospacing="0" w:line="360" w:lineRule="auto"/>
        <w:jc w:val="center"/>
        <w:rPr>
          <w:b/>
          <w:bCs/>
          <w:color w:val="000000"/>
          <w:sz w:val="32"/>
          <w:szCs w:val="32"/>
          <w:lang w:val="en-GB"/>
        </w:rPr>
      </w:pPr>
    </w:p>
    <w:p w:rsidR="00777AEC" w:rsidRPr="008E40D9" w:rsidRDefault="00777AEC" w:rsidP="000B5D4E">
      <w:pPr>
        <w:pStyle w:val="NormalWeb"/>
        <w:spacing w:before="0" w:beforeAutospacing="0" w:after="0" w:afterAutospacing="0" w:line="360" w:lineRule="auto"/>
        <w:jc w:val="center"/>
        <w:rPr>
          <w:b/>
          <w:bCs/>
          <w:color w:val="000000"/>
          <w:sz w:val="32"/>
          <w:szCs w:val="32"/>
          <w:lang w:val="en-GB"/>
        </w:rPr>
      </w:pPr>
    </w:p>
    <w:p w:rsidR="00777AEC" w:rsidRPr="008E40D9" w:rsidRDefault="00777AEC" w:rsidP="000B5D4E">
      <w:pPr>
        <w:pStyle w:val="NormalWeb"/>
        <w:spacing w:before="0" w:beforeAutospacing="0" w:after="0" w:afterAutospacing="0" w:line="360" w:lineRule="auto"/>
        <w:jc w:val="center"/>
        <w:rPr>
          <w:b/>
          <w:bCs/>
          <w:color w:val="000000"/>
          <w:sz w:val="32"/>
          <w:szCs w:val="32"/>
          <w:lang w:val="en-GB"/>
        </w:rPr>
      </w:pPr>
    </w:p>
    <w:p w:rsidR="00777AEC" w:rsidRPr="008E40D9" w:rsidRDefault="00777AEC" w:rsidP="000B5D4E">
      <w:pPr>
        <w:pStyle w:val="NormalWeb"/>
        <w:spacing w:before="0" w:beforeAutospacing="0" w:after="0" w:afterAutospacing="0" w:line="360" w:lineRule="auto"/>
        <w:jc w:val="center"/>
        <w:rPr>
          <w:b/>
          <w:bCs/>
          <w:color w:val="000000"/>
          <w:sz w:val="32"/>
          <w:szCs w:val="32"/>
          <w:lang w:val="en-GB"/>
        </w:rPr>
      </w:pPr>
    </w:p>
    <w:p w:rsidR="000B5D4E" w:rsidRPr="008E40D9" w:rsidRDefault="000B5D4E" w:rsidP="000B5D4E">
      <w:pPr>
        <w:pStyle w:val="NormalWeb"/>
        <w:spacing w:before="0" w:beforeAutospacing="0" w:after="0" w:afterAutospacing="0" w:line="360" w:lineRule="auto"/>
        <w:jc w:val="center"/>
        <w:rPr>
          <w:b/>
          <w:bCs/>
          <w:color w:val="000000"/>
          <w:sz w:val="32"/>
          <w:szCs w:val="32"/>
          <w:lang w:val="en-GB"/>
        </w:rPr>
      </w:pPr>
    </w:p>
    <w:p w:rsidR="000B5D4E" w:rsidRPr="008E40D9" w:rsidRDefault="000B5D4E" w:rsidP="000B5D4E">
      <w:pPr>
        <w:pStyle w:val="NormalWeb"/>
        <w:spacing w:before="0" w:beforeAutospacing="0" w:after="0" w:afterAutospacing="0" w:line="360" w:lineRule="auto"/>
        <w:jc w:val="center"/>
        <w:rPr>
          <w:b/>
          <w:bCs/>
          <w:color w:val="000000"/>
          <w:sz w:val="32"/>
          <w:szCs w:val="32"/>
          <w:lang w:val="en-GB"/>
        </w:rPr>
      </w:pPr>
    </w:p>
    <w:p w:rsidR="000B5D4E" w:rsidRPr="008E40D9" w:rsidRDefault="000B5D4E" w:rsidP="000B5D4E">
      <w:pPr>
        <w:pStyle w:val="NormalWeb"/>
        <w:spacing w:before="0" w:beforeAutospacing="0" w:after="0" w:afterAutospacing="0" w:line="360" w:lineRule="auto"/>
        <w:jc w:val="center"/>
        <w:rPr>
          <w:b/>
          <w:bCs/>
          <w:color w:val="000000"/>
          <w:sz w:val="32"/>
          <w:szCs w:val="32"/>
          <w:lang w:val="en-GB"/>
        </w:rPr>
      </w:pPr>
      <w:r w:rsidRPr="008E40D9">
        <w:rPr>
          <w:b/>
          <w:bCs/>
          <w:color w:val="000000"/>
          <w:sz w:val="32"/>
          <w:szCs w:val="32"/>
          <w:lang w:val="en-GB"/>
        </w:rPr>
        <w:t>HOW ORGANIZATIONAL CULTURE DETERMINE EQUAL OPPORTUNITIES FOR WOMEN EMPLOYEE</w:t>
      </w:r>
    </w:p>
    <w:p w:rsidR="00777AEC" w:rsidRPr="008E40D9" w:rsidRDefault="00777AEC" w:rsidP="000B5D4E">
      <w:pPr>
        <w:pStyle w:val="NormalWeb"/>
        <w:spacing w:before="0" w:beforeAutospacing="0" w:after="0" w:afterAutospacing="0" w:line="360" w:lineRule="auto"/>
        <w:jc w:val="center"/>
        <w:rPr>
          <w:b/>
          <w:bCs/>
          <w:color w:val="000000"/>
          <w:sz w:val="32"/>
          <w:szCs w:val="32"/>
          <w:lang w:val="en-GB"/>
        </w:rPr>
      </w:pPr>
    </w:p>
    <w:p w:rsidR="00777AEC" w:rsidRPr="003A2F43" w:rsidRDefault="00777AEC" w:rsidP="000B5D4E">
      <w:pPr>
        <w:pStyle w:val="NormalWeb"/>
        <w:spacing w:before="0" w:beforeAutospacing="0" w:after="0" w:afterAutospacing="0" w:line="360" w:lineRule="auto"/>
        <w:jc w:val="center"/>
        <w:rPr>
          <w:bCs/>
          <w:color w:val="000000"/>
          <w:lang w:val="en-GB"/>
        </w:rPr>
      </w:pPr>
      <w:r w:rsidRPr="003A2F43">
        <w:rPr>
          <w:bCs/>
          <w:color w:val="000000"/>
          <w:lang w:val="en-GB"/>
        </w:rPr>
        <w:t xml:space="preserve">Student name: </w:t>
      </w:r>
      <w:r w:rsidR="003A2F43" w:rsidRPr="003A2F43">
        <w:t>Jasmeen Kaur</w:t>
      </w:r>
    </w:p>
    <w:p w:rsidR="00777AEC" w:rsidRPr="003A2F43" w:rsidRDefault="00777AEC" w:rsidP="000B5D4E">
      <w:pPr>
        <w:pStyle w:val="NormalWeb"/>
        <w:spacing w:before="0" w:beforeAutospacing="0" w:after="0" w:afterAutospacing="0" w:line="360" w:lineRule="auto"/>
        <w:jc w:val="center"/>
        <w:rPr>
          <w:bCs/>
          <w:color w:val="000000"/>
          <w:lang w:val="en-GB"/>
        </w:rPr>
      </w:pPr>
      <w:r w:rsidRPr="003A2F43">
        <w:rPr>
          <w:bCs/>
          <w:color w:val="000000"/>
          <w:lang w:val="en-GB"/>
        </w:rPr>
        <w:t>Student id:</w:t>
      </w:r>
      <w:r w:rsidR="003A2F43" w:rsidRPr="003A2F43">
        <w:rPr>
          <w:bCs/>
          <w:color w:val="000000"/>
          <w:lang w:val="en-GB"/>
        </w:rPr>
        <w:t xml:space="preserve"> </w:t>
      </w:r>
      <w:r w:rsidR="003A2F43" w:rsidRPr="003A2F43">
        <w:t>2230817</w:t>
      </w:r>
    </w:p>
    <w:p w:rsidR="000B5D4E" w:rsidRPr="008E40D9" w:rsidRDefault="000B5D4E">
      <w:pPr>
        <w:rPr>
          <w:rFonts w:ascii="Times New Roman" w:eastAsia="Times New Roman" w:hAnsi="Times New Roman" w:cs="Times New Roman"/>
          <w:b/>
          <w:bCs/>
          <w:color w:val="000000"/>
          <w:sz w:val="32"/>
          <w:szCs w:val="32"/>
          <w:lang w:val="en-GB"/>
        </w:rPr>
      </w:pPr>
      <w:r w:rsidRPr="008E40D9">
        <w:rPr>
          <w:b/>
          <w:bCs/>
          <w:color w:val="000000"/>
          <w:sz w:val="32"/>
          <w:szCs w:val="32"/>
          <w:lang w:val="en-GB"/>
        </w:rPr>
        <w:br w:type="page"/>
      </w:r>
    </w:p>
    <w:p w:rsidR="000B5D4E" w:rsidRPr="008E40D9" w:rsidRDefault="000B5D4E" w:rsidP="000B5D4E">
      <w:pPr>
        <w:pStyle w:val="NormalWeb"/>
        <w:spacing w:before="0" w:beforeAutospacing="0" w:after="0" w:afterAutospacing="0" w:line="360" w:lineRule="auto"/>
        <w:jc w:val="center"/>
        <w:rPr>
          <w:b/>
          <w:bCs/>
          <w:color w:val="000000"/>
          <w:sz w:val="32"/>
          <w:szCs w:val="32"/>
          <w:lang w:val="en-GB"/>
        </w:rPr>
      </w:pPr>
    </w:p>
    <w:sdt>
      <w:sdtPr>
        <w:rPr>
          <w:rFonts w:ascii="Arial" w:eastAsia="Arial" w:hAnsi="Arial" w:cs="Arial"/>
          <w:color w:val="auto"/>
          <w:sz w:val="22"/>
          <w:szCs w:val="22"/>
          <w:lang w:eastAsia="en-IN" w:bidi="bn-IN"/>
        </w:rPr>
        <w:id w:val="472681016"/>
        <w:docPartObj>
          <w:docPartGallery w:val="Table of Contents"/>
          <w:docPartUnique/>
        </w:docPartObj>
      </w:sdtPr>
      <w:sdtContent>
        <w:p w:rsidR="007E3027" w:rsidRPr="007E3027" w:rsidRDefault="007E3027" w:rsidP="007E3027">
          <w:pPr>
            <w:pStyle w:val="TOCHeading"/>
            <w:spacing w:line="360" w:lineRule="auto"/>
            <w:jc w:val="center"/>
            <w:rPr>
              <w:rFonts w:ascii="Times New Roman" w:hAnsi="Times New Roman" w:cs="Times New Roman"/>
              <w:sz w:val="24"/>
              <w:szCs w:val="24"/>
            </w:rPr>
          </w:pPr>
          <w:r w:rsidRPr="007E3027">
            <w:rPr>
              <w:rFonts w:ascii="Times New Roman" w:hAnsi="Times New Roman" w:cs="Times New Roman"/>
              <w:b/>
              <w:color w:val="000000" w:themeColor="text1"/>
              <w:sz w:val="24"/>
              <w:szCs w:val="24"/>
            </w:rPr>
            <w:t>Table of Contents</w:t>
          </w:r>
        </w:p>
        <w:p w:rsidR="007E3027" w:rsidRPr="007E3027" w:rsidRDefault="00995C70" w:rsidP="007E3027">
          <w:pPr>
            <w:pStyle w:val="TOC1"/>
            <w:tabs>
              <w:tab w:val="right" w:leader="dot" w:pos="9350"/>
            </w:tabs>
            <w:spacing w:line="360" w:lineRule="auto"/>
            <w:jc w:val="both"/>
            <w:rPr>
              <w:rFonts w:ascii="Times New Roman" w:eastAsiaTheme="minorEastAsia" w:hAnsi="Times New Roman" w:cs="Times New Roman"/>
              <w:noProof/>
              <w:sz w:val="24"/>
              <w:szCs w:val="24"/>
              <w:lang w:eastAsia="en-US" w:bidi="ar-SA"/>
            </w:rPr>
          </w:pPr>
          <w:r w:rsidRPr="007E3027">
            <w:rPr>
              <w:rFonts w:ascii="Times New Roman" w:hAnsi="Times New Roman" w:cs="Times New Roman"/>
              <w:sz w:val="24"/>
              <w:szCs w:val="24"/>
            </w:rPr>
            <w:fldChar w:fldCharType="begin"/>
          </w:r>
          <w:r w:rsidR="007E3027" w:rsidRPr="007E3027">
            <w:rPr>
              <w:rFonts w:ascii="Times New Roman" w:hAnsi="Times New Roman" w:cs="Times New Roman"/>
              <w:sz w:val="24"/>
              <w:szCs w:val="24"/>
            </w:rPr>
            <w:instrText xml:space="preserve"> TOC \o "1-3" \h \z \u </w:instrText>
          </w:r>
          <w:r w:rsidRPr="007E3027">
            <w:rPr>
              <w:rFonts w:ascii="Times New Roman" w:hAnsi="Times New Roman" w:cs="Times New Roman"/>
              <w:sz w:val="24"/>
              <w:szCs w:val="24"/>
            </w:rPr>
            <w:fldChar w:fldCharType="separate"/>
          </w:r>
          <w:hyperlink w:anchor="_Toc158013544" w:history="1">
            <w:r w:rsidR="007E3027" w:rsidRPr="007E3027">
              <w:rPr>
                <w:rStyle w:val="Hyperlink"/>
                <w:rFonts w:ascii="Times New Roman" w:hAnsi="Times New Roman" w:cs="Times New Roman"/>
                <w:noProof/>
                <w:sz w:val="24"/>
                <w:szCs w:val="24"/>
                <w:lang w:val="en-GB"/>
              </w:rPr>
              <w:t>Introduction</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_Toc158013544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3</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45" w:history="1">
            <w:r w:rsidR="007E3027" w:rsidRPr="007E3027">
              <w:rPr>
                <w:rStyle w:val="Hyperlink"/>
                <w:rFonts w:ascii="Times New Roman" w:hAnsi="Times New Roman" w:cs="Times New Roman"/>
                <w:noProof/>
                <w:sz w:val="24"/>
                <w:szCs w:val="24"/>
                <w:lang w:val="en-GB"/>
              </w:rPr>
              <w:t>Background</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_Toc158013545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3</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46" w:history="1">
            <w:r w:rsidR="007E3027" w:rsidRPr="007E3027">
              <w:rPr>
                <w:rStyle w:val="Hyperlink"/>
                <w:rFonts w:ascii="Times New Roman" w:hAnsi="Times New Roman" w:cs="Times New Roman"/>
                <w:noProof/>
                <w:sz w:val="24"/>
                <w:szCs w:val="24"/>
                <w:lang w:val="en-GB"/>
              </w:rPr>
              <w:t>Research problem</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_Toc158013546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3</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47" w:history="1">
            <w:r w:rsidR="007E3027" w:rsidRPr="007E3027">
              <w:rPr>
                <w:rStyle w:val="Hyperlink"/>
                <w:rFonts w:ascii="Times New Roman" w:hAnsi="Times New Roman" w:cs="Times New Roman"/>
                <w:noProof/>
                <w:sz w:val="24"/>
                <w:szCs w:val="24"/>
                <w:lang w:val="en-GB"/>
              </w:rPr>
              <w:t>Significance of the study</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_Toc158013547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4</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1"/>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48" w:history="1">
            <w:r w:rsidR="007E3027" w:rsidRPr="007E3027">
              <w:rPr>
                <w:rStyle w:val="Hyperlink"/>
                <w:rFonts w:ascii="Times New Roman" w:hAnsi="Times New Roman" w:cs="Times New Roman"/>
                <w:noProof/>
                <w:sz w:val="24"/>
                <w:szCs w:val="24"/>
                <w:lang w:val="en-GB"/>
              </w:rPr>
              <w:t>Research aim, objectives and three relevant questions</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_Toc158013548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6</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1"/>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49" w:history="1">
            <w:r w:rsidR="007E3027" w:rsidRPr="007E3027">
              <w:rPr>
                <w:rStyle w:val="Hyperlink"/>
                <w:rFonts w:ascii="Times New Roman" w:hAnsi="Times New Roman" w:cs="Times New Roman"/>
                <w:noProof/>
                <w:sz w:val="24"/>
                <w:szCs w:val="24"/>
                <w:lang w:val="en-GB"/>
              </w:rPr>
              <w:t>Literature Review</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_Toc158013549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7</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50" w:history="1">
            <w:r w:rsidR="007E3027" w:rsidRPr="007E3027">
              <w:rPr>
                <w:rStyle w:val="Hyperlink"/>
                <w:rFonts w:ascii="Times New Roman" w:hAnsi="Times New Roman" w:cs="Times New Roman"/>
                <w:noProof/>
                <w:sz w:val="24"/>
                <w:szCs w:val="24"/>
                <w:lang w:val="en-GB"/>
              </w:rPr>
              <w:t>Investigate perceptions of women employees regarding equal opportunities within the organization</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_Toc158013550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7</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51" w:history="1">
            <w:r w:rsidR="007E3027" w:rsidRPr="007E3027">
              <w:rPr>
                <w:rStyle w:val="Hyperlink"/>
                <w:rFonts w:ascii="Times New Roman" w:hAnsi="Times New Roman" w:cs="Times New Roman"/>
                <w:noProof/>
                <w:sz w:val="24"/>
                <w:szCs w:val="24"/>
                <w:lang w:val="en-GB"/>
              </w:rPr>
              <w:t>Explore disparities between organizational claims that are providing equal opportunities and employees' lived experiences</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_Toc158013551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7</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52" w:history="1">
            <w:r w:rsidR="007E3027" w:rsidRPr="007E3027">
              <w:rPr>
                <w:rStyle w:val="Hyperlink"/>
                <w:rFonts w:ascii="Times New Roman" w:hAnsi="Times New Roman" w:cs="Times New Roman"/>
                <w:noProof/>
                <w:sz w:val="24"/>
                <w:szCs w:val="24"/>
                <w:lang w:val="en-GB"/>
              </w:rPr>
              <w:t>Evaluate opportunities for fostering gender equality and providing opportunities for women</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_Toc158013552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8</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53" w:history="1">
            <w:r w:rsidR="007E3027" w:rsidRPr="007E3027">
              <w:rPr>
                <w:rStyle w:val="Hyperlink"/>
                <w:rFonts w:ascii="Times New Roman" w:hAnsi="Times New Roman" w:cs="Times New Roman"/>
                <w:noProof/>
                <w:sz w:val="24"/>
                <w:szCs w:val="24"/>
                <w:lang w:val="en-GB"/>
              </w:rPr>
              <w:t>Recommend strategies for overcoming identified challenges and enhancing gender diversity within the workplace</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_Toc158013553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8</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54" w:history="1">
            <w:r w:rsidR="007E3027" w:rsidRPr="007E3027">
              <w:rPr>
                <w:rStyle w:val="Hyperlink"/>
                <w:rFonts w:ascii="Times New Roman" w:hAnsi="Times New Roman" w:cs="Times New Roman"/>
                <w:noProof/>
                <w:sz w:val="24"/>
                <w:szCs w:val="24"/>
                <w:lang w:val="en-GB"/>
              </w:rPr>
              <w:t>Theoretical implication</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_Toc158013554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9</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3"/>
            <w:tabs>
              <w:tab w:val="right" w:leader="dot" w:pos="9350"/>
            </w:tabs>
            <w:spacing w:line="360" w:lineRule="auto"/>
            <w:jc w:val="both"/>
            <w:rPr>
              <w:rFonts w:ascii="Times New Roman" w:hAnsi="Times New Roman" w:cs="Times New Roman"/>
              <w:noProof/>
              <w:sz w:val="24"/>
              <w:szCs w:val="24"/>
            </w:rPr>
          </w:pPr>
          <w:hyperlink w:anchor="_Toc158013555" w:history="1">
            <w:r w:rsidR="007E3027" w:rsidRPr="007E3027">
              <w:rPr>
                <w:rStyle w:val="Hyperlink"/>
                <w:rFonts w:ascii="Times New Roman" w:hAnsi="Times New Roman" w:cs="Times New Roman"/>
                <w:noProof/>
                <w:sz w:val="24"/>
                <w:szCs w:val="24"/>
                <w:lang w:val="en-GB"/>
              </w:rPr>
              <w:t>Organisational Culture Theory</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_Toc158013555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9</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3"/>
            <w:tabs>
              <w:tab w:val="right" w:leader="dot" w:pos="9350"/>
            </w:tabs>
            <w:spacing w:line="360" w:lineRule="auto"/>
            <w:jc w:val="both"/>
            <w:rPr>
              <w:rFonts w:ascii="Times New Roman" w:hAnsi="Times New Roman" w:cs="Times New Roman"/>
              <w:noProof/>
              <w:sz w:val="24"/>
              <w:szCs w:val="24"/>
            </w:rPr>
          </w:pPr>
          <w:hyperlink w:anchor="_Toc158013556" w:history="1">
            <w:r w:rsidR="007E3027" w:rsidRPr="007E3027">
              <w:rPr>
                <w:rStyle w:val="Hyperlink"/>
                <w:rFonts w:ascii="Times New Roman" w:hAnsi="Times New Roman" w:cs="Times New Roman"/>
                <w:noProof/>
                <w:sz w:val="24"/>
                <w:szCs w:val="24"/>
                <w:lang w:val="en-GB"/>
              </w:rPr>
              <w:t>Structural functionalism theory</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_Toc158013556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10</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1"/>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57" w:history="1">
            <w:r w:rsidR="007E3027" w:rsidRPr="007E3027">
              <w:rPr>
                <w:rStyle w:val="Hyperlink"/>
                <w:rFonts w:ascii="Times New Roman" w:hAnsi="Times New Roman" w:cs="Times New Roman"/>
                <w:noProof/>
                <w:sz w:val="24"/>
                <w:szCs w:val="24"/>
                <w:lang w:val="en-GB"/>
              </w:rPr>
              <w:t>Research methodology</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_Toc158013557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10</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58" w:history="1">
            <w:r w:rsidR="007E3027" w:rsidRPr="007E3027">
              <w:rPr>
                <w:rStyle w:val="Hyperlink"/>
                <w:rFonts w:ascii="Times New Roman" w:hAnsi="Times New Roman" w:cs="Times New Roman"/>
                <w:noProof/>
                <w:sz w:val="24"/>
                <w:szCs w:val="24"/>
                <w:lang w:val="en-GB"/>
              </w:rPr>
              <w:t>Research onion</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_Toc158013558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10</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59" w:history="1">
            <w:r w:rsidR="007E3027" w:rsidRPr="007E3027">
              <w:rPr>
                <w:rStyle w:val="Hyperlink"/>
                <w:rFonts w:ascii="Times New Roman" w:hAnsi="Times New Roman" w:cs="Times New Roman"/>
                <w:noProof/>
                <w:sz w:val="24"/>
                <w:szCs w:val="24"/>
                <w:lang w:val="en-GB"/>
              </w:rPr>
              <w:t>Research philosophy</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_Toc158013559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11</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60" w:history="1">
            <w:r w:rsidR="007E3027" w:rsidRPr="007E3027">
              <w:rPr>
                <w:rStyle w:val="Hyperlink"/>
                <w:rFonts w:ascii="Times New Roman" w:hAnsi="Times New Roman" w:cs="Times New Roman"/>
                <w:noProof/>
                <w:sz w:val="24"/>
                <w:szCs w:val="24"/>
                <w:lang w:val="en-GB"/>
              </w:rPr>
              <w:t>Research approach</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_Toc158013560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12</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61" w:history="1">
            <w:r w:rsidR="007E3027" w:rsidRPr="007E3027">
              <w:rPr>
                <w:rStyle w:val="Hyperlink"/>
                <w:rFonts w:ascii="Times New Roman" w:hAnsi="Times New Roman" w:cs="Times New Roman"/>
                <w:noProof/>
                <w:sz w:val="24"/>
                <w:szCs w:val="24"/>
                <w:lang w:val="en-GB"/>
              </w:rPr>
              <w:t>Research method</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_Toc158013561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12</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62" w:history="1">
            <w:r w:rsidR="007E3027" w:rsidRPr="007E3027">
              <w:rPr>
                <w:rStyle w:val="Hyperlink"/>
                <w:rFonts w:ascii="Times New Roman" w:hAnsi="Times New Roman" w:cs="Times New Roman"/>
                <w:noProof/>
                <w:sz w:val="24"/>
                <w:szCs w:val="24"/>
                <w:lang w:val="en-GB"/>
              </w:rPr>
              <w:t>Data collection</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_Toc158013562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13</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63" w:history="1">
            <w:r w:rsidR="007E3027" w:rsidRPr="007E3027">
              <w:rPr>
                <w:rStyle w:val="Hyperlink"/>
                <w:rFonts w:ascii="Times New Roman" w:hAnsi="Times New Roman" w:cs="Times New Roman"/>
                <w:noProof/>
                <w:sz w:val="24"/>
                <w:szCs w:val="24"/>
                <w:lang w:val="en-GB"/>
              </w:rPr>
              <w:t>Rationale</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_Toc158013563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13</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64" w:history="1">
            <w:r w:rsidR="007E3027" w:rsidRPr="007E3027">
              <w:rPr>
                <w:rStyle w:val="Hyperlink"/>
                <w:rFonts w:ascii="Times New Roman" w:hAnsi="Times New Roman" w:cs="Times New Roman"/>
                <w:noProof/>
                <w:sz w:val="24"/>
                <w:szCs w:val="24"/>
                <w:lang w:val="en-GB"/>
              </w:rPr>
              <w:t>Data analysis</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_Toc158013564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13</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2"/>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65" w:history="1">
            <w:r w:rsidR="007E3027" w:rsidRPr="007E3027">
              <w:rPr>
                <w:rStyle w:val="Hyperlink"/>
                <w:rFonts w:ascii="Times New Roman" w:hAnsi="Times New Roman" w:cs="Times New Roman"/>
                <w:noProof/>
                <w:sz w:val="24"/>
                <w:szCs w:val="24"/>
                <w:lang w:val="en-GB"/>
              </w:rPr>
              <w:t>Ethical consideration</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_Toc158013565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13</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1"/>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66" w:history="1">
            <w:r w:rsidR="007E3027" w:rsidRPr="007E3027">
              <w:rPr>
                <w:rStyle w:val="Hyperlink"/>
                <w:rFonts w:ascii="Times New Roman" w:hAnsi="Times New Roman" w:cs="Times New Roman"/>
                <w:noProof/>
                <w:sz w:val="24"/>
                <w:szCs w:val="24"/>
                <w:lang w:val="en-GB"/>
              </w:rPr>
              <w:t>Potential risks</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_Toc158013566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14</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1"/>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67" w:history="1">
            <w:r w:rsidR="007E3027" w:rsidRPr="007E3027">
              <w:rPr>
                <w:rStyle w:val="Hyperlink"/>
                <w:rFonts w:ascii="Times New Roman" w:hAnsi="Times New Roman" w:cs="Times New Roman"/>
                <w:noProof/>
                <w:sz w:val="24"/>
                <w:szCs w:val="24"/>
                <w:lang w:val="en-GB"/>
              </w:rPr>
              <w:t>Timeline (Gnatt chart)</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_Toc158013567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14</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1"/>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68" w:history="1">
            <w:r w:rsidR="007E3027" w:rsidRPr="007E3027">
              <w:rPr>
                <w:rStyle w:val="Hyperlink"/>
                <w:rFonts w:ascii="Times New Roman" w:hAnsi="Times New Roman" w:cs="Times New Roman"/>
                <w:noProof/>
                <w:sz w:val="24"/>
                <w:szCs w:val="24"/>
                <w:lang w:val="en-GB"/>
              </w:rPr>
              <w:t>Findings</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_Toc158013568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14</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1"/>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69" w:history="1">
            <w:r w:rsidR="007E3027" w:rsidRPr="007E3027">
              <w:rPr>
                <w:rStyle w:val="Hyperlink"/>
                <w:rFonts w:ascii="Times New Roman" w:hAnsi="Times New Roman" w:cs="Times New Roman"/>
                <w:noProof/>
                <w:sz w:val="24"/>
                <w:szCs w:val="24"/>
                <w:lang w:val="en-GB"/>
              </w:rPr>
              <w:t>Conclusion</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_Toc158013569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15</w:t>
            </w:r>
            <w:r w:rsidRPr="007E3027">
              <w:rPr>
                <w:rFonts w:ascii="Times New Roman" w:hAnsi="Times New Roman" w:cs="Times New Roman"/>
                <w:noProof/>
                <w:webHidden/>
                <w:sz w:val="24"/>
                <w:szCs w:val="24"/>
              </w:rPr>
              <w:fldChar w:fldCharType="end"/>
            </w:r>
          </w:hyperlink>
        </w:p>
        <w:p w:rsidR="007E3027" w:rsidRPr="007E3027" w:rsidRDefault="00995C70" w:rsidP="007E3027">
          <w:pPr>
            <w:pStyle w:val="TOC1"/>
            <w:tabs>
              <w:tab w:val="right" w:leader="dot" w:pos="9350"/>
            </w:tabs>
            <w:spacing w:line="360" w:lineRule="auto"/>
            <w:jc w:val="both"/>
            <w:rPr>
              <w:rFonts w:ascii="Times New Roman" w:eastAsiaTheme="minorEastAsia" w:hAnsi="Times New Roman" w:cs="Times New Roman"/>
              <w:noProof/>
              <w:sz w:val="24"/>
              <w:szCs w:val="24"/>
              <w:lang w:eastAsia="en-US" w:bidi="ar-SA"/>
            </w:rPr>
          </w:pPr>
          <w:hyperlink w:anchor="_Toc158013570" w:history="1">
            <w:r w:rsidR="007E3027" w:rsidRPr="007E3027">
              <w:rPr>
                <w:rStyle w:val="Hyperlink"/>
                <w:rFonts w:ascii="Times New Roman" w:hAnsi="Times New Roman" w:cs="Times New Roman"/>
                <w:noProof/>
                <w:sz w:val="24"/>
                <w:szCs w:val="24"/>
                <w:lang w:val="en-GB"/>
              </w:rPr>
              <w:t>References</w:t>
            </w:r>
            <w:r w:rsidR="007E3027" w:rsidRPr="007E3027">
              <w:rPr>
                <w:rFonts w:ascii="Times New Roman" w:hAnsi="Times New Roman" w:cs="Times New Roman"/>
                <w:noProof/>
                <w:webHidden/>
                <w:sz w:val="24"/>
                <w:szCs w:val="24"/>
              </w:rPr>
              <w:tab/>
            </w:r>
            <w:r w:rsidRPr="007E3027">
              <w:rPr>
                <w:rFonts w:ascii="Times New Roman" w:hAnsi="Times New Roman" w:cs="Times New Roman"/>
                <w:noProof/>
                <w:webHidden/>
                <w:sz w:val="24"/>
                <w:szCs w:val="24"/>
              </w:rPr>
              <w:fldChar w:fldCharType="begin"/>
            </w:r>
            <w:r w:rsidR="007E3027" w:rsidRPr="007E3027">
              <w:rPr>
                <w:rFonts w:ascii="Times New Roman" w:hAnsi="Times New Roman" w:cs="Times New Roman"/>
                <w:noProof/>
                <w:webHidden/>
                <w:sz w:val="24"/>
                <w:szCs w:val="24"/>
              </w:rPr>
              <w:instrText xml:space="preserve"> PAGEREF _Toc158013570 \h </w:instrText>
            </w:r>
            <w:r w:rsidRPr="007E3027">
              <w:rPr>
                <w:rFonts w:ascii="Times New Roman" w:hAnsi="Times New Roman" w:cs="Times New Roman"/>
                <w:noProof/>
                <w:webHidden/>
                <w:sz w:val="24"/>
                <w:szCs w:val="24"/>
              </w:rPr>
            </w:r>
            <w:r w:rsidRPr="007E3027">
              <w:rPr>
                <w:rFonts w:ascii="Times New Roman" w:hAnsi="Times New Roman" w:cs="Times New Roman"/>
                <w:noProof/>
                <w:webHidden/>
                <w:sz w:val="24"/>
                <w:szCs w:val="24"/>
              </w:rPr>
              <w:fldChar w:fldCharType="separate"/>
            </w:r>
            <w:r w:rsidR="007E3027" w:rsidRPr="007E3027">
              <w:rPr>
                <w:rFonts w:ascii="Times New Roman" w:hAnsi="Times New Roman" w:cs="Times New Roman"/>
                <w:noProof/>
                <w:webHidden/>
                <w:sz w:val="24"/>
                <w:szCs w:val="24"/>
              </w:rPr>
              <w:t>16</w:t>
            </w:r>
            <w:r w:rsidRPr="007E3027">
              <w:rPr>
                <w:rFonts w:ascii="Times New Roman" w:hAnsi="Times New Roman" w:cs="Times New Roman"/>
                <w:noProof/>
                <w:webHidden/>
                <w:sz w:val="24"/>
                <w:szCs w:val="24"/>
              </w:rPr>
              <w:fldChar w:fldCharType="end"/>
            </w:r>
          </w:hyperlink>
        </w:p>
        <w:p w:rsidR="007E3027" w:rsidRDefault="00995C70" w:rsidP="007E3027">
          <w:pPr>
            <w:spacing w:line="360" w:lineRule="auto"/>
            <w:jc w:val="both"/>
          </w:pPr>
          <w:r w:rsidRPr="007E3027">
            <w:rPr>
              <w:rFonts w:ascii="Times New Roman" w:hAnsi="Times New Roman" w:cs="Times New Roman"/>
              <w:sz w:val="24"/>
              <w:szCs w:val="24"/>
            </w:rPr>
            <w:fldChar w:fldCharType="end"/>
          </w:r>
        </w:p>
      </w:sdtContent>
    </w:sdt>
    <w:p w:rsidR="000B5D4E" w:rsidRPr="008E40D9" w:rsidRDefault="000B5D4E" w:rsidP="000B5D4E">
      <w:pPr>
        <w:pStyle w:val="NormalWeb"/>
        <w:spacing w:before="0" w:beforeAutospacing="0" w:after="0" w:afterAutospacing="0" w:line="360" w:lineRule="auto"/>
        <w:jc w:val="center"/>
        <w:rPr>
          <w:sz w:val="32"/>
          <w:szCs w:val="32"/>
          <w:lang w:val="en-GB"/>
        </w:rPr>
      </w:pPr>
    </w:p>
    <w:p w:rsidR="000B5D4E" w:rsidRPr="008E40D9" w:rsidRDefault="000B5D4E">
      <w:pPr>
        <w:rPr>
          <w:rFonts w:ascii="Times New Roman" w:eastAsia="Times New Roman" w:hAnsi="Times New Roman" w:cs="Times New Roman"/>
          <w:b/>
          <w:bCs/>
          <w:color w:val="000000"/>
          <w:sz w:val="24"/>
          <w:szCs w:val="24"/>
          <w:lang w:val="en-GB"/>
        </w:rPr>
      </w:pPr>
      <w:r w:rsidRPr="008E40D9">
        <w:rPr>
          <w:b/>
          <w:bCs/>
          <w:color w:val="000000"/>
          <w:lang w:val="en-GB"/>
        </w:rPr>
        <w:br w:type="page"/>
      </w:r>
    </w:p>
    <w:p w:rsidR="000B5D4E" w:rsidRPr="008E40D9" w:rsidRDefault="000B5D4E" w:rsidP="000B5D4E">
      <w:pPr>
        <w:pStyle w:val="Heading1"/>
        <w:rPr>
          <w:lang w:val="en-GB"/>
        </w:rPr>
      </w:pPr>
      <w:bookmarkStart w:id="0" w:name="_Toc157884574"/>
      <w:bookmarkStart w:id="1" w:name="_Toc158013544"/>
      <w:r w:rsidRPr="008E40D9">
        <w:rPr>
          <w:lang w:val="en-GB"/>
        </w:rPr>
        <w:lastRenderedPageBreak/>
        <w:t>Introduction</w:t>
      </w:r>
      <w:bookmarkEnd w:id="0"/>
      <w:bookmarkEnd w:id="1"/>
    </w:p>
    <w:p w:rsidR="00265D02" w:rsidRPr="008E40D9" w:rsidRDefault="00265D02" w:rsidP="00265D02">
      <w:pPr>
        <w:pStyle w:val="Heading2"/>
        <w:rPr>
          <w:lang w:val="en-GB"/>
        </w:rPr>
      </w:pPr>
      <w:bookmarkStart w:id="2" w:name="_Toc158013545"/>
      <w:r w:rsidRPr="008E40D9">
        <w:rPr>
          <w:lang w:val="en-GB"/>
        </w:rPr>
        <w:t>Background</w:t>
      </w:r>
      <w:bookmarkEnd w:id="2"/>
      <w:r w:rsidRPr="008E40D9">
        <w:rPr>
          <w:lang w:val="en-GB"/>
        </w:rPr>
        <w:t xml:space="preserve"> </w:t>
      </w:r>
    </w:p>
    <w:p w:rsidR="008E40D9" w:rsidRPr="008E40D9" w:rsidRDefault="008E40D9" w:rsidP="008E40D9">
      <w:pPr>
        <w:spacing w:line="360" w:lineRule="auto"/>
        <w:jc w:val="both"/>
        <w:rPr>
          <w:rFonts w:ascii="Times New Roman" w:hAnsi="Times New Roman" w:cs="Times New Roman"/>
          <w:sz w:val="24"/>
          <w:lang w:val="en-GB"/>
        </w:rPr>
      </w:pPr>
      <w:r w:rsidRPr="008E40D9">
        <w:rPr>
          <w:rFonts w:ascii="Times New Roman" w:hAnsi="Times New Roman" w:cs="Times New Roman"/>
          <w:color w:val="000000"/>
          <w:sz w:val="24"/>
          <w:lang w:val="en-GB"/>
        </w:rPr>
        <w:t xml:space="preserve">Workplace diversification in respect to gender has been highly influential in order to determine better planning for the certain workplace culture. The assessment of the workplace culture has been highly significant in order to identify the proposed benefits towards its people from the company. As per the opinion of Turesky and Warner (2020), the proposition of the </w:t>
      </w:r>
      <w:r w:rsidR="00BA4A59" w:rsidRPr="008E40D9">
        <w:rPr>
          <w:rFonts w:ascii="Times New Roman" w:hAnsi="Times New Roman" w:cs="Times New Roman"/>
          <w:color w:val="000000"/>
          <w:sz w:val="24"/>
          <w:lang w:val="en-GB"/>
        </w:rPr>
        <w:t>leadership,</w:t>
      </w:r>
      <w:r w:rsidRPr="008E40D9">
        <w:rPr>
          <w:rFonts w:ascii="Times New Roman" w:hAnsi="Times New Roman" w:cs="Times New Roman"/>
          <w:color w:val="000000"/>
          <w:sz w:val="24"/>
          <w:lang w:val="en-GB"/>
        </w:rPr>
        <w:t xml:space="preserve"> qualities at the workplace with psychological attributes are highly significant for determining the equal opportunities for the women at different organisational zones. Developing exclusivity within the communication process along with providing equal opportunity and “work life benefits” are highly effective which shows the most upgraded organisation culture. The perception of providing flexibility at the workplace also determines how women can be treated with equal opportunities at the workplace. On the contrary, Hsiao </w:t>
      </w:r>
      <w:r w:rsidRPr="008E40D9">
        <w:rPr>
          <w:rFonts w:ascii="Times New Roman" w:hAnsi="Times New Roman" w:cs="Times New Roman"/>
          <w:i/>
          <w:iCs/>
          <w:color w:val="000000"/>
          <w:sz w:val="24"/>
          <w:lang w:val="en-GB"/>
        </w:rPr>
        <w:t>et al.</w:t>
      </w:r>
      <w:r w:rsidRPr="008E40D9">
        <w:rPr>
          <w:rFonts w:ascii="Times New Roman" w:hAnsi="Times New Roman" w:cs="Times New Roman"/>
          <w:color w:val="000000"/>
          <w:sz w:val="24"/>
          <w:lang w:val="en-GB"/>
        </w:rPr>
        <w:t xml:space="preserve"> (2020) have depicted that gender mediating roles and flexibility within the workplace provides a wide notion of employee retention capabilities which in turn also impacts on the employee productivity. Management of diversity at the workplace can be highly significant in order to provide most distinguishing operational variability at the workplace. </w:t>
      </w:r>
    </w:p>
    <w:p w:rsidR="00265D02" w:rsidRPr="008E40D9" w:rsidRDefault="00265D02" w:rsidP="00265D02">
      <w:pPr>
        <w:pStyle w:val="Heading2"/>
        <w:rPr>
          <w:lang w:val="en-GB"/>
        </w:rPr>
      </w:pPr>
      <w:bookmarkStart w:id="3" w:name="_Toc158013546"/>
      <w:r w:rsidRPr="008E40D9">
        <w:rPr>
          <w:lang w:val="en-GB"/>
        </w:rPr>
        <w:t>Research problem</w:t>
      </w:r>
      <w:bookmarkEnd w:id="3"/>
      <w:r w:rsidRPr="008E40D9">
        <w:rPr>
          <w:lang w:val="en-GB"/>
        </w:rPr>
        <w:t xml:space="preserve"> </w:t>
      </w:r>
    </w:p>
    <w:p w:rsidR="008E40D9" w:rsidRPr="008E40D9" w:rsidRDefault="008E40D9" w:rsidP="008E40D9">
      <w:pPr>
        <w:spacing w:line="360" w:lineRule="auto"/>
        <w:jc w:val="both"/>
        <w:rPr>
          <w:rFonts w:ascii="Times New Roman" w:hAnsi="Times New Roman" w:cs="Times New Roman"/>
          <w:sz w:val="24"/>
          <w:lang w:val="en-GB"/>
        </w:rPr>
      </w:pPr>
      <w:r w:rsidRPr="008E40D9">
        <w:rPr>
          <w:rFonts w:ascii="Times New Roman" w:hAnsi="Times New Roman" w:cs="Times New Roman"/>
          <w:color w:val="000000"/>
          <w:sz w:val="24"/>
          <w:lang w:val="en-GB"/>
        </w:rPr>
        <w:t>It has been seen that most of the people especially women  are facing troubles as per having equal opportunities at the workplace. This has been vividly seen with the base of perception of equal opportunities among the authorities of the company. Simultaneously, certain cultural notions also provide some variable perceptions for providing equal opportunity at the workplace for the women which is different from other cultures. The sense of providing opportunities which triggers the fact what kind of opportunities to be provided along with to what degree of cultural factors is accompanying the thought process that hinders gender equality at the different cultures and industries. The study involves finding the embodiment of the cultural elements that are effective in shaping up the organisational culture. Developing ultimate trajectories for the knowledge of equal opportunities at the workplace will be highly effective for the current studies.</w:t>
      </w:r>
    </w:p>
    <w:p w:rsidR="00265D02" w:rsidRPr="008E40D9" w:rsidRDefault="00265D02" w:rsidP="008E40D9">
      <w:pPr>
        <w:pStyle w:val="Heading2"/>
        <w:rPr>
          <w:lang w:val="en-GB"/>
        </w:rPr>
      </w:pPr>
      <w:bookmarkStart w:id="4" w:name="_Toc158013547"/>
      <w:r w:rsidRPr="008E40D9">
        <w:rPr>
          <w:lang w:val="en-GB"/>
        </w:rPr>
        <w:lastRenderedPageBreak/>
        <w:t>Significance of the study</w:t>
      </w:r>
      <w:bookmarkEnd w:id="4"/>
      <w:r w:rsidRPr="008E40D9">
        <w:rPr>
          <w:lang w:val="en-GB"/>
        </w:rPr>
        <w:t xml:space="preserve"> </w:t>
      </w:r>
    </w:p>
    <w:p w:rsidR="008E40D9" w:rsidRPr="008E40D9" w:rsidRDefault="008E40D9" w:rsidP="008E40D9">
      <w:pPr>
        <w:pStyle w:val="NormalWeb"/>
        <w:spacing w:before="240" w:beforeAutospacing="0" w:after="240" w:afterAutospacing="0" w:line="360" w:lineRule="auto"/>
        <w:jc w:val="both"/>
        <w:rPr>
          <w:lang w:val="en-GB"/>
        </w:rPr>
      </w:pPr>
      <w:r w:rsidRPr="008E40D9">
        <w:rPr>
          <w:color w:val="000000"/>
          <w:lang w:val="en-GB"/>
        </w:rPr>
        <w:t>The research is suitable for identifying the cultural origins of bondage that is blocking the implementation of equal opportunities at the workplace for women on a large scale. At the same time, the most blatant misconception causing problems can also be considered. This research will be effectively providing knowledge to the practitioner as well as to the academics. In this way, it contributes the view of the role of organizational culture that can inform policy makers, human resource practitioners, and organizational leaders with the ways of developing environments where women employees can advance. Moreover, the results may inform the development of the tools, strategies and interventions that can help to dismantle barriers and create a more equitable professional environment.</w:t>
      </w:r>
    </w:p>
    <w:p w:rsidR="008E40D9" w:rsidRPr="008E40D9" w:rsidRDefault="008E40D9" w:rsidP="00BA4A59">
      <w:pPr>
        <w:pStyle w:val="NormalWeb"/>
        <w:spacing w:before="240" w:beforeAutospacing="0" w:after="240" w:afterAutospacing="0" w:line="360" w:lineRule="auto"/>
        <w:jc w:val="center"/>
        <w:rPr>
          <w:lang w:val="en-GB"/>
        </w:rPr>
      </w:pPr>
      <w:r w:rsidRPr="008E40D9">
        <w:rPr>
          <w:noProof/>
          <w:color w:val="000000"/>
          <w:bdr w:val="single" w:sz="8" w:space="0" w:color="000000" w:frame="1"/>
          <w:lang w:val="en-US" w:eastAsia="en-US" w:bidi="ar-SA"/>
        </w:rPr>
        <w:lastRenderedPageBreak/>
        <w:drawing>
          <wp:inline distT="0" distB="0" distL="0" distR="0">
            <wp:extent cx="5943600" cy="5913120"/>
            <wp:effectExtent l="19050" t="0" r="0" b="0"/>
            <wp:docPr id="5" name="Picture 5" descr="https://lh7-us.googleusercontent.com/gjEBmxe_U7tn1ux0hV6-oAstKPW3POloF_Kxl5NCyRgjj1ErWGReT7bMpsAc4yCeRLAeRpueyIJQaPhnJfFXCcuVUeEPnJAjALgumrp476cxta8aVPyVOdSfg62Dw-aaQx3HMq05FARv19lzYBd2Mh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7-us.googleusercontent.com/gjEBmxe_U7tn1ux0hV6-oAstKPW3POloF_Kxl5NCyRgjj1ErWGReT7bMpsAc4yCeRLAeRpueyIJQaPhnJfFXCcuVUeEPnJAjALgumrp476cxta8aVPyVOdSfg62Dw-aaQx3HMq05FARv19lzYBd2MhU"/>
                    <pic:cNvPicPr>
                      <a:picLocks noChangeAspect="1" noChangeArrowheads="1"/>
                    </pic:cNvPicPr>
                  </pic:nvPicPr>
                  <pic:blipFill>
                    <a:blip r:embed="rId8"/>
                    <a:srcRect/>
                    <a:stretch>
                      <a:fillRect/>
                    </a:stretch>
                  </pic:blipFill>
                  <pic:spPr bwMode="auto">
                    <a:xfrm>
                      <a:off x="0" y="0"/>
                      <a:ext cx="5943600" cy="5913120"/>
                    </a:xfrm>
                    <a:prstGeom prst="rect">
                      <a:avLst/>
                    </a:prstGeom>
                    <a:noFill/>
                    <a:ln w="9525">
                      <a:noFill/>
                      <a:miter lim="800000"/>
                      <a:headEnd/>
                      <a:tailEnd/>
                    </a:ln>
                  </pic:spPr>
                </pic:pic>
              </a:graphicData>
            </a:graphic>
          </wp:inline>
        </w:drawing>
      </w:r>
    </w:p>
    <w:p w:rsidR="008E40D9" w:rsidRPr="008E40D9" w:rsidRDefault="008E40D9" w:rsidP="00BA4A59">
      <w:pPr>
        <w:pStyle w:val="NormalWeb"/>
        <w:spacing w:before="240" w:beforeAutospacing="0" w:after="240" w:afterAutospacing="0" w:line="360" w:lineRule="auto"/>
        <w:jc w:val="center"/>
        <w:rPr>
          <w:lang w:val="en-GB"/>
        </w:rPr>
      </w:pPr>
      <w:r w:rsidRPr="008E40D9">
        <w:rPr>
          <w:b/>
          <w:bCs/>
          <w:color w:val="000000"/>
          <w:lang w:val="en-GB"/>
        </w:rPr>
        <w:t>Figure 1: Country wise distribution of gender equality perception, 2023</w:t>
      </w:r>
    </w:p>
    <w:p w:rsidR="008E40D9" w:rsidRPr="008E40D9" w:rsidRDefault="008E40D9" w:rsidP="00BA4A59">
      <w:pPr>
        <w:pStyle w:val="NormalWeb"/>
        <w:spacing w:before="240" w:beforeAutospacing="0" w:after="240" w:afterAutospacing="0" w:line="360" w:lineRule="auto"/>
        <w:jc w:val="center"/>
        <w:rPr>
          <w:lang w:val="en-GB"/>
        </w:rPr>
      </w:pPr>
      <w:r w:rsidRPr="008E40D9">
        <w:rPr>
          <w:color w:val="000000"/>
          <w:lang w:val="en-GB"/>
        </w:rPr>
        <w:t>(Source: Statista.com, 2024)</w:t>
      </w:r>
    </w:p>
    <w:p w:rsidR="008E40D9" w:rsidRPr="008E40D9" w:rsidRDefault="008E40D9" w:rsidP="00BA4A59">
      <w:pPr>
        <w:pStyle w:val="NormalWeb"/>
        <w:spacing w:before="240" w:beforeAutospacing="0" w:after="240" w:afterAutospacing="0" w:line="360" w:lineRule="auto"/>
        <w:jc w:val="both"/>
        <w:rPr>
          <w:lang w:val="en-GB"/>
        </w:rPr>
      </w:pPr>
      <w:r w:rsidRPr="008E40D9">
        <w:rPr>
          <w:color w:val="000000"/>
          <w:lang w:val="en-GB"/>
        </w:rPr>
        <w:t xml:space="preserve">Based on the Global Gender Gap Report 2020, 31 percent of women had been physically and/or sexually abused at the workplace. Specifically, 32 percent of women were victims of abuse in North America, while 19 percent were victims in Eastern Europe and Central Asia (Statista.com, 2024). The Global Gender Index measures national gender gaps based on economic, political, </w:t>
      </w:r>
      <w:r w:rsidRPr="008E40D9">
        <w:rPr>
          <w:color w:val="000000"/>
          <w:lang w:val="en-GB"/>
        </w:rPr>
        <w:lastRenderedPageBreak/>
        <w:t>education and health based factors. In 2020, the country with the highest score was Iceland with a score of 0.87. Equality between men and women will be achieved within one’s lifetime in 32 countries of the world in which more than half of both women and men share this opinion. It is interesting to note that the share was highest in the United Arab Emirates and Saudi Arabia, the countries that are not normally attributed to the high level of gender equality (Statista.com, 2024). Contrastingly, the citizens were the most pessimistic in the East Asian nations Japan and South Korea. In the latter, only 21 percent of women stated that gender equality will be achieved in their lifetimes. According to a survey, more than 25 percent of the respondents had heard a friend or a family member making sexist remarks during the past year. Twenty percent more had witnessed gender discrimination at their workplaces.</w:t>
      </w:r>
    </w:p>
    <w:p w:rsidR="000B5D4E" w:rsidRPr="008E40D9" w:rsidRDefault="000B5D4E" w:rsidP="00265D02">
      <w:pPr>
        <w:pStyle w:val="Heading1"/>
        <w:rPr>
          <w:lang w:val="en-GB"/>
        </w:rPr>
      </w:pPr>
      <w:bookmarkStart w:id="5" w:name="_Toc157884575"/>
      <w:bookmarkStart w:id="6" w:name="_Toc158013548"/>
      <w:r w:rsidRPr="008E40D9">
        <w:rPr>
          <w:lang w:val="en-GB"/>
        </w:rPr>
        <w:t>Research aim, objectives and three relevant questions</w:t>
      </w:r>
      <w:bookmarkEnd w:id="5"/>
      <w:bookmarkEnd w:id="6"/>
    </w:p>
    <w:p w:rsidR="000B5D4E" w:rsidRPr="008E40D9" w:rsidRDefault="000B5D4E" w:rsidP="000B5D4E">
      <w:pPr>
        <w:pStyle w:val="NormalWeb"/>
        <w:spacing w:before="0" w:beforeAutospacing="0" w:after="0" w:afterAutospacing="0" w:line="360" w:lineRule="auto"/>
        <w:jc w:val="both"/>
        <w:rPr>
          <w:lang w:val="en-GB"/>
        </w:rPr>
      </w:pPr>
      <w:r w:rsidRPr="008E40D9">
        <w:rPr>
          <w:b/>
          <w:bCs/>
          <w:color w:val="000000"/>
          <w:lang w:val="en-GB"/>
        </w:rPr>
        <w:t>Aim</w:t>
      </w:r>
    </w:p>
    <w:p w:rsidR="000B5D4E" w:rsidRPr="008E40D9" w:rsidRDefault="000B5D4E" w:rsidP="000B5D4E">
      <w:pPr>
        <w:pStyle w:val="NormalWeb"/>
        <w:spacing w:before="0" w:beforeAutospacing="0" w:after="0" w:afterAutospacing="0" w:line="360" w:lineRule="auto"/>
        <w:jc w:val="both"/>
        <w:rPr>
          <w:lang w:val="en-GB"/>
        </w:rPr>
      </w:pPr>
      <w:r w:rsidRPr="008E40D9">
        <w:rPr>
          <w:color w:val="000000"/>
          <w:lang w:val="en-GB"/>
        </w:rPr>
        <w:t>Aim of this study is to investigate organizational culture on the creation, maintenance, and enforcement of policies and practices that support gender equality. </w:t>
      </w:r>
    </w:p>
    <w:p w:rsidR="000B5D4E" w:rsidRPr="008E40D9" w:rsidRDefault="000B5D4E" w:rsidP="000B5D4E">
      <w:pPr>
        <w:pStyle w:val="NormalWeb"/>
        <w:spacing w:before="0" w:beforeAutospacing="0" w:after="0" w:afterAutospacing="0" w:line="360" w:lineRule="auto"/>
        <w:jc w:val="both"/>
        <w:rPr>
          <w:lang w:val="en-GB"/>
        </w:rPr>
      </w:pPr>
      <w:r w:rsidRPr="008E40D9">
        <w:rPr>
          <w:b/>
          <w:bCs/>
          <w:color w:val="000000"/>
          <w:lang w:val="en-GB"/>
        </w:rPr>
        <w:t>Objectives</w:t>
      </w:r>
    </w:p>
    <w:p w:rsidR="000B5D4E" w:rsidRPr="008E40D9" w:rsidRDefault="000B5D4E" w:rsidP="000B5D4E">
      <w:pPr>
        <w:pStyle w:val="NormalWeb"/>
        <w:numPr>
          <w:ilvl w:val="0"/>
          <w:numId w:val="3"/>
        </w:numPr>
        <w:spacing w:before="0" w:beforeAutospacing="0" w:after="0" w:afterAutospacing="0" w:line="360" w:lineRule="auto"/>
        <w:jc w:val="both"/>
        <w:textAlignment w:val="baseline"/>
        <w:rPr>
          <w:color w:val="000000"/>
          <w:lang w:val="en-GB"/>
        </w:rPr>
      </w:pPr>
      <w:r w:rsidRPr="008E40D9">
        <w:rPr>
          <w:color w:val="000000"/>
          <w:lang w:val="en-GB"/>
        </w:rPr>
        <w:t>To investigate perceptions of women employees regarding equal opportunities within the organization.</w:t>
      </w:r>
    </w:p>
    <w:p w:rsidR="000B5D4E" w:rsidRPr="008E40D9" w:rsidRDefault="000B5D4E" w:rsidP="000B5D4E">
      <w:pPr>
        <w:pStyle w:val="NormalWeb"/>
        <w:numPr>
          <w:ilvl w:val="0"/>
          <w:numId w:val="3"/>
        </w:numPr>
        <w:spacing w:before="0" w:beforeAutospacing="0" w:after="0" w:afterAutospacing="0" w:line="360" w:lineRule="auto"/>
        <w:jc w:val="both"/>
        <w:textAlignment w:val="baseline"/>
        <w:rPr>
          <w:color w:val="000000"/>
          <w:lang w:val="en-GB"/>
        </w:rPr>
      </w:pPr>
      <w:r w:rsidRPr="008E40D9">
        <w:rPr>
          <w:color w:val="000000"/>
          <w:lang w:val="en-GB"/>
        </w:rPr>
        <w:t>To explore disparities between organizational claims that are providing equal opportunities and employees' lived experiences.</w:t>
      </w:r>
    </w:p>
    <w:p w:rsidR="000B5D4E" w:rsidRPr="008E40D9" w:rsidRDefault="000B5D4E" w:rsidP="000B5D4E">
      <w:pPr>
        <w:pStyle w:val="NormalWeb"/>
        <w:numPr>
          <w:ilvl w:val="0"/>
          <w:numId w:val="3"/>
        </w:numPr>
        <w:spacing w:before="0" w:beforeAutospacing="0" w:after="0" w:afterAutospacing="0" w:line="360" w:lineRule="auto"/>
        <w:jc w:val="both"/>
        <w:textAlignment w:val="baseline"/>
        <w:rPr>
          <w:color w:val="000000"/>
          <w:lang w:val="en-GB"/>
        </w:rPr>
      </w:pPr>
      <w:r w:rsidRPr="008E40D9">
        <w:rPr>
          <w:color w:val="000000"/>
          <w:lang w:val="en-GB"/>
        </w:rPr>
        <w:t>To evaluate opportunities for fostering gender equality and providing opportunities for women.</w:t>
      </w:r>
    </w:p>
    <w:p w:rsidR="000B5D4E" w:rsidRPr="008E40D9" w:rsidRDefault="000B5D4E" w:rsidP="000B5D4E">
      <w:pPr>
        <w:pStyle w:val="NormalWeb"/>
        <w:numPr>
          <w:ilvl w:val="0"/>
          <w:numId w:val="3"/>
        </w:numPr>
        <w:spacing w:before="0" w:beforeAutospacing="0" w:after="0" w:afterAutospacing="0" w:line="360" w:lineRule="auto"/>
        <w:jc w:val="both"/>
        <w:textAlignment w:val="baseline"/>
        <w:rPr>
          <w:color w:val="000000"/>
          <w:lang w:val="en-GB"/>
        </w:rPr>
      </w:pPr>
      <w:r w:rsidRPr="008E40D9">
        <w:rPr>
          <w:color w:val="000000"/>
          <w:lang w:val="en-GB"/>
        </w:rPr>
        <w:t>To recommend strategies</w:t>
      </w:r>
      <w:r w:rsidR="007362A9" w:rsidRPr="008E40D9">
        <w:rPr>
          <w:color w:val="000000"/>
          <w:lang w:val="en-GB"/>
        </w:rPr>
        <w:t xml:space="preserve"> </w:t>
      </w:r>
      <w:r w:rsidRPr="008E40D9">
        <w:rPr>
          <w:color w:val="000000"/>
          <w:lang w:val="en-GB"/>
        </w:rPr>
        <w:t>for overcoming identified challenges and enhancing gender diversity within the workplace.</w:t>
      </w:r>
    </w:p>
    <w:p w:rsidR="000B5D4E" w:rsidRPr="008E40D9" w:rsidRDefault="000B5D4E" w:rsidP="000B5D4E">
      <w:pPr>
        <w:pStyle w:val="NormalWeb"/>
        <w:spacing w:before="0" w:beforeAutospacing="0" w:after="0" w:afterAutospacing="0" w:line="360" w:lineRule="auto"/>
        <w:jc w:val="both"/>
        <w:rPr>
          <w:lang w:val="en-GB"/>
        </w:rPr>
      </w:pPr>
      <w:r w:rsidRPr="008E40D9">
        <w:rPr>
          <w:b/>
          <w:bCs/>
          <w:color w:val="000000"/>
          <w:lang w:val="en-GB"/>
        </w:rPr>
        <w:t>Questions</w:t>
      </w:r>
    </w:p>
    <w:p w:rsidR="000B5D4E" w:rsidRPr="008E40D9" w:rsidRDefault="000B5D4E" w:rsidP="000B5D4E">
      <w:pPr>
        <w:pStyle w:val="NormalWeb"/>
        <w:numPr>
          <w:ilvl w:val="0"/>
          <w:numId w:val="4"/>
        </w:numPr>
        <w:spacing w:before="0" w:beforeAutospacing="0" w:after="0" w:afterAutospacing="0" w:line="360" w:lineRule="auto"/>
        <w:jc w:val="both"/>
        <w:textAlignment w:val="baseline"/>
        <w:rPr>
          <w:color w:val="000000"/>
          <w:lang w:val="en-GB"/>
        </w:rPr>
      </w:pPr>
      <w:r w:rsidRPr="008E40D9">
        <w:rPr>
          <w:color w:val="000000"/>
          <w:lang w:val="en-GB"/>
        </w:rPr>
        <w:t>What is the perception among women employees regarding equal opportunities within the organization?</w:t>
      </w:r>
    </w:p>
    <w:p w:rsidR="000B5D4E" w:rsidRPr="008E40D9" w:rsidRDefault="000B5D4E" w:rsidP="000B5D4E">
      <w:pPr>
        <w:pStyle w:val="NormalWeb"/>
        <w:numPr>
          <w:ilvl w:val="0"/>
          <w:numId w:val="4"/>
        </w:numPr>
        <w:spacing w:before="0" w:beforeAutospacing="0" w:after="0" w:afterAutospacing="0" w:line="360" w:lineRule="auto"/>
        <w:jc w:val="both"/>
        <w:textAlignment w:val="baseline"/>
        <w:rPr>
          <w:color w:val="000000"/>
          <w:lang w:val="en-GB"/>
        </w:rPr>
      </w:pPr>
      <w:r w:rsidRPr="008E40D9">
        <w:rPr>
          <w:color w:val="000000"/>
          <w:lang w:val="en-GB"/>
        </w:rPr>
        <w:t>How is it to explore disparities between organizational claims that are providing equal opportunities and employees' lived experiences?</w:t>
      </w:r>
    </w:p>
    <w:p w:rsidR="000B5D4E" w:rsidRPr="008E40D9" w:rsidRDefault="000B5D4E" w:rsidP="000B5D4E">
      <w:pPr>
        <w:pStyle w:val="NormalWeb"/>
        <w:numPr>
          <w:ilvl w:val="0"/>
          <w:numId w:val="4"/>
        </w:numPr>
        <w:spacing w:before="0" w:beforeAutospacing="0" w:after="0" w:afterAutospacing="0" w:line="360" w:lineRule="auto"/>
        <w:jc w:val="both"/>
        <w:textAlignment w:val="baseline"/>
        <w:rPr>
          <w:color w:val="000000"/>
          <w:lang w:val="en-GB"/>
        </w:rPr>
      </w:pPr>
      <w:r w:rsidRPr="008E40D9">
        <w:rPr>
          <w:color w:val="000000"/>
          <w:lang w:val="en-GB"/>
        </w:rPr>
        <w:t>What is the opportunity for fostering gender equality and providing opportunities for women?</w:t>
      </w:r>
    </w:p>
    <w:p w:rsidR="000B5D4E" w:rsidRPr="008E40D9" w:rsidRDefault="000B5D4E" w:rsidP="000B5D4E">
      <w:pPr>
        <w:pStyle w:val="NormalWeb"/>
        <w:numPr>
          <w:ilvl w:val="0"/>
          <w:numId w:val="4"/>
        </w:numPr>
        <w:spacing w:before="0" w:beforeAutospacing="0" w:after="0" w:afterAutospacing="0" w:line="360" w:lineRule="auto"/>
        <w:jc w:val="both"/>
        <w:textAlignment w:val="baseline"/>
        <w:rPr>
          <w:color w:val="000000"/>
          <w:lang w:val="en-GB"/>
        </w:rPr>
      </w:pPr>
      <w:r w:rsidRPr="008E40D9">
        <w:rPr>
          <w:color w:val="000000"/>
          <w:lang w:val="en-GB"/>
        </w:rPr>
        <w:lastRenderedPageBreak/>
        <w:t>How is recommended strategies</w:t>
      </w:r>
      <w:r w:rsidR="007362A9" w:rsidRPr="008E40D9">
        <w:rPr>
          <w:color w:val="000000"/>
          <w:lang w:val="en-GB"/>
        </w:rPr>
        <w:t xml:space="preserve"> </w:t>
      </w:r>
      <w:r w:rsidRPr="008E40D9">
        <w:rPr>
          <w:color w:val="000000"/>
          <w:lang w:val="en-GB"/>
        </w:rPr>
        <w:t>for overcoming identified challenges and enhancing gender diversity within the workplace?</w:t>
      </w:r>
    </w:p>
    <w:p w:rsidR="000B5D4E" w:rsidRPr="008E40D9" w:rsidRDefault="000B5D4E" w:rsidP="000B5D4E">
      <w:pPr>
        <w:pStyle w:val="Heading1"/>
        <w:rPr>
          <w:lang w:val="en-GB"/>
        </w:rPr>
      </w:pPr>
      <w:bookmarkStart w:id="7" w:name="_Toc157884576"/>
      <w:bookmarkStart w:id="8" w:name="_Toc158013549"/>
      <w:r w:rsidRPr="008E40D9">
        <w:rPr>
          <w:lang w:val="en-GB"/>
        </w:rPr>
        <w:t>Literature Review</w:t>
      </w:r>
      <w:bookmarkEnd w:id="7"/>
      <w:bookmarkEnd w:id="8"/>
    </w:p>
    <w:p w:rsidR="000B5D4E" w:rsidRPr="008E40D9" w:rsidRDefault="000B5D4E" w:rsidP="000B5D4E">
      <w:pPr>
        <w:pStyle w:val="Heading2"/>
        <w:rPr>
          <w:lang w:val="en-GB"/>
        </w:rPr>
      </w:pPr>
      <w:bookmarkStart w:id="9" w:name="_Toc157884577"/>
      <w:bookmarkStart w:id="10" w:name="_Toc158013550"/>
      <w:r w:rsidRPr="008E40D9">
        <w:rPr>
          <w:lang w:val="en-GB"/>
        </w:rPr>
        <w:t>Investigate perceptions of women employees regarding equal opportunities within the organization</w:t>
      </w:r>
      <w:bookmarkEnd w:id="9"/>
      <w:bookmarkEnd w:id="10"/>
    </w:p>
    <w:p w:rsidR="000B5D4E" w:rsidRPr="008E40D9" w:rsidRDefault="000B5D4E" w:rsidP="000B5D4E">
      <w:pPr>
        <w:pStyle w:val="NormalWeb"/>
        <w:spacing w:before="0" w:beforeAutospacing="0" w:after="0" w:afterAutospacing="0" w:line="360" w:lineRule="auto"/>
        <w:jc w:val="both"/>
        <w:rPr>
          <w:lang w:val="en-GB"/>
        </w:rPr>
      </w:pPr>
      <w:r w:rsidRPr="008E40D9">
        <w:rPr>
          <w:color w:val="000000"/>
          <w:lang w:val="en-GB"/>
        </w:rPr>
        <w:t xml:space="preserve">Women employees face equal opportunities within an organization that can be influenced by various factors. These are including organizational culture, policies, and workplace practices for providing equal opportunities. As per the views of Bishu and Headley (2020), women employee are reflecting positive changes in recent years that can drive by diversity. Organizationspromote gender equality through transparent policies for career advancement that foster positive perceptions among women employees. Positive work environment can contribute to a sense of equality to encounter gender biases, wage gaps, and limited representation in leadership positions. These are leading to negative perceptions of equal opportunities and unequal distribution of responsibilities. Feng and Savani (2020) noted that gender gap has focused on such as stereotypical expectations around caregiving that can also influence women's advancement in the workplace. Women employees' perceptions of an organization focus groups that help to identify areas and improvement to create a more equitable in the workplace. These are encouraging open communication channels between employees and management that can foster a culture of transparency and accountability (McCluney </w:t>
      </w:r>
      <w:r w:rsidRPr="008E40D9">
        <w:rPr>
          <w:i/>
          <w:iCs/>
          <w:color w:val="000000"/>
          <w:lang w:val="en-GB"/>
        </w:rPr>
        <w:t>et al</w:t>
      </w:r>
      <w:r w:rsidRPr="008E40D9">
        <w:rPr>
          <w:color w:val="000000"/>
          <w:lang w:val="en-GB"/>
        </w:rPr>
        <w:t>., 2021). These are contributing to a more inclusive and supportive work environment to gather positive perceptions of equal opportunities among women employees within the organization.</w:t>
      </w:r>
    </w:p>
    <w:p w:rsidR="000B5D4E" w:rsidRPr="008E40D9" w:rsidRDefault="000B5D4E" w:rsidP="000B5D4E">
      <w:pPr>
        <w:pStyle w:val="Heading2"/>
        <w:rPr>
          <w:lang w:val="en-GB"/>
        </w:rPr>
      </w:pPr>
      <w:bookmarkStart w:id="11" w:name="_Toc157884578"/>
      <w:bookmarkStart w:id="12" w:name="_Toc158013551"/>
      <w:r w:rsidRPr="008E40D9">
        <w:rPr>
          <w:lang w:val="en-GB"/>
        </w:rPr>
        <w:t>Explore disparities between organizational claims that are providing equal opportunities and employees' lived experiences</w:t>
      </w:r>
      <w:bookmarkEnd w:id="11"/>
      <w:bookmarkEnd w:id="12"/>
    </w:p>
    <w:p w:rsidR="000B5D4E" w:rsidRPr="008E40D9" w:rsidRDefault="000B5D4E" w:rsidP="000B5D4E">
      <w:pPr>
        <w:pStyle w:val="NormalWeb"/>
        <w:spacing w:before="0" w:beforeAutospacing="0" w:after="0" w:afterAutospacing="0" w:line="360" w:lineRule="auto"/>
        <w:jc w:val="both"/>
        <w:rPr>
          <w:lang w:val="en-GB"/>
        </w:rPr>
      </w:pPr>
      <w:r w:rsidRPr="008E40D9">
        <w:rPr>
          <w:color w:val="000000"/>
          <w:lang w:val="en-GB"/>
        </w:rPr>
        <w:t xml:space="preserve">Disparities between organizational cultures are providing equal opportunities among employees within a workplace. Companies can boast their commitment to diversity on the ground can reveal a different story that faces on major source of disparity lies in recruitment and promotion processes. As per the opinion of Van Laer, Jammaers and Hoeven (2022), biases can persist in hiring decisions with unconscious prejudices that are affecting the selection of candidates. </w:t>
      </w:r>
      <w:r w:rsidRPr="008E40D9">
        <w:rPr>
          <w:color w:val="000000"/>
          <w:lang w:val="en-GB"/>
        </w:rPr>
        <w:lastRenderedPageBreak/>
        <w:t>Limited transparency in decision-making can create about the fairness of these processes that focus on another area of concern is the existence of gender pay gaps. Equal pay for equal work and women often find themselves earning less than their male counterparts can persist even that are contributing to a sense of inequality among employees. Bishu and Headley (2020) noted that lack of leadership positions is disconnect between organizational claims due to get an experience of employees among women. It can underrepresented groups for challenging to ascend to higher roles that are reflecting to maintain an equality and the actual distribution of power within the organization. Organizations are evaluating and promoting transparency in decision-making that are fostering an inclusive culture are essential steps toward aligning organizational culture. It claims to develop employees experinces that are creating a more equitable work environment.</w:t>
      </w:r>
    </w:p>
    <w:p w:rsidR="000B5D4E" w:rsidRPr="008E40D9" w:rsidRDefault="000B5D4E" w:rsidP="000B5D4E">
      <w:pPr>
        <w:pStyle w:val="Heading2"/>
        <w:rPr>
          <w:lang w:val="en-GB"/>
        </w:rPr>
      </w:pPr>
      <w:bookmarkStart w:id="13" w:name="_Toc157884579"/>
      <w:bookmarkStart w:id="14" w:name="_Toc158013552"/>
      <w:r w:rsidRPr="008E40D9">
        <w:rPr>
          <w:lang w:val="en-GB"/>
        </w:rPr>
        <w:t>Evaluate opportunities for fostering gender equality and providing opportunities for women</w:t>
      </w:r>
      <w:bookmarkEnd w:id="13"/>
      <w:bookmarkEnd w:id="14"/>
    </w:p>
    <w:p w:rsidR="000B5D4E" w:rsidRPr="008E40D9" w:rsidRDefault="000B5D4E" w:rsidP="000B5D4E">
      <w:pPr>
        <w:pStyle w:val="NormalWeb"/>
        <w:spacing w:before="0" w:beforeAutospacing="0" w:after="0" w:afterAutospacing="0" w:line="360" w:lineRule="auto"/>
        <w:jc w:val="both"/>
        <w:rPr>
          <w:lang w:val="en-GB"/>
        </w:rPr>
      </w:pPr>
      <w:r w:rsidRPr="008E40D9">
        <w:rPr>
          <w:color w:val="000000"/>
          <w:lang w:val="en-GB"/>
        </w:rPr>
        <w:t xml:space="preserve">Gender equality are fostering that are providing opportunities for women that requires a organizational policies, cultural shifts, and targeted initiatives. Organizations can prioritize for promoting their awareness of unconscious biases that are fostering open communication among employees feel respected and valued. According to Ocloo </w:t>
      </w:r>
      <w:r w:rsidRPr="008E40D9">
        <w:rPr>
          <w:i/>
          <w:iCs/>
          <w:color w:val="000000"/>
          <w:lang w:val="en-GB"/>
        </w:rPr>
        <w:t>et al.</w:t>
      </w:r>
      <w:r w:rsidRPr="008E40D9">
        <w:rPr>
          <w:color w:val="000000"/>
          <w:lang w:val="en-GB"/>
        </w:rPr>
        <w:t xml:space="preserve"> (2020), unbiased recruitment and enhanced promotion processes to establish diverse hiring panels. It can set a clear criterion for evaluations, and regularly review in pay and promotions. Programs can be supported to career development of women that are providing guidance and advocating for their advancement within the organization</w:t>
      </w:r>
    </w:p>
    <w:p w:rsidR="000B5D4E" w:rsidRPr="008E40D9" w:rsidRDefault="000B5D4E" w:rsidP="000B5D4E">
      <w:pPr>
        <w:pStyle w:val="Heading2"/>
        <w:rPr>
          <w:lang w:val="en-GB"/>
        </w:rPr>
      </w:pPr>
      <w:bookmarkStart w:id="15" w:name="_Toc157884580"/>
      <w:bookmarkStart w:id="16" w:name="_Toc158013553"/>
      <w:r w:rsidRPr="008E40D9">
        <w:rPr>
          <w:lang w:val="en-GB"/>
        </w:rPr>
        <w:t>Recommend strategies</w:t>
      </w:r>
      <w:r w:rsidR="00CC62F4" w:rsidRPr="008E40D9">
        <w:rPr>
          <w:lang w:val="en-GB"/>
        </w:rPr>
        <w:t xml:space="preserve"> </w:t>
      </w:r>
      <w:r w:rsidRPr="008E40D9">
        <w:rPr>
          <w:lang w:val="en-GB"/>
        </w:rPr>
        <w:t>for overcoming identified challenges and enhancing gender diversity within the workplace</w:t>
      </w:r>
      <w:bookmarkEnd w:id="15"/>
      <w:bookmarkEnd w:id="16"/>
    </w:p>
    <w:p w:rsidR="000B5D4E" w:rsidRPr="008E40D9" w:rsidRDefault="000B5D4E" w:rsidP="000B5D4E">
      <w:pPr>
        <w:pStyle w:val="NormalWeb"/>
        <w:spacing w:before="0" w:beforeAutospacing="0" w:after="0" w:afterAutospacing="0" w:line="360" w:lineRule="auto"/>
        <w:jc w:val="both"/>
        <w:rPr>
          <w:lang w:val="en-GB"/>
        </w:rPr>
      </w:pPr>
      <w:r w:rsidRPr="008E40D9">
        <w:rPr>
          <w:color w:val="000000"/>
          <w:lang w:val="en-GB"/>
        </w:rPr>
        <w:t xml:space="preserve">Strategies are needed to overcome </w:t>
      </w:r>
      <w:r w:rsidR="00CC62F4" w:rsidRPr="008E40D9">
        <w:rPr>
          <w:color w:val="000000"/>
          <w:lang w:val="en-GB"/>
        </w:rPr>
        <w:t>challenges that help</w:t>
      </w:r>
      <w:r w:rsidRPr="008E40D9">
        <w:rPr>
          <w:color w:val="000000"/>
          <w:lang w:val="en-GB"/>
        </w:rPr>
        <w:t xml:space="preserve"> to enhance gender diversity within the workplace. Organizations can implement diversity training, transparent policies, flexible work arrangements, mentorship programs and leadership development to reduce </w:t>
      </w:r>
      <w:r w:rsidR="00CC62F4" w:rsidRPr="008E40D9">
        <w:rPr>
          <w:color w:val="000000"/>
          <w:lang w:val="en-GB"/>
        </w:rPr>
        <w:t>these criteria</w:t>
      </w:r>
      <w:r w:rsidRPr="008E40D9">
        <w:rPr>
          <w:color w:val="000000"/>
          <w:lang w:val="en-GB"/>
        </w:rPr>
        <w:t xml:space="preserve">. It is needed to conduct mandatory training programs for all employees that are focusing on unconscious biases. According to Jamil (2020), transparent Policies can establish and communicate clear policies regarding equal opportunities, pay scales, and promotion criteria. Transparency can builds trust that helps for eliminate gender-based disparities like flexible work </w:t>
      </w:r>
      <w:r w:rsidRPr="008E40D9">
        <w:rPr>
          <w:color w:val="000000"/>
          <w:lang w:val="en-GB"/>
        </w:rPr>
        <w:lastRenderedPageBreak/>
        <w:t xml:space="preserve">arrangements. Flexible work arrangements such as remote work options and flexible hours are needed to accommodate diverse needs that can promote work-life balance. Bloom, Colbert and Nielsen (2021) contradicted that mentorship programs can create mentorship initiatives that are pairing experienced leaders with women employees to provide networking opportunities for career advancement. Leadership </w:t>
      </w:r>
      <w:r w:rsidR="00CC62F4" w:rsidRPr="008E40D9">
        <w:rPr>
          <w:color w:val="000000"/>
          <w:lang w:val="en-GB"/>
        </w:rPr>
        <w:t>development is</w:t>
      </w:r>
      <w:r w:rsidRPr="008E40D9">
        <w:rPr>
          <w:color w:val="000000"/>
          <w:lang w:val="en-GB"/>
        </w:rPr>
        <w:t xml:space="preserve"> needed to implement targeted leadership development programs to identify women for leadership positions. These are ensuring a pipeline of diverse leaders at regular audits (Thun, 2020). </w:t>
      </w:r>
      <w:r w:rsidR="009A48CA" w:rsidRPr="008E40D9">
        <w:rPr>
          <w:color w:val="000000"/>
          <w:lang w:val="en-GB"/>
        </w:rPr>
        <w:t>Audits</w:t>
      </w:r>
      <w:r w:rsidRPr="008E40D9">
        <w:rPr>
          <w:color w:val="000000"/>
          <w:lang w:val="en-GB"/>
        </w:rPr>
        <w:t xml:space="preserve"> are</w:t>
      </w:r>
      <w:r w:rsidR="009A48CA" w:rsidRPr="008E40D9">
        <w:rPr>
          <w:color w:val="000000"/>
          <w:lang w:val="en-GB"/>
        </w:rPr>
        <w:t xml:space="preserve"> </w:t>
      </w:r>
      <w:r w:rsidRPr="008E40D9">
        <w:rPr>
          <w:color w:val="000000"/>
          <w:lang w:val="en-GB"/>
        </w:rPr>
        <w:t xml:space="preserve">needed to conduct regular audits of pay scales, promotion rates, </w:t>
      </w:r>
      <w:r w:rsidR="00CC62F4" w:rsidRPr="008E40D9">
        <w:rPr>
          <w:color w:val="000000"/>
          <w:lang w:val="en-GB"/>
        </w:rPr>
        <w:t xml:space="preserve"> </w:t>
      </w:r>
      <w:r w:rsidRPr="008E40D9">
        <w:rPr>
          <w:color w:val="000000"/>
          <w:lang w:val="en-GB"/>
        </w:rPr>
        <w:t>and diversity metrics to rectify any disparities. These are demonstrating a commitment to ongoing improvement like employee resource groups. Employee resource groups have focused on gender diversity to provide advocating criteria for positive change within the organization. Organizations can foster an inclusive culture to create an environment that promotes gender diversity in the workplace.</w:t>
      </w:r>
    </w:p>
    <w:p w:rsidR="000B5D4E" w:rsidRPr="008E40D9" w:rsidRDefault="000B5D4E" w:rsidP="000B5D4E">
      <w:pPr>
        <w:pStyle w:val="Heading2"/>
        <w:rPr>
          <w:lang w:val="en-GB"/>
        </w:rPr>
      </w:pPr>
      <w:bookmarkStart w:id="17" w:name="_Toc157884581"/>
      <w:bookmarkStart w:id="18" w:name="_Toc158013554"/>
      <w:r w:rsidRPr="008E40D9">
        <w:rPr>
          <w:lang w:val="en-GB"/>
        </w:rPr>
        <w:t>Theoretical implication</w:t>
      </w:r>
      <w:bookmarkEnd w:id="17"/>
      <w:bookmarkEnd w:id="18"/>
    </w:p>
    <w:p w:rsidR="000B5D4E" w:rsidRPr="008E40D9" w:rsidRDefault="000B5D4E" w:rsidP="00265D02">
      <w:pPr>
        <w:pStyle w:val="Heading3"/>
        <w:rPr>
          <w:lang w:val="en-GB"/>
        </w:rPr>
      </w:pPr>
      <w:bookmarkStart w:id="19" w:name="_Toc158013555"/>
      <w:r w:rsidRPr="008E40D9">
        <w:rPr>
          <w:lang w:val="en-GB"/>
        </w:rPr>
        <w:t>Organisational Culture Theory</w:t>
      </w:r>
      <w:bookmarkEnd w:id="19"/>
    </w:p>
    <w:p w:rsidR="000B5D4E" w:rsidRPr="008E40D9" w:rsidRDefault="000B5D4E" w:rsidP="000B5D4E">
      <w:pPr>
        <w:pStyle w:val="NormalWeb"/>
        <w:spacing w:before="0" w:beforeAutospacing="0" w:after="0" w:afterAutospacing="0" w:line="360" w:lineRule="auto"/>
        <w:jc w:val="both"/>
        <w:rPr>
          <w:lang w:val="en-GB"/>
        </w:rPr>
      </w:pPr>
      <w:r w:rsidRPr="008E40D9">
        <w:rPr>
          <w:b/>
          <w:bCs/>
          <w:i/>
          <w:iCs/>
          <w:noProof/>
          <w:color w:val="000000"/>
          <w:bdr w:val="none" w:sz="0" w:space="0" w:color="auto" w:frame="1"/>
          <w:lang w:val="en-US" w:eastAsia="en-US" w:bidi="ar-SA"/>
        </w:rPr>
        <w:drawing>
          <wp:inline distT="0" distB="0" distL="0" distR="0">
            <wp:extent cx="4733925" cy="1943100"/>
            <wp:effectExtent l="0" t="0" r="9525" b="0"/>
            <wp:docPr id="2" name="Picture 2" descr="https://lh7-us.googleusercontent.com/EJLEe-WL-NVpr223WOYM-IHek1S06Zr8sOUBf9ov2auE2f3PhzVbKyA6qMjZoqZJHl_xwTXrc47yhs5mg05BywJl00SC2arS5VKfVk2d4yW9qEMM812_cL9yEpt8fhdn8gjQQqL-pdkL5wGUmURAuj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EJLEe-WL-NVpr223WOYM-IHek1S06Zr8sOUBf9ov2auE2f3PhzVbKyA6qMjZoqZJHl_xwTXrc47yhs5mg05BywJl00SC2arS5VKfVk2d4yW9qEMM812_cL9yEpt8fhdn8gjQQqL-pdkL5wGUmURAuj8"/>
                    <pic:cNvPicPr>
                      <a:picLocks noChangeAspect="1" noChangeArrowheads="1"/>
                    </pic:cNvPicPr>
                  </pic:nvPicPr>
                  <pic:blipFill>
                    <a:blip r:embed="rId9">
                      <a:extLst>
                        <a:ext uri="{28A0092B-C50C-407E-A947-70E740481C1C}">
                          <a14:useLocalDpi xmlns:arto="http://schemas.microsoft.com/office/word/2006/arto"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733925" cy="1943100"/>
                    </a:xfrm>
                    <a:prstGeom prst="rect">
                      <a:avLst/>
                    </a:prstGeom>
                    <a:noFill/>
                    <a:ln>
                      <a:noFill/>
                    </a:ln>
                  </pic:spPr>
                </pic:pic>
              </a:graphicData>
            </a:graphic>
          </wp:inline>
        </w:drawing>
      </w:r>
    </w:p>
    <w:p w:rsidR="000B5D4E" w:rsidRPr="008E40D9" w:rsidRDefault="00BA4A59" w:rsidP="000B5D4E">
      <w:pPr>
        <w:pStyle w:val="NormalWeb"/>
        <w:spacing w:before="0" w:beforeAutospacing="0" w:after="0" w:afterAutospacing="0" w:line="360" w:lineRule="auto"/>
        <w:jc w:val="center"/>
        <w:rPr>
          <w:lang w:val="en-GB"/>
        </w:rPr>
      </w:pPr>
      <w:r>
        <w:rPr>
          <w:b/>
          <w:bCs/>
          <w:color w:val="000000"/>
          <w:lang w:val="en-GB"/>
        </w:rPr>
        <w:t>Figure 2</w:t>
      </w:r>
      <w:r w:rsidR="000B5D4E" w:rsidRPr="008E40D9">
        <w:rPr>
          <w:b/>
          <w:bCs/>
          <w:color w:val="000000"/>
          <w:lang w:val="en-GB"/>
        </w:rPr>
        <w:t>: Organisational Culture Theory</w:t>
      </w:r>
    </w:p>
    <w:p w:rsidR="000B5D4E" w:rsidRPr="008E40D9" w:rsidRDefault="000B5D4E" w:rsidP="000B5D4E">
      <w:pPr>
        <w:pStyle w:val="NormalWeb"/>
        <w:spacing w:before="0" w:beforeAutospacing="0" w:after="0" w:afterAutospacing="0" w:line="360" w:lineRule="auto"/>
        <w:jc w:val="center"/>
        <w:rPr>
          <w:lang w:val="en-GB"/>
        </w:rPr>
      </w:pPr>
      <w:r w:rsidRPr="008E40D9">
        <w:rPr>
          <w:color w:val="000000"/>
          <w:lang w:val="en-GB"/>
        </w:rPr>
        <w:t xml:space="preserve">(Source: Influenced by Akanji </w:t>
      </w:r>
      <w:r w:rsidRPr="008E40D9">
        <w:rPr>
          <w:i/>
          <w:iCs/>
          <w:color w:val="000000"/>
          <w:lang w:val="en-GB"/>
        </w:rPr>
        <w:t>et al.</w:t>
      </w:r>
      <w:r w:rsidRPr="008E40D9">
        <w:rPr>
          <w:color w:val="000000"/>
          <w:lang w:val="en-GB"/>
        </w:rPr>
        <w:t>, 2020)</w:t>
      </w:r>
    </w:p>
    <w:p w:rsidR="000B5D4E" w:rsidRPr="008E40D9" w:rsidRDefault="000B5D4E" w:rsidP="000B5D4E">
      <w:pPr>
        <w:pStyle w:val="NormalWeb"/>
        <w:spacing w:before="0" w:beforeAutospacing="0" w:after="0" w:afterAutospacing="0" w:line="360" w:lineRule="auto"/>
        <w:jc w:val="both"/>
        <w:rPr>
          <w:lang w:val="en-GB"/>
        </w:rPr>
      </w:pPr>
      <w:r w:rsidRPr="008E40D9">
        <w:rPr>
          <w:color w:val="000000"/>
          <w:lang w:val="en-GB"/>
        </w:rPr>
        <w:t xml:space="preserve">This theory focus on an organization's culture that are comprising shared values, beliefs, and norms. It can influences to develop an equal opportunities for women employees are perceived and implemented that prioritizes diversity, inclusion, and gender equality (Akanji </w:t>
      </w:r>
      <w:r w:rsidRPr="008E40D9">
        <w:rPr>
          <w:i/>
          <w:iCs/>
          <w:color w:val="000000"/>
          <w:lang w:val="en-GB"/>
        </w:rPr>
        <w:t>et al.,</w:t>
      </w:r>
      <w:r w:rsidRPr="008E40D9">
        <w:rPr>
          <w:color w:val="000000"/>
          <w:lang w:val="en-GB"/>
        </w:rPr>
        <w:t xml:space="preserve"> 2020). Application of this theory fosters an environment where women feel empowered that has an equitable access to opportunities. Therefore, this culture perpetuates gender biases or stereotypes may hinder the realization of equal opportunities.</w:t>
      </w:r>
    </w:p>
    <w:p w:rsidR="000B5D4E" w:rsidRPr="008E40D9" w:rsidRDefault="000B5D4E" w:rsidP="00265D02">
      <w:pPr>
        <w:pStyle w:val="Heading3"/>
        <w:rPr>
          <w:lang w:val="en-GB"/>
        </w:rPr>
      </w:pPr>
      <w:bookmarkStart w:id="20" w:name="_Toc158013556"/>
      <w:r w:rsidRPr="008E40D9">
        <w:rPr>
          <w:lang w:val="en-GB"/>
        </w:rPr>
        <w:lastRenderedPageBreak/>
        <w:t>Structural functionalism theory</w:t>
      </w:r>
      <w:bookmarkEnd w:id="20"/>
    </w:p>
    <w:p w:rsidR="000B5D4E" w:rsidRPr="008E40D9" w:rsidRDefault="000B5D4E" w:rsidP="000B5D4E">
      <w:pPr>
        <w:pStyle w:val="NormalWeb"/>
        <w:spacing w:before="0" w:beforeAutospacing="0" w:after="0" w:afterAutospacing="0" w:line="360" w:lineRule="auto"/>
        <w:jc w:val="center"/>
        <w:rPr>
          <w:lang w:val="en-GB"/>
        </w:rPr>
      </w:pPr>
      <w:r w:rsidRPr="008E40D9">
        <w:rPr>
          <w:b/>
          <w:bCs/>
          <w:i/>
          <w:iCs/>
          <w:noProof/>
          <w:color w:val="000000"/>
          <w:bdr w:val="none" w:sz="0" w:space="0" w:color="auto" w:frame="1"/>
          <w:lang w:val="en-US" w:eastAsia="en-US" w:bidi="ar-SA"/>
        </w:rPr>
        <w:drawing>
          <wp:inline distT="0" distB="0" distL="0" distR="0">
            <wp:extent cx="3629025" cy="2733675"/>
            <wp:effectExtent l="0" t="0" r="9525" b="9525"/>
            <wp:docPr id="1" name="Picture 1" descr="https://lh7-us.googleusercontent.com/cdiG6fruYWqu3aI6rxFkqJfpaSqhECFEiWSezYCVc0RauJQPpbLeu_CL4jvl395p7idn9gM3SDKnxO5qp8UTBURejrb-t6BMmehtmCYmAADqF2nG3O8dXIfl_WGgVq3LI1W4zxvV1kQGjkWM2Ba4j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cdiG6fruYWqu3aI6rxFkqJfpaSqhECFEiWSezYCVc0RauJQPpbLeu_CL4jvl395p7idn9gM3SDKnxO5qp8UTBURejrb-t6BMmehtmCYmAADqF2nG3O8dXIfl_WGgVq3LI1W4zxvV1kQGjkWM2Ba4ja0"/>
                    <pic:cNvPicPr>
                      <a:picLocks noChangeAspect="1" noChangeArrowheads="1"/>
                    </pic:cNvPicPr>
                  </pic:nvPicPr>
                  <pic:blipFill>
                    <a:blip r:embed="rId10">
                      <a:extLst>
                        <a:ext uri="{28A0092B-C50C-407E-A947-70E740481C1C}">
                          <a14:useLocalDpi xmlns:arto="http://schemas.microsoft.com/office/word/2006/arto"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629025" cy="2733675"/>
                    </a:xfrm>
                    <a:prstGeom prst="rect">
                      <a:avLst/>
                    </a:prstGeom>
                    <a:noFill/>
                    <a:ln>
                      <a:noFill/>
                    </a:ln>
                  </pic:spPr>
                </pic:pic>
              </a:graphicData>
            </a:graphic>
          </wp:inline>
        </w:drawing>
      </w:r>
    </w:p>
    <w:p w:rsidR="000B5D4E" w:rsidRPr="008E40D9" w:rsidRDefault="00BA4A59" w:rsidP="000B5D4E">
      <w:pPr>
        <w:pStyle w:val="NormalWeb"/>
        <w:spacing w:before="0" w:beforeAutospacing="0" w:after="0" w:afterAutospacing="0" w:line="360" w:lineRule="auto"/>
        <w:jc w:val="center"/>
        <w:rPr>
          <w:lang w:val="en-GB"/>
        </w:rPr>
      </w:pPr>
      <w:r>
        <w:rPr>
          <w:b/>
          <w:bCs/>
          <w:color w:val="000000"/>
          <w:lang w:val="en-GB"/>
        </w:rPr>
        <w:t>Figure 3</w:t>
      </w:r>
      <w:r w:rsidR="000B5D4E" w:rsidRPr="008E40D9">
        <w:rPr>
          <w:b/>
          <w:bCs/>
          <w:color w:val="000000"/>
          <w:lang w:val="en-GB"/>
        </w:rPr>
        <w:t>: Structural functionalism theory</w:t>
      </w:r>
    </w:p>
    <w:p w:rsidR="000B5D4E" w:rsidRPr="008E40D9" w:rsidRDefault="000B5D4E" w:rsidP="000B5D4E">
      <w:pPr>
        <w:pStyle w:val="NormalWeb"/>
        <w:spacing w:before="0" w:beforeAutospacing="0" w:after="0" w:afterAutospacing="0" w:line="360" w:lineRule="auto"/>
        <w:jc w:val="center"/>
        <w:rPr>
          <w:lang w:val="en-GB"/>
        </w:rPr>
      </w:pPr>
      <w:r w:rsidRPr="008E40D9">
        <w:rPr>
          <w:color w:val="000000"/>
          <w:lang w:val="en-GB"/>
        </w:rPr>
        <w:t xml:space="preserve">(Source: Inspired by Geerlings </w:t>
      </w:r>
      <w:r w:rsidRPr="008E40D9">
        <w:rPr>
          <w:i/>
          <w:iCs/>
          <w:color w:val="000000"/>
          <w:lang w:val="en-GB"/>
        </w:rPr>
        <w:t>et al.</w:t>
      </w:r>
      <w:r w:rsidRPr="008E40D9">
        <w:rPr>
          <w:color w:val="000000"/>
          <w:lang w:val="en-GB"/>
        </w:rPr>
        <w:t>, 2020)</w:t>
      </w:r>
    </w:p>
    <w:p w:rsidR="000B5D4E" w:rsidRPr="008E40D9" w:rsidRDefault="000B5D4E" w:rsidP="000B5D4E">
      <w:pPr>
        <w:pStyle w:val="NormalWeb"/>
        <w:spacing w:before="0" w:beforeAutospacing="0" w:after="0" w:afterAutospacing="0" w:line="360" w:lineRule="auto"/>
        <w:jc w:val="both"/>
        <w:rPr>
          <w:lang w:val="en-GB"/>
        </w:rPr>
      </w:pPr>
      <w:r w:rsidRPr="008E40D9">
        <w:rPr>
          <w:color w:val="000000"/>
          <w:lang w:val="en-GB"/>
        </w:rPr>
        <w:t xml:space="preserve">Structural functionalism theory are structured to </w:t>
      </w:r>
      <w:r w:rsidR="00DA3263" w:rsidRPr="008E40D9">
        <w:rPr>
          <w:color w:val="000000"/>
          <w:lang w:val="en-GB"/>
        </w:rPr>
        <w:t>fulfil</w:t>
      </w:r>
      <w:r w:rsidRPr="008E40D9">
        <w:rPr>
          <w:color w:val="000000"/>
          <w:lang w:val="en-GB"/>
        </w:rPr>
        <w:t xml:space="preserve"> specific functions that affect equal opportunities of gender equality. The organizational structure, policies, and practices play a crucial role with well-defined and transparent structures for recruitment (Geerlings </w:t>
      </w:r>
      <w:r w:rsidRPr="008E40D9">
        <w:rPr>
          <w:i/>
          <w:iCs/>
          <w:color w:val="000000"/>
          <w:lang w:val="en-GB"/>
        </w:rPr>
        <w:t>et al.</w:t>
      </w:r>
      <w:r w:rsidRPr="008E40D9">
        <w:rPr>
          <w:color w:val="000000"/>
          <w:lang w:val="en-GB"/>
        </w:rPr>
        <w:t>, 2020). These are needed</w:t>
      </w:r>
      <w:r w:rsidR="00DA3263" w:rsidRPr="008E40D9">
        <w:rPr>
          <w:color w:val="000000"/>
          <w:lang w:val="en-GB"/>
        </w:rPr>
        <w:t xml:space="preserve"> </w:t>
      </w:r>
      <w:r w:rsidRPr="008E40D9">
        <w:rPr>
          <w:color w:val="000000"/>
          <w:lang w:val="en-GB"/>
        </w:rPr>
        <w:t xml:space="preserve">promotions, and decision-making </w:t>
      </w:r>
      <w:r w:rsidR="00DA3263" w:rsidRPr="008E40D9">
        <w:rPr>
          <w:color w:val="000000"/>
          <w:lang w:val="en-GB"/>
        </w:rPr>
        <w:t>that ensures</w:t>
      </w:r>
      <w:r w:rsidRPr="008E40D9">
        <w:rPr>
          <w:color w:val="000000"/>
          <w:lang w:val="en-GB"/>
        </w:rPr>
        <w:t xml:space="preserve"> equal opportunities for women. Therefore, application of this theory is seen due to lack of structural clarity or the presence of gender-biased structures to attainment of gender equality within the organization.</w:t>
      </w:r>
    </w:p>
    <w:p w:rsidR="007977D8" w:rsidRPr="008E40D9" w:rsidRDefault="007977D8" w:rsidP="000B5D4E">
      <w:pPr>
        <w:pStyle w:val="Heading1"/>
        <w:rPr>
          <w:lang w:val="en-GB"/>
        </w:rPr>
      </w:pPr>
      <w:bookmarkStart w:id="21" w:name="_Toc158013557"/>
      <w:bookmarkStart w:id="22" w:name="_Toc157884582"/>
      <w:r w:rsidRPr="008E40D9">
        <w:rPr>
          <w:lang w:val="en-GB"/>
        </w:rPr>
        <w:t>Research methodology</w:t>
      </w:r>
      <w:bookmarkEnd w:id="21"/>
    </w:p>
    <w:p w:rsidR="00E90C5F" w:rsidRPr="008E40D9" w:rsidRDefault="00E90C5F" w:rsidP="00E90C5F">
      <w:pPr>
        <w:pStyle w:val="Heading2"/>
        <w:rPr>
          <w:lang w:val="en-GB"/>
        </w:rPr>
      </w:pPr>
      <w:bookmarkStart w:id="23" w:name="_Toc158013558"/>
      <w:r w:rsidRPr="008E40D9">
        <w:rPr>
          <w:lang w:val="en-GB"/>
        </w:rPr>
        <w:t>Research onion</w:t>
      </w:r>
      <w:bookmarkEnd w:id="23"/>
    </w:p>
    <w:p w:rsidR="00E90C5F" w:rsidRPr="008E40D9" w:rsidRDefault="00E90C5F" w:rsidP="00E90C5F">
      <w:pPr>
        <w:pStyle w:val="NormalWeb"/>
        <w:spacing w:before="0" w:beforeAutospacing="0" w:after="0" w:afterAutospacing="0" w:line="360" w:lineRule="auto"/>
        <w:jc w:val="both"/>
        <w:rPr>
          <w:lang w:val="en-GB"/>
        </w:rPr>
      </w:pPr>
      <w:r w:rsidRPr="008E40D9">
        <w:rPr>
          <w:color w:val="000000"/>
          <w:lang w:val="en-GB"/>
        </w:rPr>
        <w:t xml:space="preserve">An established theoretical framework that accurately depicts multiple layers of a research process is called the "research onion." According to Saunders </w:t>
      </w:r>
      <w:r w:rsidRPr="008E40D9">
        <w:rPr>
          <w:i/>
          <w:iCs/>
          <w:color w:val="000000"/>
          <w:lang w:val="en-GB"/>
        </w:rPr>
        <w:t xml:space="preserve">et al. </w:t>
      </w:r>
      <w:r w:rsidRPr="008E40D9">
        <w:rPr>
          <w:color w:val="000000"/>
          <w:lang w:val="en-GB"/>
        </w:rPr>
        <w:t xml:space="preserve">(2019), the proponent Saunders has provided a thorough framework for appropriately designing a research approach. It greatly aids in carrying out an extremely fruitful study procedure. The way the layers of the research onion are interconnected reveals different decision-making and functionality within a given study. In order to produce the most significant findings for the study, it offers specific </w:t>
      </w:r>
      <w:r w:rsidRPr="008E40D9">
        <w:rPr>
          <w:color w:val="000000"/>
          <w:lang w:val="en-GB"/>
        </w:rPr>
        <w:lastRenderedPageBreak/>
        <w:t>opinions based on the modification of research philosophies, approaches, designs, and extra methodologies. </w:t>
      </w:r>
    </w:p>
    <w:p w:rsidR="00E90C5F" w:rsidRPr="008E40D9" w:rsidRDefault="00E90C5F" w:rsidP="00BA4A59">
      <w:pPr>
        <w:pStyle w:val="NormalWeb"/>
        <w:spacing w:before="0" w:beforeAutospacing="0" w:after="0" w:afterAutospacing="0" w:line="360" w:lineRule="auto"/>
        <w:jc w:val="center"/>
        <w:rPr>
          <w:lang w:val="en-GB"/>
        </w:rPr>
      </w:pPr>
      <w:r w:rsidRPr="008E40D9">
        <w:rPr>
          <w:noProof/>
          <w:color w:val="000000"/>
          <w:bdr w:val="single" w:sz="8" w:space="0" w:color="000000" w:frame="1"/>
          <w:lang w:val="en-US" w:eastAsia="en-US" w:bidi="ar-SA"/>
        </w:rPr>
        <w:drawing>
          <wp:inline distT="0" distB="0" distL="0" distR="0">
            <wp:extent cx="5943600" cy="4389120"/>
            <wp:effectExtent l="19050" t="0" r="0" b="0"/>
            <wp:docPr id="4" name="Picture 1" descr="https://lh7-us.googleusercontent.com/f-cp0Lh8z7bOXSgFNfdnLGxgp6kh1R_8Km3znbhMl09sferwe8xGbpCf-sLomi0psyg0X7YaZTKVYPimmo9PyIqMMKFtXGPK2Kpvpq_u5LT1jfPcqw0XNLNDpVUYib1peGZLOuQ-vFlZZ9HUPWv8H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f-cp0Lh8z7bOXSgFNfdnLGxgp6kh1R_8Km3znbhMl09sferwe8xGbpCf-sLomi0psyg0X7YaZTKVYPimmo9PyIqMMKFtXGPK2Kpvpq_u5LT1jfPcqw0XNLNDpVUYib1peGZLOuQ-vFlZZ9HUPWv8HE8"/>
                    <pic:cNvPicPr>
                      <a:picLocks noChangeAspect="1" noChangeArrowheads="1"/>
                    </pic:cNvPicPr>
                  </pic:nvPicPr>
                  <pic:blipFill>
                    <a:blip r:embed="rId11"/>
                    <a:srcRect/>
                    <a:stretch>
                      <a:fillRect/>
                    </a:stretch>
                  </pic:blipFill>
                  <pic:spPr bwMode="auto">
                    <a:xfrm>
                      <a:off x="0" y="0"/>
                      <a:ext cx="5943600" cy="4389120"/>
                    </a:xfrm>
                    <a:prstGeom prst="rect">
                      <a:avLst/>
                    </a:prstGeom>
                    <a:noFill/>
                    <a:ln w="9525">
                      <a:noFill/>
                      <a:miter lim="800000"/>
                      <a:headEnd/>
                      <a:tailEnd/>
                    </a:ln>
                  </pic:spPr>
                </pic:pic>
              </a:graphicData>
            </a:graphic>
          </wp:inline>
        </w:drawing>
      </w:r>
    </w:p>
    <w:p w:rsidR="00E90C5F" w:rsidRPr="00BA4A59" w:rsidRDefault="00BA4A59" w:rsidP="00BA4A59">
      <w:pPr>
        <w:pStyle w:val="Heading5"/>
        <w:spacing w:before="220" w:after="40" w:line="360" w:lineRule="auto"/>
        <w:jc w:val="center"/>
        <w:rPr>
          <w:rFonts w:ascii="Times New Roman" w:hAnsi="Times New Roman" w:cs="Times New Roman"/>
          <w:b/>
          <w:lang w:val="en-GB"/>
        </w:rPr>
      </w:pPr>
      <w:r w:rsidRPr="00BA4A59">
        <w:rPr>
          <w:rFonts w:ascii="Times New Roman" w:hAnsi="Times New Roman" w:cs="Times New Roman"/>
          <w:b/>
          <w:color w:val="000000"/>
          <w:sz w:val="24"/>
          <w:szCs w:val="24"/>
          <w:lang w:val="en-GB"/>
        </w:rPr>
        <w:t>Figure 4</w:t>
      </w:r>
      <w:r w:rsidR="00E90C5F" w:rsidRPr="00BA4A59">
        <w:rPr>
          <w:rFonts w:ascii="Times New Roman" w:hAnsi="Times New Roman" w:cs="Times New Roman"/>
          <w:b/>
          <w:color w:val="000000"/>
          <w:sz w:val="24"/>
          <w:szCs w:val="24"/>
          <w:lang w:val="en-GB"/>
        </w:rPr>
        <w:t>: Research Onion</w:t>
      </w:r>
    </w:p>
    <w:p w:rsidR="00E90C5F" w:rsidRPr="008E40D9" w:rsidRDefault="00E90C5F" w:rsidP="00BA4A59">
      <w:pPr>
        <w:pStyle w:val="NormalWeb"/>
        <w:spacing w:before="240" w:beforeAutospacing="0" w:after="240" w:afterAutospacing="0" w:line="360" w:lineRule="auto"/>
        <w:jc w:val="center"/>
        <w:rPr>
          <w:lang w:val="en-GB"/>
        </w:rPr>
      </w:pPr>
      <w:r w:rsidRPr="008E40D9">
        <w:rPr>
          <w:color w:val="000000"/>
          <w:lang w:val="en-GB"/>
        </w:rPr>
        <w:t>(Source: Inspired by Saunders</w:t>
      </w:r>
      <w:r w:rsidRPr="008E40D9">
        <w:rPr>
          <w:i/>
          <w:iCs/>
          <w:color w:val="000000"/>
          <w:lang w:val="en-GB"/>
        </w:rPr>
        <w:t xml:space="preserve"> et al.</w:t>
      </w:r>
      <w:r w:rsidRPr="008E40D9">
        <w:rPr>
          <w:color w:val="000000"/>
          <w:lang w:val="en-GB"/>
        </w:rPr>
        <w:t xml:space="preserve"> 2019)</w:t>
      </w:r>
    </w:p>
    <w:p w:rsidR="00E90C5F" w:rsidRPr="008E40D9" w:rsidRDefault="00E90C5F" w:rsidP="00E90C5F">
      <w:pPr>
        <w:pStyle w:val="Heading2"/>
        <w:rPr>
          <w:lang w:val="en-GB"/>
        </w:rPr>
      </w:pPr>
      <w:bookmarkStart w:id="24" w:name="_Toc158013559"/>
      <w:r w:rsidRPr="008E40D9">
        <w:rPr>
          <w:lang w:val="en-GB"/>
        </w:rPr>
        <w:t>Research philosophy</w:t>
      </w:r>
      <w:bookmarkEnd w:id="24"/>
    </w:p>
    <w:p w:rsidR="00E90C5F" w:rsidRPr="008E40D9" w:rsidRDefault="00E90C5F" w:rsidP="00E90C5F">
      <w:pPr>
        <w:pStyle w:val="NormalWeb"/>
        <w:spacing w:before="0" w:beforeAutospacing="0" w:after="0" w:afterAutospacing="0" w:line="360" w:lineRule="auto"/>
        <w:jc w:val="both"/>
        <w:rPr>
          <w:lang w:val="en-GB"/>
        </w:rPr>
      </w:pPr>
      <w:r w:rsidRPr="008E40D9">
        <w:rPr>
          <w:color w:val="000000"/>
          <w:lang w:val="en-GB"/>
        </w:rPr>
        <w:t>Choosing the best research philosophy is crucial for a certain study in order to approach the research in an organised manner (Sun</w:t>
      </w:r>
      <w:r w:rsidRPr="008E40D9">
        <w:rPr>
          <w:i/>
          <w:iCs/>
          <w:color w:val="000000"/>
          <w:lang w:val="en-GB"/>
        </w:rPr>
        <w:t xml:space="preserve"> et al.</w:t>
      </w:r>
      <w:r w:rsidRPr="008E40D9">
        <w:rPr>
          <w:color w:val="000000"/>
          <w:lang w:val="en-GB"/>
        </w:rPr>
        <w:t xml:space="preserve"> 2020). In order to determine the most definitive answers within the study's field, the interpretivism research philosophy will be applied to this specific investigation. Interpretivism, in particular, concentrates on the study's subjective standards, which is helpful in addressing how culture affects equal opportunity in the workplace. Its broad viewpoint and acceptance of contextual information will be useful in identifying the </w:t>
      </w:r>
      <w:r w:rsidRPr="008E40D9">
        <w:rPr>
          <w:color w:val="000000"/>
          <w:lang w:val="en-GB"/>
        </w:rPr>
        <w:lastRenderedPageBreak/>
        <w:t>barriers to cultural adaptation that significantly impede the provision of equal chances, in addition to aiding in the identification of the influence. </w:t>
      </w:r>
    </w:p>
    <w:p w:rsidR="00E90C5F" w:rsidRPr="008E40D9" w:rsidRDefault="00E90C5F" w:rsidP="00E90C5F">
      <w:pPr>
        <w:pStyle w:val="Heading2"/>
        <w:rPr>
          <w:lang w:val="en-GB"/>
        </w:rPr>
      </w:pPr>
      <w:bookmarkStart w:id="25" w:name="_Toc158013560"/>
      <w:r w:rsidRPr="008E40D9">
        <w:rPr>
          <w:lang w:val="en-GB"/>
        </w:rPr>
        <w:t>Research approach</w:t>
      </w:r>
      <w:bookmarkEnd w:id="25"/>
    </w:p>
    <w:p w:rsidR="00E90C5F" w:rsidRPr="008E40D9" w:rsidRDefault="00E90C5F" w:rsidP="00E90C5F">
      <w:pPr>
        <w:pStyle w:val="NormalWeb"/>
        <w:spacing w:before="0" w:beforeAutospacing="0" w:after="0" w:afterAutospacing="0" w:line="360" w:lineRule="auto"/>
        <w:jc w:val="both"/>
        <w:rPr>
          <w:lang w:val="en-GB"/>
        </w:rPr>
      </w:pPr>
      <w:r w:rsidRPr="008E40D9">
        <w:rPr>
          <w:color w:val="000000"/>
          <w:lang w:val="en-GB"/>
        </w:rPr>
        <w:t xml:space="preserve">Developing methods of investigation for a dissertation benefits from an understanding of the research approach used in that particular study. It works remarkably well to create the concept through the study mode (Baştuğ </w:t>
      </w:r>
      <w:r w:rsidRPr="008E40D9">
        <w:rPr>
          <w:i/>
          <w:iCs/>
          <w:color w:val="000000"/>
          <w:lang w:val="en-GB"/>
        </w:rPr>
        <w:t>et al.</w:t>
      </w:r>
      <w:r w:rsidRPr="008E40D9">
        <w:rPr>
          <w:color w:val="000000"/>
          <w:lang w:val="en-GB"/>
        </w:rPr>
        <w:t xml:space="preserve"> 2020). In order to gather data as efficiently as possible and then build an empirical theory that will be extremely useful for comprehending the cultural adaptations for providing equal opportunities for employees. The deductive research approach will be chosen for this particular study. The deductive method of research will work well in this situation because the study required validation of the hypothesis by examining cultural facts and the specific notion of influence on the adoption process, which would be useful to discuss in more detail later. </w:t>
      </w:r>
    </w:p>
    <w:p w:rsidR="00E90C5F" w:rsidRPr="008E40D9" w:rsidRDefault="00E90C5F" w:rsidP="00BA4A59">
      <w:pPr>
        <w:pStyle w:val="NormalWeb"/>
        <w:spacing w:before="0" w:beforeAutospacing="0" w:after="0" w:afterAutospacing="0" w:line="360" w:lineRule="auto"/>
        <w:jc w:val="center"/>
        <w:rPr>
          <w:lang w:val="en-GB"/>
        </w:rPr>
      </w:pPr>
      <w:r w:rsidRPr="008E40D9">
        <w:rPr>
          <w:noProof/>
          <w:color w:val="000000"/>
          <w:bdr w:val="single" w:sz="8" w:space="0" w:color="000000" w:frame="1"/>
          <w:lang w:val="en-US" w:eastAsia="en-US" w:bidi="ar-SA"/>
        </w:rPr>
        <w:drawing>
          <wp:inline distT="0" distB="0" distL="0" distR="0">
            <wp:extent cx="5943600" cy="1760220"/>
            <wp:effectExtent l="19050" t="0" r="0" b="0"/>
            <wp:docPr id="3" name="Picture 2" descr="https://lh7-us.googleusercontent.com/bEQK14qfPTkoZCHABdbfleqMSSZij8iNMbXaMpzCNnK4FkSRdpFv4177KHmgmipapKFrtJk6MVPhkWj1PhU7RrEo26IU7AAJNZdNIWvD2Molekyp3Wk68ZwALpE4wA_zK2e0j5obUKJym6YCPOQg2-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bEQK14qfPTkoZCHABdbfleqMSSZij8iNMbXaMpzCNnK4FkSRdpFv4177KHmgmipapKFrtJk6MVPhkWj1PhU7RrEo26IU7AAJNZdNIWvD2Molekyp3Wk68ZwALpE4wA_zK2e0j5obUKJym6YCPOQg2-o"/>
                    <pic:cNvPicPr>
                      <a:picLocks noChangeAspect="1" noChangeArrowheads="1"/>
                    </pic:cNvPicPr>
                  </pic:nvPicPr>
                  <pic:blipFill>
                    <a:blip r:embed="rId12"/>
                    <a:srcRect/>
                    <a:stretch>
                      <a:fillRect/>
                    </a:stretch>
                  </pic:blipFill>
                  <pic:spPr bwMode="auto">
                    <a:xfrm>
                      <a:off x="0" y="0"/>
                      <a:ext cx="5943600" cy="1760220"/>
                    </a:xfrm>
                    <a:prstGeom prst="rect">
                      <a:avLst/>
                    </a:prstGeom>
                    <a:noFill/>
                    <a:ln w="9525">
                      <a:noFill/>
                      <a:miter lim="800000"/>
                      <a:headEnd/>
                      <a:tailEnd/>
                    </a:ln>
                  </pic:spPr>
                </pic:pic>
              </a:graphicData>
            </a:graphic>
          </wp:inline>
        </w:drawing>
      </w:r>
    </w:p>
    <w:p w:rsidR="00E90C5F" w:rsidRPr="00BA4A59" w:rsidRDefault="00E90C5F" w:rsidP="00BA4A59">
      <w:pPr>
        <w:pStyle w:val="NormalWeb"/>
        <w:spacing w:before="0" w:beforeAutospacing="0" w:after="0" w:afterAutospacing="0" w:line="360" w:lineRule="auto"/>
        <w:jc w:val="center"/>
        <w:rPr>
          <w:b/>
          <w:lang w:val="en-GB"/>
        </w:rPr>
      </w:pPr>
      <w:r w:rsidRPr="00BA4A59">
        <w:rPr>
          <w:b/>
          <w:color w:val="000000"/>
          <w:lang w:val="en-GB"/>
        </w:rPr>
        <w:t xml:space="preserve">Figure </w:t>
      </w:r>
      <w:r w:rsidR="00BA4A59" w:rsidRPr="00BA4A59">
        <w:rPr>
          <w:b/>
          <w:color w:val="000000"/>
          <w:lang w:val="en-GB"/>
        </w:rPr>
        <w:t>5</w:t>
      </w:r>
      <w:r w:rsidRPr="00BA4A59">
        <w:rPr>
          <w:b/>
          <w:color w:val="000000"/>
          <w:lang w:val="en-GB"/>
        </w:rPr>
        <w:t>: Deductive research approach</w:t>
      </w:r>
    </w:p>
    <w:p w:rsidR="00E90C5F" w:rsidRPr="008E40D9" w:rsidRDefault="00E90C5F" w:rsidP="00BA4A59">
      <w:pPr>
        <w:pStyle w:val="NormalWeb"/>
        <w:spacing w:before="0" w:beforeAutospacing="0" w:after="0" w:afterAutospacing="0" w:line="360" w:lineRule="auto"/>
        <w:jc w:val="center"/>
        <w:rPr>
          <w:lang w:val="en-GB"/>
        </w:rPr>
      </w:pPr>
      <w:r w:rsidRPr="008E40D9">
        <w:rPr>
          <w:color w:val="000000"/>
          <w:lang w:val="en-GB"/>
        </w:rPr>
        <w:t xml:space="preserve">(Source: Baştuğ </w:t>
      </w:r>
      <w:r w:rsidRPr="008E40D9">
        <w:rPr>
          <w:i/>
          <w:iCs/>
          <w:color w:val="000000"/>
          <w:lang w:val="en-GB"/>
        </w:rPr>
        <w:t>et al.</w:t>
      </w:r>
      <w:r w:rsidRPr="008E40D9">
        <w:rPr>
          <w:color w:val="000000"/>
          <w:lang w:val="en-GB"/>
        </w:rPr>
        <w:t xml:space="preserve"> 2020)</w:t>
      </w:r>
    </w:p>
    <w:p w:rsidR="00E90C5F" w:rsidRPr="008E40D9" w:rsidRDefault="00E90C5F" w:rsidP="00E90C5F">
      <w:pPr>
        <w:pStyle w:val="Heading2"/>
        <w:rPr>
          <w:lang w:val="en-GB"/>
        </w:rPr>
      </w:pPr>
      <w:bookmarkStart w:id="26" w:name="_Toc158013561"/>
      <w:r w:rsidRPr="008E40D9">
        <w:rPr>
          <w:lang w:val="en-GB"/>
        </w:rPr>
        <w:t>Research method</w:t>
      </w:r>
      <w:bookmarkEnd w:id="26"/>
    </w:p>
    <w:p w:rsidR="00E90C5F" w:rsidRPr="008E40D9" w:rsidRDefault="00E90C5F" w:rsidP="00E90C5F">
      <w:pPr>
        <w:pStyle w:val="NormalWeb"/>
        <w:spacing w:before="0" w:beforeAutospacing="0" w:after="0" w:afterAutospacing="0" w:line="360" w:lineRule="auto"/>
        <w:jc w:val="both"/>
        <w:rPr>
          <w:lang w:val="en-GB"/>
        </w:rPr>
      </w:pPr>
      <w:r w:rsidRPr="008E40D9">
        <w:rPr>
          <w:color w:val="000000"/>
          <w:lang w:val="en-GB"/>
        </w:rPr>
        <w:t xml:space="preserve">For this specific study, the secondary qualitative research approach would be used to learn about various cultural conceptions in the workplace for providing equal opportunities to women. Despite the cross-border component, the secondary mode will be beneficial for the diversified search in recognising the obstacles and effects of cultural prospects for women in the workplace. Furthermore, qualitative research can substantially contribute to the elaboration of the intentions behind understanding and portraying the genuine meaning of the cultural concept behind </w:t>
      </w:r>
      <w:r w:rsidRPr="008E40D9">
        <w:rPr>
          <w:color w:val="000000"/>
          <w:lang w:val="en-GB"/>
        </w:rPr>
        <w:lastRenderedPageBreak/>
        <w:t>granting women equal opportunities. This kind of research methodology is likewise highly successful, according to the "cost effective mode of analysis" used for the current investigation. </w:t>
      </w:r>
    </w:p>
    <w:p w:rsidR="00E90C5F" w:rsidRPr="008E40D9" w:rsidRDefault="00E90C5F" w:rsidP="00E90C5F">
      <w:pPr>
        <w:pStyle w:val="Heading2"/>
        <w:rPr>
          <w:lang w:val="en-GB"/>
        </w:rPr>
      </w:pPr>
      <w:bookmarkStart w:id="27" w:name="_Toc158013562"/>
      <w:r w:rsidRPr="008E40D9">
        <w:rPr>
          <w:lang w:val="en-GB"/>
        </w:rPr>
        <w:t>Data collection</w:t>
      </w:r>
      <w:bookmarkEnd w:id="27"/>
      <w:r w:rsidRPr="008E40D9">
        <w:rPr>
          <w:lang w:val="en-GB"/>
        </w:rPr>
        <w:t> </w:t>
      </w:r>
    </w:p>
    <w:p w:rsidR="00E90C5F" w:rsidRPr="008E40D9" w:rsidRDefault="00E90C5F" w:rsidP="00E90C5F">
      <w:pPr>
        <w:pStyle w:val="NormalWeb"/>
        <w:spacing w:before="0" w:beforeAutospacing="0" w:after="0" w:afterAutospacing="0" w:line="360" w:lineRule="auto"/>
        <w:jc w:val="both"/>
        <w:rPr>
          <w:lang w:val="en-GB"/>
        </w:rPr>
      </w:pPr>
      <w:r w:rsidRPr="008E40D9">
        <w:rPr>
          <w:color w:val="000000"/>
          <w:lang w:val="en-GB"/>
        </w:rPr>
        <w:t xml:space="preserve">For this investigation, secondary data </w:t>
      </w:r>
      <w:r w:rsidR="00D91006">
        <w:rPr>
          <w:color w:val="000000"/>
          <w:lang w:val="en-GB"/>
        </w:rPr>
        <w:t xml:space="preserve">based on the systematic review </w:t>
      </w:r>
      <w:r w:rsidRPr="008E40D9">
        <w:rPr>
          <w:color w:val="000000"/>
          <w:lang w:val="en-GB"/>
        </w:rPr>
        <w:t xml:space="preserve">will be </w:t>
      </w:r>
      <w:r w:rsidR="00D91006">
        <w:rPr>
          <w:color w:val="000000"/>
          <w:lang w:val="en-GB"/>
        </w:rPr>
        <w:t xml:space="preserve">conducted </w:t>
      </w:r>
      <w:r w:rsidRPr="008E40D9">
        <w:rPr>
          <w:color w:val="000000"/>
          <w:lang w:val="en-GB"/>
        </w:rPr>
        <w:t>from reliable search engines. For this study, search engines such as Google Scholar, ScienceDirect, and PubMed will be taken into consideration. Only legitimate journal papers that are appropriately relevant to the current study will be taken into consideration. Reports from reliable publications, such the FT, BBC, and Thegarudian, might be taken into consideration to support the conclusions.</w:t>
      </w:r>
    </w:p>
    <w:p w:rsidR="00E90C5F" w:rsidRPr="008E40D9" w:rsidRDefault="00E90C5F" w:rsidP="00E90C5F">
      <w:pPr>
        <w:pStyle w:val="Heading2"/>
        <w:rPr>
          <w:lang w:val="en-GB"/>
        </w:rPr>
      </w:pPr>
      <w:bookmarkStart w:id="28" w:name="_Toc158013563"/>
      <w:r w:rsidRPr="008E40D9">
        <w:rPr>
          <w:lang w:val="en-GB"/>
        </w:rPr>
        <w:t>Rationale</w:t>
      </w:r>
      <w:bookmarkEnd w:id="28"/>
    </w:p>
    <w:p w:rsidR="00E90C5F" w:rsidRPr="008E40D9" w:rsidRDefault="00E90C5F" w:rsidP="00E90C5F">
      <w:pPr>
        <w:pStyle w:val="NormalWeb"/>
        <w:spacing w:before="0" w:beforeAutospacing="0" w:after="0" w:afterAutospacing="0" w:line="360" w:lineRule="auto"/>
        <w:jc w:val="both"/>
        <w:rPr>
          <w:lang w:val="en-GB"/>
        </w:rPr>
      </w:pPr>
      <w:r w:rsidRPr="008E40D9">
        <w:rPr>
          <w:color w:val="000000"/>
          <w:lang w:val="en-GB"/>
        </w:rPr>
        <w:t xml:space="preserve">Gender equality is also a strategic imperative for organizations pursuing sustainable success on a dynamic international market. As part of the employee experience, organizational culture, including shared values, beliefs, and </w:t>
      </w:r>
      <w:r w:rsidR="00B306CB" w:rsidRPr="008E40D9">
        <w:rPr>
          <w:color w:val="000000"/>
          <w:lang w:val="en-GB"/>
        </w:rPr>
        <w:t>behaviours</w:t>
      </w:r>
      <w:r w:rsidRPr="008E40D9">
        <w:rPr>
          <w:color w:val="000000"/>
          <w:lang w:val="en-GB"/>
        </w:rPr>
        <w:t xml:space="preserve">, is critical. Its impact can be seen in the process of policy development, </w:t>
      </w:r>
      <w:r w:rsidR="00B306CB" w:rsidRPr="008E40D9">
        <w:rPr>
          <w:color w:val="000000"/>
          <w:lang w:val="en-GB"/>
        </w:rPr>
        <w:t>behavioural</w:t>
      </w:r>
      <w:r w:rsidRPr="008E40D9">
        <w:rPr>
          <w:color w:val="000000"/>
          <w:lang w:val="en-GB"/>
        </w:rPr>
        <w:t xml:space="preserve"> acceptance, and inclusive or exclusive production setting. Companies that promote an inclusive culture are more likely to attract and retain diverse talent, foster innovation and achieve superior organizational outcomes. As a result, there is a need for practical keen insights that can guide organizations on ways in which they can develop cultures that promote equal opportunities for all employees regardless of gender. In order to devise effective interventions, it is essential to explore how the organizational culture acts as a determinant factor for equal opportunities.</w:t>
      </w:r>
    </w:p>
    <w:p w:rsidR="00E90C5F" w:rsidRPr="008E40D9" w:rsidRDefault="00E90C5F" w:rsidP="00E90C5F">
      <w:pPr>
        <w:pStyle w:val="Heading2"/>
        <w:rPr>
          <w:lang w:val="en-GB"/>
        </w:rPr>
      </w:pPr>
      <w:bookmarkStart w:id="29" w:name="_Toc158013564"/>
      <w:r w:rsidRPr="008E40D9">
        <w:rPr>
          <w:lang w:val="en-GB"/>
        </w:rPr>
        <w:t>Data analysis</w:t>
      </w:r>
      <w:bookmarkEnd w:id="29"/>
    </w:p>
    <w:p w:rsidR="00E90C5F" w:rsidRPr="008E40D9" w:rsidRDefault="00E90C5F" w:rsidP="00E90C5F">
      <w:pPr>
        <w:pStyle w:val="NormalWeb"/>
        <w:spacing w:before="0" w:beforeAutospacing="0" w:after="0" w:afterAutospacing="0" w:line="360" w:lineRule="auto"/>
        <w:jc w:val="both"/>
        <w:rPr>
          <w:lang w:val="en-GB"/>
        </w:rPr>
      </w:pPr>
      <w:r w:rsidRPr="008E40D9">
        <w:rPr>
          <w:color w:val="000000"/>
          <w:lang w:val="en-GB"/>
        </w:rPr>
        <w:t>In this specific study</w:t>
      </w:r>
      <w:r w:rsidR="00B306CB">
        <w:rPr>
          <w:color w:val="000000"/>
          <w:lang w:val="en-GB"/>
        </w:rPr>
        <w:t>, systematic review of the</w:t>
      </w:r>
      <w:r w:rsidRPr="008E40D9">
        <w:rPr>
          <w:color w:val="000000"/>
          <w:lang w:val="en-GB"/>
        </w:rPr>
        <w:t xml:space="preserve"> data analysis will be conducted. This is a commonly used format for creating a flexible method of qualitative data analysis. When providing a thorough investigation of the cultural realities shaping the idea of equal opportunity, </w:t>
      </w:r>
      <w:r w:rsidR="00B306CB">
        <w:rPr>
          <w:color w:val="000000"/>
          <w:lang w:val="en-GB"/>
        </w:rPr>
        <w:t xml:space="preserve">systematic review </w:t>
      </w:r>
      <w:r w:rsidRPr="008E40D9">
        <w:rPr>
          <w:color w:val="000000"/>
          <w:lang w:val="en-GB"/>
        </w:rPr>
        <w:t>analysis will be incredibly beneficial. </w:t>
      </w:r>
    </w:p>
    <w:p w:rsidR="00E90C5F" w:rsidRPr="008E40D9" w:rsidRDefault="00E90C5F" w:rsidP="00E90C5F">
      <w:pPr>
        <w:pStyle w:val="Heading2"/>
        <w:rPr>
          <w:lang w:val="en-GB"/>
        </w:rPr>
      </w:pPr>
      <w:bookmarkStart w:id="30" w:name="_Toc158013565"/>
      <w:r w:rsidRPr="008E40D9">
        <w:rPr>
          <w:lang w:val="en-GB"/>
        </w:rPr>
        <w:lastRenderedPageBreak/>
        <w:t>Ethical consideration</w:t>
      </w:r>
      <w:bookmarkEnd w:id="30"/>
    </w:p>
    <w:p w:rsidR="00E90C5F" w:rsidRPr="008E40D9" w:rsidRDefault="00E90C5F" w:rsidP="00E90C5F">
      <w:pPr>
        <w:pStyle w:val="NormalWeb"/>
        <w:spacing w:before="0" w:beforeAutospacing="0" w:after="0" w:afterAutospacing="0" w:line="360" w:lineRule="auto"/>
        <w:jc w:val="both"/>
        <w:rPr>
          <w:lang w:val="en-GB"/>
        </w:rPr>
      </w:pPr>
      <w:r w:rsidRPr="008E40D9">
        <w:rPr>
          <w:color w:val="000000"/>
          <w:lang w:val="en-GB"/>
        </w:rPr>
        <w:t xml:space="preserve">The study shall be carried out in accordance with all rules and regulations as specified by the university. As a result, the sole aim of all the data that will be collected is research. No one's sentiments or beliefs will be intentionally offended (Smith </w:t>
      </w:r>
      <w:r w:rsidRPr="008E40D9">
        <w:rPr>
          <w:i/>
          <w:iCs/>
          <w:color w:val="000000"/>
          <w:lang w:val="en-GB"/>
        </w:rPr>
        <w:t>et al.</w:t>
      </w:r>
      <w:r w:rsidRPr="008E40D9">
        <w:rPr>
          <w:color w:val="000000"/>
          <w:lang w:val="en-GB"/>
        </w:rPr>
        <w:t xml:space="preserve"> 2021). Ensuring data privacy and following protocols is the primary concern when conducting research. Throughout the investigation, the "Intellectual Property Rights" will be upheld. “Data protection Act, 2018” will be considered throughout the representation of the study. To preserve anonymity, all of the data that is collected will be kept safe in password-protected files. It is totally forbidden to exaggerate the data and findings in order to achieve the study's present goal. Furthermore, data manipulation will not be tolerated. </w:t>
      </w:r>
    </w:p>
    <w:p w:rsidR="00E90C5F" w:rsidRPr="008E40D9" w:rsidRDefault="00E90C5F" w:rsidP="00E90C5F">
      <w:pPr>
        <w:spacing w:line="360" w:lineRule="auto"/>
        <w:jc w:val="both"/>
        <w:rPr>
          <w:rFonts w:ascii="Times New Roman" w:hAnsi="Times New Roman" w:cs="Times New Roman"/>
          <w:lang w:val="en-GB"/>
        </w:rPr>
      </w:pPr>
    </w:p>
    <w:p w:rsidR="00E90C5F" w:rsidRPr="008E40D9" w:rsidRDefault="00E90C5F" w:rsidP="00E90C5F">
      <w:pPr>
        <w:pStyle w:val="Heading1"/>
        <w:rPr>
          <w:lang w:val="en-GB"/>
        </w:rPr>
      </w:pPr>
      <w:bookmarkStart w:id="31" w:name="_Toc158013566"/>
      <w:r w:rsidRPr="008E40D9">
        <w:rPr>
          <w:lang w:val="en-GB"/>
        </w:rPr>
        <w:t>Potential risks</w:t>
      </w:r>
      <w:bookmarkEnd w:id="31"/>
    </w:p>
    <w:p w:rsidR="00E90C5F" w:rsidRPr="008E40D9" w:rsidRDefault="00E90C5F" w:rsidP="00E90C5F">
      <w:pPr>
        <w:pStyle w:val="NormalWeb"/>
        <w:numPr>
          <w:ilvl w:val="0"/>
          <w:numId w:val="5"/>
        </w:numPr>
        <w:spacing w:before="0" w:beforeAutospacing="0" w:after="0" w:afterAutospacing="0" w:line="360" w:lineRule="auto"/>
        <w:jc w:val="both"/>
        <w:rPr>
          <w:lang w:val="en-GB"/>
        </w:rPr>
      </w:pPr>
      <w:r w:rsidRPr="008E40D9">
        <w:rPr>
          <w:color w:val="000000"/>
          <w:lang w:val="en-GB"/>
        </w:rPr>
        <w:t>Identifying specific goals and research objectives</w:t>
      </w:r>
    </w:p>
    <w:p w:rsidR="00E90C5F" w:rsidRPr="008E40D9" w:rsidRDefault="00E90C5F" w:rsidP="00E90C5F">
      <w:pPr>
        <w:pStyle w:val="NormalWeb"/>
        <w:numPr>
          <w:ilvl w:val="0"/>
          <w:numId w:val="5"/>
        </w:numPr>
        <w:spacing w:before="0" w:beforeAutospacing="0" w:after="0" w:afterAutospacing="0" w:line="360" w:lineRule="auto"/>
        <w:jc w:val="both"/>
        <w:rPr>
          <w:lang w:val="en-GB"/>
        </w:rPr>
      </w:pPr>
      <w:r w:rsidRPr="008E40D9">
        <w:rPr>
          <w:color w:val="000000"/>
          <w:lang w:val="en-GB"/>
        </w:rPr>
        <w:t>Time management</w:t>
      </w:r>
    </w:p>
    <w:p w:rsidR="00E90C5F" w:rsidRPr="008E40D9" w:rsidRDefault="00E90C5F" w:rsidP="00E90C5F">
      <w:pPr>
        <w:pStyle w:val="NormalWeb"/>
        <w:numPr>
          <w:ilvl w:val="0"/>
          <w:numId w:val="5"/>
        </w:numPr>
        <w:spacing w:before="0" w:beforeAutospacing="0" w:after="0" w:afterAutospacing="0" w:line="360" w:lineRule="auto"/>
        <w:jc w:val="both"/>
        <w:rPr>
          <w:lang w:val="en-GB"/>
        </w:rPr>
      </w:pPr>
      <w:r w:rsidRPr="008E40D9">
        <w:rPr>
          <w:color w:val="000000"/>
          <w:lang w:val="en-GB"/>
        </w:rPr>
        <w:t>Developing most appropriate research method</w:t>
      </w:r>
    </w:p>
    <w:p w:rsidR="00E90C5F" w:rsidRPr="008E40D9" w:rsidRDefault="00E90C5F" w:rsidP="00E90C5F">
      <w:pPr>
        <w:pStyle w:val="NormalWeb"/>
        <w:numPr>
          <w:ilvl w:val="0"/>
          <w:numId w:val="5"/>
        </w:numPr>
        <w:spacing w:before="0" w:beforeAutospacing="0" w:after="0" w:afterAutospacing="0" w:line="360" w:lineRule="auto"/>
        <w:jc w:val="both"/>
        <w:rPr>
          <w:lang w:val="en-GB"/>
        </w:rPr>
      </w:pPr>
      <w:r w:rsidRPr="008E40D9">
        <w:rPr>
          <w:color w:val="000000"/>
          <w:lang w:val="en-GB"/>
        </w:rPr>
        <w:t>Data gathering and appropriate graphical representation of the data.</w:t>
      </w:r>
    </w:p>
    <w:p w:rsidR="00E90C5F" w:rsidRPr="008E40D9" w:rsidRDefault="00E90C5F" w:rsidP="00E90C5F">
      <w:pPr>
        <w:pStyle w:val="NormalWeb"/>
        <w:numPr>
          <w:ilvl w:val="0"/>
          <w:numId w:val="5"/>
        </w:numPr>
        <w:spacing w:before="0" w:beforeAutospacing="0" w:after="0" w:afterAutospacing="0" w:line="360" w:lineRule="auto"/>
        <w:jc w:val="both"/>
        <w:rPr>
          <w:lang w:val="en-GB"/>
        </w:rPr>
      </w:pPr>
      <w:r w:rsidRPr="008E40D9">
        <w:rPr>
          <w:color w:val="000000"/>
          <w:lang w:val="en-GB"/>
        </w:rPr>
        <w:t>Appropriate preparation of the data report</w:t>
      </w:r>
    </w:p>
    <w:p w:rsidR="00E90C5F" w:rsidRPr="008E40D9" w:rsidRDefault="00E90C5F" w:rsidP="00E90C5F">
      <w:pPr>
        <w:rPr>
          <w:lang w:val="en-GB"/>
        </w:rPr>
      </w:pPr>
    </w:p>
    <w:p w:rsidR="007977D8" w:rsidRDefault="007977D8" w:rsidP="007977D8">
      <w:pPr>
        <w:pStyle w:val="Heading1"/>
        <w:rPr>
          <w:lang w:val="en-GB"/>
        </w:rPr>
      </w:pPr>
      <w:bookmarkStart w:id="32" w:name="_Toc158013567"/>
      <w:r w:rsidRPr="008E40D9">
        <w:rPr>
          <w:lang w:val="en-GB"/>
        </w:rPr>
        <w:t>Timeline (Gnatt chart)</w:t>
      </w:r>
      <w:bookmarkEnd w:id="32"/>
    </w:p>
    <w:tbl>
      <w:tblPr>
        <w:tblW w:w="5000" w:type="pct"/>
        <w:tblLook w:val="04A0"/>
      </w:tblPr>
      <w:tblGrid>
        <w:gridCol w:w="1559"/>
        <w:gridCol w:w="801"/>
        <w:gridCol w:w="801"/>
        <w:gridCol w:w="801"/>
        <w:gridCol w:w="802"/>
        <w:gridCol w:w="802"/>
        <w:gridCol w:w="802"/>
        <w:gridCol w:w="802"/>
        <w:gridCol w:w="802"/>
        <w:gridCol w:w="802"/>
        <w:gridCol w:w="802"/>
      </w:tblGrid>
      <w:tr w:rsidR="005E4F94" w:rsidRPr="005E4F94" w:rsidTr="005E4F94">
        <w:trPr>
          <w:trHeight w:val="948"/>
        </w:trPr>
        <w:tc>
          <w:tcPr>
            <w:tcW w:w="833" w:type="pct"/>
            <w:tcBorders>
              <w:top w:val="single" w:sz="8" w:space="0" w:color="000000"/>
              <w:left w:val="single" w:sz="8" w:space="0" w:color="000000"/>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 xml:space="preserve">Tasks undertaken </w:t>
            </w:r>
          </w:p>
        </w:tc>
        <w:tc>
          <w:tcPr>
            <w:tcW w:w="417" w:type="pct"/>
            <w:tcBorders>
              <w:top w:val="single" w:sz="8" w:space="0" w:color="000000"/>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Week 1</w:t>
            </w:r>
          </w:p>
        </w:tc>
        <w:tc>
          <w:tcPr>
            <w:tcW w:w="417" w:type="pct"/>
            <w:tcBorders>
              <w:top w:val="single" w:sz="8" w:space="0" w:color="000000"/>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Week 2</w:t>
            </w:r>
          </w:p>
        </w:tc>
        <w:tc>
          <w:tcPr>
            <w:tcW w:w="417" w:type="pct"/>
            <w:tcBorders>
              <w:top w:val="single" w:sz="8" w:space="0" w:color="000000"/>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Week 3</w:t>
            </w:r>
          </w:p>
        </w:tc>
        <w:tc>
          <w:tcPr>
            <w:tcW w:w="417" w:type="pct"/>
            <w:tcBorders>
              <w:top w:val="single" w:sz="8" w:space="0" w:color="000000"/>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Week 4</w:t>
            </w:r>
          </w:p>
        </w:tc>
        <w:tc>
          <w:tcPr>
            <w:tcW w:w="417" w:type="pct"/>
            <w:tcBorders>
              <w:top w:val="single" w:sz="8" w:space="0" w:color="000000"/>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Week 5</w:t>
            </w:r>
          </w:p>
        </w:tc>
        <w:tc>
          <w:tcPr>
            <w:tcW w:w="417" w:type="pct"/>
            <w:tcBorders>
              <w:top w:val="single" w:sz="8" w:space="0" w:color="000000"/>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Week 6</w:t>
            </w:r>
          </w:p>
        </w:tc>
        <w:tc>
          <w:tcPr>
            <w:tcW w:w="417" w:type="pct"/>
            <w:tcBorders>
              <w:top w:val="single" w:sz="8" w:space="0" w:color="000000"/>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Week 7</w:t>
            </w:r>
          </w:p>
        </w:tc>
        <w:tc>
          <w:tcPr>
            <w:tcW w:w="417" w:type="pct"/>
            <w:tcBorders>
              <w:top w:val="single" w:sz="8" w:space="0" w:color="000000"/>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Week 8</w:t>
            </w:r>
          </w:p>
        </w:tc>
        <w:tc>
          <w:tcPr>
            <w:tcW w:w="417" w:type="pct"/>
            <w:tcBorders>
              <w:top w:val="single" w:sz="8" w:space="0" w:color="000000"/>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Week 9</w:t>
            </w:r>
          </w:p>
        </w:tc>
        <w:tc>
          <w:tcPr>
            <w:tcW w:w="417" w:type="pct"/>
            <w:tcBorders>
              <w:top w:val="single" w:sz="8" w:space="0" w:color="000000"/>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Week 10</w:t>
            </w:r>
          </w:p>
        </w:tc>
      </w:tr>
      <w:tr w:rsidR="005E4F94" w:rsidRPr="005E4F94" w:rsidTr="005E4F94">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Selection of the topic</w:t>
            </w:r>
          </w:p>
        </w:tc>
        <w:tc>
          <w:tcPr>
            <w:tcW w:w="417" w:type="pct"/>
            <w:tcBorders>
              <w:top w:val="nil"/>
              <w:left w:val="nil"/>
              <w:bottom w:val="single" w:sz="8" w:space="0" w:color="000000"/>
              <w:right w:val="single" w:sz="8" w:space="0" w:color="000000"/>
            </w:tcBorders>
            <w:shd w:val="clear" w:color="auto" w:fill="FABF8F" w:themeFill="accent6" w:themeFillTint="99"/>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r>
      <w:tr w:rsidR="005E4F94" w:rsidRPr="005E4F94" w:rsidTr="005E4F94">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 xml:space="preserve">Develping research aim and definition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76923C" w:themeFill="accent3" w:themeFillShade="BF"/>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r>
      <w:tr w:rsidR="005E4F94" w:rsidRPr="005E4F94" w:rsidTr="005E4F94">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lastRenderedPageBreak/>
              <w:t xml:space="preserve">making background of the project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B2A1C7" w:themeFill="accent4" w:themeFillTint="99"/>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r>
      <w:tr w:rsidR="005E4F94" w:rsidRPr="005E4F94" w:rsidTr="005E4F94">
        <w:trPr>
          <w:trHeight w:val="1572"/>
        </w:trPr>
        <w:tc>
          <w:tcPr>
            <w:tcW w:w="833" w:type="pct"/>
            <w:tcBorders>
              <w:top w:val="nil"/>
              <w:left w:val="single" w:sz="8" w:space="0" w:color="000000"/>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 xml:space="preserve">Outline research objectives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000000" w:fill="0000FF"/>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r>
      <w:tr w:rsidR="005E4F94" w:rsidRPr="005E4F94" w:rsidTr="005E4F94">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 xml:space="preserve">Literature review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B2A1C7" w:themeFill="accent4" w:themeFillTint="99"/>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r>
      <w:tr w:rsidR="005E4F94" w:rsidRPr="005E4F94" w:rsidTr="005E4F94">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 xml:space="preserve">Methodology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000000" w:fill="274E13"/>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r>
      <w:tr w:rsidR="005E4F94" w:rsidRPr="005E4F94" w:rsidTr="005E4F94">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 xml:space="preserve">Data collection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943634" w:themeFill="accent2" w:themeFillShade="BF"/>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r>
      <w:tr w:rsidR="005E4F94" w:rsidRPr="005E4F94" w:rsidTr="005E4F94">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 xml:space="preserve">Data analysis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00B0F0"/>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r>
      <w:tr w:rsidR="005E4F94" w:rsidRPr="005E4F94" w:rsidTr="005E4F94">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 xml:space="preserve">Conclusion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FFC000"/>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r>
      <w:tr w:rsidR="005E4F94" w:rsidRPr="005E4F94" w:rsidTr="005E4F94">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5E4F94" w:rsidRPr="005E4F94" w:rsidRDefault="005E4F94" w:rsidP="005E4F94">
            <w:pPr>
              <w:spacing w:line="240" w:lineRule="auto"/>
              <w:jc w:val="center"/>
              <w:rPr>
                <w:rFonts w:ascii="Times New Roman" w:eastAsia="Times New Roman" w:hAnsi="Times New Roman" w:cs="Times New Roman"/>
                <w:b/>
                <w:bCs/>
                <w:color w:val="000000"/>
                <w:sz w:val="24"/>
                <w:szCs w:val="24"/>
                <w:lang w:eastAsia="en-US" w:bidi="ar-SA"/>
              </w:rPr>
            </w:pPr>
            <w:r w:rsidRPr="005E4F94">
              <w:rPr>
                <w:rFonts w:ascii="Times New Roman" w:eastAsia="Times New Roman" w:hAnsi="Times New Roman" w:cs="Times New Roman"/>
                <w:b/>
                <w:bCs/>
                <w:color w:val="000000"/>
                <w:sz w:val="24"/>
                <w:szCs w:val="24"/>
                <w:lang w:val="en-GB" w:eastAsia="en-US" w:bidi="ar-SA"/>
              </w:rPr>
              <w:t xml:space="preserve">Final submission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auto"/>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c>
          <w:tcPr>
            <w:tcW w:w="417" w:type="pct"/>
            <w:tcBorders>
              <w:top w:val="nil"/>
              <w:left w:val="nil"/>
              <w:bottom w:val="single" w:sz="8" w:space="0" w:color="000000"/>
              <w:right w:val="single" w:sz="8" w:space="0" w:color="000000"/>
            </w:tcBorders>
            <w:shd w:val="clear" w:color="auto" w:fill="FF0000"/>
            <w:hideMark/>
          </w:tcPr>
          <w:p w:rsidR="005E4F94" w:rsidRPr="005E4F94" w:rsidRDefault="005E4F94" w:rsidP="005E4F94">
            <w:pPr>
              <w:spacing w:line="240" w:lineRule="auto"/>
              <w:jc w:val="both"/>
              <w:rPr>
                <w:rFonts w:ascii="Times New Roman" w:eastAsia="Times New Roman" w:hAnsi="Times New Roman" w:cs="Times New Roman"/>
                <w:color w:val="000000"/>
                <w:sz w:val="24"/>
                <w:szCs w:val="24"/>
                <w:lang w:eastAsia="en-US" w:bidi="ar-SA"/>
              </w:rPr>
            </w:pPr>
            <w:r w:rsidRPr="005E4F94">
              <w:rPr>
                <w:rFonts w:ascii="Times New Roman" w:eastAsia="Times New Roman" w:hAnsi="Times New Roman" w:cs="Times New Roman"/>
                <w:color w:val="000000"/>
                <w:sz w:val="24"/>
                <w:szCs w:val="24"/>
                <w:lang w:val="en-GB" w:eastAsia="en-US" w:bidi="ar-SA"/>
              </w:rPr>
              <w:t> </w:t>
            </w:r>
          </w:p>
        </w:tc>
      </w:tr>
    </w:tbl>
    <w:p w:rsidR="005E4F94" w:rsidRPr="005E4F94" w:rsidRDefault="005E4F94" w:rsidP="005E4F94">
      <w:pPr>
        <w:rPr>
          <w:lang w:val="en-GB"/>
        </w:rPr>
      </w:pPr>
    </w:p>
    <w:p w:rsidR="000B5D4E" w:rsidRPr="008E40D9" w:rsidRDefault="000B5D4E" w:rsidP="000B5D4E">
      <w:pPr>
        <w:pStyle w:val="Heading1"/>
        <w:rPr>
          <w:lang w:val="en-GB"/>
        </w:rPr>
      </w:pPr>
      <w:bookmarkStart w:id="33" w:name="_Toc158013568"/>
      <w:r w:rsidRPr="008E40D9">
        <w:rPr>
          <w:lang w:val="en-GB"/>
        </w:rPr>
        <w:t>Findings</w:t>
      </w:r>
      <w:bookmarkEnd w:id="22"/>
      <w:bookmarkEnd w:id="33"/>
    </w:p>
    <w:p w:rsidR="000B5D4E" w:rsidRPr="008E40D9" w:rsidRDefault="000B5D4E" w:rsidP="000B5D4E">
      <w:pPr>
        <w:pStyle w:val="NormalWeb"/>
        <w:spacing w:before="0" w:beforeAutospacing="0" w:after="0" w:afterAutospacing="0" w:line="360" w:lineRule="auto"/>
        <w:jc w:val="both"/>
        <w:rPr>
          <w:lang w:val="en-GB"/>
        </w:rPr>
      </w:pPr>
      <w:r w:rsidRPr="008E40D9">
        <w:rPr>
          <w:color w:val="000000"/>
          <w:lang w:val="en-GB"/>
        </w:rPr>
        <w:t>Organizational culture plays for shaping work environment that are influencing an opportunities available to women employees. A workplace fosters a positive culture can impact among women have equal opportunities for growth and success. The key findings shed light on the importance of organizational culture for promoting their gender equality.</w:t>
      </w:r>
      <w:r w:rsidR="009A48CA" w:rsidRPr="008E40D9">
        <w:rPr>
          <w:color w:val="000000"/>
          <w:lang w:val="en-GB"/>
        </w:rPr>
        <w:t xml:space="preserve"> </w:t>
      </w:r>
      <w:r w:rsidRPr="008E40D9">
        <w:rPr>
          <w:color w:val="000000"/>
          <w:lang w:val="en-GB"/>
        </w:rPr>
        <w:t xml:space="preserve">The inclusive policies and practices focus on organizations that has a strong commitment to equal opportunities for women. It can tend to implement inclusive policies and practices at fair recruitment processes. Transparent performance and unbiased promotion criteria promotes gender equality that are treated throughout employment lifecycle (Ocloo </w:t>
      </w:r>
      <w:r w:rsidRPr="008E40D9">
        <w:rPr>
          <w:i/>
          <w:iCs/>
          <w:color w:val="000000"/>
          <w:lang w:val="en-GB"/>
        </w:rPr>
        <w:t>et al.</w:t>
      </w:r>
      <w:r w:rsidRPr="008E40D9">
        <w:rPr>
          <w:color w:val="000000"/>
          <w:lang w:val="en-GB"/>
        </w:rPr>
        <w:t xml:space="preserve"> 2020).Leadership maintains a commitment that are fostering a diverse and inclusive workforce is crucial. Leaders can advocate for equal opportunities to have women in leadership positions. These are creating role models and </w:t>
      </w:r>
      <w:r w:rsidRPr="008E40D9">
        <w:rPr>
          <w:color w:val="000000"/>
          <w:lang w:val="en-GB"/>
        </w:rPr>
        <w:lastRenderedPageBreak/>
        <w:t>breaking down gender stereotypes at flexible work arrangements. A positive organizational culture recognizes as an importance of work-life balance at personal responsibilities. A culture promotes remote work options contributes to a more inclusive environment.</w:t>
      </w:r>
    </w:p>
    <w:p w:rsidR="000B5D4E" w:rsidRPr="008E40D9" w:rsidRDefault="000B5D4E" w:rsidP="000B5D4E">
      <w:pPr>
        <w:pStyle w:val="NormalWeb"/>
        <w:spacing w:before="0" w:beforeAutospacing="0" w:after="0" w:afterAutospacing="0" w:line="360" w:lineRule="auto"/>
        <w:jc w:val="both"/>
        <w:rPr>
          <w:lang w:val="en-GB"/>
        </w:rPr>
      </w:pPr>
      <w:r w:rsidRPr="008E40D9">
        <w:rPr>
          <w:color w:val="000000"/>
          <w:lang w:val="en-GB"/>
        </w:rPr>
        <w:t xml:space="preserve">It has needed to improve gender diversity in the workplace; strategies for overcoming obstacles are required. Organisations can put in place mentorship programmes, flexible work schedules, transparent policies, diversity training, and leadership development. All staff members must participate in required training sessions on unconscious biases. Clear policies about equal opportunities, wage scales, and promotion requirements can be established and communicated through transparent policies (Geerlings </w:t>
      </w:r>
      <w:r w:rsidRPr="008E40D9">
        <w:rPr>
          <w:i/>
          <w:iCs/>
          <w:color w:val="000000"/>
          <w:lang w:val="en-GB"/>
        </w:rPr>
        <w:t>et al.</w:t>
      </w:r>
      <w:r w:rsidRPr="008E40D9">
        <w:rPr>
          <w:color w:val="000000"/>
          <w:lang w:val="en-GB"/>
        </w:rPr>
        <w:t>, 2020). Transparency can foster the kind of trust that makes gender-based differences like flexible work schedules easier to eradicate. Diverse demands that might support work-life balance require flexible work arrangements, such as remote work choices and flexible hours. Mentorship programmes can establish efforts that match female employees with seasoned executives to facilitate networking and professional progression.</w:t>
      </w:r>
    </w:p>
    <w:p w:rsidR="000B5D4E" w:rsidRPr="008E40D9" w:rsidRDefault="000B5D4E" w:rsidP="000B5D4E">
      <w:pPr>
        <w:pStyle w:val="Heading1"/>
        <w:rPr>
          <w:lang w:val="en-GB"/>
        </w:rPr>
      </w:pPr>
      <w:bookmarkStart w:id="34" w:name="_Toc157884583"/>
      <w:bookmarkStart w:id="35" w:name="_Toc158013569"/>
      <w:r w:rsidRPr="008E40D9">
        <w:rPr>
          <w:lang w:val="en-GB"/>
        </w:rPr>
        <w:t>Conclusion</w:t>
      </w:r>
      <w:bookmarkEnd w:id="34"/>
      <w:bookmarkEnd w:id="35"/>
    </w:p>
    <w:p w:rsidR="000B5D4E" w:rsidRPr="008E40D9" w:rsidRDefault="000B5D4E" w:rsidP="000B5D4E">
      <w:pPr>
        <w:pStyle w:val="NormalWeb"/>
        <w:spacing w:before="0" w:beforeAutospacing="0" w:after="0" w:afterAutospacing="0" w:line="360" w:lineRule="auto"/>
        <w:jc w:val="both"/>
        <w:rPr>
          <w:lang w:val="en-GB"/>
        </w:rPr>
      </w:pPr>
      <w:r w:rsidRPr="008E40D9">
        <w:rPr>
          <w:color w:val="000000"/>
          <w:lang w:val="en-GB"/>
        </w:rPr>
        <w:t>From the above part, it can be concluded that</w:t>
      </w:r>
      <w:r w:rsidR="00CC62F4" w:rsidRPr="008E40D9">
        <w:rPr>
          <w:color w:val="000000"/>
          <w:lang w:val="en-GB"/>
        </w:rPr>
        <w:t xml:space="preserve"> </w:t>
      </w:r>
      <w:r w:rsidRPr="008E40D9">
        <w:rPr>
          <w:color w:val="000000"/>
          <w:lang w:val="en-GB"/>
        </w:rPr>
        <w:t xml:space="preserve">impact of organizational culture impact on equal opportunities for women employees. </w:t>
      </w:r>
      <w:r w:rsidR="00CC62F4" w:rsidRPr="008E40D9">
        <w:rPr>
          <w:color w:val="000000"/>
          <w:lang w:val="en-GB"/>
        </w:rPr>
        <w:t>Employees are</w:t>
      </w:r>
      <w:r w:rsidRPr="008E40D9">
        <w:rPr>
          <w:color w:val="000000"/>
          <w:lang w:val="en-GB"/>
        </w:rPr>
        <w:t xml:space="preserve"> playing a pivotal role in shaping the workplace dynamics. These are fostering </w:t>
      </w:r>
      <w:r w:rsidR="00CC62F4" w:rsidRPr="008E40D9">
        <w:rPr>
          <w:color w:val="000000"/>
          <w:lang w:val="en-GB"/>
        </w:rPr>
        <w:t>a gender-inclusive environment that is</w:t>
      </w:r>
      <w:r w:rsidRPr="008E40D9">
        <w:rPr>
          <w:color w:val="000000"/>
          <w:lang w:val="en-GB"/>
        </w:rPr>
        <w:t xml:space="preserve"> focused on progressive and inclusive organizational culture. It can </w:t>
      </w:r>
      <w:r w:rsidR="00CC62F4" w:rsidRPr="008E40D9">
        <w:rPr>
          <w:color w:val="000000"/>
          <w:lang w:val="en-GB"/>
        </w:rPr>
        <w:t>mark</w:t>
      </w:r>
      <w:r w:rsidRPr="008E40D9">
        <w:rPr>
          <w:color w:val="000000"/>
          <w:lang w:val="en-GB"/>
        </w:rPr>
        <w:t xml:space="preserve"> by a commitment to diversity and gender equality to get a result in women feeling empowered at fair access to opportunities. Workplace culture influences a recruitment policy that focus on promotion processes to interactions, communication, and decision-making process. The organisational values align with gender equality that sets stage for dismantling unconscious biases and gender stereotypes. Thus, cultivates an atmosphere among women are encouraged to advance in their careers. </w:t>
      </w:r>
    </w:p>
    <w:p w:rsidR="000B5D4E" w:rsidRPr="008E40D9" w:rsidRDefault="000B5D4E">
      <w:pPr>
        <w:rPr>
          <w:rFonts w:ascii="Times New Roman" w:hAnsi="Times New Roman"/>
          <w:b/>
          <w:sz w:val="24"/>
          <w:szCs w:val="40"/>
          <w:lang w:val="en-GB"/>
        </w:rPr>
      </w:pPr>
      <w:r w:rsidRPr="008E40D9">
        <w:rPr>
          <w:lang w:val="en-GB"/>
        </w:rPr>
        <w:br w:type="page"/>
      </w:r>
    </w:p>
    <w:p w:rsidR="000B5D4E" w:rsidRPr="008E40D9" w:rsidRDefault="000B5D4E" w:rsidP="000B5D4E">
      <w:pPr>
        <w:pStyle w:val="Heading1"/>
        <w:rPr>
          <w:lang w:val="en-GB"/>
        </w:rPr>
      </w:pPr>
      <w:bookmarkStart w:id="36" w:name="_Toc157884584"/>
      <w:bookmarkStart w:id="37" w:name="_Toc158013570"/>
      <w:r w:rsidRPr="008E40D9">
        <w:rPr>
          <w:lang w:val="en-GB"/>
        </w:rPr>
        <w:lastRenderedPageBreak/>
        <w:t>References</w:t>
      </w:r>
      <w:bookmarkEnd w:id="36"/>
      <w:bookmarkEnd w:id="37"/>
    </w:p>
    <w:p w:rsidR="00CA303A" w:rsidRPr="00CA303A" w:rsidRDefault="00CA303A" w:rsidP="00CA303A">
      <w:pPr>
        <w:pStyle w:val="NormalWeb"/>
        <w:spacing w:before="240" w:beforeAutospacing="0" w:after="240" w:afterAutospacing="0" w:line="360" w:lineRule="auto"/>
        <w:jc w:val="both"/>
        <w:rPr>
          <w:lang w:val="en-GB"/>
        </w:rPr>
      </w:pPr>
      <w:r w:rsidRPr="00CA303A">
        <w:rPr>
          <w:color w:val="222222"/>
          <w:shd w:val="clear" w:color="auto" w:fill="FFFFFF"/>
          <w:lang w:val="en-GB"/>
        </w:rPr>
        <w:t xml:space="preserve">Akanji, B., Mordi, C., Ituma, A., Adisa, T.A. and Ajonbadi, H., 2020. The influence of organisational culture on leadership style in higher education institutions. </w:t>
      </w:r>
      <w:r w:rsidRPr="00CA303A">
        <w:rPr>
          <w:i/>
          <w:iCs/>
          <w:color w:val="000000"/>
          <w:lang w:val="en-GB"/>
        </w:rPr>
        <w:t>Personnel Review</w:t>
      </w:r>
      <w:r w:rsidRPr="00CA303A">
        <w:rPr>
          <w:color w:val="000000"/>
          <w:lang w:val="en-GB"/>
        </w:rPr>
        <w:t xml:space="preserve">, </w:t>
      </w:r>
      <w:r w:rsidRPr="00CA303A">
        <w:rPr>
          <w:i/>
          <w:iCs/>
          <w:color w:val="000000"/>
          <w:lang w:val="en-GB"/>
        </w:rPr>
        <w:t>49</w:t>
      </w:r>
      <w:r w:rsidRPr="00CA303A">
        <w:rPr>
          <w:color w:val="000000"/>
          <w:lang w:val="en-GB"/>
        </w:rPr>
        <w:t>(3), pp.709-732.</w:t>
      </w:r>
    </w:p>
    <w:p w:rsidR="00CA303A" w:rsidRPr="00CA303A" w:rsidRDefault="00CA303A" w:rsidP="00CA303A">
      <w:pPr>
        <w:spacing w:before="240" w:after="240" w:line="360" w:lineRule="auto"/>
        <w:jc w:val="both"/>
        <w:rPr>
          <w:rFonts w:ascii="Times New Roman" w:hAnsi="Times New Roman" w:cs="Times New Roman"/>
          <w:color w:val="222222"/>
          <w:sz w:val="24"/>
          <w:szCs w:val="24"/>
          <w:shd w:val="clear" w:color="auto" w:fill="FFFFFF"/>
          <w:lang w:val="en-GB"/>
        </w:rPr>
      </w:pPr>
      <w:r w:rsidRPr="00CA303A">
        <w:rPr>
          <w:rFonts w:ascii="Times New Roman" w:hAnsi="Times New Roman" w:cs="Times New Roman"/>
          <w:color w:val="222222"/>
          <w:sz w:val="24"/>
          <w:szCs w:val="24"/>
          <w:shd w:val="clear" w:color="auto" w:fill="FFFFFF"/>
          <w:lang w:val="en-GB"/>
        </w:rPr>
        <w:t>Baştuğ, S., Arabelen, G., Vural, C.A. and Deveci, D.A., 2020. A value chain analysis of a seaport from the perspective of Industry 4.0. </w:t>
      </w:r>
      <w:r w:rsidRPr="00CA303A">
        <w:rPr>
          <w:rFonts w:ascii="Times New Roman" w:hAnsi="Times New Roman" w:cs="Times New Roman"/>
          <w:i/>
          <w:iCs/>
          <w:color w:val="222222"/>
          <w:sz w:val="24"/>
          <w:szCs w:val="24"/>
          <w:shd w:val="clear" w:color="auto" w:fill="FFFFFF"/>
          <w:lang w:val="en-GB"/>
        </w:rPr>
        <w:t>International Journal of Shipping and Transport Logistics</w:t>
      </w:r>
      <w:r w:rsidRPr="00CA303A">
        <w:rPr>
          <w:rFonts w:ascii="Times New Roman" w:hAnsi="Times New Roman" w:cs="Times New Roman"/>
          <w:color w:val="222222"/>
          <w:sz w:val="24"/>
          <w:szCs w:val="24"/>
          <w:shd w:val="clear" w:color="auto" w:fill="FFFFFF"/>
          <w:lang w:val="en-GB"/>
        </w:rPr>
        <w:t>, </w:t>
      </w:r>
      <w:r w:rsidRPr="00CA303A">
        <w:rPr>
          <w:rFonts w:ascii="Times New Roman" w:hAnsi="Times New Roman" w:cs="Times New Roman"/>
          <w:i/>
          <w:iCs/>
          <w:color w:val="222222"/>
          <w:sz w:val="24"/>
          <w:szCs w:val="24"/>
          <w:shd w:val="clear" w:color="auto" w:fill="FFFFFF"/>
          <w:lang w:val="en-GB"/>
        </w:rPr>
        <w:t>12</w:t>
      </w:r>
      <w:r w:rsidRPr="00CA303A">
        <w:rPr>
          <w:rFonts w:ascii="Times New Roman" w:hAnsi="Times New Roman" w:cs="Times New Roman"/>
          <w:color w:val="222222"/>
          <w:sz w:val="24"/>
          <w:szCs w:val="24"/>
          <w:shd w:val="clear" w:color="auto" w:fill="FFFFFF"/>
          <w:lang w:val="en-GB"/>
        </w:rPr>
        <w:t>(4), pp.367-397.</w:t>
      </w:r>
    </w:p>
    <w:p w:rsidR="00CA303A" w:rsidRPr="00CA303A" w:rsidRDefault="00CA303A" w:rsidP="00CA303A">
      <w:pPr>
        <w:pStyle w:val="NormalWeb"/>
        <w:spacing w:before="240" w:beforeAutospacing="0" w:after="240" w:afterAutospacing="0" w:line="360" w:lineRule="auto"/>
        <w:jc w:val="both"/>
        <w:rPr>
          <w:lang w:val="en-GB"/>
        </w:rPr>
      </w:pPr>
      <w:r w:rsidRPr="00CA303A">
        <w:rPr>
          <w:color w:val="222222"/>
          <w:shd w:val="clear" w:color="auto" w:fill="FFFFFF"/>
          <w:lang w:val="en-GB"/>
        </w:rPr>
        <w:t xml:space="preserve">Bishu, S.G. and Headley, A.M., 2020. Equal employment opportunity: Women bureaucrats in male‐dominated professions. </w:t>
      </w:r>
      <w:r w:rsidRPr="00CA303A">
        <w:rPr>
          <w:i/>
          <w:iCs/>
          <w:color w:val="000000"/>
          <w:lang w:val="en-GB"/>
        </w:rPr>
        <w:t>Public Administration Review</w:t>
      </w:r>
      <w:r w:rsidRPr="00CA303A">
        <w:rPr>
          <w:color w:val="000000"/>
          <w:lang w:val="en-GB"/>
        </w:rPr>
        <w:t xml:space="preserve">, </w:t>
      </w:r>
      <w:r w:rsidRPr="00CA303A">
        <w:rPr>
          <w:i/>
          <w:iCs/>
          <w:color w:val="000000"/>
          <w:lang w:val="en-GB"/>
        </w:rPr>
        <w:t>80</w:t>
      </w:r>
      <w:r w:rsidRPr="00CA303A">
        <w:rPr>
          <w:color w:val="000000"/>
          <w:lang w:val="en-GB"/>
        </w:rPr>
        <w:t>(6), pp.1063-1074.</w:t>
      </w:r>
    </w:p>
    <w:p w:rsidR="00CA303A" w:rsidRPr="00CA303A" w:rsidRDefault="00CA303A" w:rsidP="00CA303A">
      <w:pPr>
        <w:pStyle w:val="NormalWeb"/>
        <w:spacing w:before="240" w:beforeAutospacing="0" w:after="240" w:afterAutospacing="0" w:line="360" w:lineRule="auto"/>
        <w:jc w:val="both"/>
        <w:rPr>
          <w:lang w:val="en-GB"/>
        </w:rPr>
      </w:pPr>
      <w:r w:rsidRPr="00CA303A">
        <w:rPr>
          <w:color w:val="222222"/>
          <w:shd w:val="clear" w:color="auto" w:fill="FFFFFF"/>
          <w:lang w:val="en-GB"/>
        </w:rPr>
        <w:t xml:space="preserve">Bishu, S.G. and Headley, A.M., 2020. Equal employment opportunity: Women bureaucrats in male‐dominated professions. </w:t>
      </w:r>
      <w:r w:rsidRPr="00CA303A">
        <w:rPr>
          <w:i/>
          <w:iCs/>
          <w:color w:val="000000"/>
          <w:lang w:val="en-GB"/>
        </w:rPr>
        <w:t>Public Administration Review</w:t>
      </w:r>
      <w:r w:rsidRPr="00CA303A">
        <w:rPr>
          <w:color w:val="000000"/>
          <w:lang w:val="en-GB"/>
        </w:rPr>
        <w:t xml:space="preserve">, </w:t>
      </w:r>
      <w:r w:rsidRPr="00CA303A">
        <w:rPr>
          <w:i/>
          <w:iCs/>
          <w:color w:val="000000"/>
          <w:lang w:val="en-GB"/>
        </w:rPr>
        <w:t>80</w:t>
      </w:r>
      <w:r w:rsidRPr="00CA303A">
        <w:rPr>
          <w:color w:val="000000"/>
          <w:lang w:val="en-GB"/>
        </w:rPr>
        <w:t>(6), pp.1063-1074.</w:t>
      </w:r>
    </w:p>
    <w:p w:rsidR="00CA303A" w:rsidRPr="00CA303A" w:rsidRDefault="00CA303A" w:rsidP="00CA303A">
      <w:pPr>
        <w:pStyle w:val="NormalWeb"/>
        <w:spacing w:before="240" w:beforeAutospacing="0" w:after="240" w:afterAutospacing="0" w:line="360" w:lineRule="auto"/>
        <w:jc w:val="both"/>
        <w:rPr>
          <w:lang w:val="en-GB"/>
        </w:rPr>
      </w:pPr>
      <w:r w:rsidRPr="00CA303A">
        <w:rPr>
          <w:color w:val="222222"/>
          <w:shd w:val="clear" w:color="auto" w:fill="FFFFFF"/>
          <w:lang w:val="en-GB"/>
        </w:rPr>
        <w:t xml:space="preserve">Bloom, M., Colbert, A.E. and Nielsen, J.D., 2021. Stories of calling: How called professionals construct narrative identities. </w:t>
      </w:r>
      <w:r w:rsidRPr="00CA303A">
        <w:rPr>
          <w:i/>
          <w:iCs/>
          <w:color w:val="000000"/>
          <w:lang w:val="en-GB"/>
        </w:rPr>
        <w:t>Administrative Science Quarterly</w:t>
      </w:r>
      <w:r w:rsidRPr="00CA303A">
        <w:rPr>
          <w:color w:val="000000"/>
          <w:lang w:val="en-GB"/>
        </w:rPr>
        <w:t xml:space="preserve">, </w:t>
      </w:r>
      <w:r w:rsidRPr="00CA303A">
        <w:rPr>
          <w:i/>
          <w:iCs/>
          <w:color w:val="000000"/>
          <w:lang w:val="en-GB"/>
        </w:rPr>
        <w:t>66</w:t>
      </w:r>
      <w:r w:rsidRPr="00CA303A">
        <w:rPr>
          <w:color w:val="000000"/>
          <w:lang w:val="en-GB"/>
        </w:rPr>
        <w:t>(2), pp.298-338.</w:t>
      </w:r>
    </w:p>
    <w:p w:rsidR="00CA303A" w:rsidRPr="00CA303A" w:rsidRDefault="00CA303A" w:rsidP="00CA303A">
      <w:pPr>
        <w:pStyle w:val="NormalWeb"/>
        <w:spacing w:before="240" w:beforeAutospacing="0" w:after="240" w:afterAutospacing="0" w:line="360" w:lineRule="auto"/>
        <w:jc w:val="both"/>
        <w:rPr>
          <w:lang w:val="en-GB"/>
        </w:rPr>
      </w:pPr>
      <w:r w:rsidRPr="00CA303A">
        <w:rPr>
          <w:color w:val="222222"/>
          <w:shd w:val="clear" w:color="auto" w:fill="FFFFFF"/>
          <w:lang w:val="en-GB"/>
        </w:rPr>
        <w:t xml:space="preserve">Feng, Z. and Savani, K., 2020. Covid-19 created a gender gap in perceived work productivity and job satisfaction: implications for dual-career parents working from home. </w:t>
      </w:r>
      <w:r w:rsidRPr="00CA303A">
        <w:rPr>
          <w:i/>
          <w:iCs/>
          <w:color w:val="000000"/>
          <w:lang w:val="en-GB"/>
        </w:rPr>
        <w:t>Gender in Management: An International Journal</w:t>
      </w:r>
      <w:r w:rsidRPr="00CA303A">
        <w:rPr>
          <w:color w:val="000000"/>
          <w:lang w:val="en-GB"/>
        </w:rPr>
        <w:t xml:space="preserve">, </w:t>
      </w:r>
      <w:r w:rsidRPr="00CA303A">
        <w:rPr>
          <w:i/>
          <w:iCs/>
          <w:color w:val="000000"/>
          <w:lang w:val="en-GB"/>
        </w:rPr>
        <w:t>35</w:t>
      </w:r>
      <w:r w:rsidRPr="00CA303A">
        <w:rPr>
          <w:color w:val="000000"/>
          <w:lang w:val="en-GB"/>
        </w:rPr>
        <w:t>(7/8), pp.719-736.</w:t>
      </w:r>
    </w:p>
    <w:p w:rsidR="00CA303A" w:rsidRPr="00CA303A" w:rsidRDefault="00CA303A" w:rsidP="00CA303A">
      <w:pPr>
        <w:pStyle w:val="NormalWeb"/>
        <w:spacing w:before="240" w:beforeAutospacing="0" w:after="240" w:afterAutospacing="0" w:line="360" w:lineRule="auto"/>
        <w:jc w:val="both"/>
        <w:rPr>
          <w:lang w:val="en-GB"/>
        </w:rPr>
      </w:pPr>
      <w:r w:rsidRPr="00CA303A">
        <w:rPr>
          <w:color w:val="222222"/>
          <w:shd w:val="clear" w:color="auto" w:fill="FFFFFF"/>
          <w:lang w:val="en-GB"/>
        </w:rPr>
        <w:t xml:space="preserve">Geerlings, P., Chamorro, E., Chattaraj, P.K., De Proft, F., Gázquez, J.L., Liu, S., Morell, C., Toro-Labbé, A., Vela, A. and Ayers, P., 2020. Conceptual density functional theory: status, prospects, issues. </w:t>
      </w:r>
      <w:r w:rsidRPr="00CA303A">
        <w:rPr>
          <w:i/>
          <w:iCs/>
          <w:color w:val="000000"/>
          <w:lang w:val="en-GB"/>
        </w:rPr>
        <w:t>Theoretical Chemistry Accounts</w:t>
      </w:r>
      <w:r w:rsidRPr="00CA303A">
        <w:rPr>
          <w:color w:val="000000"/>
          <w:lang w:val="en-GB"/>
        </w:rPr>
        <w:t xml:space="preserve">, </w:t>
      </w:r>
      <w:r w:rsidRPr="00CA303A">
        <w:rPr>
          <w:i/>
          <w:iCs/>
          <w:color w:val="000000"/>
          <w:lang w:val="en-GB"/>
        </w:rPr>
        <w:t>139</w:t>
      </w:r>
      <w:r w:rsidRPr="00CA303A">
        <w:rPr>
          <w:color w:val="000000"/>
          <w:lang w:val="en-GB"/>
        </w:rPr>
        <w:t>(2), p.36.</w:t>
      </w:r>
    </w:p>
    <w:p w:rsidR="00CA303A" w:rsidRPr="00CA303A" w:rsidRDefault="00CA303A" w:rsidP="00CA303A">
      <w:pPr>
        <w:spacing w:line="360" w:lineRule="auto"/>
        <w:jc w:val="both"/>
        <w:rPr>
          <w:rFonts w:ascii="Times New Roman" w:hAnsi="Times New Roman" w:cs="Times New Roman"/>
          <w:color w:val="222222"/>
          <w:sz w:val="24"/>
          <w:szCs w:val="24"/>
          <w:shd w:val="clear" w:color="auto" w:fill="FFFFFF"/>
          <w:lang w:val="en-GB"/>
        </w:rPr>
      </w:pPr>
      <w:r w:rsidRPr="00CA303A">
        <w:rPr>
          <w:rFonts w:ascii="Times New Roman" w:hAnsi="Times New Roman" w:cs="Times New Roman"/>
          <w:color w:val="222222"/>
          <w:sz w:val="24"/>
          <w:szCs w:val="24"/>
          <w:shd w:val="clear" w:color="auto" w:fill="FFFFFF"/>
          <w:lang w:val="en-GB"/>
        </w:rPr>
        <w:t>Hsiao, A., Ma, E., Lloyd, K. and Reid, S., 2020. Organizational ethnic diversity’s influence on hotel employees’ satisfaction, commitment, and turnover intention: Gender’s moderating role. </w:t>
      </w:r>
      <w:r w:rsidRPr="00CA303A">
        <w:rPr>
          <w:rFonts w:ascii="Times New Roman" w:hAnsi="Times New Roman" w:cs="Times New Roman"/>
          <w:i/>
          <w:iCs/>
          <w:color w:val="222222"/>
          <w:sz w:val="24"/>
          <w:szCs w:val="24"/>
          <w:shd w:val="clear" w:color="auto" w:fill="FFFFFF"/>
          <w:lang w:val="en-GB"/>
        </w:rPr>
        <w:t>Journal of Hospitality &amp; Tourism Research</w:t>
      </w:r>
      <w:r w:rsidRPr="00CA303A">
        <w:rPr>
          <w:rFonts w:ascii="Times New Roman" w:hAnsi="Times New Roman" w:cs="Times New Roman"/>
          <w:color w:val="222222"/>
          <w:sz w:val="24"/>
          <w:szCs w:val="24"/>
          <w:shd w:val="clear" w:color="auto" w:fill="FFFFFF"/>
          <w:lang w:val="en-GB"/>
        </w:rPr>
        <w:t>, </w:t>
      </w:r>
      <w:r w:rsidRPr="00CA303A">
        <w:rPr>
          <w:rFonts w:ascii="Times New Roman" w:hAnsi="Times New Roman" w:cs="Times New Roman"/>
          <w:i/>
          <w:iCs/>
          <w:color w:val="222222"/>
          <w:sz w:val="24"/>
          <w:szCs w:val="24"/>
          <w:shd w:val="clear" w:color="auto" w:fill="FFFFFF"/>
          <w:lang w:val="en-GB"/>
        </w:rPr>
        <w:t>44</w:t>
      </w:r>
      <w:r w:rsidRPr="00CA303A">
        <w:rPr>
          <w:rFonts w:ascii="Times New Roman" w:hAnsi="Times New Roman" w:cs="Times New Roman"/>
          <w:color w:val="222222"/>
          <w:sz w:val="24"/>
          <w:szCs w:val="24"/>
          <w:shd w:val="clear" w:color="auto" w:fill="FFFFFF"/>
          <w:lang w:val="en-GB"/>
        </w:rPr>
        <w:t>(1), pp.76-108.</w:t>
      </w:r>
    </w:p>
    <w:p w:rsidR="00CA303A" w:rsidRPr="00CA303A" w:rsidRDefault="00CA303A" w:rsidP="00CA303A">
      <w:pPr>
        <w:pStyle w:val="NormalWeb"/>
        <w:spacing w:before="240" w:beforeAutospacing="0" w:after="240" w:afterAutospacing="0" w:line="360" w:lineRule="auto"/>
        <w:jc w:val="both"/>
        <w:rPr>
          <w:lang w:val="en-GB"/>
        </w:rPr>
      </w:pPr>
      <w:r w:rsidRPr="00CA303A">
        <w:rPr>
          <w:color w:val="222222"/>
          <w:shd w:val="clear" w:color="auto" w:fill="FFFFFF"/>
          <w:lang w:val="en-GB"/>
        </w:rPr>
        <w:t xml:space="preserve">Jamil, S., 2020. Suffering in silence: The resilience of Pakistan’s female journalists to combat sexual harassment, threats and discrimination. </w:t>
      </w:r>
      <w:r w:rsidRPr="00CA303A">
        <w:rPr>
          <w:i/>
          <w:iCs/>
          <w:color w:val="000000"/>
          <w:lang w:val="en-GB"/>
        </w:rPr>
        <w:t>Journalism Practice</w:t>
      </w:r>
      <w:r w:rsidRPr="00CA303A">
        <w:rPr>
          <w:color w:val="000000"/>
          <w:lang w:val="en-GB"/>
        </w:rPr>
        <w:t xml:space="preserve">, </w:t>
      </w:r>
      <w:r w:rsidRPr="00CA303A">
        <w:rPr>
          <w:i/>
          <w:iCs/>
          <w:color w:val="000000"/>
          <w:lang w:val="en-GB"/>
        </w:rPr>
        <w:t>14</w:t>
      </w:r>
      <w:r w:rsidRPr="00CA303A">
        <w:rPr>
          <w:color w:val="000000"/>
          <w:lang w:val="en-GB"/>
        </w:rPr>
        <w:t>(2), pp.150-170.</w:t>
      </w:r>
    </w:p>
    <w:p w:rsidR="00CA303A" w:rsidRPr="00CA303A" w:rsidRDefault="00CA303A" w:rsidP="00CA303A">
      <w:pPr>
        <w:pStyle w:val="NormalWeb"/>
        <w:spacing w:before="240" w:beforeAutospacing="0" w:after="240" w:afterAutospacing="0" w:line="360" w:lineRule="auto"/>
        <w:jc w:val="both"/>
        <w:rPr>
          <w:lang w:val="en-GB"/>
        </w:rPr>
      </w:pPr>
      <w:r w:rsidRPr="00CA303A">
        <w:rPr>
          <w:color w:val="222222"/>
          <w:shd w:val="clear" w:color="auto" w:fill="FFFFFF"/>
          <w:lang w:val="en-GB"/>
        </w:rPr>
        <w:lastRenderedPageBreak/>
        <w:t xml:space="preserve">McCluney, C.L., Durkee, M.I., Smith II, R.E., Robotham, K.J. and Lee, S.S.L., 2021. To be, or not to be… Black: The effects of racial codeswitching on perceived professionalism in the workplace. </w:t>
      </w:r>
      <w:r w:rsidRPr="00CA303A">
        <w:rPr>
          <w:i/>
          <w:iCs/>
          <w:color w:val="000000"/>
          <w:lang w:val="en-GB"/>
        </w:rPr>
        <w:t>Journal of experimental social psychology</w:t>
      </w:r>
      <w:r w:rsidRPr="00CA303A">
        <w:rPr>
          <w:color w:val="000000"/>
          <w:lang w:val="en-GB"/>
        </w:rPr>
        <w:t xml:space="preserve">, </w:t>
      </w:r>
      <w:r w:rsidRPr="00CA303A">
        <w:rPr>
          <w:i/>
          <w:iCs/>
          <w:color w:val="000000"/>
          <w:lang w:val="en-GB"/>
        </w:rPr>
        <w:t>97</w:t>
      </w:r>
      <w:r w:rsidRPr="00CA303A">
        <w:rPr>
          <w:color w:val="000000"/>
          <w:lang w:val="en-GB"/>
        </w:rPr>
        <w:t>, p.104199.</w:t>
      </w:r>
    </w:p>
    <w:p w:rsidR="00CA303A" w:rsidRPr="00CA303A" w:rsidRDefault="00CA303A" w:rsidP="00CA303A">
      <w:pPr>
        <w:pStyle w:val="NormalWeb"/>
        <w:spacing w:before="240" w:beforeAutospacing="0" w:after="240" w:afterAutospacing="0" w:line="360" w:lineRule="auto"/>
        <w:jc w:val="both"/>
        <w:rPr>
          <w:lang w:val="en-GB"/>
        </w:rPr>
      </w:pPr>
      <w:r w:rsidRPr="00CA303A">
        <w:rPr>
          <w:color w:val="222222"/>
          <w:shd w:val="clear" w:color="auto" w:fill="FFFFFF"/>
          <w:lang w:val="en-GB"/>
        </w:rPr>
        <w:t xml:space="preserve">Ocloo, J., Garfield, S., Franklin, B.D. and Dawson, S., 2021. Exploring the theory, barriers and enablers for patient and public involvement across health, social care and patient safety: a systematic review of reviews. </w:t>
      </w:r>
      <w:r w:rsidRPr="00CA303A">
        <w:rPr>
          <w:i/>
          <w:iCs/>
          <w:color w:val="000000"/>
          <w:lang w:val="en-GB"/>
        </w:rPr>
        <w:t>Health research policy and systems</w:t>
      </w:r>
      <w:r w:rsidRPr="00CA303A">
        <w:rPr>
          <w:color w:val="000000"/>
          <w:lang w:val="en-GB"/>
        </w:rPr>
        <w:t xml:space="preserve">, </w:t>
      </w:r>
      <w:r w:rsidRPr="00CA303A">
        <w:rPr>
          <w:i/>
          <w:iCs/>
          <w:color w:val="000000"/>
          <w:lang w:val="en-GB"/>
        </w:rPr>
        <w:t>19</w:t>
      </w:r>
      <w:r w:rsidRPr="00CA303A">
        <w:rPr>
          <w:color w:val="000000"/>
          <w:lang w:val="en-GB"/>
        </w:rPr>
        <w:t>, pp.1-21.</w:t>
      </w:r>
    </w:p>
    <w:p w:rsidR="00CA303A" w:rsidRPr="00CA303A" w:rsidRDefault="00CA303A" w:rsidP="00CA303A">
      <w:pPr>
        <w:spacing w:line="360" w:lineRule="auto"/>
        <w:jc w:val="both"/>
        <w:rPr>
          <w:rFonts w:ascii="Times New Roman" w:hAnsi="Times New Roman" w:cs="Times New Roman"/>
          <w:color w:val="222222"/>
          <w:sz w:val="24"/>
          <w:szCs w:val="24"/>
          <w:shd w:val="clear" w:color="auto" w:fill="FFFFFF"/>
          <w:lang w:val="en-GB"/>
        </w:rPr>
      </w:pPr>
      <w:r w:rsidRPr="00CA303A">
        <w:rPr>
          <w:rFonts w:ascii="Times New Roman" w:hAnsi="Times New Roman" w:cs="Times New Roman"/>
          <w:color w:val="222222"/>
          <w:sz w:val="24"/>
          <w:szCs w:val="24"/>
          <w:shd w:val="clear" w:color="auto" w:fill="FFFFFF"/>
          <w:lang w:val="en-GB"/>
        </w:rPr>
        <w:t>Saunders, M.N., Lewis, P., Thornhill, A. and Bristow, A., 2019. Understanding research philosophy and approaches to theory development.</w:t>
      </w:r>
    </w:p>
    <w:p w:rsidR="00CA303A" w:rsidRPr="00CA303A" w:rsidRDefault="00CA303A" w:rsidP="00CA303A">
      <w:pPr>
        <w:spacing w:line="360" w:lineRule="auto"/>
        <w:jc w:val="both"/>
        <w:rPr>
          <w:rFonts w:ascii="Times New Roman" w:hAnsi="Times New Roman" w:cs="Times New Roman"/>
          <w:color w:val="222222"/>
          <w:sz w:val="24"/>
          <w:szCs w:val="24"/>
          <w:shd w:val="clear" w:color="auto" w:fill="FFFFFF"/>
          <w:lang w:val="en-GB"/>
        </w:rPr>
      </w:pPr>
      <w:r w:rsidRPr="00CA303A">
        <w:rPr>
          <w:rFonts w:ascii="Times New Roman" w:hAnsi="Times New Roman" w:cs="Times New Roman"/>
          <w:color w:val="222222"/>
          <w:sz w:val="24"/>
          <w:szCs w:val="24"/>
          <w:shd w:val="clear" w:color="auto" w:fill="FFFFFF"/>
          <w:lang w:val="en-GB"/>
        </w:rPr>
        <w:t>Smith, J., Blevins, B., Werse, N.R. and Talbert, S., 2021. Researcher positionality in the dissertation in practice. In </w:t>
      </w:r>
      <w:r w:rsidRPr="00CA303A">
        <w:rPr>
          <w:rFonts w:ascii="Times New Roman" w:hAnsi="Times New Roman" w:cs="Times New Roman"/>
          <w:i/>
          <w:iCs/>
          <w:color w:val="222222"/>
          <w:sz w:val="24"/>
          <w:szCs w:val="24"/>
          <w:shd w:val="clear" w:color="auto" w:fill="FFFFFF"/>
          <w:lang w:val="en-GB"/>
        </w:rPr>
        <w:t>Practice-based and practice-led research for dissertation development</w:t>
      </w:r>
      <w:r w:rsidRPr="00CA303A">
        <w:rPr>
          <w:rFonts w:ascii="Times New Roman" w:hAnsi="Times New Roman" w:cs="Times New Roman"/>
          <w:color w:val="222222"/>
          <w:sz w:val="24"/>
          <w:szCs w:val="24"/>
          <w:shd w:val="clear" w:color="auto" w:fill="FFFFFF"/>
          <w:lang w:val="en-GB"/>
        </w:rPr>
        <w:t> (pp. 43-63). IGI Global.</w:t>
      </w:r>
    </w:p>
    <w:p w:rsidR="00CA303A" w:rsidRPr="00CA303A" w:rsidRDefault="00CA303A" w:rsidP="00CA303A">
      <w:pPr>
        <w:spacing w:line="360" w:lineRule="auto"/>
        <w:jc w:val="both"/>
        <w:rPr>
          <w:rFonts w:ascii="Times New Roman" w:hAnsi="Times New Roman" w:cs="Times New Roman"/>
          <w:sz w:val="24"/>
          <w:szCs w:val="24"/>
          <w:lang w:val="en-GB"/>
        </w:rPr>
      </w:pPr>
      <w:r w:rsidRPr="00CA303A">
        <w:rPr>
          <w:rFonts w:ascii="Times New Roman" w:hAnsi="Times New Roman" w:cs="Times New Roman"/>
          <w:color w:val="000000"/>
          <w:sz w:val="24"/>
          <w:szCs w:val="24"/>
          <w:lang w:val="en-GB"/>
        </w:rPr>
        <w:t xml:space="preserve">Statista.com, (2024), Share of respondents who think that gender equality will be achieved in their lifetime as of 2023, by country and gender, Available at: </w:t>
      </w:r>
      <w:hyperlink r:id="rId13" w:history="1">
        <w:r w:rsidRPr="00CA303A">
          <w:rPr>
            <w:rStyle w:val="Hyperlink"/>
            <w:rFonts w:ascii="Times New Roman" w:hAnsi="Times New Roman" w:cs="Times New Roman"/>
            <w:sz w:val="24"/>
            <w:szCs w:val="24"/>
            <w:lang w:val="en-GB"/>
          </w:rPr>
          <w:t>Global opinions on when gender equality will be achieved | Statista</w:t>
        </w:r>
      </w:hyperlink>
      <w:r w:rsidRPr="00CA303A">
        <w:rPr>
          <w:rFonts w:ascii="Times New Roman" w:hAnsi="Times New Roman" w:cs="Times New Roman"/>
          <w:sz w:val="24"/>
          <w:szCs w:val="24"/>
          <w:lang w:val="en-GB"/>
        </w:rPr>
        <w:t>, [accessed on: 01/02/2024]</w:t>
      </w:r>
    </w:p>
    <w:p w:rsidR="00CA303A" w:rsidRPr="00CA303A" w:rsidRDefault="00CA303A" w:rsidP="00CA303A">
      <w:pPr>
        <w:spacing w:line="360" w:lineRule="auto"/>
        <w:jc w:val="both"/>
        <w:rPr>
          <w:rFonts w:ascii="Times New Roman" w:hAnsi="Times New Roman" w:cs="Times New Roman"/>
          <w:sz w:val="24"/>
          <w:szCs w:val="24"/>
          <w:lang w:val="en-GB"/>
        </w:rPr>
      </w:pPr>
      <w:r w:rsidRPr="00CA303A">
        <w:rPr>
          <w:rFonts w:ascii="Times New Roman" w:hAnsi="Times New Roman" w:cs="Times New Roman"/>
          <w:color w:val="000000"/>
          <w:sz w:val="24"/>
          <w:szCs w:val="24"/>
          <w:lang w:val="en-GB"/>
        </w:rPr>
        <w:t xml:space="preserve">Statista.com, (2024), Share of women who suffered intimate partner physical and/or sexual violence in 2020, by region, Available at: </w:t>
      </w:r>
      <w:hyperlink r:id="rId14" w:history="1">
        <w:r w:rsidRPr="00CA303A">
          <w:rPr>
            <w:rStyle w:val="Hyperlink"/>
            <w:rFonts w:ascii="Times New Roman" w:hAnsi="Times New Roman" w:cs="Times New Roman"/>
            <w:sz w:val="24"/>
            <w:szCs w:val="24"/>
            <w:lang w:val="en-GB"/>
          </w:rPr>
          <w:t>Global: violence against women by region 2020 | Statista</w:t>
        </w:r>
      </w:hyperlink>
      <w:r w:rsidRPr="00CA303A">
        <w:rPr>
          <w:rFonts w:ascii="Times New Roman" w:hAnsi="Times New Roman" w:cs="Times New Roman"/>
          <w:sz w:val="24"/>
          <w:szCs w:val="24"/>
          <w:lang w:val="en-GB"/>
        </w:rPr>
        <w:t>, [accessed on: 01/02/2024]</w:t>
      </w:r>
    </w:p>
    <w:p w:rsidR="00CA303A" w:rsidRPr="00CA303A" w:rsidRDefault="00CA303A" w:rsidP="00CA303A">
      <w:pPr>
        <w:spacing w:before="240" w:after="240" w:line="360" w:lineRule="auto"/>
        <w:jc w:val="both"/>
        <w:rPr>
          <w:rFonts w:ascii="Times New Roman" w:hAnsi="Times New Roman" w:cs="Times New Roman"/>
          <w:color w:val="000000" w:themeColor="text1"/>
          <w:sz w:val="24"/>
          <w:szCs w:val="24"/>
          <w:lang w:val="en-GB"/>
        </w:rPr>
      </w:pPr>
      <w:r w:rsidRPr="00CA303A">
        <w:rPr>
          <w:rFonts w:ascii="Times New Roman" w:hAnsi="Times New Roman" w:cs="Times New Roman"/>
          <w:color w:val="000000" w:themeColor="text1"/>
          <w:sz w:val="24"/>
          <w:szCs w:val="24"/>
          <w:highlight w:val="white"/>
          <w:lang w:val="en-GB"/>
        </w:rPr>
        <w:t xml:space="preserve">Sun, Y., Fu, Z., Bo, Q., Mao, Z., Ma, X. and Wang, C., 2020. The reliability and validity of PHQ-9 in patients with major depressive disorder in psychiatric hospital. </w:t>
      </w:r>
      <w:r w:rsidRPr="00CA303A">
        <w:rPr>
          <w:rFonts w:ascii="Times New Roman" w:hAnsi="Times New Roman" w:cs="Times New Roman"/>
          <w:i/>
          <w:color w:val="000000" w:themeColor="text1"/>
          <w:sz w:val="24"/>
          <w:szCs w:val="24"/>
          <w:lang w:val="en-GB"/>
        </w:rPr>
        <w:t>BMC psychiatry</w:t>
      </w:r>
      <w:r w:rsidRPr="00CA303A">
        <w:rPr>
          <w:rFonts w:ascii="Times New Roman" w:hAnsi="Times New Roman" w:cs="Times New Roman"/>
          <w:color w:val="000000" w:themeColor="text1"/>
          <w:sz w:val="24"/>
          <w:szCs w:val="24"/>
          <w:lang w:val="en-GB"/>
        </w:rPr>
        <w:t xml:space="preserve">, </w:t>
      </w:r>
      <w:r w:rsidRPr="00CA303A">
        <w:rPr>
          <w:rFonts w:ascii="Times New Roman" w:hAnsi="Times New Roman" w:cs="Times New Roman"/>
          <w:i/>
          <w:color w:val="000000" w:themeColor="text1"/>
          <w:sz w:val="24"/>
          <w:szCs w:val="24"/>
          <w:lang w:val="en-GB"/>
        </w:rPr>
        <w:t>20</w:t>
      </w:r>
      <w:r w:rsidRPr="00CA303A">
        <w:rPr>
          <w:rFonts w:ascii="Times New Roman" w:hAnsi="Times New Roman" w:cs="Times New Roman"/>
          <w:color w:val="000000" w:themeColor="text1"/>
          <w:sz w:val="24"/>
          <w:szCs w:val="24"/>
          <w:lang w:val="en-GB"/>
        </w:rPr>
        <w:t>, pp.1-7.</w:t>
      </w:r>
    </w:p>
    <w:p w:rsidR="00CA303A" w:rsidRPr="00CA303A" w:rsidRDefault="00CA303A" w:rsidP="00CA303A">
      <w:pPr>
        <w:pStyle w:val="NormalWeb"/>
        <w:spacing w:before="240" w:beforeAutospacing="0" w:after="240" w:afterAutospacing="0" w:line="360" w:lineRule="auto"/>
        <w:jc w:val="both"/>
        <w:rPr>
          <w:lang w:val="en-GB"/>
        </w:rPr>
      </w:pPr>
      <w:r w:rsidRPr="00CA303A">
        <w:rPr>
          <w:color w:val="222222"/>
          <w:shd w:val="clear" w:color="auto" w:fill="FFFFFF"/>
          <w:lang w:val="en-GB"/>
        </w:rPr>
        <w:t xml:space="preserve">Thun, C., 2020. Excellent and gender equal? Academic motherhood and ‘gender blindness' in Norwegian academia. </w:t>
      </w:r>
      <w:r w:rsidRPr="00CA303A">
        <w:rPr>
          <w:i/>
          <w:iCs/>
          <w:color w:val="000000"/>
          <w:lang w:val="en-GB"/>
        </w:rPr>
        <w:t>Gender, Work &amp; Organization</w:t>
      </w:r>
      <w:r w:rsidRPr="00CA303A">
        <w:rPr>
          <w:color w:val="000000"/>
          <w:lang w:val="en-GB"/>
        </w:rPr>
        <w:t xml:space="preserve">, </w:t>
      </w:r>
      <w:r w:rsidRPr="00CA303A">
        <w:rPr>
          <w:i/>
          <w:iCs/>
          <w:color w:val="000000"/>
          <w:lang w:val="en-GB"/>
        </w:rPr>
        <w:t>27</w:t>
      </w:r>
      <w:r w:rsidRPr="00CA303A">
        <w:rPr>
          <w:color w:val="000000"/>
          <w:lang w:val="en-GB"/>
        </w:rPr>
        <w:t>(2), pp.166-180.</w:t>
      </w:r>
    </w:p>
    <w:p w:rsidR="00CA303A" w:rsidRPr="00CA303A" w:rsidRDefault="00CA303A" w:rsidP="00CA303A">
      <w:pPr>
        <w:spacing w:line="360" w:lineRule="auto"/>
        <w:jc w:val="both"/>
        <w:rPr>
          <w:rFonts w:ascii="Times New Roman" w:hAnsi="Times New Roman" w:cs="Times New Roman"/>
          <w:color w:val="222222"/>
          <w:sz w:val="24"/>
          <w:szCs w:val="24"/>
          <w:shd w:val="clear" w:color="auto" w:fill="FFFFFF"/>
          <w:lang w:val="en-GB"/>
        </w:rPr>
      </w:pPr>
      <w:r w:rsidRPr="00CA303A">
        <w:rPr>
          <w:rFonts w:ascii="Times New Roman" w:hAnsi="Times New Roman" w:cs="Times New Roman"/>
          <w:color w:val="222222"/>
          <w:sz w:val="24"/>
          <w:szCs w:val="24"/>
          <w:shd w:val="clear" w:color="auto" w:fill="FFFFFF"/>
          <w:lang w:val="en-GB"/>
        </w:rPr>
        <w:t>Turesky, M. and Warner, M.E., 2020. Gender dynamics in the planning workplace: The importance of women in management. </w:t>
      </w:r>
      <w:r w:rsidRPr="00CA303A">
        <w:rPr>
          <w:rFonts w:ascii="Times New Roman" w:hAnsi="Times New Roman" w:cs="Times New Roman"/>
          <w:i/>
          <w:iCs/>
          <w:color w:val="222222"/>
          <w:sz w:val="24"/>
          <w:szCs w:val="24"/>
          <w:shd w:val="clear" w:color="auto" w:fill="FFFFFF"/>
          <w:lang w:val="en-GB"/>
        </w:rPr>
        <w:t>Journal of the American Planning Association</w:t>
      </w:r>
      <w:r w:rsidRPr="00CA303A">
        <w:rPr>
          <w:rFonts w:ascii="Times New Roman" w:hAnsi="Times New Roman" w:cs="Times New Roman"/>
          <w:color w:val="222222"/>
          <w:sz w:val="24"/>
          <w:szCs w:val="24"/>
          <w:shd w:val="clear" w:color="auto" w:fill="FFFFFF"/>
          <w:lang w:val="en-GB"/>
        </w:rPr>
        <w:t>, </w:t>
      </w:r>
      <w:r w:rsidRPr="00CA303A">
        <w:rPr>
          <w:rFonts w:ascii="Times New Roman" w:hAnsi="Times New Roman" w:cs="Times New Roman"/>
          <w:i/>
          <w:iCs/>
          <w:color w:val="222222"/>
          <w:sz w:val="24"/>
          <w:szCs w:val="24"/>
          <w:shd w:val="clear" w:color="auto" w:fill="FFFFFF"/>
          <w:lang w:val="en-GB"/>
        </w:rPr>
        <w:t>86</w:t>
      </w:r>
      <w:r w:rsidRPr="00CA303A">
        <w:rPr>
          <w:rFonts w:ascii="Times New Roman" w:hAnsi="Times New Roman" w:cs="Times New Roman"/>
          <w:color w:val="222222"/>
          <w:sz w:val="24"/>
          <w:szCs w:val="24"/>
          <w:shd w:val="clear" w:color="auto" w:fill="FFFFFF"/>
          <w:lang w:val="en-GB"/>
        </w:rPr>
        <w:t>(2), pp.157-170.</w:t>
      </w:r>
    </w:p>
    <w:p w:rsidR="00CA303A" w:rsidRPr="00CA303A" w:rsidRDefault="00CA303A" w:rsidP="00CA303A">
      <w:pPr>
        <w:pStyle w:val="NormalWeb"/>
        <w:spacing w:before="240" w:beforeAutospacing="0" w:after="240" w:afterAutospacing="0" w:line="360" w:lineRule="auto"/>
        <w:jc w:val="both"/>
        <w:rPr>
          <w:lang w:val="en-GB"/>
        </w:rPr>
      </w:pPr>
      <w:r w:rsidRPr="00CA303A">
        <w:rPr>
          <w:color w:val="222222"/>
          <w:shd w:val="clear" w:color="auto" w:fill="FFFFFF"/>
          <w:lang w:val="en-GB"/>
        </w:rPr>
        <w:t xml:space="preserve">Van Laer, K., Jammaers, E. and Hoeven, W., 2022. Disabling organizational spaces: Exploring the processes through which spatial environments disable employees with impairments. </w:t>
      </w:r>
      <w:r w:rsidRPr="00CA303A">
        <w:rPr>
          <w:i/>
          <w:iCs/>
          <w:color w:val="000000"/>
          <w:lang w:val="en-GB"/>
        </w:rPr>
        <w:t>Organization</w:t>
      </w:r>
      <w:r w:rsidRPr="00CA303A">
        <w:rPr>
          <w:color w:val="000000"/>
          <w:lang w:val="en-GB"/>
        </w:rPr>
        <w:t xml:space="preserve">, </w:t>
      </w:r>
      <w:r w:rsidRPr="00CA303A">
        <w:rPr>
          <w:i/>
          <w:iCs/>
          <w:color w:val="000000"/>
          <w:lang w:val="en-GB"/>
        </w:rPr>
        <w:t>29</w:t>
      </w:r>
      <w:r w:rsidRPr="00CA303A">
        <w:rPr>
          <w:color w:val="000000"/>
          <w:lang w:val="en-GB"/>
        </w:rPr>
        <w:t>(6), pp.1018-1035.</w:t>
      </w:r>
    </w:p>
    <w:sectPr w:rsidR="00CA303A" w:rsidRPr="00CA303A" w:rsidSect="000B5D4E">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40703" w:rsidRDefault="00340703" w:rsidP="000B5D4E">
      <w:pPr>
        <w:spacing w:line="240" w:lineRule="auto"/>
      </w:pPr>
      <w:r>
        <w:separator/>
      </w:r>
    </w:p>
  </w:endnote>
  <w:endnote w:type="continuationSeparator" w:id="1">
    <w:p w:rsidR="00340703" w:rsidRDefault="00340703" w:rsidP="000B5D4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89701921"/>
      <w:docPartObj>
        <w:docPartGallery w:val="Page Numbers (Bottom of Page)"/>
        <w:docPartUnique/>
      </w:docPartObj>
    </w:sdtPr>
    <w:sdtEndPr>
      <w:rPr>
        <w:rFonts w:ascii="Times New Roman" w:hAnsi="Times New Roman" w:cs="Times New Roman"/>
        <w:noProof/>
        <w:sz w:val="20"/>
        <w:szCs w:val="20"/>
      </w:rPr>
    </w:sdtEndPr>
    <w:sdtContent>
      <w:p w:rsidR="000B5D4E" w:rsidRPr="000B5D4E" w:rsidRDefault="00995C70">
        <w:pPr>
          <w:pStyle w:val="Footer"/>
          <w:jc w:val="right"/>
          <w:rPr>
            <w:rFonts w:ascii="Times New Roman" w:hAnsi="Times New Roman" w:cs="Times New Roman"/>
            <w:sz w:val="20"/>
            <w:szCs w:val="20"/>
          </w:rPr>
        </w:pPr>
        <w:r w:rsidRPr="000B5D4E">
          <w:rPr>
            <w:rFonts w:ascii="Times New Roman" w:hAnsi="Times New Roman" w:cs="Times New Roman"/>
            <w:sz w:val="20"/>
            <w:szCs w:val="20"/>
          </w:rPr>
          <w:fldChar w:fldCharType="begin"/>
        </w:r>
        <w:r w:rsidR="000B5D4E" w:rsidRPr="000B5D4E">
          <w:rPr>
            <w:rFonts w:ascii="Times New Roman" w:hAnsi="Times New Roman" w:cs="Times New Roman"/>
            <w:sz w:val="20"/>
            <w:szCs w:val="20"/>
          </w:rPr>
          <w:instrText xml:space="preserve"> PAGE   \* MERGEFORMAT </w:instrText>
        </w:r>
        <w:r w:rsidRPr="000B5D4E">
          <w:rPr>
            <w:rFonts w:ascii="Times New Roman" w:hAnsi="Times New Roman" w:cs="Times New Roman"/>
            <w:sz w:val="20"/>
            <w:szCs w:val="20"/>
          </w:rPr>
          <w:fldChar w:fldCharType="separate"/>
        </w:r>
        <w:r w:rsidR="00D91006">
          <w:rPr>
            <w:rFonts w:ascii="Times New Roman" w:hAnsi="Times New Roman" w:cs="Times New Roman"/>
            <w:noProof/>
            <w:sz w:val="20"/>
            <w:szCs w:val="20"/>
          </w:rPr>
          <w:t>14</w:t>
        </w:r>
        <w:r w:rsidRPr="000B5D4E">
          <w:rPr>
            <w:rFonts w:ascii="Times New Roman" w:hAnsi="Times New Roman" w:cs="Times New Roman"/>
            <w:noProof/>
            <w:sz w:val="20"/>
            <w:szCs w:val="20"/>
          </w:rPr>
          <w:fldChar w:fldCharType="end"/>
        </w:r>
      </w:p>
    </w:sdtContent>
  </w:sdt>
  <w:p w:rsidR="000B5D4E" w:rsidRDefault="000B5D4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40703" w:rsidRDefault="00340703" w:rsidP="000B5D4E">
      <w:pPr>
        <w:spacing w:line="240" w:lineRule="auto"/>
      </w:pPr>
      <w:r>
        <w:separator/>
      </w:r>
    </w:p>
  </w:footnote>
  <w:footnote w:type="continuationSeparator" w:id="1">
    <w:p w:rsidR="00340703" w:rsidRDefault="00340703" w:rsidP="000B5D4E">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964C8B"/>
    <w:multiLevelType w:val="multilevel"/>
    <w:tmpl w:val="8490E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E7006D9"/>
    <w:multiLevelType w:val="multilevel"/>
    <w:tmpl w:val="EB466F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CF9084A"/>
    <w:multiLevelType w:val="hybridMultilevel"/>
    <w:tmpl w:val="426CB9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AC0227C"/>
    <w:multiLevelType w:val="multilevel"/>
    <w:tmpl w:val="2D988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EC47C72"/>
    <w:multiLevelType w:val="multilevel"/>
    <w:tmpl w:val="CB5053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GB" w:vendorID="64" w:dllVersion="131078" w:nlCheck="1" w:checkStyle="0"/>
  <w:activeWritingStyle w:appName="MSWord" w:lang="en-US" w:vendorID="64" w:dllVersion="131078" w:nlCheck="1" w:checkStyle="1"/>
  <w:activeWritingStyle w:appName="MSWord" w:lang="en-IN" w:vendorID="64" w:dllVersion="131078" w:nlCheck="1" w:checkStyle="1"/>
  <w:defaultTabStop w:val="720"/>
  <w:characterSpacingControl w:val="doNotCompress"/>
  <w:footnotePr>
    <w:footnote w:id="0"/>
    <w:footnote w:id="1"/>
  </w:footnotePr>
  <w:endnotePr>
    <w:endnote w:id="0"/>
    <w:endnote w:id="1"/>
  </w:endnotePr>
  <w:compat/>
  <w:rsids>
    <w:rsidRoot w:val="005307B2"/>
    <w:rsid w:val="000A03BC"/>
    <w:rsid w:val="000B5D4E"/>
    <w:rsid w:val="00142D39"/>
    <w:rsid w:val="001B6A61"/>
    <w:rsid w:val="00265D02"/>
    <w:rsid w:val="00340703"/>
    <w:rsid w:val="003A2F43"/>
    <w:rsid w:val="004C0D6D"/>
    <w:rsid w:val="004D0B05"/>
    <w:rsid w:val="00515BD2"/>
    <w:rsid w:val="005307B2"/>
    <w:rsid w:val="00582E74"/>
    <w:rsid w:val="00587CF6"/>
    <w:rsid w:val="005E4F94"/>
    <w:rsid w:val="007362A9"/>
    <w:rsid w:val="0076783B"/>
    <w:rsid w:val="00777AEC"/>
    <w:rsid w:val="007977D8"/>
    <w:rsid w:val="007E3027"/>
    <w:rsid w:val="0081718A"/>
    <w:rsid w:val="00836DC5"/>
    <w:rsid w:val="008E40D9"/>
    <w:rsid w:val="00995C70"/>
    <w:rsid w:val="009A48CA"/>
    <w:rsid w:val="00B306CB"/>
    <w:rsid w:val="00B50F00"/>
    <w:rsid w:val="00BA4A59"/>
    <w:rsid w:val="00CA303A"/>
    <w:rsid w:val="00CC62F4"/>
    <w:rsid w:val="00D5737B"/>
    <w:rsid w:val="00D91006"/>
    <w:rsid w:val="00DA3263"/>
    <w:rsid w:val="00E90C5F"/>
    <w:rsid w:val="00F6324F"/>
    <w:rsid w:val="00F74723"/>
    <w:rsid w:val="00F82229"/>
    <w:rsid w:val="00FA39F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IN" w:bidi="bn-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6324F"/>
  </w:style>
  <w:style w:type="paragraph" w:styleId="Heading1">
    <w:name w:val="heading 1"/>
    <w:basedOn w:val="Normal"/>
    <w:next w:val="Normal"/>
    <w:rsid w:val="000B5D4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0B5D4E"/>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autoRedefine/>
    <w:rsid w:val="00265D02"/>
    <w:pPr>
      <w:keepNext/>
      <w:keepLines/>
      <w:spacing w:before="320" w:after="80" w:line="360" w:lineRule="auto"/>
      <w:outlineLvl w:val="2"/>
    </w:pPr>
    <w:rPr>
      <w:rFonts w:ascii="Times New Roman" w:hAnsi="Times New Roman"/>
      <w:b/>
      <w:color w:val="000000" w:themeColor="text1"/>
      <w:sz w:val="24"/>
      <w:szCs w:val="28"/>
    </w:rPr>
  </w:style>
  <w:style w:type="paragraph" w:styleId="Heading4">
    <w:name w:val="heading 4"/>
    <w:basedOn w:val="Normal"/>
    <w:next w:val="Normal"/>
    <w:rsid w:val="00F6324F"/>
    <w:pPr>
      <w:keepNext/>
      <w:keepLines/>
      <w:spacing w:before="280" w:after="80"/>
      <w:outlineLvl w:val="3"/>
    </w:pPr>
    <w:rPr>
      <w:color w:val="666666"/>
      <w:sz w:val="24"/>
      <w:szCs w:val="24"/>
    </w:rPr>
  </w:style>
  <w:style w:type="paragraph" w:styleId="Heading5">
    <w:name w:val="heading 5"/>
    <w:basedOn w:val="Normal"/>
    <w:next w:val="Normal"/>
    <w:rsid w:val="00F6324F"/>
    <w:pPr>
      <w:keepNext/>
      <w:keepLines/>
      <w:spacing w:before="240" w:after="80"/>
      <w:outlineLvl w:val="4"/>
    </w:pPr>
    <w:rPr>
      <w:color w:val="666666"/>
    </w:rPr>
  </w:style>
  <w:style w:type="paragraph" w:styleId="Heading6">
    <w:name w:val="heading 6"/>
    <w:basedOn w:val="Normal"/>
    <w:next w:val="Normal"/>
    <w:rsid w:val="00F6324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6324F"/>
    <w:pPr>
      <w:keepNext/>
      <w:keepLines/>
      <w:spacing w:after="60"/>
    </w:pPr>
    <w:rPr>
      <w:sz w:val="52"/>
      <w:szCs w:val="52"/>
    </w:rPr>
  </w:style>
  <w:style w:type="paragraph" w:styleId="Subtitle">
    <w:name w:val="Subtitle"/>
    <w:basedOn w:val="Normal"/>
    <w:next w:val="Normal"/>
    <w:rsid w:val="00F6324F"/>
    <w:pPr>
      <w:keepNext/>
      <w:keepLines/>
      <w:spacing w:after="320"/>
    </w:pPr>
    <w:rPr>
      <w:color w:val="666666"/>
      <w:sz w:val="30"/>
      <w:szCs w:val="30"/>
    </w:rPr>
  </w:style>
  <w:style w:type="paragraph" w:styleId="Header">
    <w:name w:val="header"/>
    <w:basedOn w:val="Normal"/>
    <w:link w:val="HeaderChar"/>
    <w:uiPriority w:val="99"/>
    <w:unhideWhenUsed/>
    <w:rsid w:val="000B5D4E"/>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0B5D4E"/>
    <w:rPr>
      <w:szCs w:val="28"/>
    </w:rPr>
  </w:style>
  <w:style w:type="paragraph" w:styleId="Footer">
    <w:name w:val="footer"/>
    <w:basedOn w:val="Normal"/>
    <w:link w:val="FooterChar"/>
    <w:uiPriority w:val="99"/>
    <w:unhideWhenUsed/>
    <w:rsid w:val="000B5D4E"/>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0B5D4E"/>
    <w:rPr>
      <w:szCs w:val="28"/>
    </w:rPr>
  </w:style>
  <w:style w:type="paragraph" w:styleId="NormalWeb">
    <w:name w:val="Normal (Web)"/>
    <w:basedOn w:val="Normal"/>
    <w:uiPriority w:val="99"/>
    <w:unhideWhenUsed/>
    <w:rsid w:val="000B5D4E"/>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0B5D4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bidi="ar-SA"/>
    </w:rPr>
  </w:style>
  <w:style w:type="paragraph" w:styleId="TOC1">
    <w:name w:val="toc 1"/>
    <w:basedOn w:val="Normal"/>
    <w:next w:val="Normal"/>
    <w:autoRedefine/>
    <w:uiPriority w:val="39"/>
    <w:unhideWhenUsed/>
    <w:rsid w:val="000B5D4E"/>
    <w:pPr>
      <w:spacing w:after="100"/>
    </w:pPr>
    <w:rPr>
      <w:szCs w:val="28"/>
    </w:rPr>
  </w:style>
  <w:style w:type="paragraph" w:styleId="TOC2">
    <w:name w:val="toc 2"/>
    <w:basedOn w:val="Normal"/>
    <w:next w:val="Normal"/>
    <w:autoRedefine/>
    <w:uiPriority w:val="39"/>
    <w:unhideWhenUsed/>
    <w:rsid w:val="000B5D4E"/>
    <w:pPr>
      <w:spacing w:after="100"/>
      <w:ind w:left="220"/>
    </w:pPr>
    <w:rPr>
      <w:szCs w:val="28"/>
    </w:rPr>
  </w:style>
  <w:style w:type="character" w:styleId="Hyperlink">
    <w:name w:val="Hyperlink"/>
    <w:basedOn w:val="DefaultParagraphFont"/>
    <w:uiPriority w:val="99"/>
    <w:unhideWhenUsed/>
    <w:rsid w:val="000B5D4E"/>
    <w:rPr>
      <w:color w:val="0000FF" w:themeColor="hyperlink"/>
      <w:u w:val="single"/>
    </w:rPr>
  </w:style>
  <w:style w:type="paragraph" w:styleId="BalloonText">
    <w:name w:val="Balloon Text"/>
    <w:basedOn w:val="Normal"/>
    <w:link w:val="BalloonTextChar"/>
    <w:uiPriority w:val="99"/>
    <w:semiHidden/>
    <w:unhideWhenUsed/>
    <w:rsid w:val="00DA3263"/>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DA3263"/>
    <w:rPr>
      <w:rFonts w:ascii="Tahoma" w:hAnsi="Tahoma" w:cs="Tahoma"/>
      <w:sz w:val="16"/>
      <w:szCs w:val="20"/>
    </w:rPr>
  </w:style>
  <w:style w:type="paragraph" w:styleId="TOC3">
    <w:name w:val="toc 3"/>
    <w:basedOn w:val="Normal"/>
    <w:next w:val="Normal"/>
    <w:autoRedefine/>
    <w:uiPriority w:val="39"/>
    <w:unhideWhenUsed/>
    <w:rsid w:val="007E3027"/>
    <w:pPr>
      <w:spacing w:after="100"/>
      <w:ind w:left="440"/>
    </w:pPr>
    <w:rPr>
      <w:szCs w:val="28"/>
    </w:rPr>
  </w:style>
</w:styles>
</file>

<file path=word/webSettings.xml><?xml version="1.0" encoding="utf-8"?>
<w:webSettings xmlns:r="http://schemas.openxmlformats.org/officeDocument/2006/relationships" xmlns:w="http://schemas.openxmlformats.org/wordprocessingml/2006/main">
  <w:divs>
    <w:div w:id="610630756">
      <w:bodyDiv w:val="1"/>
      <w:marLeft w:val="0"/>
      <w:marRight w:val="0"/>
      <w:marTop w:val="0"/>
      <w:marBottom w:val="0"/>
      <w:divBdr>
        <w:top w:val="none" w:sz="0" w:space="0" w:color="auto"/>
        <w:left w:val="none" w:sz="0" w:space="0" w:color="auto"/>
        <w:bottom w:val="none" w:sz="0" w:space="0" w:color="auto"/>
        <w:right w:val="none" w:sz="0" w:space="0" w:color="auto"/>
      </w:divBdr>
    </w:div>
    <w:div w:id="617420519">
      <w:bodyDiv w:val="1"/>
      <w:marLeft w:val="0"/>
      <w:marRight w:val="0"/>
      <w:marTop w:val="0"/>
      <w:marBottom w:val="0"/>
      <w:divBdr>
        <w:top w:val="none" w:sz="0" w:space="0" w:color="auto"/>
        <w:left w:val="none" w:sz="0" w:space="0" w:color="auto"/>
        <w:bottom w:val="none" w:sz="0" w:space="0" w:color="auto"/>
        <w:right w:val="none" w:sz="0" w:space="0" w:color="auto"/>
      </w:divBdr>
    </w:div>
    <w:div w:id="1656759054">
      <w:bodyDiv w:val="1"/>
      <w:marLeft w:val="0"/>
      <w:marRight w:val="0"/>
      <w:marTop w:val="0"/>
      <w:marBottom w:val="0"/>
      <w:divBdr>
        <w:top w:val="none" w:sz="0" w:space="0" w:color="auto"/>
        <w:left w:val="none" w:sz="0" w:space="0" w:color="auto"/>
        <w:bottom w:val="none" w:sz="0" w:space="0" w:color="auto"/>
        <w:right w:val="none" w:sz="0" w:space="0" w:color="auto"/>
      </w:divBdr>
    </w:div>
    <w:div w:id="20746220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219054/opinions-on-whether-gender-or-ethnicity-inequality-will-worsen-by-count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1212170/share-of-women-who-suffered-intimate-partner-physical-and-or-sexual-violence-by-reg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50AD09-57E7-4A8D-A442-AA2BFD060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766</TotalTime>
  <Pages>19</Pages>
  <Words>4350</Words>
  <Characters>24795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5</cp:revision>
  <dcterms:created xsi:type="dcterms:W3CDTF">2024-02-03T15:00:00Z</dcterms:created>
  <dcterms:modified xsi:type="dcterms:W3CDTF">2024-02-08T13:10:00Z</dcterms:modified>
</cp:coreProperties>
</file>