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962456" w14:textId="024797A0" w:rsidR="008715D4" w:rsidRDefault="008715D4" w:rsidP="008715D4">
      <w:r>
        <w:t>James Cassels 1602332</w:t>
      </w:r>
    </w:p>
    <w:p w14:paraId="0F9098F0" w14:textId="5687D0BC" w:rsidR="008715D4" w:rsidRDefault="008715D4" w:rsidP="008715D4">
      <w:r>
        <w:t>Essay #1 Twentieth Century Philosoph</w:t>
      </w:r>
      <w:r w:rsidR="0021449A">
        <w:t>y</w:t>
      </w:r>
      <w:r>
        <w:t>, question #4 – What is Bad Faith?</w:t>
      </w:r>
    </w:p>
    <w:p w14:paraId="035A31D1" w14:textId="77777777" w:rsidR="008715D4" w:rsidRDefault="008715D4" w:rsidP="008715D4"/>
    <w:p w14:paraId="4C7BEC92" w14:textId="77777777" w:rsidR="008715D4" w:rsidRDefault="008715D4" w:rsidP="008715D4"/>
    <w:p w14:paraId="2B25263B" w14:textId="4B283EBB" w:rsidR="0089085A" w:rsidRDefault="008715D4" w:rsidP="008715D4">
      <w:pPr>
        <w:rPr>
          <w:i/>
          <w:iCs/>
        </w:rPr>
      </w:pPr>
      <w:r>
        <w:t xml:space="preserve">The essay question – </w:t>
      </w:r>
      <w:r w:rsidR="00C42F0F">
        <w:t>W</w:t>
      </w:r>
      <w:r>
        <w:t xml:space="preserve">hat is </w:t>
      </w:r>
      <w:r w:rsidR="00C42F0F">
        <w:t>B</w:t>
      </w:r>
      <w:r>
        <w:t xml:space="preserve">ad </w:t>
      </w:r>
      <w:r w:rsidR="00C42F0F">
        <w:t>F</w:t>
      </w:r>
      <w:r>
        <w:t>aith</w:t>
      </w:r>
      <w:r w:rsidR="00C13C7A">
        <w:t>? -</w:t>
      </w:r>
      <w:r>
        <w:t xml:space="preserve"> stems from the early writings of Jean-Paul Sartre. Sartre’s philosophy</w:t>
      </w:r>
      <w:r w:rsidR="004D72ED">
        <w:t xml:space="preserve"> is existentialist</w:t>
      </w:r>
      <w:r w:rsidR="00714060">
        <w:t xml:space="preserve"> and ontological</w:t>
      </w:r>
      <w:r w:rsidR="004D72ED">
        <w:t xml:space="preserve">. </w:t>
      </w:r>
      <w:r w:rsidR="007F6369">
        <w:t>Ontology concerns itself with beingness and e</w:t>
      </w:r>
      <w:r w:rsidR="004D72ED">
        <w:t xml:space="preserve">xistentialism concerns itself with the metaphysics of phenomenological existentiality, </w:t>
      </w:r>
      <w:proofErr w:type="gramStart"/>
      <w:r w:rsidR="005D4F90">
        <w:t>I</w:t>
      </w:r>
      <w:r w:rsidR="004D72ED">
        <w:t>ts</w:t>
      </w:r>
      <w:proofErr w:type="gramEnd"/>
      <w:r w:rsidR="004D72ED">
        <w:t xml:space="preserve"> core objective</w:t>
      </w:r>
      <w:r w:rsidR="00D86919">
        <w:t>s are</w:t>
      </w:r>
      <w:r w:rsidR="004D72ED">
        <w:t xml:space="preserve"> to consider the reality </w:t>
      </w:r>
      <w:r w:rsidR="00F04A3D">
        <w:t xml:space="preserve">and/or non-reality </w:t>
      </w:r>
      <w:r w:rsidR="00CE4033">
        <w:t xml:space="preserve">within </w:t>
      </w:r>
      <w:r w:rsidR="004D72ED">
        <w:t xml:space="preserve">anthropological </w:t>
      </w:r>
      <w:r w:rsidR="000C1715">
        <w:t xml:space="preserve">phenomena and </w:t>
      </w:r>
      <w:r w:rsidR="004D72ED">
        <w:t>existen</w:t>
      </w:r>
      <w:r w:rsidR="00D86919">
        <w:t>ce.</w:t>
      </w:r>
      <w:r w:rsidR="00714060">
        <w:t xml:space="preserve"> </w:t>
      </w:r>
      <w:r w:rsidR="00D86919">
        <w:t xml:space="preserve"> Sartre was writing from the perspective of a man existing in post-</w:t>
      </w:r>
      <w:r w:rsidR="00426025">
        <w:t>WW</w:t>
      </w:r>
      <w:r w:rsidR="00BF0AFD">
        <w:t>II</w:t>
      </w:r>
      <w:r w:rsidR="00D86919">
        <w:t xml:space="preserve"> France. From his perspective, existential metaphysics is embroiled in the concepts of </w:t>
      </w:r>
      <w:r w:rsidR="007F6369">
        <w:t xml:space="preserve">sincerity, </w:t>
      </w:r>
      <w:r w:rsidR="00D86919">
        <w:t xml:space="preserve">authenticity and falseness or </w:t>
      </w:r>
      <w:r w:rsidR="005D4F90">
        <w:t>their opposites</w:t>
      </w:r>
      <w:r w:rsidR="00D86919">
        <w:t xml:space="preserve"> on the inter/intra</w:t>
      </w:r>
      <w:r w:rsidR="00426025">
        <w:t>-</w:t>
      </w:r>
      <w:r w:rsidR="00D86919">
        <w:t xml:space="preserve">personal </w:t>
      </w:r>
      <w:r w:rsidR="00F04A3D">
        <w:t xml:space="preserve">actions and nuances of self and other. Sartre distinguishes between </w:t>
      </w:r>
      <w:r w:rsidR="005B633D">
        <w:t>phenomenological</w:t>
      </w:r>
      <w:r w:rsidR="00F04A3D">
        <w:t xml:space="preserve"> entities</w:t>
      </w:r>
      <w:r w:rsidR="00C13C7A">
        <w:t xml:space="preserve"> comprising consciousness and those without. Only an entity comprising consciousness </w:t>
      </w:r>
      <w:r w:rsidR="005D4F90">
        <w:t>can</w:t>
      </w:r>
      <w:r w:rsidR="00C13C7A">
        <w:t xml:space="preserve"> exhibit </w:t>
      </w:r>
      <w:r w:rsidR="00C13C7A" w:rsidRPr="005B633D">
        <w:t>bad faith</w:t>
      </w:r>
      <w:r w:rsidR="00C13C7A">
        <w:rPr>
          <w:i/>
          <w:iCs/>
        </w:rPr>
        <w:t xml:space="preserve">. </w:t>
      </w:r>
      <w:r w:rsidR="00C13C7A" w:rsidRPr="00426025">
        <w:t>He gives an example in</w:t>
      </w:r>
      <w:r w:rsidR="00CC786C">
        <w:t xml:space="preserve"> his </w:t>
      </w:r>
      <w:r w:rsidR="005D4F90">
        <w:t>infamous</w:t>
      </w:r>
      <w:r w:rsidR="00CC786C">
        <w:t xml:space="preserve"> </w:t>
      </w:r>
      <w:r w:rsidR="00F72149">
        <w:t>work -</w:t>
      </w:r>
      <w:r w:rsidR="00C13C7A" w:rsidRPr="007950B3">
        <w:rPr>
          <w:i/>
          <w:iCs/>
        </w:rPr>
        <w:t xml:space="preserve"> being and nothingness</w:t>
      </w:r>
      <w:r w:rsidR="00C13C7A" w:rsidRPr="00426025">
        <w:t xml:space="preserve">, wherein he states </w:t>
      </w:r>
      <w:r w:rsidR="00426025" w:rsidRPr="00426025">
        <w:t xml:space="preserve">that </w:t>
      </w:r>
      <w:bookmarkStart w:id="0" w:name="_Hlk93592346"/>
      <w:r w:rsidR="00C13C7A">
        <w:rPr>
          <w:i/>
          <w:iCs/>
        </w:rPr>
        <w:t>‘a waiter is not a waiter in the sense that an inkwell is an inkwell</w:t>
      </w:r>
      <w:r w:rsidR="001F1E68">
        <w:rPr>
          <w:i/>
          <w:iCs/>
        </w:rPr>
        <w:t>’</w:t>
      </w:r>
      <w:bookmarkEnd w:id="0"/>
      <w:r w:rsidR="001F1E68">
        <w:rPr>
          <w:i/>
          <w:iCs/>
        </w:rPr>
        <w:t>.</w:t>
      </w:r>
      <w:r w:rsidR="007D5E00">
        <w:rPr>
          <w:rStyle w:val="FootnoteReference"/>
          <w:i/>
          <w:iCs/>
        </w:rPr>
        <w:footnoteReference w:id="1"/>
      </w:r>
      <w:r w:rsidR="00C72EB0">
        <w:rPr>
          <w:i/>
          <w:iCs/>
        </w:rPr>
        <w:t xml:space="preserve"> </w:t>
      </w:r>
      <w:r w:rsidR="000C3A17" w:rsidRPr="00014D40">
        <w:t>This gives foresight into the nature of the question</w:t>
      </w:r>
      <w:r w:rsidR="00AF6B2C" w:rsidRPr="00014D40">
        <w:t xml:space="preserve"> as being </w:t>
      </w:r>
      <w:r w:rsidR="00097AB1" w:rsidRPr="00014D40">
        <w:t xml:space="preserve">relative to anthropic </w:t>
      </w:r>
      <w:r w:rsidR="00ED5718" w:rsidRPr="00014D40">
        <w:t>metaphysics and not</w:t>
      </w:r>
      <w:r w:rsidR="003A62B1" w:rsidRPr="00014D40">
        <w:t xml:space="preserve"> that of the inanimate world of things</w:t>
      </w:r>
      <w:r w:rsidR="002350A3">
        <w:t xml:space="preserve"> in any</w:t>
      </w:r>
      <w:r w:rsidR="00D407E7">
        <w:t>thing</w:t>
      </w:r>
      <w:r w:rsidR="002350A3">
        <w:t xml:space="preserve"> more than a comparative </w:t>
      </w:r>
      <w:r w:rsidR="009245F2">
        <w:t>role</w:t>
      </w:r>
      <w:r w:rsidR="00D27FBB" w:rsidRPr="00014D40">
        <w:t xml:space="preserve">. </w:t>
      </w:r>
      <w:r w:rsidR="003E017F" w:rsidRPr="00014D40">
        <w:t>Sartre’s post</w:t>
      </w:r>
      <w:r w:rsidR="00BF0AFD">
        <w:t>-</w:t>
      </w:r>
      <w:r w:rsidR="003E017F" w:rsidRPr="00014D40">
        <w:t xml:space="preserve">war perspective has at its centre a pronounced </w:t>
      </w:r>
      <w:r w:rsidR="00014D40" w:rsidRPr="00014D40">
        <w:t>endeavour towards freedom and what it is to be free</w:t>
      </w:r>
      <w:r w:rsidR="00C679E5">
        <w:t xml:space="preserve">, and only human beings are </w:t>
      </w:r>
      <w:r w:rsidR="00733196">
        <w:t xml:space="preserve">free to be or not to be in the </w:t>
      </w:r>
      <w:r w:rsidR="00FB0AA4">
        <w:t xml:space="preserve">mode of ‘being-for-itself’ </w:t>
      </w:r>
      <w:r w:rsidR="000E477E">
        <w:t xml:space="preserve">as opposed to the inanimate determinism </w:t>
      </w:r>
      <w:r w:rsidR="001F078C">
        <w:t>of a thing</w:t>
      </w:r>
      <w:r w:rsidR="00D407E7">
        <w:t>,</w:t>
      </w:r>
      <w:r w:rsidR="001F078C">
        <w:t xml:space="preserve"> as ‘being-in-itself’</w:t>
      </w:r>
      <w:r w:rsidR="00D407E7">
        <w:t>.</w:t>
      </w:r>
      <w:r w:rsidR="00C82730">
        <w:rPr>
          <w:rStyle w:val="FootnoteReference"/>
        </w:rPr>
        <w:footnoteReference w:id="2"/>
      </w:r>
      <w:r w:rsidR="00C72EB0">
        <w:t xml:space="preserve"> </w:t>
      </w:r>
      <w:r w:rsidR="00D407E7">
        <w:t>I</w:t>
      </w:r>
      <w:r w:rsidR="008C3E3F">
        <w:t xml:space="preserve">n other words, a thing, is just what it is and cannot </w:t>
      </w:r>
      <w:r w:rsidR="006C48A5">
        <w:t xml:space="preserve">genuinely </w:t>
      </w:r>
      <w:r w:rsidR="008C3E3F">
        <w:t xml:space="preserve">be </w:t>
      </w:r>
      <w:r w:rsidR="006C48A5">
        <w:t>anything other</w:t>
      </w:r>
      <w:r w:rsidR="000711A2">
        <w:t>. Whilst</w:t>
      </w:r>
      <w:r w:rsidR="0085514E">
        <w:t xml:space="preserve"> human freedom, extends to </w:t>
      </w:r>
      <w:r w:rsidR="00EE0EF5">
        <w:t xml:space="preserve">enable perception including all possibilities </w:t>
      </w:r>
      <w:r w:rsidR="0023759F">
        <w:t>of misconception</w:t>
      </w:r>
      <w:r w:rsidR="002A1A26">
        <w:t>, t</w:t>
      </w:r>
      <w:r w:rsidR="002F4DBE">
        <w:t>he inkwell, simply remains an inkwell,</w:t>
      </w:r>
      <w:r w:rsidR="00107D8E">
        <w:t xml:space="preserve"> existing</w:t>
      </w:r>
      <w:r w:rsidR="002F4DBE">
        <w:t xml:space="preserve"> in </w:t>
      </w:r>
      <w:r w:rsidR="00080B10">
        <w:t>very fixed metaphysical terms.</w:t>
      </w:r>
      <w:r w:rsidR="000A0F6F">
        <w:t xml:space="preserve"> </w:t>
      </w:r>
      <w:r w:rsidR="0009343E">
        <w:t xml:space="preserve">As I approach </w:t>
      </w:r>
      <w:r w:rsidR="002C632F">
        <w:t xml:space="preserve">setting out answering the question, </w:t>
      </w:r>
      <w:r w:rsidR="006E14E9">
        <w:t xml:space="preserve">I outline </w:t>
      </w:r>
      <w:r w:rsidR="006E14E9">
        <w:lastRenderedPageBreak/>
        <w:t xml:space="preserve">my </w:t>
      </w:r>
      <w:r w:rsidR="00FD1DA2">
        <w:t xml:space="preserve">study </w:t>
      </w:r>
      <w:r w:rsidR="006E14E9">
        <w:t xml:space="preserve">sources. I will be </w:t>
      </w:r>
      <w:r w:rsidR="009853C4">
        <w:t xml:space="preserve">primarily </w:t>
      </w:r>
      <w:r w:rsidR="006E14E9">
        <w:t>utilising</w:t>
      </w:r>
      <w:r w:rsidR="009853C4">
        <w:t xml:space="preserve"> </w:t>
      </w:r>
      <w:r w:rsidR="004229F9">
        <w:t>Sartre’s publication</w:t>
      </w:r>
      <w:r w:rsidR="009853C4">
        <w:t xml:space="preserve"> </w:t>
      </w:r>
      <w:r w:rsidR="004229F9">
        <w:t xml:space="preserve">- </w:t>
      </w:r>
      <w:r w:rsidR="009853C4" w:rsidRPr="00097118">
        <w:rPr>
          <w:i/>
          <w:iCs/>
        </w:rPr>
        <w:t>Being and Nothingness</w:t>
      </w:r>
      <w:r w:rsidR="005F6073">
        <w:rPr>
          <w:rStyle w:val="FootnoteReference"/>
          <w:i/>
          <w:iCs/>
        </w:rPr>
        <w:footnoteReference w:id="3"/>
      </w:r>
      <w:r w:rsidR="00A605F9" w:rsidRPr="00097118">
        <w:rPr>
          <w:i/>
          <w:iCs/>
        </w:rPr>
        <w:t xml:space="preserve"> </w:t>
      </w:r>
      <w:r w:rsidR="00A605F9">
        <w:t>as my main source of reference</w:t>
      </w:r>
      <w:r w:rsidR="00097118">
        <w:t xml:space="preserve">, as well as </w:t>
      </w:r>
      <w:r w:rsidR="005D4F90">
        <w:t xml:space="preserve">various </w:t>
      </w:r>
      <w:r w:rsidR="00097118">
        <w:t>sec</w:t>
      </w:r>
      <w:r w:rsidR="004229F9">
        <w:t xml:space="preserve">ondary </w:t>
      </w:r>
      <w:r w:rsidR="007F6369">
        <w:t xml:space="preserve">study </w:t>
      </w:r>
      <w:r w:rsidR="004229F9">
        <w:t>sources in</w:t>
      </w:r>
      <w:r w:rsidR="005D4F90">
        <w:t>cluding</w:t>
      </w:r>
      <w:r w:rsidR="004229F9">
        <w:t xml:space="preserve"> the publications </w:t>
      </w:r>
      <w:r w:rsidR="007D287F">
        <w:t>–</w:t>
      </w:r>
      <w:r w:rsidR="004229F9">
        <w:t xml:space="preserve"> </w:t>
      </w:r>
      <w:r w:rsidR="007D287F" w:rsidRPr="00E21532">
        <w:rPr>
          <w:i/>
          <w:iCs/>
        </w:rPr>
        <w:t>Good Faith and other essays</w:t>
      </w:r>
      <w:r w:rsidR="00FC38D1">
        <w:rPr>
          <w:rStyle w:val="FootnoteReference"/>
          <w:i/>
          <w:iCs/>
        </w:rPr>
        <w:footnoteReference w:id="4"/>
      </w:r>
      <w:r w:rsidR="007D287F">
        <w:t xml:space="preserve"> </w:t>
      </w:r>
      <w:r w:rsidR="00A46F51">
        <w:t>edited by Joseph S. Catalano</w:t>
      </w:r>
      <w:r w:rsidR="002A1A26">
        <w:t>,</w:t>
      </w:r>
      <w:r w:rsidR="00A46F51">
        <w:t xml:space="preserve"> and </w:t>
      </w:r>
      <w:r w:rsidR="00D4661E">
        <w:t xml:space="preserve">Ronald E. </w:t>
      </w:r>
      <w:r w:rsidR="00E21532">
        <w:t xml:space="preserve">Santoni’s - </w:t>
      </w:r>
      <w:r w:rsidR="00D45845" w:rsidRPr="00E21532">
        <w:rPr>
          <w:i/>
          <w:iCs/>
        </w:rPr>
        <w:t>Bad Faith, Good Faith and Authenticity</w:t>
      </w:r>
      <w:r w:rsidR="00E21532" w:rsidRPr="00E21532">
        <w:rPr>
          <w:i/>
          <w:iCs/>
        </w:rPr>
        <w:t>.</w:t>
      </w:r>
      <w:r w:rsidR="005A118F">
        <w:rPr>
          <w:rStyle w:val="FootnoteReference"/>
          <w:i/>
          <w:iCs/>
        </w:rPr>
        <w:footnoteReference w:id="5"/>
      </w:r>
      <w:r w:rsidR="00A605F9" w:rsidRPr="00E21532">
        <w:rPr>
          <w:i/>
          <w:iCs/>
        </w:rPr>
        <w:t xml:space="preserve"> </w:t>
      </w:r>
      <w:r w:rsidR="00A605F9">
        <w:t>I also utilise</w:t>
      </w:r>
      <w:r w:rsidR="007F6369">
        <w:t>d</w:t>
      </w:r>
      <w:r w:rsidR="00A605F9">
        <w:t xml:space="preserve"> </w:t>
      </w:r>
      <w:r w:rsidR="00222216">
        <w:t xml:space="preserve">online materials from both </w:t>
      </w:r>
      <w:r w:rsidR="00AE6CD2">
        <w:rPr>
          <w:i/>
          <w:iCs/>
        </w:rPr>
        <w:t>T</w:t>
      </w:r>
      <w:r w:rsidR="00222216" w:rsidRPr="00AE6CD2">
        <w:rPr>
          <w:i/>
          <w:iCs/>
        </w:rPr>
        <w:t>he S</w:t>
      </w:r>
      <w:r w:rsidR="00AE6CD2">
        <w:rPr>
          <w:i/>
          <w:iCs/>
        </w:rPr>
        <w:t>t</w:t>
      </w:r>
      <w:r w:rsidR="00222216" w:rsidRPr="00AE6CD2">
        <w:rPr>
          <w:i/>
          <w:iCs/>
        </w:rPr>
        <w:t xml:space="preserve">anford </w:t>
      </w:r>
      <w:r w:rsidR="001F50AC" w:rsidRPr="00AE6CD2">
        <w:rPr>
          <w:i/>
          <w:iCs/>
        </w:rPr>
        <w:t>Encyclopedia</w:t>
      </w:r>
      <w:r w:rsidR="00222216" w:rsidRPr="00AE6CD2">
        <w:rPr>
          <w:i/>
          <w:iCs/>
        </w:rPr>
        <w:t xml:space="preserve"> </w:t>
      </w:r>
      <w:r w:rsidR="001F50AC" w:rsidRPr="00AE6CD2">
        <w:rPr>
          <w:i/>
          <w:iCs/>
        </w:rPr>
        <w:t>of Philosophy</w:t>
      </w:r>
      <w:r w:rsidR="00451738">
        <w:rPr>
          <w:rStyle w:val="FootnoteReference"/>
          <w:i/>
          <w:iCs/>
        </w:rPr>
        <w:footnoteReference w:id="6"/>
      </w:r>
      <w:r w:rsidR="001F50AC" w:rsidRPr="005A118F">
        <w:t xml:space="preserve">and </w:t>
      </w:r>
      <w:r w:rsidR="00AE6CD2" w:rsidRPr="005A118F">
        <w:t>the</w:t>
      </w:r>
      <w:r w:rsidR="00AE6CD2" w:rsidRPr="00AE6CD2">
        <w:rPr>
          <w:i/>
          <w:iCs/>
        </w:rPr>
        <w:t xml:space="preserve"> Internet Encyclopedia of Philosophy</w:t>
      </w:r>
      <w:r w:rsidR="00840B42">
        <w:rPr>
          <w:i/>
          <w:iCs/>
        </w:rPr>
        <w:t xml:space="preserve"> </w:t>
      </w:r>
      <w:r w:rsidR="0051621D" w:rsidRPr="007E7E9E">
        <w:t>(Jean-Paul. Sartre)</w:t>
      </w:r>
      <w:r w:rsidR="00F62A96" w:rsidRPr="007E7E9E">
        <w:t>.</w:t>
      </w:r>
      <w:r w:rsidR="00E509A7" w:rsidRPr="007E7E9E">
        <w:rPr>
          <w:rStyle w:val="FootnoteReference"/>
        </w:rPr>
        <w:footnoteReference w:id="7"/>
      </w:r>
    </w:p>
    <w:p w14:paraId="5046BFCF" w14:textId="77777777" w:rsidR="0089085A" w:rsidRDefault="0089085A" w:rsidP="008715D4">
      <w:pPr>
        <w:rPr>
          <w:i/>
          <w:iCs/>
        </w:rPr>
      </w:pPr>
    </w:p>
    <w:p w14:paraId="43EB52A3" w14:textId="5E78BEFC" w:rsidR="00B2302E" w:rsidRDefault="0089085A" w:rsidP="008715D4">
      <w:r>
        <w:t xml:space="preserve">What is </w:t>
      </w:r>
      <w:r w:rsidR="00ED2BCA">
        <w:t>Bad Faith?</w:t>
      </w:r>
      <w:r w:rsidR="009950D2">
        <w:t xml:space="preserve"> When we hear the word </w:t>
      </w:r>
      <w:r w:rsidR="009950D2" w:rsidRPr="009950D2">
        <w:rPr>
          <w:i/>
          <w:iCs/>
        </w:rPr>
        <w:t>faith</w:t>
      </w:r>
      <w:r w:rsidR="009950D2">
        <w:rPr>
          <w:i/>
          <w:iCs/>
        </w:rPr>
        <w:t xml:space="preserve">, </w:t>
      </w:r>
      <w:r w:rsidR="009950D2" w:rsidRPr="009950D2">
        <w:t>we likely conjure images of a theistic nature</w:t>
      </w:r>
      <w:r w:rsidR="009950D2">
        <w:t xml:space="preserve"> and of religious faith. However, Sartre has no such inclination. When Sartre talks of bad faith, the conceptual accompaniments reside not in </w:t>
      </w:r>
      <w:r w:rsidR="006E51D6">
        <w:t>ecclesiastical indoctrinations</w:t>
      </w:r>
      <w:r w:rsidR="009950D2">
        <w:t>, but in</w:t>
      </w:r>
      <w:r w:rsidR="006E51D6">
        <w:t xml:space="preserve"> personal existential freedom and authenticity. Rather than being true to God so to speak, we could say that </w:t>
      </w:r>
      <w:r w:rsidR="006E51D6" w:rsidRPr="005D4F90">
        <w:t>Good Faith</w:t>
      </w:r>
      <w:r w:rsidR="006E51D6">
        <w:t xml:space="preserve"> hence </w:t>
      </w:r>
      <w:r w:rsidR="006E51D6" w:rsidRPr="005D4F90">
        <w:t>Bad Faith</w:t>
      </w:r>
      <w:r w:rsidR="006E51D6">
        <w:t xml:space="preserve">, is about being true </w:t>
      </w:r>
      <w:r w:rsidR="002A1A26">
        <w:t xml:space="preserve">or false </w:t>
      </w:r>
      <w:r w:rsidR="006E51D6">
        <w:t>to one</w:t>
      </w:r>
      <w:r w:rsidR="007E7E9E">
        <w:t>’</w:t>
      </w:r>
      <w:r w:rsidR="006E51D6">
        <w:t>s</w:t>
      </w:r>
      <w:r w:rsidR="002A1A26">
        <w:t xml:space="preserve"> </w:t>
      </w:r>
      <w:r w:rsidR="007E7E9E">
        <w:t xml:space="preserve">own </w:t>
      </w:r>
      <w:r w:rsidR="002A1A26">
        <w:t>being</w:t>
      </w:r>
      <w:r w:rsidR="006E51D6">
        <w:t xml:space="preserve">. </w:t>
      </w:r>
      <w:r w:rsidR="00E637BF">
        <w:t>We could well synonymise being true to our nature</w:t>
      </w:r>
      <w:r w:rsidR="002A1A26">
        <w:t>,</w:t>
      </w:r>
      <w:r w:rsidR="00E637BF">
        <w:t xml:space="preserve"> as being in our personal reality</w:t>
      </w:r>
      <w:r w:rsidR="00DC450E">
        <w:t>,</w:t>
      </w:r>
      <w:r w:rsidR="00E637BF">
        <w:t xml:space="preserve"> or </w:t>
      </w:r>
      <w:r w:rsidR="002A1A26">
        <w:t xml:space="preserve">in </w:t>
      </w:r>
      <w:r w:rsidR="007E7E9E">
        <w:t xml:space="preserve">the </w:t>
      </w:r>
      <w:r w:rsidR="00E637BF">
        <w:t xml:space="preserve">reality of </w:t>
      </w:r>
      <w:r w:rsidR="00DC450E">
        <w:t xml:space="preserve">our </w:t>
      </w:r>
      <w:r w:rsidR="00E637BF">
        <w:t xml:space="preserve">being. </w:t>
      </w:r>
      <w:r w:rsidR="00DC450E">
        <w:t xml:space="preserve">Authenticity is key here. </w:t>
      </w:r>
      <w:r w:rsidR="00EA2BFC">
        <w:t>Utilising the concept of theistic fait</w:t>
      </w:r>
      <w:r w:rsidR="002A1A26">
        <w:t xml:space="preserve">h - </w:t>
      </w:r>
      <w:r w:rsidR="00E637BF">
        <w:t xml:space="preserve">If for example, </w:t>
      </w:r>
      <w:r w:rsidR="00DC450E">
        <w:t xml:space="preserve">I </w:t>
      </w:r>
      <w:r w:rsidR="00E637BF">
        <w:t xml:space="preserve">pretend to praise and please </w:t>
      </w:r>
      <w:r w:rsidR="00DC450E">
        <w:t xml:space="preserve">some </w:t>
      </w:r>
      <w:r w:rsidR="00E637BF">
        <w:t xml:space="preserve">God, yet I don’t really believe in my actions, only that I am hedging my bets </w:t>
      </w:r>
      <w:r w:rsidR="00EA2BFC">
        <w:t>for</w:t>
      </w:r>
      <w:r w:rsidR="00E637BF">
        <w:t xml:space="preserve"> the afterlife, </w:t>
      </w:r>
      <w:r w:rsidR="00DC450E">
        <w:t>I may appear to have some form of theistic faith, yet</w:t>
      </w:r>
      <w:r w:rsidR="00472DBB">
        <w:t xml:space="preserve"> in reality</w:t>
      </w:r>
      <w:r w:rsidR="00DC450E">
        <w:t xml:space="preserve"> I am deceiving myself and others, therefore I am being other than in keeping with my true being, rather I am being inauthentic to my truth, my inter/intra-personal existential reality</w:t>
      </w:r>
      <w:r w:rsidR="00EA2BFC">
        <w:t xml:space="preserve">. </w:t>
      </w:r>
      <w:r w:rsidR="00472DBB">
        <w:t>I am now not being, I am acting, and in so doing</w:t>
      </w:r>
      <w:r w:rsidR="00EA2BFC">
        <w:t xml:space="preserve"> </w:t>
      </w:r>
      <w:r w:rsidR="00472DBB">
        <w:t>I</w:t>
      </w:r>
      <w:r w:rsidR="00EA2BFC">
        <w:t xml:space="preserve"> deceive both myself and others as I act religiously. </w:t>
      </w:r>
      <w:r w:rsidR="005B633D">
        <w:t>Re</w:t>
      </w:r>
      <w:r w:rsidR="007E7E9E">
        <w:t>call</w:t>
      </w:r>
      <w:r w:rsidR="005B633D">
        <w:t xml:space="preserve">ing </w:t>
      </w:r>
      <w:r w:rsidR="00EA2BFC">
        <w:t>Sartre</w:t>
      </w:r>
      <w:r w:rsidR="005B633D">
        <w:t>’s</w:t>
      </w:r>
      <w:r w:rsidR="00EA2BFC">
        <w:t xml:space="preserve"> example of the waite</w:t>
      </w:r>
      <w:r w:rsidR="005B633D">
        <w:t>r -</w:t>
      </w:r>
      <w:r w:rsidR="00EA2BFC">
        <w:t xml:space="preserve"> </w:t>
      </w:r>
      <w:r w:rsidR="005B633D">
        <w:t>Sartre</w:t>
      </w:r>
      <w:r w:rsidR="00EA2BFC">
        <w:t xml:space="preserve"> makes metaphysical observations </w:t>
      </w:r>
      <w:r w:rsidR="00103659">
        <w:t>whilst seated in</w:t>
      </w:r>
      <w:r w:rsidR="00EA2BFC">
        <w:t xml:space="preserve"> a </w:t>
      </w:r>
      <w:r w:rsidR="00103659">
        <w:t xml:space="preserve">Paris </w:t>
      </w:r>
      <w:r w:rsidR="00EA2BFC">
        <w:t>café</w:t>
      </w:r>
      <w:r w:rsidR="00103659">
        <w:t xml:space="preserve">, </w:t>
      </w:r>
      <w:r w:rsidR="00FF2930">
        <w:t xml:space="preserve">wherein </w:t>
      </w:r>
      <w:r w:rsidR="005B633D">
        <w:t>he</w:t>
      </w:r>
      <w:r w:rsidR="00103659">
        <w:t xml:space="preserve"> noticed the flamboyant and somewhat over-zealous actions of the waiter as he goes about his business of serving others</w:t>
      </w:r>
      <w:r w:rsidR="00472DBB">
        <w:t xml:space="preserve"> coffee </w:t>
      </w:r>
      <w:r w:rsidR="00472DBB">
        <w:lastRenderedPageBreak/>
        <w:t>and the like</w:t>
      </w:r>
      <w:r w:rsidR="00103659">
        <w:t>.</w:t>
      </w:r>
      <w:r w:rsidR="00C42F0F">
        <w:rPr>
          <w:rStyle w:val="FootnoteReference"/>
        </w:rPr>
        <w:footnoteReference w:id="8"/>
      </w:r>
      <w:r w:rsidR="00103659">
        <w:t xml:space="preserve"> Does this waiter always act in such an exaggerated and stereotypical way</w:t>
      </w:r>
      <w:r w:rsidR="005B633D">
        <w:t xml:space="preserve">, or is it merely for show in playing the part of </w:t>
      </w:r>
      <w:r w:rsidR="00C42F0F">
        <w:t>a waiter?</w:t>
      </w:r>
      <w:r w:rsidR="00472DBB">
        <w:t xml:space="preserve"> This I feel is what Sartre means by the statement - </w:t>
      </w:r>
      <w:r w:rsidR="00472DBB" w:rsidRPr="005E3D0F">
        <w:t>‘a waiter is not a waiter in the sense that an inkwell is an inkwell’.</w:t>
      </w:r>
      <w:r w:rsidR="00472DBB" w:rsidRPr="005E3D0F">
        <w:rPr>
          <w:rStyle w:val="FootnoteReference"/>
        </w:rPr>
        <w:footnoteReference w:id="9"/>
      </w:r>
      <w:r w:rsidR="00C72EB0">
        <w:rPr>
          <w:i/>
          <w:iCs/>
        </w:rPr>
        <w:t xml:space="preserve"> </w:t>
      </w:r>
      <w:r w:rsidR="003F15C0">
        <w:rPr>
          <w:i/>
          <w:iCs/>
        </w:rPr>
        <w:t xml:space="preserve"> </w:t>
      </w:r>
      <w:r w:rsidR="003F15C0" w:rsidRPr="003F15C0">
        <w:t>T</w:t>
      </w:r>
      <w:r w:rsidR="003F15C0">
        <w:t>he waiter here is a prime example in Sartre’s reconning of bad faith. If the waiter was a slovenly man, slow in action and perhaps</w:t>
      </w:r>
      <w:r w:rsidR="00E515F5">
        <w:t xml:space="preserve"> somewhat</w:t>
      </w:r>
      <w:r w:rsidR="003F15C0">
        <w:t xml:space="preserve"> clumsy, </w:t>
      </w:r>
      <w:r w:rsidR="00E515F5">
        <w:t>and whilst serving customers he behaved in his usual slovenly, clumsy manner, although he may make an awful waiter, he would none the less be conducting himself in good faith</w:t>
      </w:r>
      <w:r w:rsidR="00A30454">
        <w:t xml:space="preserve">, </w:t>
      </w:r>
      <w:r w:rsidR="00B33C2E">
        <w:t>that is, if good faith is a sincere possibility</w:t>
      </w:r>
      <w:r w:rsidR="00A30454">
        <w:t>.</w:t>
      </w:r>
      <w:r w:rsidR="00E515F5">
        <w:t xml:space="preserve"> </w:t>
      </w:r>
      <w:r w:rsidR="00A30454">
        <w:t>Sartre emphasizes that one cannot be a waiter without playing at being,</w:t>
      </w:r>
      <w:r w:rsidR="000162D8">
        <w:rPr>
          <w:rStyle w:val="FootnoteReference"/>
        </w:rPr>
        <w:footnoteReference w:id="10"/>
      </w:r>
      <w:r w:rsidR="00A30454">
        <w:t xml:space="preserve"> and so playing at being a waiter nihilates </w:t>
      </w:r>
      <w:r w:rsidR="00F630B0">
        <w:t>his</w:t>
      </w:r>
      <w:r w:rsidR="00A30454">
        <w:t xml:space="preserve"> being-</w:t>
      </w:r>
      <w:r w:rsidR="0044456C">
        <w:t>for</w:t>
      </w:r>
      <w:r w:rsidR="00A30454">
        <w:t>-itself to nothin</w:t>
      </w:r>
      <w:r w:rsidR="003E4E92">
        <w:t>g, ‘for an act is a projection of the for-itself towards what is not</w:t>
      </w:r>
      <w:r w:rsidR="005A0D04">
        <w:t>’</w:t>
      </w:r>
      <w:r w:rsidR="003E4E92">
        <w:t>.</w:t>
      </w:r>
      <w:r w:rsidR="003E4E92">
        <w:rPr>
          <w:rStyle w:val="FootnoteReference"/>
        </w:rPr>
        <w:footnoteReference w:id="11"/>
      </w:r>
      <w:r w:rsidR="00C72EB0">
        <w:t xml:space="preserve"> </w:t>
      </w:r>
      <w:r w:rsidR="00B33C2E">
        <w:t>However, were the slovenly man to act in good faith, in so doing he would nihilate his waiter-ness</w:t>
      </w:r>
      <w:r w:rsidR="0085234E">
        <w:t xml:space="preserve"> in his being-for-itself-ness. This shows that bad faith is a</w:t>
      </w:r>
      <w:r w:rsidR="005A0D04">
        <w:t xml:space="preserve">n existential </w:t>
      </w:r>
      <w:r w:rsidR="0085234E">
        <w:t>standard and that good faith, is a</w:t>
      </w:r>
      <w:r w:rsidR="003B2D80">
        <w:t>lmost as e</w:t>
      </w:r>
      <w:r w:rsidR="00BD7026">
        <w:t>va</w:t>
      </w:r>
      <w:r w:rsidR="003B2D80">
        <w:t>sive as the in-itself is to the for-itself</w:t>
      </w:r>
      <w:r w:rsidR="0085234E">
        <w:t xml:space="preserve">. </w:t>
      </w:r>
      <w:r w:rsidR="003B2D80">
        <w:t xml:space="preserve">In-fact, Sartre concludes that ‘we cannot be ourselves in what we are’, </w:t>
      </w:r>
      <w:r w:rsidR="00730B64">
        <w:t xml:space="preserve">and bad faith </w:t>
      </w:r>
      <w:r w:rsidR="005E3D0F">
        <w:t xml:space="preserve">it could be said, </w:t>
      </w:r>
      <w:r w:rsidR="00730B64">
        <w:t>appears as though – ‘part of the normal state of human existence’.</w:t>
      </w:r>
      <w:r w:rsidR="00377656">
        <w:rPr>
          <w:rStyle w:val="FootnoteReference"/>
        </w:rPr>
        <w:footnoteReference w:id="12"/>
      </w:r>
      <w:r w:rsidR="003B2D80">
        <w:t xml:space="preserve"> </w:t>
      </w:r>
      <w:r w:rsidR="0044456C">
        <w:t>In adopting the term nihilation, Sartre intends its use to portray a ‘turning into nothing’, ‘turning into non-being’</w:t>
      </w:r>
      <w:r w:rsidR="00C72EB0">
        <w:t>.</w:t>
      </w:r>
      <w:r w:rsidR="0044456C">
        <w:rPr>
          <w:rStyle w:val="FootnoteReference"/>
        </w:rPr>
        <w:footnoteReference w:id="13"/>
      </w:r>
      <w:r w:rsidR="0044456C">
        <w:t xml:space="preserve"> </w:t>
      </w:r>
      <w:r w:rsidR="007160E8">
        <w:t>S</w:t>
      </w:r>
      <w:r w:rsidR="0044456C">
        <w:t>o</w:t>
      </w:r>
      <w:r w:rsidR="0079370B">
        <w:t>,</w:t>
      </w:r>
      <w:r w:rsidR="0044456C">
        <w:t xml:space="preserve"> </w:t>
      </w:r>
      <w:r w:rsidR="007160E8">
        <w:t>the waiter is</w:t>
      </w:r>
      <w:r w:rsidR="0044456C">
        <w:t xml:space="preserve"> being-</w:t>
      </w:r>
      <w:r w:rsidR="007160E8">
        <w:t xml:space="preserve">for-itself attempting to be-in-itself a waiter, which is impossible and therefore a metaphysical deception. This brings us to an important factor – </w:t>
      </w:r>
      <w:r w:rsidR="005E3D0F">
        <w:t>‘</w:t>
      </w:r>
      <w:r w:rsidR="007160E8">
        <w:t>nothingness</w:t>
      </w:r>
      <w:r w:rsidR="005E3D0F">
        <w:t>’</w:t>
      </w:r>
      <w:r w:rsidR="007160E8">
        <w:t>.</w:t>
      </w:r>
      <w:r w:rsidR="0079370B">
        <w:t xml:space="preserve"> Sartre is attempting to portray the being-for-itself as encompassing a pre-reflective consciousness of themselves which introduces a gap between themselves and that which they are conscious of</w:t>
      </w:r>
      <w:r w:rsidR="00E83ACE">
        <w:t>, in so doing giving the beholder a freedom of conception and judgement in the way he views the thing which he is conscious of.</w:t>
      </w:r>
      <w:r w:rsidR="003351FC">
        <w:rPr>
          <w:rStyle w:val="FootnoteReference"/>
        </w:rPr>
        <w:footnoteReference w:id="14"/>
      </w:r>
      <w:r w:rsidR="0070266A">
        <w:t xml:space="preserve"> </w:t>
      </w:r>
      <w:r w:rsidR="00E83ACE">
        <w:t>This gap is relayed in Sartre as nothingness</w:t>
      </w:r>
      <w:r w:rsidR="00D7202F">
        <w:rPr>
          <w:rStyle w:val="FootnoteReference"/>
        </w:rPr>
        <w:footnoteReference w:id="15"/>
      </w:r>
      <w:r w:rsidR="00E83ACE">
        <w:t xml:space="preserve"> and is </w:t>
      </w:r>
      <w:r w:rsidR="00D7202F">
        <w:t xml:space="preserve">partially </w:t>
      </w:r>
      <w:r w:rsidR="00E83ACE">
        <w:t xml:space="preserve">responsible for our freedom. In being and </w:t>
      </w:r>
      <w:r w:rsidR="003351FC">
        <w:t xml:space="preserve">in </w:t>
      </w:r>
      <w:r w:rsidR="00E83ACE">
        <w:t xml:space="preserve">nothing we conceive </w:t>
      </w:r>
      <w:r w:rsidR="003351FC">
        <w:t>the world</w:t>
      </w:r>
      <w:r w:rsidR="00E83ACE">
        <w:t xml:space="preserve"> </w:t>
      </w:r>
      <w:r w:rsidR="003351FC">
        <w:t xml:space="preserve">freely according to our own contingent </w:t>
      </w:r>
      <w:r w:rsidR="003351FC">
        <w:lastRenderedPageBreak/>
        <w:t>conceptions, yet in becoming a waiter, we deceive ourselves into a state of metaphysical non-being hence nihilation</w:t>
      </w:r>
      <w:r w:rsidR="008A316B">
        <w:t xml:space="preserve"> of self, ‘if I am a café waiter, this can but be in the mode of not being one’. ‘If I could </w:t>
      </w:r>
      <w:r w:rsidR="008A316B" w:rsidRPr="008A316B">
        <w:rPr>
          <w:i/>
          <w:iCs/>
        </w:rPr>
        <w:t>b</w:t>
      </w:r>
      <w:r w:rsidR="008A316B">
        <w:rPr>
          <w:i/>
          <w:iCs/>
        </w:rPr>
        <w:t xml:space="preserve">e </w:t>
      </w:r>
      <w:r w:rsidR="008A316B" w:rsidRPr="00D713BF">
        <w:t>a café waiter, then I constitute myself as a contingent block of identity</w:t>
      </w:r>
      <w:r w:rsidR="00D713BF" w:rsidRPr="00D713BF">
        <w:t>’</w:t>
      </w:r>
      <w:r w:rsidR="008A316B" w:rsidRPr="00D713BF">
        <w:t>, such as th</w:t>
      </w:r>
      <w:r w:rsidR="00D713BF" w:rsidRPr="00D713BF">
        <w:t>e inkwell, this condition of</w:t>
      </w:r>
      <w:r w:rsidR="008A316B" w:rsidRPr="00D713BF">
        <w:t xml:space="preserve"> being-in-itself</w:t>
      </w:r>
      <w:r w:rsidR="00D713BF" w:rsidRPr="00D713BF">
        <w:t xml:space="preserve"> always evade</w:t>
      </w:r>
      <w:r w:rsidR="002E24B1">
        <w:t>s</w:t>
      </w:r>
      <w:r w:rsidR="00D713BF" w:rsidRPr="00D713BF">
        <w:t xml:space="preserve"> the being-for-itself</w:t>
      </w:r>
      <w:r w:rsidR="00D713BF">
        <w:rPr>
          <w:i/>
          <w:iCs/>
        </w:rPr>
        <w:t>.</w:t>
      </w:r>
      <w:r w:rsidR="008A316B">
        <w:rPr>
          <w:rStyle w:val="FootnoteReference"/>
        </w:rPr>
        <w:footnoteReference w:id="16"/>
      </w:r>
      <w:r w:rsidR="0070266A">
        <w:rPr>
          <w:i/>
          <w:iCs/>
        </w:rPr>
        <w:t xml:space="preserve"> </w:t>
      </w:r>
      <w:r w:rsidR="008846AA">
        <w:t>T</w:t>
      </w:r>
      <w:r w:rsidR="00FF2930" w:rsidRPr="008846AA">
        <w:t xml:space="preserve">his </w:t>
      </w:r>
      <w:r w:rsidR="008846AA" w:rsidRPr="008846AA">
        <w:t>represents a subject – being-of-itself</w:t>
      </w:r>
      <w:r w:rsidR="00866FBD">
        <w:t>,</w:t>
      </w:r>
      <w:r w:rsidR="008846AA" w:rsidRPr="008846AA">
        <w:t xml:space="preserve"> and object – being</w:t>
      </w:r>
      <w:r w:rsidR="00195039">
        <w:t>-</w:t>
      </w:r>
      <w:r w:rsidR="008846AA" w:rsidRPr="008846AA">
        <w:t>in</w:t>
      </w:r>
      <w:r w:rsidR="00195039">
        <w:t>-</w:t>
      </w:r>
      <w:r w:rsidR="008846AA" w:rsidRPr="008846AA">
        <w:t>itself</w:t>
      </w:r>
      <w:r w:rsidR="008846AA">
        <w:t>, and the two are definitively separate</w:t>
      </w:r>
      <w:r w:rsidR="00195039">
        <w:t xml:space="preserve"> - </w:t>
      </w:r>
      <w:r w:rsidR="008846AA">
        <w:t>yet separated by nothingness</w:t>
      </w:r>
      <w:r w:rsidR="002E42BA">
        <w:t xml:space="preserve"> or a shapeless gap</w:t>
      </w:r>
      <w:r w:rsidR="008846AA">
        <w:t>.</w:t>
      </w:r>
      <w:r w:rsidR="00C80690">
        <w:rPr>
          <w:rStyle w:val="FootnoteReference"/>
        </w:rPr>
        <w:footnoteReference w:id="17"/>
      </w:r>
      <w:r w:rsidR="008846AA">
        <w:t xml:space="preserve"> Accordingly</w:t>
      </w:r>
      <w:r w:rsidR="00195039">
        <w:t>,</w:t>
      </w:r>
      <w:r w:rsidR="008846AA">
        <w:t xml:space="preserve"> consciousness is positional</w:t>
      </w:r>
      <w:r w:rsidR="0040033C">
        <w:t>,</w:t>
      </w:r>
      <w:r w:rsidR="008846AA">
        <w:t xml:space="preserve"> and in Sartre must transcend itself so as to apprehend the object.</w:t>
      </w:r>
      <w:r w:rsidR="00195039">
        <w:rPr>
          <w:rStyle w:val="FootnoteReference"/>
        </w:rPr>
        <w:footnoteReference w:id="18"/>
      </w:r>
      <w:r w:rsidR="004944DC">
        <w:t xml:space="preserve"> This explicates </w:t>
      </w:r>
      <w:r w:rsidR="007B6D31">
        <w:t>the ontological deception of the waiter in his attempt as consciousness</w:t>
      </w:r>
      <w:r w:rsidR="002E42BA">
        <w:t xml:space="preserve"> or being-of-itself</w:t>
      </w:r>
      <w:r w:rsidR="007B6D31">
        <w:t>, to transcend itself and direct itself towards itself with the intentionality of deceiving itself and other in be</w:t>
      </w:r>
      <w:r w:rsidR="002E42BA">
        <w:t>coming</w:t>
      </w:r>
      <w:r w:rsidR="007B6D31">
        <w:t xml:space="preserve"> the apprehended, or the object of </w:t>
      </w:r>
      <w:r w:rsidR="00DA4FFD">
        <w:t xml:space="preserve">directed </w:t>
      </w:r>
      <w:r w:rsidR="007B6D31">
        <w:t>consciousness</w:t>
      </w:r>
      <w:r w:rsidR="00866FBD">
        <w:t xml:space="preserve"> -</w:t>
      </w:r>
      <w:r w:rsidR="00C80690">
        <w:t xml:space="preserve"> </w:t>
      </w:r>
      <w:r w:rsidR="002E42BA">
        <w:t>being-in-itself</w:t>
      </w:r>
      <w:r w:rsidR="00C72EB0">
        <w:t xml:space="preserve"> -</w:t>
      </w:r>
      <w:r w:rsidR="002E42BA">
        <w:t xml:space="preserve"> </w:t>
      </w:r>
      <w:r w:rsidR="00C80690">
        <w:t>i.e.</w:t>
      </w:r>
      <w:r w:rsidR="002E42BA">
        <w:t xml:space="preserve"> a waiter</w:t>
      </w:r>
      <w:r w:rsidR="00DA4FFD">
        <w:t>, which as Sartre suggests, always evades me</w:t>
      </w:r>
      <w:r w:rsidR="007B6D31">
        <w:t>.</w:t>
      </w:r>
      <w:r w:rsidR="00866FBD">
        <w:rPr>
          <w:rStyle w:val="FootnoteReference"/>
        </w:rPr>
        <w:footnoteReference w:id="19"/>
      </w:r>
      <w:r w:rsidR="007B6D31">
        <w:t xml:space="preserve"> This condition </w:t>
      </w:r>
      <w:r w:rsidR="002E42BA">
        <w:t>I feel</w:t>
      </w:r>
      <w:r w:rsidR="007B6D31">
        <w:t xml:space="preserve">, is the causality of </w:t>
      </w:r>
      <w:r w:rsidR="00DA4FFD">
        <w:t>bad faith</w:t>
      </w:r>
      <w:r w:rsidR="007B6D31">
        <w:t xml:space="preserve"> in this</w:t>
      </w:r>
      <w:r w:rsidR="00DA4FFD">
        <w:t xml:space="preserve"> </w:t>
      </w:r>
      <w:r w:rsidR="007B6D31">
        <w:t>instance, for it conflict</w:t>
      </w:r>
      <w:r w:rsidR="00FD4F0A">
        <w:t>s</w:t>
      </w:r>
      <w:r w:rsidR="007B6D31">
        <w:t xml:space="preserve"> with </w:t>
      </w:r>
      <w:r w:rsidR="002E42BA">
        <w:t>metaphysical possibility and therefore, it is non-existential</w:t>
      </w:r>
      <w:r w:rsidR="005A0C6A">
        <w:t xml:space="preserve"> – ‘a waiter is not a waiter in the sense that an inkwell is an inkwell’.</w:t>
      </w:r>
      <w:r w:rsidR="00FD4F0A">
        <w:rPr>
          <w:rStyle w:val="FootnoteReference"/>
        </w:rPr>
        <w:footnoteReference w:id="20"/>
      </w:r>
      <w:r w:rsidR="00FD4F0A">
        <w:t xml:space="preserve"> </w:t>
      </w:r>
      <w:r w:rsidR="00216CC7">
        <w:t>At this point i</w:t>
      </w:r>
      <w:r w:rsidR="00FD4F0A">
        <w:t>t is worthy of note, that perhaps bad faith is inextricably unavoidable. It appear</w:t>
      </w:r>
      <w:r w:rsidR="00216CC7">
        <w:t>s</w:t>
      </w:r>
      <w:r w:rsidR="00FD4F0A">
        <w:t xml:space="preserve"> that</w:t>
      </w:r>
      <w:r w:rsidR="00216CC7">
        <w:t>,</w:t>
      </w:r>
      <w:r w:rsidR="00FD4F0A">
        <w:t xml:space="preserve"> in Sartre, we cannot escape the act of role play. Sartre’s implication is such, that </w:t>
      </w:r>
      <w:r w:rsidR="00216CC7">
        <w:t>although we are free and responsible for the roles we play, our only option is to leave one role and enter another</w:t>
      </w:r>
      <w:r w:rsidR="00C72EB0">
        <w:t>.</w:t>
      </w:r>
      <w:r w:rsidR="00D65DFA">
        <w:rPr>
          <w:rStyle w:val="FootnoteReference"/>
        </w:rPr>
        <w:footnoteReference w:id="21"/>
      </w:r>
      <w:r w:rsidR="00216CC7">
        <w:t xml:space="preserve"> </w:t>
      </w:r>
      <w:r w:rsidR="00C72EB0">
        <w:t>H</w:t>
      </w:r>
      <w:r w:rsidR="00216CC7">
        <w:t>ence good fait</w:t>
      </w:r>
      <w:r w:rsidR="00B2302E">
        <w:t>h</w:t>
      </w:r>
      <w:r w:rsidR="00D65DFA">
        <w:t xml:space="preserve"> remains </w:t>
      </w:r>
      <w:r w:rsidR="00B2302E">
        <w:t xml:space="preserve">metaphysically </w:t>
      </w:r>
      <w:r w:rsidR="00D65DFA">
        <w:t xml:space="preserve">inapprehensible, always just out of </w:t>
      </w:r>
      <w:r w:rsidR="00B2302E">
        <w:t xml:space="preserve">ones </w:t>
      </w:r>
      <w:r w:rsidR="00D65DFA">
        <w:t xml:space="preserve">reach in much the same way as </w:t>
      </w:r>
      <w:r w:rsidR="00B2302E">
        <w:t xml:space="preserve">the state of </w:t>
      </w:r>
      <w:r w:rsidR="00D65DFA">
        <w:t xml:space="preserve">being-in-itself </w:t>
      </w:r>
      <w:r w:rsidR="00B2302E">
        <w:t xml:space="preserve">ever </w:t>
      </w:r>
      <w:r w:rsidR="00D65DFA">
        <w:t>e</w:t>
      </w:r>
      <w:r w:rsidR="00BD7026">
        <w:t>vade</w:t>
      </w:r>
      <w:r w:rsidR="00D65DFA">
        <w:t xml:space="preserve">s the being-for-itself. </w:t>
      </w:r>
      <w:r w:rsidR="00B2302E">
        <w:t xml:space="preserve">As such, bad </w:t>
      </w:r>
      <w:proofErr w:type="gramStart"/>
      <w:r w:rsidR="00B2302E">
        <w:t>faith</w:t>
      </w:r>
      <w:proofErr w:type="gramEnd"/>
      <w:r w:rsidR="00B2302E">
        <w:t xml:space="preserve"> and its opposite, are exposed as ideological concepts and not necessarily metaphysical facticity’s</w:t>
      </w:r>
      <w:r w:rsidR="005A0D04">
        <w:t xml:space="preserve">, as the existence of bad </w:t>
      </w:r>
      <w:r w:rsidR="00BD7026">
        <w:t>surely requires the existence of good.</w:t>
      </w:r>
    </w:p>
    <w:p w14:paraId="7D8A526A" w14:textId="3E88B421" w:rsidR="000A26EA" w:rsidRDefault="000A26EA" w:rsidP="008715D4"/>
    <w:p w14:paraId="1D732723" w14:textId="29FAB1C5" w:rsidR="000A26EA" w:rsidRDefault="000A26EA" w:rsidP="008715D4">
      <w:r>
        <w:t xml:space="preserve">To conclude this short </w:t>
      </w:r>
      <w:r w:rsidR="00EB4580">
        <w:t>essay,</w:t>
      </w:r>
      <w:r>
        <w:t xml:space="preserve"> I summarize – Bad faith is a concept in Sartre which attempts to shed differentiation </w:t>
      </w:r>
      <w:r w:rsidR="00EB4580">
        <w:t xml:space="preserve">on subjective conduct as being false, </w:t>
      </w:r>
      <w:r w:rsidR="00BF4BE9">
        <w:t>as</w:t>
      </w:r>
      <w:r w:rsidR="00EB4580">
        <w:t xml:space="preserve"> an attempt to objectify the subject by deceit </w:t>
      </w:r>
      <w:r w:rsidR="00EB4580">
        <w:lastRenderedPageBreak/>
        <w:t>on either</w:t>
      </w:r>
      <w:r w:rsidR="009F2853">
        <w:t>/</w:t>
      </w:r>
      <w:r w:rsidR="00EB4580">
        <w:t xml:space="preserve">or intra and inter-personal conduct. </w:t>
      </w:r>
      <w:r w:rsidR="003E4E92">
        <w:t>Bad faith</w:t>
      </w:r>
      <w:r w:rsidR="00EB4580">
        <w:t xml:space="preserve"> amounts to the </w:t>
      </w:r>
      <w:r w:rsidR="003E4E92">
        <w:t xml:space="preserve">ontological </w:t>
      </w:r>
      <w:r w:rsidR="00EB4580">
        <w:t xml:space="preserve">deception of oneself and/or other. </w:t>
      </w:r>
      <w:r w:rsidR="003E4E92">
        <w:t>That said, such deception belongs to the freedom of subject, unlike the object which is fixed – condemned to exist as just what it is</w:t>
      </w:r>
      <w:r w:rsidR="009F2853">
        <w:t>. The subject though, is condemned to be free, hence, he is responsible for his conduct – his actions,</w:t>
      </w:r>
      <w:r w:rsidR="009F2853">
        <w:rPr>
          <w:rStyle w:val="FootnoteReference"/>
        </w:rPr>
        <w:footnoteReference w:id="22"/>
      </w:r>
      <w:r w:rsidR="00C72EB0">
        <w:t xml:space="preserve"> </w:t>
      </w:r>
      <w:r w:rsidR="009F2853">
        <w:t xml:space="preserve">and it is in </w:t>
      </w:r>
      <w:r w:rsidR="00675AC8">
        <w:t xml:space="preserve">such </w:t>
      </w:r>
      <w:r w:rsidR="009F2853">
        <w:t>acting that bad faith arises. Bad faith results from being-for-itself attempting being-in-itself, hence, nihilation of self and the turning of being into nothing.</w:t>
      </w:r>
      <w:r w:rsidR="002C7970">
        <w:rPr>
          <w:rStyle w:val="FootnoteReference"/>
        </w:rPr>
        <w:footnoteReference w:id="23"/>
      </w:r>
      <w:r w:rsidR="002C7970">
        <w:t xml:space="preserve"> Bad faith appears to be unavoidable in the free state of being-for-itself. Sartre suggests that we necessarily act in one way or another,</w:t>
      </w:r>
      <w:r w:rsidR="00675AC8">
        <w:rPr>
          <w:rStyle w:val="FootnoteReference"/>
        </w:rPr>
        <w:footnoteReference w:id="24"/>
      </w:r>
      <w:r w:rsidR="00C72EB0">
        <w:t xml:space="preserve"> </w:t>
      </w:r>
      <w:r w:rsidR="002C7970">
        <w:t>and in our state of freedom, we are un-determinedly free and responsible for the acts in which we choose to engage in</w:t>
      </w:r>
      <w:r w:rsidR="00675AC8">
        <w:t xml:space="preserve">. </w:t>
      </w:r>
      <w:r w:rsidR="005D4F90">
        <w:t>M</w:t>
      </w:r>
      <w:r w:rsidR="00BD7026">
        <w:t>eanwhile, good faith is all but unobtainable</w:t>
      </w:r>
      <w:r w:rsidR="005D4F90">
        <w:t>.</w:t>
      </w:r>
    </w:p>
    <w:p w14:paraId="1182A571" w14:textId="721DD9B2" w:rsidR="006841D4" w:rsidRDefault="006841D4" w:rsidP="008715D4">
      <w:r>
        <w:t>(Word count – 1649)</w:t>
      </w:r>
    </w:p>
    <w:p w14:paraId="3F3A2332" w14:textId="77777777" w:rsidR="00B2302E" w:rsidRDefault="00B2302E" w:rsidP="008715D4"/>
    <w:p w14:paraId="61DC0DEA" w14:textId="6E269ED8" w:rsidR="008715D4" w:rsidRDefault="00B2302E" w:rsidP="008715D4">
      <w:r>
        <w:t xml:space="preserve"> </w:t>
      </w:r>
    </w:p>
    <w:p w14:paraId="5AA8A832" w14:textId="13497D61" w:rsidR="00973A13" w:rsidRDefault="00973A13" w:rsidP="008715D4"/>
    <w:p w14:paraId="055BA558" w14:textId="27E2CFCD" w:rsidR="00973A13" w:rsidRDefault="00973A13" w:rsidP="008715D4"/>
    <w:p w14:paraId="434AB31B" w14:textId="23C5DF2A" w:rsidR="00973A13" w:rsidRDefault="00973A13" w:rsidP="008715D4"/>
    <w:p w14:paraId="790F0541" w14:textId="504974E4" w:rsidR="00973A13" w:rsidRDefault="00973A13" w:rsidP="008715D4"/>
    <w:p w14:paraId="2D16266C" w14:textId="45CCBDAC" w:rsidR="00973A13" w:rsidRDefault="00973A13" w:rsidP="008715D4"/>
    <w:p w14:paraId="46CCF108" w14:textId="77777777" w:rsidR="00866FBD" w:rsidRPr="00866FBD" w:rsidRDefault="00D50AD5" w:rsidP="00866FBD">
      <w:pPr>
        <w:pStyle w:val="Bibliography"/>
        <w:rPr>
          <w:rFonts w:ascii="Calibri" w:hAnsi="Calibri" w:cs="Calibri"/>
        </w:rPr>
      </w:pPr>
      <w:r>
        <w:fldChar w:fldCharType="begin"/>
      </w:r>
      <w:r w:rsidR="00377656">
        <w:instrText xml:space="preserve"> ADDIN ZOTERO_BIBL {"uncited":[],"omitted":[],"custom":[]} CSL_BIBLIOGRAPHY </w:instrText>
      </w:r>
      <w:r>
        <w:fldChar w:fldCharType="separate"/>
      </w:r>
      <w:r w:rsidR="00866FBD" w:rsidRPr="00866FBD">
        <w:rPr>
          <w:rFonts w:ascii="Calibri" w:hAnsi="Calibri" w:cs="Calibri"/>
        </w:rPr>
        <w:t xml:space="preserve">Catalano, Joseph. F, ed., </w:t>
      </w:r>
      <w:r w:rsidR="00866FBD" w:rsidRPr="00866FBD">
        <w:rPr>
          <w:rFonts w:ascii="Calibri" w:hAnsi="Calibri" w:cs="Calibri"/>
          <w:i/>
          <w:iCs/>
        </w:rPr>
        <w:t>Good Faith and Other Essays</w:t>
      </w:r>
      <w:r w:rsidR="00866FBD" w:rsidRPr="00866FBD">
        <w:rPr>
          <w:rFonts w:ascii="Calibri" w:hAnsi="Calibri" w:cs="Calibri"/>
        </w:rPr>
        <w:t xml:space="preserve"> (Rowman and Littlefield, 1995)</w:t>
      </w:r>
    </w:p>
    <w:p w14:paraId="3F478E82" w14:textId="77777777" w:rsidR="00866FBD" w:rsidRPr="00866FBD" w:rsidRDefault="00866FBD" w:rsidP="00866FBD">
      <w:pPr>
        <w:pStyle w:val="Bibliography"/>
        <w:rPr>
          <w:rFonts w:ascii="Calibri" w:hAnsi="Calibri" w:cs="Calibri"/>
        </w:rPr>
      </w:pPr>
      <w:proofErr w:type="spellStart"/>
      <w:r w:rsidRPr="00866FBD">
        <w:rPr>
          <w:rFonts w:ascii="Calibri" w:hAnsi="Calibri" w:cs="Calibri"/>
        </w:rPr>
        <w:t>Dilman</w:t>
      </w:r>
      <w:proofErr w:type="spellEnd"/>
      <w:r w:rsidRPr="00866FBD">
        <w:rPr>
          <w:rFonts w:ascii="Calibri" w:hAnsi="Calibri" w:cs="Calibri"/>
        </w:rPr>
        <w:t xml:space="preserve">, Ilham, </w:t>
      </w:r>
      <w:r w:rsidRPr="00866FBD">
        <w:rPr>
          <w:rFonts w:ascii="Calibri" w:hAnsi="Calibri" w:cs="Calibri"/>
          <w:i/>
          <w:iCs/>
        </w:rPr>
        <w:t>Existentialist Critiques of Cartesianism</w:t>
      </w:r>
      <w:r w:rsidRPr="00866FBD">
        <w:rPr>
          <w:rFonts w:ascii="Calibri" w:hAnsi="Calibri" w:cs="Calibri"/>
        </w:rPr>
        <w:t xml:space="preserve"> (Great Britain: Macmillan Press, 1993)</w:t>
      </w:r>
    </w:p>
    <w:p w14:paraId="3732D975" w14:textId="77777777" w:rsidR="00866FBD" w:rsidRPr="00866FBD" w:rsidRDefault="00866FBD" w:rsidP="00866FBD">
      <w:pPr>
        <w:pStyle w:val="Bibliography"/>
        <w:rPr>
          <w:rFonts w:ascii="Calibri" w:hAnsi="Calibri" w:cs="Calibri"/>
        </w:rPr>
      </w:pPr>
      <w:proofErr w:type="spellStart"/>
      <w:r w:rsidRPr="00866FBD">
        <w:rPr>
          <w:rFonts w:ascii="Calibri" w:hAnsi="Calibri" w:cs="Calibri"/>
        </w:rPr>
        <w:lastRenderedPageBreak/>
        <w:t>Onof</w:t>
      </w:r>
      <w:proofErr w:type="spellEnd"/>
      <w:r w:rsidRPr="00866FBD">
        <w:rPr>
          <w:rFonts w:ascii="Calibri" w:hAnsi="Calibri" w:cs="Calibri"/>
        </w:rPr>
        <w:t xml:space="preserve">, Christian. J, ‘Sartre, Jean-Paul. Existentialism’, </w:t>
      </w:r>
      <w:r w:rsidRPr="00866FBD">
        <w:rPr>
          <w:rFonts w:ascii="Calibri" w:hAnsi="Calibri" w:cs="Calibri"/>
          <w:i/>
          <w:iCs/>
        </w:rPr>
        <w:t>Internet Encyclopedia of Philosophy</w:t>
      </w:r>
      <w:r w:rsidRPr="00866FBD">
        <w:rPr>
          <w:rFonts w:ascii="Calibri" w:hAnsi="Calibri" w:cs="Calibri"/>
        </w:rPr>
        <w:t xml:space="preserve"> (London: University </w:t>
      </w:r>
      <w:proofErr w:type="spellStart"/>
      <w:r w:rsidRPr="00866FBD">
        <w:rPr>
          <w:rFonts w:ascii="Calibri" w:hAnsi="Calibri" w:cs="Calibri"/>
        </w:rPr>
        <w:t>Collage</w:t>
      </w:r>
      <w:proofErr w:type="spellEnd"/>
      <w:r w:rsidRPr="00866FBD">
        <w:rPr>
          <w:rFonts w:ascii="Calibri" w:hAnsi="Calibri" w:cs="Calibri"/>
        </w:rPr>
        <w:t xml:space="preserve"> London, ------) &lt;iep.utm.edu/</w:t>
      </w:r>
      <w:proofErr w:type="spellStart"/>
      <w:r w:rsidRPr="00866FBD">
        <w:rPr>
          <w:rFonts w:ascii="Calibri" w:hAnsi="Calibri" w:cs="Calibri"/>
        </w:rPr>
        <w:t>sartre</w:t>
      </w:r>
      <w:proofErr w:type="spellEnd"/>
      <w:r w:rsidRPr="00866FBD">
        <w:rPr>
          <w:rFonts w:ascii="Calibri" w:hAnsi="Calibri" w:cs="Calibri"/>
        </w:rPr>
        <w:t>-ex/&gt; [accessed 17 January 2022]</w:t>
      </w:r>
    </w:p>
    <w:p w14:paraId="34CD3B3D" w14:textId="77777777" w:rsidR="00866FBD" w:rsidRPr="00866FBD" w:rsidRDefault="00866FBD" w:rsidP="00866FBD">
      <w:pPr>
        <w:pStyle w:val="Bibliography"/>
        <w:rPr>
          <w:rFonts w:ascii="Calibri" w:hAnsi="Calibri" w:cs="Calibri"/>
        </w:rPr>
      </w:pPr>
      <w:r w:rsidRPr="00866FBD">
        <w:rPr>
          <w:rFonts w:ascii="Calibri" w:hAnsi="Calibri" w:cs="Calibri"/>
        </w:rPr>
        <w:t xml:space="preserve">Santoni, Ronald. E, </w:t>
      </w:r>
      <w:r w:rsidRPr="00866FBD">
        <w:rPr>
          <w:rFonts w:ascii="Calibri" w:hAnsi="Calibri" w:cs="Calibri"/>
          <w:i/>
          <w:iCs/>
        </w:rPr>
        <w:t>Bad Faith, Good Faith, and Authenticity in Sartre’s Early Philosophy</w:t>
      </w:r>
      <w:r w:rsidRPr="00866FBD">
        <w:rPr>
          <w:rFonts w:ascii="Calibri" w:hAnsi="Calibri" w:cs="Calibri"/>
        </w:rPr>
        <w:t xml:space="preserve"> (Philadelphia: Temple University Press, 1995)</w:t>
      </w:r>
    </w:p>
    <w:p w14:paraId="406675EA" w14:textId="77777777" w:rsidR="00866FBD" w:rsidRPr="00866FBD" w:rsidRDefault="00866FBD" w:rsidP="00866FBD">
      <w:pPr>
        <w:pStyle w:val="Bibliography"/>
        <w:rPr>
          <w:rFonts w:ascii="Calibri" w:hAnsi="Calibri" w:cs="Calibri"/>
        </w:rPr>
      </w:pPr>
      <w:r w:rsidRPr="00866FBD">
        <w:rPr>
          <w:rFonts w:ascii="Calibri" w:hAnsi="Calibri" w:cs="Calibri"/>
        </w:rPr>
        <w:t xml:space="preserve">———, ‘Jean-Paul. Sartre’, </w:t>
      </w:r>
      <w:r w:rsidRPr="00866FBD">
        <w:rPr>
          <w:rFonts w:ascii="Calibri" w:hAnsi="Calibri" w:cs="Calibri"/>
          <w:i/>
          <w:iCs/>
        </w:rPr>
        <w:t>Stanford Encyclopedia of Philosophy</w:t>
      </w:r>
      <w:r w:rsidRPr="00866FBD">
        <w:rPr>
          <w:rFonts w:ascii="Calibri" w:hAnsi="Calibri" w:cs="Calibri"/>
        </w:rPr>
        <w:t xml:space="preserve"> (Thomas Flynn, 2011) &lt;plato.stanford.edu/entries/</w:t>
      </w:r>
      <w:proofErr w:type="spellStart"/>
      <w:r w:rsidRPr="00866FBD">
        <w:rPr>
          <w:rFonts w:ascii="Calibri" w:hAnsi="Calibri" w:cs="Calibri"/>
        </w:rPr>
        <w:t>sartre</w:t>
      </w:r>
      <w:proofErr w:type="spellEnd"/>
      <w:r w:rsidRPr="00866FBD">
        <w:rPr>
          <w:rFonts w:ascii="Calibri" w:hAnsi="Calibri" w:cs="Calibri"/>
        </w:rPr>
        <w:t>/&gt; [accessed 17 January 2022]</w:t>
      </w:r>
    </w:p>
    <w:p w14:paraId="35C67B48" w14:textId="77777777" w:rsidR="00866FBD" w:rsidRPr="00866FBD" w:rsidRDefault="00866FBD" w:rsidP="00866FBD">
      <w:pPr>
        <w:pStyle w:val="Bibliography"/>
        <w:rPr>
          <w:rFonts w:ascii="Calibri" w:hAnsi="Calibri" w:cs="Calibri"/>
        </w:rPr>
      </w:pPr>
      <w:r w:rsidRPr="00866FBD">
        <w:rPr>
          <w:rFonts w:ascii="Calibri" w:hAnsi="Calibri" w:cs="Calibri"/>
        </w:rPr>
        <w:t xml:space="preserve">Sartre, Jean-Paul, </w:t>
      </w:r>
      <w:r w:rsidRPr="00866FBD">
        <w:rPr>
          <w:rFonts w:ascii="Calibri" w:hAnsi="Calibri" w:cs="Calibri"/>
          <w:i/>
          <w:iCs/>
        </w:rPr>
        <w:t>Being and Nothingness</w:t>
      </w:r>
      <w:r w:rsidRPr="00866FBD">
        <w:rPr>
          <w:rFonts w:ascii="Calibri" w:hAnsi="Calibri" w:cs="Calibri"/>
        </w:rPr>
        <w:t xml:space="preserve"> (London: Methuen &amp; Co, 1969)</w:t>
      </w:r>
    </w:p>
    <w:p w14:paraId="5A95516A" w14:textId="1E92689C" w:rsidR="00973A13" w:rsidRPr="009950D2" w:rsidRDefault="00D50AD5" w:rsidP="008715D4">
      <w:r>
        <w:fldChar w:fldCharType="end"/>
      </w:r>
    </w:p>
    <w:sectPr w:rsidR="00973A13" w:rsidRPr="009950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4F2B2C" w14:textId="77777777" w:rsidR="002A707E" w:rsidRDefault="002A707E" w:rsidP="00426025">
      <w:pPr>
        <w:spacing w:after="0" w:line="240" w:lineRule="auto"/>
      </w:pPr>
      <w:r>
        <w:separator/>
      </w:r>
    </w:p>
  </w:endnote>
  <w:endnote w:type="continuationSeparator" w:id="0">
    <w:p w14:paraId="32E17534" w14:textId="77777777" w:rsidR="002A707E" w:rsidRDefault="002A707E" w:rsidP="004260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73A2B6" w14:textId="77777777" w:rsidR="002A707E" w:rsidRDefault="002A707E" w:rsidP="00426025">
      <w:pPr>
        <w:spacing w:after="0" w:line="240" w:lineRule="auto"/>
      </w:pPr>
      <w:r>
        <w:separator/>
      </w:r>
    </w:p>
  </w:footnote>
  <w:footnote w:type="continuationSeparator" w:id="0">
    <w:p w14:paraId="53530E3B" w14:textId="77777777" w:rsidR="002A707E" w:rsidRDefault="002A707E" w:rsidP="00426025">
      <w:pPr>
        <w:spacing w:after="0" w:line="240" w:lineRule="auto"/>
      </w:pPr>
      <w:r>
        <w:continuationSeparator/>
      </w:r>
    </w:p>
  </w:footnote>
  <w:footnote w:id="1">
    <w:p w14:paraId="175DCEA4" w14:textId="57D08527" w:rsidR="007D5E00" w:rsidRDefault="007D5E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{"citationID":"U3bTrgte","properties":{"formattedCitation":"Jean-Paul Sartre, {\\i{}Being and Nothingness} (London: Methuen &amp; Co, 1969).","plainCitation":"Jean-Paul Sartre, Being and Nothingness (London: Methuen &amp; Co, 1969).","noteIndex":1},"citationItems":[{"id":146,"uris":["http://zotero.org/users/local/0EA2PV3q/items/XJJCPGRF"],"uri":["http://zotero.org/users/local/0EA2PV3q/items/XJJCPGRF"],"itemData":{"id":146,"type":"book","event-place":"London","publisher":"Methuen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="00377656" w:rsidRPr="00377656">
        <w:rPr>
          <w:rFonts w:ascii="Calibri" w:hAnsi="Calibri" w:cs="Calibri"/>
          <w:szCs w:val="24"/>
        </w:rPr>
        <w:t xml:space="preserve">Jean-Paul Sartre, </w:t>
      </w:r>
      <w:r w:rsidR="00377656" w:rsidRPr="00377656">
        <w:rPr>
          <w:rFonts w:ascii="Calibri" w:hAnsi="Calibri" w:cs="Calibri"/>
          <w:i/>
          <w:iCs/>
          <w:szCs w:val="24"/>
        </w:rPr>
        <w:t>Being and Nothingness</w:t>
      </w:r>
      <w:r w:rsidR="00377656" w:rsidRPr="00377656">
        <w:rPr>
          <w:rFonts w:ascii="Calibri" w:hAnsi="Calibri" w:cs="Calibri"/>
          <w:szCs w:val="24"/>
        </w:rPr>
        <w:t xml:space="preserve"> (London: Methuen &amp; Co, 1969).</w:t>
      </w:r>
      <w:r>
        <w:fldChar w:fldCharType="end"/>
      </w:r>
      <w:r w:rsidR="00C82730">
        <w:t xml:space="preserve"> </w:t>
      </w:r>
    </w:p>
  </w:footnote>
  <w:footnote w:id="2">
    <w:p w14:paraId="6E68E77F" w14:textId="32F0093D" w:rsidR="00C82730" w:rsidRDefault="00C827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nTVGfUAu","properties":{"formattedCitation":"Sartre.","plainCitation":"Sartre.","noteIndex":2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C82730">
        <w:rPr>
          <w:rFonts w:ascii="Calibri" w:hAnsi="Calibri" w:cs="Calibri"/>
        </w:rPr>
        <w:t>Sartre.</w:t>
      </w:r>
      <w:r>
        <w:fldChar w:fldCharType="end"/>
      </w:r>
      <w:r w:rsidR="00C9361B">
        <w:t xml:space="preserve"> Ibid </w:t>
      </w:r>
    </w:p>
  </w:footnote>
  <w:footnote w:id="3">
    <w:p w14:paraId="5F64187A" w14:textId="44FD3AEA" w:rsidR="005F6073" w:rsidRDefault="005F60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lyejbzlV","properties":{"formattedCitation":"Sartre.","plainCitation":"Sartre.","noteIndex":3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5F6073">
        <w:rPr>
          <w:rFonts w:ascii="Calibri" w:hAnsi="Calibri" w:cs="Calibri"/>
        </w:rPr>
        <w:t>Sartre.</w:t>
      </w:r>
      <w:r>
        <w:fldChar w:fldCharType="end"/>
      </w:r>
    </w:p>
  </w:footnote>
  <w:footnote w:id="4">
    <w:p w14:paraId="24FFCA66" w14:textId="4E91AE17" w:rsidR="00FC38D1" w:rsidRDefault="00FC38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{"citationID":"AJEcHaN7","properties":{"formattedCitation":"{\\i{}Good Faith and Other Essays}, ed. by Joseph. F Catalano (Rowman and Littlefield, 1995).","plainCitation":"Good Faith and Other Essays, ed. by Joseph. F Catalano (Rowman and Littlefield, 1995).","noteIndex":4},"citationItems":[{"id":147,"uris":["http://zotero.org/users/local/0EA2PV3q/items/GF4VVA6Y"],"uri":["http://zotero.org/users/local/0EA2PV3q/items/GF4VVA6Y"],"itemData":{"id":147,"type":"book","publisher":"Rowman and Littlefield","title":"Good Faith and Other Essays","editor":[{"family":"Catalano","given":"Joseph. F"}],"issued":{"date-parts":[["1995"]]}}}],"schema":"https://github.com/citation-style-language/schema/raw/master/csl-citation.json"} </w:instrText>
      </w:r>
      <w:r>
        <w:fldChar w:fldCharType="separate"/>
      </w:r>
      <w:r w:rsidRPr="00FC38D1">
        <w:rPr>
          <w:rFonts w:ascii="Calibri" w:hAnsi="Calibri" w:cs="Calibri"/>
          <w:i/>
          <w:iCs/>
          <w:szCs w:val="24"/>
        </w:rPr>
        <w:t>Good Faith and Other Essays</w:t>
      </w:r>
      <w:r w:rsidRPr="00FC38D1">
        <w:rPr>
          <w:rFonts w:ascii="Calibri" w:hAnsi="Calibri" w:cs="Calibri"/>
          <w:szCs w:val="24"/>
        </w:rPr>
        <w:t>, ed. by Joseph. F Catalano (Rowman and Littlefield, 1995).</w:t>
      </w:r>
      <w:r>
        <w:fldChar w:fldCharType="end"/>
      </w:r>
    </w:p>
  </w:footnote>
  <w:footnote w:id="5">
    <w:p w14:paraId="1163839E" w14:textId="1807C429" w:rsidR="005A118F" w:rsidRDefault="005A11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195039">
        <w:instrText xml:space="preserve"> ADDIN ZOTERO_ITEM CSL_CITATION {"citationID":"xI0mizyw","properties":{"formattedCitation":"Ronald. E Santoni, {\\i{}Bad Faith, Good Faith, and Authenticity in Sartre\\uc0\\u8217{}s Early Philosophy} (Philadelphia: Temple University Press, 1995).","plainCitation":"Ronald. E Santoni, Bad Faith, Good Faith, and Authenticity in Sartre’s Early Philosophy (Philadelphia: Temple University Press, 1995).","noteIndex":5},"citationItems":[{"id":145,"uris":["http://zotero.org/users/local/0EA2PV3q/items/CB5XTU3V"],"uri":["http://zotero.org/users/local/0EA2PV3q/items/CB5XTU3V"],"itemData":{"id":145,"type":"book","event-place":"Philadelphia","publisher":"Temple University Press","publisher-place":"Philadelphia","title":"Bad Faith, Good Faith, and Authenticity in Sartre's Early Philosophy","author":[{"family":"Santoni","given":"Ronald. E"}],"issued":{"date-parts":[["1995"]]}}}],"schema":"https://github.com/citation-style-language/schema/raw/master/csl-citation.json"} </w:instrText>
      </w:r>
      <w:r>
        <w:fldChar w:fldCharType="separate"/>
      </w:r>
      <w:r w:rsidR="00195039" w:rsidRPr="00195039">
        <w:rPr>
          <w:rFonts w:ascii="Calibri" w:hAnsi="Calibri" w:cs="Calibri"/>
          <w:szCs w:val="24"/>
        </w:rPr>
        <w:t xml:space="preserve">Ronald. E Santoni, </w:t>
      </w:r>
      <w:r w:rsidR="00195039" w:rsidRPr="00195039">
        <w:rPr>
          <w:rFonts w:ascii="Calibri" w:hAnsi="Calibri" w:cs="Calibri"/>
          <w:i/>
          <w:iCs/>
          <w:szCs w:val="24"/>
        </w:rPr>
        <w:t>Bad Faith, Good Faith, and Authenticity in Sartre’s Early Philosophy</w:t>
      </w:r>
      <w:r w:rsidR="00195039" w:rsidRPr="00195039">
        <w:rPr>
          <w:rFonts w:ascii="Calibri" w:hAnsi="Calibri" w:cs="Calibri"/>
          <w:szCs w:val="24"/>
        </w:rPr>
        <w:t xml:space="preserve"> (Philadelphia: Temple University Press, 1995).</w:t>
      </w:r>
      <w:r>
        <w:fldChar w:fldCharType="end"/>
      </w:r>
    </w:p>
  </w:footnote>
  <w:footnote w:id="6">
    <w:p w14:paraId="6F234A19" w14:textId="357B5D53" w:rsidR="00451738" w:rsidRDefault="004517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{"citationID":"s9j3B8VS","properties":{"formattedCitation":"Ronald. E Santoni, \\uc0\\u8216{}Jean-Paul. Sartre\\uc0\\u8217{}, {\\i{}Stanford Encyclopedia of Philosophy} (Thomas Flynn, 2011) &lt;plato.stanford.edu/entries/sartre/&gt; [accessed 17 January 2022].","plainCitation":"Ronald. E Santoni, ‘Jean-Paul. Sartre’, Stanford Encyclopedia of Philosophy (Thomas Flynn, 2011) &lt;plato.stanford.edu/entries/sartre/&gt; [accessed 17 January 2022].","noteIndex":6},"citationItems":[{"id":143,"uris":["http://zotero.org/users/local/0EA2PV3q/items/V4BDL4P5"],"uri":["http://zotero.org/users/local/0EA2PV3q/items/V4BDL4P5"],"itemData":{"id":143,"type":"entry-encyclopedia","container-title":"Stanford Encyclopedia of Philosophy","publisher":"Thomas Flynn","title":"Jean-Paul. Sartre","URL":"plato.stanford.edu/entries/sartre/","author":[{"family":"Santoni","given":"Ronald. E"}],"accessed":{"date-parts":[["2022",1,17]]},"issued":{"date-parts":[["2011",5,12]]}}}],"schema":"https://github.com/citation-style-language/schema/raw/master/csl-citation.json"} </w:instrText>
      </w:r>
      <w:r>
        <w:fldChar w:fldCharType="separate"/>
      </w:r>
      <w:r w:rsidRPr="00451738">
        <w:rPr>
          <w:rFonts w:ascii="Calibri" w:hAnsi="Calibri" w:cs="Calibri"/>
          <w:szCs w:val="24"/>
        </w:rPr>
        <w:t xml:space="preserve">Ronald. E Santoni, ‘Jean-Paul. Sartre’, </w:t>
      </w:r>
      <w:r w:rsidRPr="00451738">
        <w:rPr>
          <w:rFonts w:ascii="Calibri" w:hAnsi="Calibri" w:cs="Calibri"/>
          <w:i/>
          <w:iCs/>
          <w:szCs w:val="24"/>
        </w:rPr>
        <w:t>Stanford Encyclopedia of Philosophy</w:t>
      </w:r>
      <w:r w:rsidRPr="00451738">
        <w:rPr>
          <w:rFonts w:ascii="Calibri" w:hAnsi="Calibri" w:cs="Calibri"/>
          <w:szCs w:val="24"/>
        </w:rPr>
        <w:t xml:space="preserve"> (Thomas Flynn, 2011) &lt;plato.stanford.edu/entries/sartre/&gt; [accessed 17 January 2022].</w:t>
      </w:r>
      <w:r>
        <w:fldChar w:fldCharType="end"/>
      </w:r>
    </w:p>
  </w:footnote>
  <w:footnote w:id="7">
    <w:p w14:paraId="1324FA9C" w14:textId="1B814552" w:rsidR="00E509A7" w:rsidRDefault="00E509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{"citationID":"3h3mXtEE","properties":{"formattedCitation":"Christian. J Onof, \\uc0\\u8216{}Sartre, Jean-Paul. Existentialism\\uc0\\u8217{}, {\\i{}Internet Encyclopedia of Philosophy} (London: University Collage London, ------) &lt;iep.utm.edu/sartre-ex/&gt; [accessed 17 January 2022].","plainCitation":"Christian. J Onof, ‘Sartre, Jean-Paul. Existentialism’, Internet Encyclopedia of Philosophy (London: University Collage London, ------) &lt;iep.utm.edu/sartre-ex/&gt; [accessed 17 January 2022].","noteIndex":7},"citationItems":[{"id":144,"uris":["http://zotero.org/users/local/0EA2PV3q/items/9ZBSJEM5"],"uri":["http://zotero.org/users/local/0EA2PV3q/items/9ZBSJEM5"],"itemData":{"id":144,"type":"entry-encyclopedia","container-title":"Internet Encyclopedia of Philosophy","event-place":"London","publisher":"University Collage London","publisher-place":"London","title":"Sartre, Jean-Paul. Existentialism","URL":"iep.utm.edu/sartre-ex/","author":[{"family":"Onof","given":"Christian. J"}],"accessed":{"date-parts":[["2022",1,17]]},"issued":{"literal":"------"}}}],"schema":"https://github.com/citation-style-language/schema/raw/master/csl-citation.json"} </w:instrText>
      </w:r>
      <w:r>
        <w:fldChar w:fldCharType="separate"/>
      </w:r>
      <w:r w:rsidR="00377656" w:rsidRPr="00377656">
        <w:rPr>
          <w:rFonts w:ascii="Calibri" w:hAnsi="Calibri" w:cs="Calibri"/>
          <w:szCs w:val="24"/>
        </w:rPr>
        <w:t xml:space="preserve">Christian. J </w:t>
      </w:r>
      <w:proofErr w:type="spellStart"/>
      <w:r w:rsidR="00377656" w:rsidRPr="00377656">
        <w:rPr>
          <w:rFonts w:ascii="Calibri" w:hAnsi="Calibri" w:cs="Calibri"/>
          <w:szCs w:val="24"/>
        </w:rPr>
        <w:t>Onof</w:t>
      </w:r>
      <w:proofErr w:type="spellEnd"/>
      <w:r w:rsidR="00377656" w:rsidRPr="00377656">
        <w:rPr>
          <w:rFonts w:ascii="Calibri" w:hAnsi="Calibri" w:cs="Calibri"/>
          <w:szCs w:val="24"/>
        </w:rPr>
        <w:t xml:space="preserve">, ‘Sartre, Jean-Paul. Existentialism’, </w:t>
      </w:r>
      <w:r w:rsidR="00377656" w:rsidRPr="00377656">
        <w:rPr>
          <w:rFonts w:ascii="Calibri" w:hAnsi="Calibri" w:cs="Calibri"/>
          <w:i/>
          <w:iCs/>
          <w:szCs w:val="24"/>
        </w:rPr>
        <w:t>Internet Encyclopedia of Philosophy</w:t>
      </w:r>
      <w:r w:rsidR="00377656" w:rsidRPr="00377656">
        <w:rPr>
          <w:rFonts w:ascii="Calibri" w:hAnsi="Calibri" w:cs="Calibri"/>
          <w:szCs w:val="24"/>
        </w:rPr>
        <w:t xml:space="preserve"> (London: University </w:t>
      </w:r>
      <w:r w:rsidR="005E3D0F" w:rsidRPr="00377656">
        <w:rPr>
          <w:rFonts w:ascii="Calibri" w:hAnsi="Calibri" w:cs="Calibri"/>
          <w:szCs w:val="24"/>
        </w:rPr>
        <w:t>College</w:t>
      </w:r>
      <w:r w:rsidR="00377656" w:rsidRPr="00377656">
        <w:rPr>
          <w:rFonts w:ascii="Calibri" w:hAnsi="Calibri" w:cs="Calibri"/>
          <w:szCs w:val="24"/>
        </w:rPr>
        <w:t xml:space="preserve"> London, ------) &lt;iep.utm.edu/</w:t>
      </w:r>
      <w:proofErr w:type="spellStart"/>
      <w:r w:rsidR="00377656" w:rsidRPr="00377656">
        <w:rPr>
          <w:rFonts w:ascii="Calibri" w:hAnsi="Calibri" w:cs="Calibri"/>
          <w:szCs w:val="24"/>
        </w:rPr>
        <w:t>sartre</w:t>
      </w:r>
      <w:proofErr w:type="spellEnd"/>
      <w:r w:rsidR="00377656" w:rsidRPr="00377656">
        <w:rPr>
          <w:rFonts w:ascii="Calibri" w:hAnsi="Calibri" w:cs="Calibri"/>
          <w:szCs w:val="24"/>
        </w:rPr>
        <w:t>-ex/&gt; [accessed 17 January 2022].</w:t>
      </w:r>
      <w:r>
        <w:fldChar w:fldCharType="end"/>
      </w:r>
    </w:p>
  </w:footnote>
  <w:footnote w:id="8">
    <w:p w14:paraId="47FA2554" w14:textId="7CE1DA00" w:rsidR="00C42F0F" w:rsidRDefault="00C42F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8dJ0mjbe","properties":{"formattedCitation":"Sartre.","plainCitation":"Sartre.","noteIndex":8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C42F0F">
        <w:rPr>
          <w:rFonts w:ascii="Calibri" w:hAnsi="Calibri" w:cs="Calibri"/>
        </w:rPr>
        <w:t>Sartre.</w:t>
      </w:r>
      <w:r>
        <w:fldChar w:fldCharType="end"/>
      </w:r>
      <w:r>
        <w:t xml:space="preserve"> P.83</w:t>
      </w:r>
    </w:p>
  </w:footnote>
  <w:footnote w:id="9">
    <w:p w14:paraId="735A6F3A" w14:textId="317C7600" w:rsidR="00472DBB" w:rsidRDefault="00472D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F15C0">
        <w:instrText xml:space="preserve"> ADDIN ZOTERO_ITEM CSL_CITATION {"citationID":"pXik6kMB","properties":{"formattedCitation":"Sartre.","plainCitation":"Sartre.","noteIndex":9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="003F15C0" w:rsidRPr="003F15C0">
        <w:rPr>
          <w:rFonts w:ascii="Calibri" w:hAnsi="Calibri" w:cs="Calibri"/>
        </w:rPr>
        <w:t>Sartre.</w:t>
      </w:r>
      <w:r>
        <w:fldChar w:fldCharType="end"/>
      </w:r>
      <w:r w:rsidR="003F15C0">
        <w:t xml:space="preserve"> </w:t>
      </w:r>
      <w:r w:rsidR="003E4E92">
        <w:t>I</w:t>
      </w:r>
      <w:r w:rsidR="003F15C0">
        <w:t>bid</w:t>
      </w:r>
    </w:p>
  </w:footnote>
  <w:footnote w:id="10">
    <w:p w14:paraId="59476A48" w14:textId="00433852" w:rsidR="000162D8" w:rsidRDefault="000162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GDCe5m8P","properties":{"formattedCitation":"Sartre.","plainCitation":"Sartre.","noteIndex":10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0162D8">
        <w:rPr>
          <w:rFonts w:ascii="Calibri" w:hAnsi="Calibri" w:cs="Calibri"/>
        </w:rPr>
        <w:t>Sartre.</w:t>
      </w:r>
      <w:r>
        <w:fldChar w:fldCharType="end"/>
      </w:r>
      <w:r>
        <w:t xml:space="preserve"> Pp.55-60</w:t>
      </w:r>
    </w:p>
  </w:footnote>
  <w:footnote w:id="11">
    <w:p w14:paraId="79188697" w14:textId="24233E0A" w:rsidR="003E4E92" w:rsidRDefault="003E4E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0ebaicqy","properties":{"formattedCitation":"Sartre.","plainCitation":"Sartre.","noteIndex":11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3E4E92">
        <w:rPr>
          <w:rFonts w:ascii="Calibri" w:hAnsi="Calibri" w:cs="Calibri"/>
        </w:rPr>
        <w:t>Sartre.</w:t>
      </w:r>
      <w:r>
        <w:fldChar w:fldCharType="end"/>
      </w:r>
      <w:r>
        <w:t xml:space="preserve"> P.435</w:t>
      </w:r>
    </w:p>
  </w:footnote>
  <w:footnote w:id="12">
    <w:p w14:paraId="2AB0C69F" w14:textId="289328A7" w:rsidR="00377656" w:rsidRDefault="003776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{"citationID":"jEKJ2rJF","properties":{"formattedCitation":"Ilham Dilman, {\\i{}Existentialist Critiques of Cartesianism} (Great Britain: Macmillan Press, 1993).","plainCitation":"Ilham Dilman, Existentialist Critiques of Cartesianism (Great Britain: Macmillan Press, 1993).","noteIndex":12},"citationItems":[{"id":148,"uris":["http://zotero.org/users/local/0EA2PV3q/items/N5HBHRAE"],"uri":["http://zotero.org/users/local/0EA2PV3q/items/N5HBHRAE"],"itemData":{"id":148,"type":"book","event-place":"Great Britain","publisher":"Macmillan Press","publisher-place":"Great Britain","title":"Existentialist Critiques of Cartesianism","author":[{"family":"Dilman","given":"Ilham"}],"issued":{"date-parts":[["1993"]]}}}],"schema":"https://github.com/citation-style-language/schema/raw/master/csl-citation.json"} </w:instrText>
      </w:r>
      <w:r>
        <w:fldChar w:fldCharType="separate"/>
      </w:r>
      <w:r w:rsidRPr="00377656">
        <w:rPr>
          <w:rFonts w:ascii="Calibri" w:hAnsi="Calibri" w:cs="Calibri"/>
          <w:szCs w:val="24"/>
        </w:rPr>
        <w:t xml:space="preserve">Ilham </w:t>
      </w:r>
      <w:proofErr w:type="spellStart"/>
      <w:r w:rsidRPr="00377656">
        <w:rPr>
          <w:rFonts w:ascii="Calibri" w:hAnsi="Calibri" w:cs="Calibri"/>
          <w:szCs w:val="24"/>
        </w:rPr>
        <w:t>Dilman</w:t>
      </w:r>
      <w:proofErr w:type="spellEnd"/>
      <w:r w:rsidRPr="00377656">
        <w:rPr>
          <w:rFonts w:ascii="Calibri" w:hAnsi="Calibri" w:cs="Calibri"/>
          <w:szCs w:val="24"/>
        </w:rPr>
        <w:t xml:space="preserve">, </w:t>
      </w:r>
      <w:r w:rsidRPr="00377656">
        <w:rPr>
          <w:rFonts w:ascii="Calibri" w:hAnsi="Calibri" w:cs="Calibri"/>
          <w:i/>
          <w:iCs/>
          <w:szCs w:val="24"/>
        </w:rPr>
        <w:t>Existentialist Critiques of Cartesianism</w:t>
      </w:r>
      <w:r>
        <w:rPr>
          <w:rFonts w:ascii="Calibri" w:hAnsi="Calibri" w:cs="Calibri"/>
          <w:szCs w:val="24"/>
        </w:rPr>
        <w:t xml:space="preserve">, </w:t>
      </w:r>
      <w:r>
        <w:t>p</w:t>
      </w:r>
      <w:r>
        <w:t>p.76-77</w:t>
      </w:r>
      <w:r w:rsidRPr="00377656">
        <w:rPr>
          <w:rFonts w:ascii="Calibri" w:hAnsi="Calibri" w:cs="Calibri"/>
          <w:szCs w:val="24"/>
        </w:rPr>
        <w:t xml:space="preserve"> (Great Britain: Macmillan Press, 1993).</w:t>
      </w:r>
      <w:r>
        <w:fldChar w:fldCharType="end"/>
      </w:r>
      <w:r>
        <w:t xml:space="preserve"> </w:t>
      </w:r>
    </w:p>
  </w:footnote>
  <w:footnote w:id="13">
    <w:p w14:paraId="326C6355" w14:textId="222F84D5" w:rsidR="0044456C" w:rsidRDefault="004445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77656">
        <w:instrText xml:space="preserve"> ADDIN ZOTERO_ITEM CSL_CITATION {"citationID":"xllhMx7A","properties":{"formattedCitation":"Sartre.","plainCitation":"Sartre.","noteIndex":13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44456C">
        <w:rPr>
          <w:rFonts w:ascii="Calibri" w:hAnsi="Calibri" w:cs="Calibri"/>
        </w:rPr>
        <w:t>Sartre.</w:t>
      </w:r>
      <w:r>
        <w:fldChar w:fldCharType="end"/>
      </w:r>
      <w:r>
        <w:t xml:space="preserve"> Pp.33-34</w:t>
      </w:r>
    </w:p>
  </w:footnote>
  <w:footnote w:id="14">
    <w:p w14:paraId="1BFC97A9" w14:textId="75D01C0B" w:rsidR="003351FC" w:rsidRDefault="003351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77656">
        <w:instrText xml:space="preserve"> ADDIN ZOTERO_ITEM CSL_CITATION {"citationID":"UDZenttu","properties":{"formattedCitation":"Sartre.","plainCitation":"Sartre.","noteIndex":14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3351FC">
        <w:rPr>
          <w:rFonts w:ascii="Calibri" w:hAnsi="Calibri" w:cs="Calibri"/>
        </w:rPr>
        <w:t>Sartre.</w:t>
      </w:r>
      <w:r>
        <w:fldChar w:fldCharType="end"/>
      </w:r>
      <w:r>
        <w:t xml:space="preserve"> P.83</w:t>
      </w:r>
    </w:p>
  </w:footnote>
  <w:footnote w:id="15">
    <w:p w14:paraId="189E2E61" w14:textId="444240CD" w:rsidR="00D7202F" w:rsidRDefault="00D720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77656">
        <w:instrText xml:space="preserve"> ADDIN ZOTERO_ITEM CSL_CITATION {"citationID":"EDXS7CTW","properties":{"formattedCitation":"Sartre.","plainCitation":"Sartre.","noteIndex":15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D7202F">
        <w:rPr>
          <w:rFonts w:ascii="Calibri" w:hAnsi="Calibri" w:cs="Calibri"/>
        </w:rPr>
        <w:t>Sartre.</w:t>
      </w:r>
      <w:r>
        <w:fldChar w:fldCharType="end"/>
      </w:r>
      <w:r>
        <w:t xml:space="preserve"> Pp.33-34</w:t>
      </w:r>
    </w:p>
  </w:footnote>
  <w:footnote w:id="16">
    <w:p w14:paraId="52B47B18" w14:textId="2B056EA6" w:rsidR="008A316B" w:rsidRDefault="008A31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77656">
        <w:instrText xml:space="preserve"> ADDIN ZOTERO_ITEM CSL_CITATION {"citationID":"q7XbAjY2","properties":{"formattedCitation":"Sartre.","plainCitation":"Sartre.","noteIndex":16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8A316B">
        <w:rPr>
          <w:rFonts w:ascii="Calibri" w:hAnsi="Calibri" w:cs="Calibri"/>
        </w:rPr>
        <w:t>Sartre.</w:t>
      </w:r>
      <w:r>
        <w:fldChar w:fldCharType="end"/>
      </w:r>
      <w:r>
        <w:t xml:space="preserve"> Ibid </w:t>
      </w:r>
    </w:p>
  </w:footnote>
  <w:footnote w:id="17">
    <w:p w14:paraId="562767F9" w14:textId="2F910B0B" w:rsidR="00C80690" w:rsidRDefault="00C806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77656">
        <w:instrText xml:space="preserve"> ADDIN ZOTERO_ITEM CSL_CITATION {"citationID":"yMahh9uE","properties":{"formattedCitation":"Sartre.","plainCitation":"Sartre.","noteIndex":17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C80690">
        <w:rPr>
          <w:rFonts w:ascii="Calibri" w:hAnsi="Calibri" w:cs="Calibri"/>
        </w:rPr>
        <w:t>Sartre.</w:t>
      </w:r>
      <w:r>
        <w:fldChar w:fldCharType="end"/>
      </w:r>
      <w:r>
        <w:t xml:space="preserve"> Pp.33-34</w:t>
      </w:r>
    </w:p>
  </w:footnote>
  <w:footnote w:id="18">
    <w:p w14:paraId="550CBBAC" w14:textId="381AC91F" w:rsidR="00195039" w:rsidRDefault="001950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202F">
        <w:t xml:space="preserve">Santoni. </w:t>
      </w:r>
      <w:r>
        <w:t>Pp.2-3</w:t>
      </w:r>
    </w:p>
  </w:footnote>
  <w:footnote w:id="19">
    <w:p w14:paraId="5943A256" w14:textId="1A51833A" w:rsidR="00866FBD" w:rsidRDefault="00866F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cB1kiBdD","properties":{"formattedCitation":"Sartre.","plainCitation":"Sartre.","noteIndex":19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866FBD">
        <w:rPr>
          <w:rFonts w:ascii="Calibri" w:hAnsi="Calibri" w:cs="Calibri"/>
        </w:rPr>
        <w:t>Sartre.</w:t>
      </w:r>
      <w:r>
        <w:fldChar w:fldCharType="end"/>
      </w:r>
      <w:r>
        <w:t xml:space="preserve"> Pp.33-34</w:t>
      </w:r>
    </w:p>
  </w:footnote>
  <w:footnote w:id="20">
    <w:p w14:paraId="2DED7179" w14:textId="732323E0" w:rsidR="00FD4F0A" w:rsidRDefault="00FD4F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866FBD">
        <w:instrText xml:space="preserve"> ADDIN ZOTERO_ITEM CSL_CITATION {"citationID":"HXCbssVO","properties":{"formattedCitation":"Sartre.","plainCitation":"Sartre.","noteIndex":20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FD4F0A">
        <w:rPr>
          <w:rFonts w:ascii="Calibri" w:hAnsi="Calibri" w:cs="Calibri"/>
        </w:rPr>
        <w:t>Sartre.</w:t>
      </w:r>
      <w:r>
        <w:fldChar w:fldCharType="end"/>
      </w:r>
      <w:r>
        <w:t xml:space="preserve"> P.83</w:t>
      </w:r>
    </w:p>
  </w:footnote>
  <w:footnote w:id="21">
    <w:p w14:paraId="06DA9B25" w14:textId="09C71631" w:rsidR="00D65DFA" w:rsidRDefault="00D65D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77656">
        <w:instrText xml:space="preserve"> ADDIN ZOTERO_ITEM CSL_CITATION {"citationID":"89lDINr7","properties":{"formattedCitation":"Catalano.","plainCitation":"Catalano.","noteIndex":20},"citationItems":[{"id":147,"uris":["http://zotero.org/users/local/0EA2PV3q/items/GF4VVA6Y"],"uri":["http://zotero.org/users/local/0EA2PV3q/items/GF4VVA6Y"],"itemData":{"id":147,"type":"book","publisher":"Rowman and Littlefield","title":"Good Faith and Other Essays","editor":[{"family":"Catalano","given":"Joseph. F"}],"issued":{"date-parts":[["1995"]]}}}],"schema":"https://github.com/citation-style-language/schema/raw/master/csl-citation.json"} </w:instrText>
      </w:r>
      <w:r>
        <w:fldChar w:fldCharType="separate"/>
      </w:r>
      <w:r w:rsidRPr="00D65DFA">
        <w:rPr>
          <w:rFonts w:ascii="Calibri" w:hAnsi="Calibri" w:cs="Calibri"/>
        </w:rPr>
        <w:t>Catalano.</w:t>
      </w:r>
      <w:r>
        <w:fldChar w:fldCharType="end"/>
      </w:r>
      <w:r>
        <w:t xml:space="preserve"> P.100</w:t>
      </w:r>
    </w:p>
  </w:footnote>
  <w:footnote w:id="22">
    <w:p w14:paraId="2D782F21" w14:textId="36A9157D" w:rsidR="009F2853" w:rsidRDefault="009F28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77656">
        <w:instrText xml:space="preserve"> ADDIN ZOTERO_ITEM CSL_CITATION {"citationID":"1kacSd6q","properties":{"formattedCitation":"Sartre.","plainCitation":"Sartre.","noteIndex":21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9F2853">
        <w:rPr>
          <w:rFonts w:ascii="Calibri" w:hAnsi="Calibri" w:cs="Calibri"/>
        </w:rPr>
        <w:t>Sartre.</w:t>
      </w:r>
      <w:r>
        <w:fldChar w:fldCharType="end"/>
      </w:r>
      <w:r>
        <w:t xml:space="preserve"> P.439</w:t>
      </w:r>
    </w:p>
  </w:footnote>
  <w:footnote w:id="23">
    <w:p w14:paraId="719BAD50" w14:textId="60D0035A" w:rsidR="002C7970" w:rsidRDefault="002C79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77656">
        <w:instrText xml:space="preserve"> ADDIN ZOTERO_ITEM CSL_CITATION {"citationID":"vFuXLX3A","properties":{"formattedCitation":"Sartre.","plainCitation":"Sartre.","noteIndex":22},"citationItems":[{"id":146,"uris":["http://zotero.org/users/local/0EA2PV3q/items/XJJCPGRF"],"uri":["http://zotero.org/users/local/0EA2PV3q/items/XJJCPGRF"],"itemData":{"id":146,"type":"book","event-place":"London","publisher":"Methuen &amp; Co","publisher-place":"London","title":"Being and Nothingness","author":[{"family":"Sartre","given":"Jean-Paul"}],"issued":{"date-parts":[["1969"]]}}}],"schema":"https://github.com/citation-style-language/schema/raw/master/csl-citation.json"} </w:instrText>
      </w:r>
      <w:r>
        <w:fldChar w:fldCharType="separate"/>
      </w:r>
      <w:r w:rsidRPr="002C7970">
        <w:rPr>
          <w:rFonts w:ascii="Calibri" w:hAnsi="Calibri" w:cs="Calibri"/>
        </w:rPr>
        <w:t>Sartre.</w:t>
      </w:r>
      <w:r>
        <w:fldChar w:fldCharType="end"/>
      </w:r>
      <w:r>
        <w:t xml:space="preserve"> Pp.33-34</w:t>
      </w:r>
    </w:p>
  </w:footnote>
  <w:footnote w:id="24">
    <w:p w14:paraId="7FDD441C" w14:textId="4C63961A" w:rsidR="00675AC8" w:rsidRDefault="00675A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377656">
        <w:instrText xml:space="preserve"> ADDIN ZOTERO_ITEM CSL_CITATION {"citationID":"YKKKbRaI","properties":{"formattedCitation":"Catalano.","plainCitation":"Catalano.","noteIndex":23},"citationItems":[{"id":147,"uris":["http://zotero.org/users/local/0EA2PV3q/items/GF4VVA6Y"],"uri":["http://zotero.org/users/local/0EA2PV3q/items/GF4VVA6Y"],"itemData":{"id":147,"type":"book","publisher":"Rowman and Littlefield","title":"Good Faith and Other Essays","editor":[{"family":"Catalano","given":"Joseph. F"}],"issued":{"date-parts":[["1995"]]}}}],"schema":"https://github.com/citation-style-language/schema/raw/master/csl-citation.json"} </w:instrText>
      </w:r>
      <w:r>
        <w:fldChar w:fldCharType="separate"/>
      </w:r>
      <w:r w:rsidRPr="00675AC8">
        <w:rPr>
          <w:rFonts w:ascii="Calibri" w:hAnsi="Calibri" w:cs="Calibri"/>
        </w:rPr>
        <w:t>Catalano.</w:t>
      </w:r>
      <w:r>
        <w:fldChar w:fldCharType="end"/>
      </w:r>
      <w:r>
        <w:t xml:space="preserve"> P.100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830F69"/>
    <w:multiLevelType w:val="hybridMultilevel"/>
    <w:tmpl w:val="AC665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2A753D"/>
    <w:multiLevelType w:val="hybridMultilevel"/>
    <w:tmpl w:val="0E820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BE254C"/>
    <w:multiLevelType w:val="hybridMultilevel"/>
    <w:tmpl w:val="DC66D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5D4"/>
    <w:rsid w:val="00014D40"/>
    <w:rsid w:val="000162D8"/>
    <w:rsid w:val="000711A2"/>
    <w:rsid w:val="00080B10"/>
    <w:rsid w:val="0009343E"/>
    <w:rsid w:val="00097118"/>
    <w:rsid w:val="00097AB1"/>
    <w:rsid w:val="000A0F6F"/>
    <w:rsid w:val="000A26EA"/>
    <w:rsid w:val="000C1715"/>
    <w:rsid w:val="000C3A17"/>
    <w:rsid w:val="000E477E"/>
    <w:rsid w:val="00103659"/>
    <w:rsid w:val="00107D8E"/>
    <w:rsid w:val="001912A5"/>
    <w:rsid w:val="00195039"/>
    <w:rsid w:val="001F078C"/>
    <w:rsid w:val="001F1E68"/>
    <w:rsid w:val="001F50AC"/>
    <w:rsid w:val="0021449A"/>
    <w:rsid w:val="00216CC7"/>
    <w:rsid w:val="00222216"/>
    <w:rsid w:val="002350A3"/>
    <w:rsid w:val="0023759F"/>
    <w:rsid w:val="002A1A26"/>
    <w:rsid w:val="002A707E"/>
    <w:rsid w:val="002C632F"/>
    <w:rsid w:val="002C7970"/>
    <w:rsid w:val="002E24B1"/>
    <w:rsid w:val="002E42BA"/>
    <w:rsid w:val="002F4DBE"/>
    <w:rsid w:val="00306825"/>
    <w:rsid w:val="003351FC"/>
    <w:rsid w:val="00335E59"/>
    <w:rsid w:val="00377656"/>
    <w:rsid w:val="003A62B1"/>
    <w:rsid w:val="003B2D80"/>
    <w:rsid w:val="003C3CDA"/>
    <w:rsid w:val="003E017F"/>
    <w:rsid w:val="003E4E92"/>
    <w:rsid w:val="003F15C0"/>
    <w:rsid w:val="0040033C"/>
    <w:rsid w:val="00401C11"/>
    <w:rsid w:val="004229F9"/>
    <w:rsid w:val="00426025"/>
    <w:rsid w:val="0044456C"/>
    <w:rsid w:val="00451738"/>
    <w:rsid w:val="00472DBB"/>
    <w:rsid w:val="004944DC"/>
    <w:rsid w:val="004C67CC"/>
    <w:rsid w:val="004D72ED"/>
    <w:rsid w:val="004F4DB5"/>
    <w:rsid w:val="0051621D"/>
    <w:rsid w:val="0052313A"/>
    <w:rsid w:val="005A0C6A"/>
    <w:rsid w:val="005A0D04"/>
    <w:rsid w:val="005A118F"/>
    <w:rsid w:val="005B633D"/>
    <w:rsid w:val="005D4F90"/>
    <w:rsid w:val="005E3D0F"/>
    <w:rsid w:val="005F6073"/>
    <w:rsid w:val="00675AC8"/>
    <w:rsid w:val="006841D4"/>
    <w:rsid w:val="006C48A5"/>
    <w:rsid w:val="006E14E9"/>
    <w:rsid w:val="006E51D6"/>
    <w:rsid w:val="0070266A"/>
    <w:rsid w:val="00714060"/>
    <w:rsid w:val="007160E8"/>
    <w:rsid w:val="00730B64"/>
    <w:rsid w:val="00733196"/>
    <w:rsid w:val="0079370B"/>
    <w:rsid w:val="007950B3"/>
    <w:rsid w:val="007B6D31"/>
    <w:rsid w:val="007D287F"/>
    <w:rsid w:val="007D3482"/>
    <w:rsid w:val="007D5E00"/>
    <w:rsid w:val="007E7E9E"/>
    <w:rsid w:val="007F6369"/>
    <w:rsid w:val="0080473E"/>
    <w:rsid w:val="00840B42"/>
    <w:rsid w:val="0085234E"/>
    <w:rsid w:val="0085514E"/>
    <w:rsid w:val="00866FBD"/>
    <w:rsid w:val="008715D4"/>
    <w:rsid w:val="008846AA"/>
    <w:rsid w:val="0089085A"/>
    <w:rsid w:val="008A316B"/>
    <w:rsid w:val="008C3E3F"/>
    <w:rsid w:val="009245F2"/>
    <w:rsid w:val="00973A13"/>
    <w:rsid w:val="009819FC"/>
    <w:rsid w:val="009853C4"/>
    <w:rsid w:val="009950D2"/>
    <w:rsid w:val="009F2853"/>
    <w:rsid w:val="00A30454"/>
    <w:rsid w:val="00A46F51"/>
    <w:rsid w:val="00A605F9"/>
    <w:rsid w:val="00AE6CD2"/>
    <w:rsid w:val="00AF6B2C"/>
    <w:rsid w:val="00B2302E"/>
    <w:rsid w:val="00B33C2E"/>
    <w:rsid w:val="00B45FA4"/>
    <w:rsid w:val="00B65CCA"/>
    <w:rsid w:val="00BD7026"/>
    <w:rsid w:val="00BF0AFD"/>
    <w:rsid w:val="00BF4BE9"/>
    <w:rsid w:val="00C13C7A"/>
    <w:rsid w:val="00C37606"/>
    <w:rsid w:val="00C42F0F"/>
    <w:rsid w:val="00C679E5"/>
    <w:rsid w:val="00C72EB0"/>
    <w:rsid w:val="00C80690"/>
    <w:rsid w:val="00C82730"/>
    <w:rsid w:val="00C9361B"/>
    <w:rsid w:val="00CC786C"/>
    <w:rsid w:val="00CE4033"/>
    <w:rsid w:val="00D27FBB"/>
    <w:rsid w:val="00D407E7"/>
    <w:rsid w:val="00D45845"/>
    <w:rsid w:val="00D4661E"/>
    <w:rsid w:val="00D50AD5"/>
    <w:rsid w:val="00D65DFA"/>
    <w:rsid w:val="00D713BF"/>
    <w:rsid w:val="00D7202F"/>
    <w:rsid w:val="00D86919"/>
    <w:rsid w:val="00DA4FFD"/>
    <w:rsid w:val="00DB549A"/>
    <w:rsid w:val="00DC450E"/>
    <w:rsid w:val="00E013DD"/>
    <w:rsid w:val="00E21532"/>
    <w:rsid w:val="00E509A7"/>
    <w:rsid w:val="00E515F5"/>
    <w:rsid w:val="00E637BF"/>
    <w:rsid w:val="00E83ACE"/>
    <w:rsid w:val="00EA2BFC"/>
    <w:rsid w:val="00EB4580"/>
    <w:rsid w:val="00ED2BCA"/>
    <w:rsid w:val="00ED5718"/>
    <w:rsid w:val="00EE0EF5"/>
    <w:rsid w:val="00EE588A"/>
    <w:rsid w:val="00F014A0"/>
    <w:rsid w:val="00F04A3D"/>
    <w:rsid w:val="00F20586"/>
    <w:rsid w:val="00F44C29"/>
    <w:rsid w:val="00F55808"/>
    <w:rsid w:val="00F62A96"/>
    <w:rsid w:val="00F630B0"/>
    <w:rsid w:val="00F72149"/>
    <w:rsid w:val="00FB0AA4"/>
    <w:rsid w:val="00FC38D1"/>
    <w:rsid w:val="00FC518F"/>
    <w:rsid w:val="00FD1DA2"/>
    <w:rsid w:val="00FD4F0A"/>
    <w:rsid w:val="00FF2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C36CDD"/>
  <w15:chartTrackingRefBased/>
  <w15:docId w15:val="{A6ADD48B-9571-4444-9A30-0E73B885F5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15D4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15D4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2602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2602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26025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973A13"/>
  </w:style>
  <w:style w:type="paragraph" w:styleId="Header">
    <w:name w:val="header"/>
    <w:basedOn w:val="Normal"/>
    <w:link w:val="HeaderChar"/>
    <w:uiPriority w:val="99"/>
    <w:unhideWhenUsed/>
    <w:rsid w:val="00D50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0AD5"/>
  </w:style>
  <w:style w:type="paragraph" w:styleId="Footer">
    <w:name w:val="footer"/>
    <w:basedOn w:val="Normal"/>
    <w:link w:val="FooterChar"/>
    <w:uiPriority w:val="99"/>
    <w:unhideWhenUsed/>
    <w:rsid w:val="00D50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0A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4" ma:contentTypeDescription="Create a new document." ma:contentTypeScope="" ma:versionID="6434fdbb12a238defb5780c7082a8490">
  <xsd:schema xmlns:xsd="http://www.w3.org/2001/XMLSchema" xmlns:xs="http://www.w3.org/2001/XMLSchema" xmlns:p="http://schemas.microsoft.com/office/2006/metadata/properties" xmlns:ns3="7ac54d59-15ae-468f-8833-3c6b8f4d3013" targetNamespace="http://schemas.microsoft.com/office/2006/metadata/properties" ma:root="true" ma:fieldsID="81363d5ca55745a6c5130c61dd3ef80c" ns3:_=""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BE47EE-3355-4F20-AB69-2197D9AE12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8ACA7A-6A67-494F-B81F-D898399BE9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1602C4E-8A1C-4E20-8980-56E45D2A639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747E433-CAA6-48C5-A9CD-BD73A2521C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1438</Words>
  <Characters>8200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 Andrew Cassels</dc:creator>
  <cp:keywords/>
  <dc:description/>
  <cp:lastModifiedBy>Jay Andrew Cassels (1602332)</cp:lastModifiedBy>
  <cp:revision>2</cp:revision>
  <dcterms:created xsi:type="dcterms:W3CDTF">2022-01-24T17:19:00Z</dcterms:created>
  <dcterms:modified xsi:type="dcterms:W3CDTF">2022-01-24T17:19:00Z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zotero-version="5.0.96.3"&gt;&lt;session id="t04AKeUV"/&gt;&lt;style id="http://www.zotero.org/styles/modern-humanities-research-association" hasBibliography="1" bibliographyStyleHasBeenSet="1"/&gt;&lt;prefs&gt;&lt;pref name="fieldType" value="Field"/&gt;&lt;pre</vt:lpwstr>
  </property>
  <property fmtid="{D5CDD505-2E9C-101B-9397-08002B2CF9AE}" pid="3" name="ZOTERO_PREF_2">
    <vt:lpwstr>f name="automaticJournalAbbreviations" value="true"/&gt;&lt;pref name="noteType" value="1"/&gt;&lt;/prefs&gt;&lt;/data&gt;</vt:lpwstr>
  </property>
  <property fmtid="{D5CDD505-2E9C-101B-9397-08002B2CF9AE}" pid="4" name="ContentTypeId">
    <vt:lpwstr>0x01010071DCDABCFA65E84D8B810BF0C5457A5E</vt:lpwstr>
  </property>
</Properties>
</file>