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0A9301" w14:textId="77777777" w:rsidR="00980978" w:rsidRDefault="003E7972">
      <w:pPr>
        <w:rPr>
          <w:b/>
          <w:bCs/>
        </w:rPr>
      </w:pPr>
      <w:r w:rsidRPr="003E7972">
        <w:rPr>
          <w:b/>
          <w:bCs/>
        </w:rPr>
        <w:t>Exegesis of John, 2:1-</w:t>
      </w:r>
      <w:r w:rsidR="00980978">
        <w:rPr>
          <w:b/>
          <w:bCs/>
        </w:rPr>
        <w:t xml:space="preserve"> 12</w:t>
      </w:r>
    </w:p>
    <w:p w14:paraId="553F3251" w14:textId="77777777" w:rsidR="00980978" w:rsidRDefault="00980978">
      <w:pPr>
        <w:rPr>
          <w:b/>
          <w:bCs/>
        </w:rPr>
      </w:pPr>
    </w:p>
    <w:p w14:paraId="71AD97B2" w14:textId="6D4E6DB5" w:rsidR="00B73386" w:rsidRDefault="00460629">
      <w:r>
        <w:t xml:space="preserve">The second chapter of John opens with the brief account of a wedding held in Cana in Galilee. The inclusion of the story at this early stage of the Gospel gives John an opportunity to establish themes that he will pursue later, most obviously Jesus’ miraculous powers as revealed in what </w:t>
      </w:r>
      <w:r w:rsidR="001521B0">
        <w:t>he</w:t>
      </w:r>
      <w:r>
        <w:t xml:space="preserve"> calls ‘signs’ (semeion)</w:t>
      </w:r>
      <w:r w:rsidR="002A2B6B">
        <w:t>.</w:t>
      </w:r>
      <w:r w:rsidR="002A2B6B">
        <w:rPr>
          <w:rStyle w:val="FootnoteReference"/>
        </w:rPr>
        <w:footnoteReference w:id="1"/>
      </w:r>
      <w:r>
        <w:t xml:space="preserve"> </w:t>
      </w:r>
    </w:p>
    <w:p w14:paraId="6AE3EF7D" w14:textId="77777777" w:rsidR="00B73386" w:rsidRDefault="00B73386"/>
    <w:p w14:paraId="55E72034" w14:textId="39DB45C7" w:rsidR="00B73386" w:rsidRPr="001C371D" w:rsidRDefault="00042223">
      <w:pPr>
        <w:rPr>
          <w:i/>
          <w:iCs/>
        </w:rPr>
      </w:pPr>
      <w:r w:rsidRPr="001C371D">
        <w:rPr>
          <w:i/>
          <w:iCs/>
        </w:rPr>
        <w:t>Outline</w:t>
      </w:r>
      <w:r w:rsidR="001C371D">
        <w:rPr>
          <w:i/>
          <w:iCs/>
        </w:rPr>
        <w:t xml:space="preserve">. </w:t>
      </w:r>
      <w:r w:rsidR="00460629">
        <w:t xml:space="preserve">The wedding is presumed to be a </w:t>
      </w:r>
      <w:r w:rsidR="00B73386">
        <w:t>high-status</w:t>
      </w:r>
      <w:r w:rsidR="00460629">
        <w:t xml:space="preserve"> affair of up to a week’s duration, at which the wine supply runs out.</w:t>
      </w:r>
      <w:r w:rsidR="00B73386">
        <w:t xml:space="preserve"> Jesus is present with his disciples; also in attendance is his mother, who tells him of the wine shortage. Jesus questions what part he has in this, but, und</w:t>
      </w:r>
      <w:r w:rsidR="00F343A1">
        <w:t>eterred</w:t>
      </w:r>
      <w:r w:rsidR="00B73386">
        <w:t>, his mother advises the servants to follow his instructions. He tells them to fill the six stone (purification) jars with water, then to draw some off to take to</w:t>
      </w:r>
      <w:r w:rsidR="00F343A1">
        <w:t xml:space="preserve"> </w:t>
      </w:r>
      <w:r w:rsidR="00B73386">
        <w:t xml:space="preserve">the </w:t>
      </w:r>
      <w:r w:rsidR="00EB5A6A">
        <w:t>chief steward</w:t>
      </w:r>
      <w:r w:rsidR="00B73386">
        <w:t>, who tastes the water-now-become wine. He expresses his surprise to the bridegroom that the best wine has been saved till last. John’s account then follows Jesus, his disciples</w:t>
      </w:r>
      <w:r w:rsidR="001521B0">
        <w:t>,</w:t>
      </w:r>
      <w:r w:rsidR="00B73386">
        <w:t xml:space="preserve"> mother and brothers to the nearby town of Capernaum, where they stay for a few days</w:t>
      </w:r>
      <w:r w:rsidR="001521B0">
        <w:t>, before a Passover-related visit to Jerusalem</w:t>
      </w:r>
      <w:r w:rsidR="00F343A1">
        <w:t>.</w:t>
      </w:r>
    </w:p>
    <w:p w14:paraId="7B70F98E" w14:textId="77777777" w:rsidR="00B73386" w:rsidRDefault="00B73386"/>
    <w:p w14:paraId="40ABA7EE" w14:textId="35AC6FF0" w:rsidR="00074EBA" w:rsidRPr="00EB00C0" w:rsidRDefault="00042223">
      <w:r w:rsidRPr="00056CDC">
        <w:rPr>
          <w:i/>
          <w:iCs/>
        </w:rPr>
        <w:t>Background</w:t>
      </w:r>
      <w:r w:rsidR="00056CDC">
        <w:rPr>
          <w:i/>
          <w:iCs/>
        </w:rPr>
        <w:t xml:space="preserve">. </w:t>
      </w:r>
      <w:r w:rsidR="005040BC">
        <w:t xml:space="preserve">The story opens located in time and place: Cana in Galilee, presumed to be present-day </w:t>
      </w:r>
      <w:r w:rsidR="005040BC">
        <w:rPr>
          <w:i/>
          <w:iCs/>
        </w:rPr>
        <w:t xml:space="preserve">Khirbet </w:t>
      </w:r>
      <w:proofErr w:type="spellStart"/>
      <w:r w:rsidR="005040BC">
        <w:rPr>
          <w:i/>
          <w:iCs/>
        </w:rPr>
        <w:t>Q</w:t>
      </w:r>
      <w:r w:rsidR="005040BC" w:rsidRPr="005040BC">
        <w:rPr>
          <w:i/>
          <w:iCs/>
        </w:rPr>
        <w:t>ana</w:t>
      </w:r>
      <w:proofErr w:type="spellEnd"/>
      <w:r w:rsidR="005040BC">
        <w:t xml:space="preserve">, nine miles north of Nazareth, is, </w:t>
      </w:r>
      <w:r w:rsidR="00DA2B35">
        <w:t xml:space="preserve">by some accounts, </w:t>
      </w:r>
      <w:r w:rsidR="005040BC">
        <w:t xml:space="preserve">the </w:t>
      </w:r>
      <w:r w:rsidR="00DA2B35">
        <w:t>hometown</w:t>
      </w:r>
      <w:r w:rsidR="005040BC">
        <w:t xml:space="preserve"> of Nathanael, who meets Jesus in</w:t>
      </w:r>
      <w:r w:rsidR="00DA2B35">
        <w:t xml:space="preserve"> the final verses of the preceding chapter (1:47-51.) Nathanael had expressed his scepticism about Jesus, described to him </w:t>
      </w:r>
      <w:r w:rsidR="00074EBA">
        <w:t xml:space="preserve">by Philip </w:t>
      </w:r>
      <w:r w:rsidR="00DA2B35">
        <w:t>as the one ‘</w:t>
      </w:r>
      <w:r w:rsidR="00DA2B35" w:rsidRPr="00DA2B35">
        <w:t>about whom Moses in the law and also the prophets wrote</w:t>
      </w:r>
      <w:r w:rsidR="00DA2B35">
        <w:t>’ (1:45), but</w:t>
      </w:r>
      <w:r w:rsidR="00074EBA">
        <w:t>, following a</w:t>
      </w:r>
      <w:r w:rsidR="00F343A1">
        <w:t xml:space="preserve"> seeming</w:t>
      </w:r>
      <w:r w:rsidR="00074EBA">
        <w:t xml:space="preserve"> act of clairvoyance on Jesus’ part</w:t>
      </w:r>
      <w:r w:rsidR="00DA2B35">
        <w:t xml:space="preserve">, he greets </w:t>
      </w:r>
      <w:r w:rsidR="00074EBA">
        <w:t xml:space="preserve">him </w:t>
      </w:r>
      <w:r w:rsidR="00DA2B35">
        <w:t>as, teacher, Son of God, and King of Israel (1:49).</w:t>
      </w:r>
      <w:r w:rsidR="00074EBA">
        <w:t xml:space="preserve"> In this context, Jesus promises much more to be revealed to him: </w:t>
      </w:r>
      <w:r w:rsidR="00074EBA" w:rsidRPr="00074EBA">
        <w:t>‘Very truly, I tell you,</w:t>
      </w:r>
      <w:r w:rsidR="001521B0" w:rsidRPr="00074EBA">
        <w:t xml:space="preserve"> </w:t>
      </w:r>
      <w:r w:rsidR="00074EBA" w:rsidRPr="00074EBA">
        <w:t>you will see heaven opened and the angels of God ascending and descending upon the Son of Man.</w:t>
      </w:r>
      <w:proofErr w:type="gramStart"/>
      <w:r w:rsidR="00074EBA" w:rsidRPr="00074EBA">
        <w:t>’</w:t>
      </w:r>
      <w:r w:rsidR="00074EBA">
        <w:t>(</w:t>
      </w:r>
      <w:proofErr w:type="gramEnd"/>
      <w:r w:rsidR="00074EBA">
        <w:t>1:51). The wedding event happens three days after this (2:1), and the stage is set for the first of the ‘semeia’.</w:t>
      </w:r>
    </w:p>
    <w:p w14:paraId="46B82D4B" w14:textId="77777777" w:rsidR="00074EBA" w:rsidRDefault="00074EBA"/>
    <w:p w14:paraId="1597961D" w14:textId="7D66E757" w:rsidR="00042223" w:rsidRDefault="00042223">
      <w:r>
        <w:rPr>
          <w:i/>
          <w:iCs/>
        </w:rPr>
        <w:t>On the third day</w:t>
      </w:r>
      <w:r w:rsidR="00A4184D">
        <w:rPr>
          <w:i/>
          <w:iCs/>
        </w:rPr>
        <w:t xml:space="preserve"> (2:1)</w:t>
      </w:r>
      <w:r>
        <w:rPr>
          <w:i/>
          <w:iCs/>
        </w:rPr>
        <w:t xml:space="preserve">. </w:t>
      </w:r>
      <w:r w:rsidR="001901C1">
        <w:t xml:space="preserve">Some have resisted a parallel with the ‘third day’ on which Jesus rose from the dead: </w:t>
      </w:r>
      <w:r w:rsidR="001521B0">
        <w:t xml:space="preserve">in 2:19-20, his talk of raising the temple in three days is glossed by the Evangelist as referring to this resurrection, </w:t>
      </w:r>
      <w:r w:rsidR="00782B94">
        <w:t>but there is apparently no linguistic correlation</w:t>
      </w:r>
      <w:r w:rsidR="001901C1">
        <w:t xml:space="preserve">. </w:t>
      </w:r>
      <w:r w:rsidR="00895420">
        <w:t xml:space="preserve">However, </w:t>
      </w:r>
      <w:r w:rsidR="005C6051">
        <w:t xml:space="preserve">the resurrection narrative in John starts on the first day of the week (20:1), and some have plausibly suggested that this correlates to the first day of the new creation ushered in by Jesus’ dying and rising again. </w:t>
      </w:r>
      <w:r w:rsidR="00782B94">
        <w:t>T</w:t>
      </w:r>
      <w:r w:rsidR="00895420">
        <w:t xml:space="preserve">he resurrection is the glory (‘doxa’) that much of the gospel is leading up to, and in 2:11, we are told that </w:t>
      </w:r>
      <w:r w:rsidR="00EB00C0">
        <w:t xml:space="preserve">through </w:t>
      </w:r>
      <w:r w:rsidR="00895420">
        <w:t>th</w:t>
      </w:r>
      <w:r w:rsidR="00EB00C0">
        <w:t>is</w:t>
      </w:r>
      <w:r w:rsidR="00895420">
        <w:t xml:space="preserve"> first sign </w:t>
      </w:r>
      <w:r w:rsidR="00EB00C0">
        <w:t xml:space="preserve">his glory was </w:t>
      </w:r>
      <w:r w:rsidR="00895420">
        <w:t>revealed</w:t>
      </w:r>
      <w:r w:rsidR="00EB00C0">
        <w:t xml:space="preserve"> </w:t>
      </w:r>
      <w:r w:rsidR="00895420">
        <w:t xml:space="preserve">to his disciples. Additionally, there </w:t>
      </w:r>
      <w:r w:rsidR="00EB00C0">
        <w:t>may be</w:t>
      </w:r>
      <w:r w:rsidR="00895420">
        <w:t xml:space="preserve"> a ‘</w:t>
      </w:r>
      <w:r w:rsidR="001901C1">
        <w:t>third day</w:t>
      </w:r>
      <w:r w:rsidR="00895420">
        <w:t xml:space="preserve">’ parallel in Exodus 19:16, in Moses’ encounter with God at the foot of Mount Sinai. </w:t>
      </w:r>
      <w:r w:rsidR="00EB00C0">
        <w:t>Further, on the question of days, s</w:t>
      </w:r>
      <w:r w:rsidR="00895420">
        <w:t xml:space="preserve">ome have argued that </w:t>
      </w:r>
      <w:r w:rsidR="00782B94">
        <w:t>up to</w:t>
      </w:r>
      <w:r w:rsidR="00895420">
        <w:t xml:space="preserve"> this point in the overall narrative </w:t>
      </w:r>
      <w:r w:rsidR="001521B0">
        <w:t>seven days have passed</w:t>
      </w:r>
      <w:r w:rsidR="00895420">
        <w:t xml:space="preserve">, suggestive of the seven days of ‘creation’, but </w:t>
      </w:r>
      <w:r w:rsidR="00782B94">
        <w:t>besides stretching</w:t>
      </w:r>
      <w:r w:rsidR="001521B0">
        <w:t xml:space="preserve"> credulity</w:t>
      </w:r>
      <w:r w:rsidR="00782B94">
        <w:t>, it rather</w:t>
      </w:r>
      <w:r w:rsidR="00EB00C0">
        <w:t xml:space="preserve"> argues against the </w:t>
      </w:r>
      <w:r w:rsidR="00782B94">
        <w:t>image</w:t>
      </w:r>
      <w:r w:rsidR="00EB00C0">
        <w:t xml:space="preserve"> of the first day of the new creation</w:t>
      </w:r>
      <w:r w:rsidR="001521B0">
        <w:t>.</w:t>
      </w:r>
      <w:r w:rsidR="005C6051">
        <w:t xml:space="preserve"> </w:t>
      </w:r>
    </w:p>
    <w:p w14:paraId="1616EABD" w14:textId="77777777" w:rsidR="00056CDC" w:rsidRDefault="00056CDC"/>
    <w:p w14:paraId="678EC48B" w14:textId="1116ECEA" w:rsidR="00056CDC" w:rsidRDefault="00056CDC">
      <w:r w:rsidRPr="00056CDC">
        <w:rPr>
          <w:i/>
          <w:iCs/>
        </w:rPr>
        <w:lastRenderedPageBreak/>
        <w:t>Wedding</w:t>
      </w:r>
      <w:r w:rsidR="00A4184D">
        <w:rPr>
          <w:i/>
          <w:iCs/>
        </w:rPr>
        <w:t xml:space="preserve"> (2:1)</w:t>
      </w:r>
      <w:r w:rsidRPr="00056CDC">
        <w:rPr>
          <w:i/>
          <w:iCs/>
        </w:rPr>
        <w:t>.</w:t>
      </w:r>
      <w:r>
        <w:t xml:space="preserve"> Hoskyns suggests that since part of the gospel message is rebirth, and since rebirth is not possible ‘apart from birth according to the natural order’</w:t>
      </w:r>
      <w:r>
        <w:rPr>
          <w:rStyle w:val="FootnoteReference"/>
        </w:rPr>
        <w:footnoteReference w:id="2"/>
      </w:r>
      <w:r>
        <w:t>, marriage is a privileged form of celebration</w:t>
      </w:r>
      <w:r w:rsidR="00EB00C0">
        <w:t xml:space="preserve"> for mankind</w:t>
      </w:r>
      <w:r>
        <w:t>. The wedding is certainly both a social and a domestic setting, presenting the human side to Jesus after the philosophical (1:1, ‘</w:t>
      </w:r>
      <w:r w:rsidRPr="00056CDC">
        <w:t>In the beginning was the Word, and the Word was with God, and the Word was God.</w:t>
      </w:r>
      <w:r>
        <w:t>’</w:t>
      </w:r>
      <w:r w:rsidRPr="00056CDC">
        <w:t> </w:t>
      </w:r>
      <w:r>
        <w:t xml:space="preserve">), </w:t>
      </w:r>
      <w:r w:rsidR="00310FDD">
        <w:t xml:space="preserve">the </w:t>
      </w:r>
      <w:r>
        <w:t xml:space="preserve"> theological (1:29, ‘</w:t>
      </w:r>
      <w:r w:rsidRPr="00056CDC">
        <w:t>‘Here is the Lamb of God who takes away the sin of the world!</w:t>
      </w:r>
      <w:r>
        <w:t>’)</w:t>
      </w:r>
      <w:r w:rsidR="00310FDD">
        <w:t>, and the spiritual aspect (1:51, ‘</w:t>
      </w:r>
      <w:r w:rsidR="00310FDD" w:rsidRPr="00310FDD">
        <w:t>you will see heaven opened and the angels of God</w:t>
      </w:r>
      <w:r w:rsidR="00310FDD">
        <w:t xml:space="preserve">’). </w:t>
      </w:r>
      <w:r w:rsidR="001C371D">
        <w:t xml:space="preserve">In Matthew, we have the parable of the wedding banquet where </w:t>
      </w:r>
      <w:r w:rsidR="001C371D" w:rsidRPr="001C371D">
        <w:t>‘The kingdom of heaven may be compared to a king who gave a wedding banquet for his son</w:t>
      </w:r>
      <w:r w:rsidR="001C371D">
        <w:t>.’</w:t>
      </w:r>
      <w:r w:rsidR="001C371D" w:rsidRPr="001C371D">
        <w:t xml:space="preserve"> </w:t>
      </w:r>
      <w:r w:rsidR="001C371D">
        <w:t>(22:1-14), and this further demonstrates (</w:t>
      </w:r>
      <w:r w:rsidR="00F62AD3">
        <w:t>alongside</w:t>
      </w:r>
      <w:r w:rsidR="001C371D">
        <w:t xml:space="preserve"> the customary week-long duration) the celebratory significance of such events.    Further, adding an ecclesial </w:t>
      </w:r>
      <w:r w:rsidR="00F62AD3">
        <w:t>interpretation</w:t>
      </w:r>
      <w:r w:rsidR="001C371D">
        <w:t>, a</w:t>
      </w:r>
      <w:r w:rsidR="00C5563F">
        <w:t>ccording to Maximus of Turin ‘</w:t>
      </w:r>
      <w:r w:rsidR="00C5563F" w:rsidRPr="00C5563F">
        <w:t>The Son of God went to the wedding so that marriage, which had been instituted by his own authority, might be sanctified by his blessed presence</w:t>
      </w:r>
      <w:r w:rsidR="001521B0">
        <w:t>’</w:t>
      </w:r>
      <w:r w:rsidR="00C5563F">
        <w:rPr>
          <w:rStyle w:val="FootnoteReference"/>
        </w:rPr>
        <w:footnoteReference w:id="3"/>
      </w:r>
      <w:r w:rsidR="001521B0">
        <w:t>.</w:t>
      </w:r>
    </w:p>
    <w:p w14:paraId="2B3BBE7D" w14:textId="77777777" w:rsidR="00F62AD3" w:rsidRDefault="00F62AD3"/>
    <w:p w14:paraId="7537B3C8" w14:textId="6DE2ED41" w:rsidR="00F62AD3" w:rsidRDefault="00F62AD3">
      <w:r w:rsidRPr="00F62AD3">
        <w:rPr>
          <w:i/>
          <w:iCs/>
        </w:rPr>
        <w:t>The mother of Jesus</w:t>
      </w:r>
      <w:r w:rsidR="00A4184D">
        <w:rPr>
          <w:i/>
          <w:iCs/>
        </w:rPr>
        <w:t xml:space="preserve"> (2:1)</w:t>
      </w:r>
      <w:r w:rsidRPr="00F62AD3">
        <w:rPr>
          <w:i/>
          <w:iCs/>
        </w:rPr>
        <w:t xml:space="preserve">. </w:t>
      </w:r>
      <w:r>
        <w:t>As with Mark, there is no nativity (as there is in Matthew and Luke,</w:t>
      </w:r>
      <w:r w:rsidRPr="00F62AD3">
        <w:t xml:space="preserve"> </w:t>
      </w:r>
      <w:r>
        <w:t xml:space="preserve">chapters 1-2 respectively), so this is the first we hear of Jesus’ mother, who here is unnamed. </w:t>
      </w:r>
      <w:r w:rsidR="00597CD5">
        <w:t xml:space="preserve">She is the first ‘character’ in </w:t>
      </w:r>
      <w:r w:rsidR="00EB00C0">
        <w:t>this drama</w:t>
      </w:r>
      <w:r w:rsidR="00597CD5">
        <w:t xml:space="preserve"> and has a </w:t>
      </w:r>
      <w:r w:rsidR="00762B55">
        <w:t>central role</w:t>
      </w:r>
      <w:r w:rsidR="00597CD5">
        <w:t xml:space="preserve">. </w:t>
      </w:r>
      <w:r w:rsidR="00762B55">
        <w:t>Some have implausibly tried to see her as symbolizing Judea</w:t>
      </w:r>
      <w:r>
        <w:t xml:space="preserve">, but </w:t>
      </w:r>
      <w:r w:rsidR="00EB00C0">
        <w:t>what</w:t>
      </w:r>
      <w:r>
        <w:t xml:space="preserve"> is </w:t>
      </w:r>
      <w:r w:rsidR="00762B55">
        <w:t xml:space="preserve">structurally </w:t>
      </w:r>
      <w:r>
        <w:t xml:space="preserve">significant </w:t>
      </w:r>
      <w:r w:rsidR="00EB00C0">
        <w:t xml:space="preserve">is </w:t>
      </w:r>
      <w:r>
        <w:t>that her only other appearance in the gospel is before the cross, where once again, Jesus addresses her as ‘woman’ (‘</w:t>
      </w:r>
      <w:proofErr w:type="spellStart"/>
      <w:r>
        <w:t>g</w:t>
      </w:r>
      <w:r w:rsidR="002A2B6B">
        <w:t>y</w:t>
      </w:r>
      <w:r>
        <w:t>nai</w:t>
      </w:r>
      <w:proofErr w:type="spellEnd"/>
      <w:r>
        <w:t>’</w:t>
      </w:r>
      <w:r w:rsidR="008D416F">
        <w:t xml:space="preserve">, 19:26). The </w:t>
      </w:r>
      <w:r w:rsidR="00762B55">
        <w:t xml:space="preserve">much-discussed </w:t>
      </w:r>
      <w:r w:rsidR="008D416F">
        <w:t>implication of lack of filial respect is unlikely, as this form of address seems common</w:t>
      </w:r>
      <w:r w:rsidR="008D416F">
        <w:rPr>
          <w:rStyle w:val="FootnoteReference"/>
        </w:rPr>
        <w:footnoteReference w:id="4"/>
      </w:r>
      <w:r w:rsidR="008D416F">
        <w:t>.</w:t>
      </w:r>
    </w:p>
    <w:p w14:paraId="1CCD2671" w14:textId="77777777" w:rsidR="00A4184D" w:rsidRDefault="00A4184D"/>
    <w:p w14:paraId="4722FBF0" w14:textId="49D5C6A3" w:rsidR="00A4184D" w:rsidRDefault="00A4184D">
      <w:r>
        <w:rPr>
          <w:i/>
          <w:iCs/>
        </w:rPr>
        <w:t xml:space="preserve">They have no wine (2:3). </w:t>
      </w:r>
      <w:r>
        <w:t>This is the original line, though the</w:t>
      </w:r>
      <w:r w:rsidR="00EB00C0">
        <w:t>re</w:t>
      </w:r>
      <w:r>
        <w:t xml:space="preserve"> </w:t>
      </w:r>
      <w:r w:rsidR="00EB00C0">
        <w:t>have been</w:t>
      </w:r>
      <w:r>
        <w:t xml:space="preserve"> quasi-explanatory </w:t>
      </w:r>
      <w:r w:rsidR="00EB00C0">
        <w:t xml:space="preserve">additions </w:t>
      </w:r>
      <w:r>
        <w:t>in various versions of the text</w:t>
      </w:r>
      <w:r>
        <w:rPr>
          <w:rStyle w:val="FootnoteReference"/>
        </w:rPr>
        <w:footnoteReference w:id="5"/>
      </w:r>
      <w:r>
        <w:t>. What is odd is that this information is conveyed by Jesus’ mother, suggesting a semi-official role for her at the celebration</w:t>
      </w:r>
      <w:r w:rsidR="00703E60">
        <w:t>, o</w:t>
      </w:r>
      <w:r>
        <w:t xml:space="preserve">r, as Temple wonders, guilt that the arrival of her son and disciples </w:t>
      </w:r>
      <w:r w:rsidR="00BA346C">
        <w:t xml:space="preserve">have </w:t>
      </w:r>
      <w:r>
        <w:t xml:space="preserve">exhausted the </w:t>
      </w:r>
      <w:r w:rsidR="00BA346C">
        <w:t xml:space="preserve">wine </w:t>
      </w:r>
      <w:r>
        <w:t>supply</w:t>
      </w:r>
      <w:r>
        <w:rPr>
          <w:rStyle w:val="FootnoteReference"/>
        </w:rPr>
        <w:footnoteReference w:id="6"/>
      </w:r>
      <w:r>
        <w:t xml:space="preserve">. </w:t>
      </w:r>
    </w:p>
    <w:p w14:paraId="4E0BD00B" w14:textId="77777777" w:rsidR="00A4184D" w:rsidRDefault="00A4184D"/>
    <w:p w14:paraId="0C06ED0D" w14:textId="481E5813" w:rsidR="00703E60" w:rsidRDefault="00A4184D" w:rsidP="00703E60">
      <w:r>
        <w:rPr>
          <w:i/>
          <w:iCs/>
        </w:rPr>
        <w:t xml:space="preserve">What concern is that to you and to me? </w:t>
      </w:r>
      <w:r>
        <w:t>(2:4)</w:t>
      </w:r>
      <w:r w:rsidR="00EB00C0">
        <w:t>.</w:t>
      </w:r>
      <w:r>
        <w:t xml:space="preserve"> </w:t>
      </w:r>
      <w:r w:rsidR="00093B5F">
        <w:t>A phrase that is also found in e.g. Judges (11:12, in relation to Jephthah), and 1 Kings 17:18 (</w:t>
      </w:r>
      <w:r w:rsidR="00EB00C0">
        <w:t xml:space="preserve">of </w:t>
      </w:r>
      <w:r w:rsidR="00093B5F">
        <w:t xml:space="preserve">Elijah and the widow of Zarephath), but which is hard not read as a rude retort (and refusal to help.) </w:t>
      </w:r>
      <w:r w:rsidR="00703E60">
        <w:t>In the Synoptics the phrase is found in relation to Jesus’ dealings with demons</w:t>
      </w:r>
      <w:r w:rsidR="00703E60">
        <w:rPr>
          <w:rStyle w:val="FootnoteReference"/>
        </w:rPr>
        <w:footnoteReference w:id="7"/>
      </w:r>
      <w:r w:rsidR="00703E60">
        <w:t xml:space="preserve">, </w:t>
      </w:r>
      <w:r w:rsidR="000F1EE7">
        <w:t>and as is suggested here and in the Synoptics, the expression convinces Maynard</w:t>
      </w:r>
      <w:r w:rsidR="000F1EE7">
        <w:rPr>
          <w:rStyle w:val="FootnoteReference"/>
        </w:rPr>
        <w:footnoteReference w:id="8"/>
      </w:r>
      <w:r w:rsidR="000F1EE7">
        <w:t xml:space="preserve"> that it demonstrates Jesus’ higher nature</w:t>
      </w:r>
      <w:r w:rsidR="00703E60">
        <w:t xml:space="preserve">. From a dramatic perspective, however, a break with his mother furnishes him with the opportunity for a kind of reconciliation with her at the cross. A break is hinted at anyway in Mark 3:31-35, where Jesus says of the crowd around him, </w:t>
      </w:r>
      <w:r w:rsidR="00703E60" w:rsidRPr="00703E60">
        <w:t>‘Here are my mother and my brothers!</w:t>
      </w:r>
      <w:r w:rsidR="00703E60">
        <w:t>’</w:t>
      </w:r>
      <w:r w:rsidR="000F1EE7">
        <w:t>.</w:t>
      </w:r>
      <w:r w:rsidR="00D40C3A">
        <w:t xml:space="preserve"> It is </w:t>
      </w:r>
      <w:r w:rsidR="00EB00C0">
        <w:t xml:space="preserve">thus perhaps </w:t>
      </w:r>
      <w:r w:rsidR="00D40C3A">
        <w:t xml:space="preserve">relevant that at the cross, the care of his mother is not passed on to his brothers but to his beloved </w:t>
      </w:r>
      <w:r w:rsidR="00D40C3A">
        <w:lastRenderedPageBreak/>
        <w:t xml:space="preserve">disciple. Following Moloney’s </w:t>
      </w:r>
      <w:r w:rsidR="00DF0AEF">
        <w:t>observation, the break with his mother is down to Jesus’ recognition that his ‘relationship with the Father is paramount.’</w:t>
      </w:r>
      <w:r w:rsidR="00DF0AEF">
        <w:rPr>
          <w:rStyle w:val="FootnoteReference"/>
        </w:rPr>
        <w:footnoteReference w:id="9"/>
      </w:r>
    </w:p>
    <w:p w14:paraId="1CFD604E" w14:textId="77777777" w:rsidR="000F1EE7" w:rsidRDefault="000F1EE7" w:rsidP="00703E60"/>
    <w:p w14:paraId="66AFEA37" w14:textId="207E1643" w:rsidR="001C371D" w:rsidRDefault="000F1EE7">
      <w:r>
        <w:rPr>
          <w:i/>
          <w:iCs/>
        </w:rPr>
        <w:t xml:space="preserve">My hour has not yet come </w:t>
      </w:r>
      <w:r>
        <w:t>(2:4)</w:t>
      </w:r>
      <w:r w:rsidR="004A7BA6">
        <w:t>.</w:t>
      </w:r>
      <w:r>
        <w:t xml:space="preserve"> </w:t>
      </w:r>
      <w:r w:rsidR="00DF0AEF">
        <w:t>In pursuit of his relationship to the Father, i</w:t>
      </w:r>
      <w:r>
        <w:t>t</w:t>
      </w:r>
      <w:r w:rsidR="00DF0AEF">
        <w:t xml:space="preserve"> now</w:t>
      </w:r>
      <w:r>
        <w:t xml:space="preserve"> serves John’s dramatic and literary purpose to start the countdown to Jesus’ glory: the hour returns </w:t>
      </w:r>
      <w:r w:rsidR="003E7868">
        <w:t xml:space="preserve">throughout the gospel </w:t>
      </w:r>
      <w:r>
        <w:t>like an ineluctable drumbeat (11 times</w:t>
      </w:r>
      <w:r>
        <w:rPr>
          <w:rStyle w:val="FootnoteReference"/>
        </w:rPr>
        <w:footnoteReference w:id="10"/>
      </w:r>
      <w:r>
        <w:t>)</w:t>
      </w:r>
      <w:r w:rsidR="003E7868">
        <w:t xml:space="preserve"> with a defining moment at 12:23 (‘</w:t>
      </w:r>
      <w:r w:rsidR="003E7868" w:rsidRPr="003E7868">
        <w:t>Jesus answered them, ‘The hour has come for the Son of Man to be glorified.</w:t>
      </w:r>
      <w:r w:rsidR="003E7868">
        <w:t xml:space="preserve">’) when we learn to what the hour refers. </w:t>
      </w:r>
      <w:r w:rsidR="00DF0AEF">
        <w:t xml:space="preserve">In microcosm, however, that glorification is manifest here at the wedding itself, as John says (2:11). </w:t>
      </w:r>
    </w:p>
    <w:p w14:paraId="416429F1" w14:textId="77777777" w:rsidR="00DF0AEF" w:rsidRDefault="00DF0AEF"/>
    <w:p w14:paraId="219E1852" w14:textId="2A68F6CC" w:rsidR="00DF0AEF" w:rsidRDefault="00DF0AEF">
      <w:r>
        <w:t>The disavowal of his mother</w:t>
      </w:r>
      <w:r w:rsidR="00EB00C0">
        <w:t xml:space="preserve"> and</w:t>
      </w:r>
      <w:r>
        <w:t xml:space="preserve"> the denial of the opportune moment contrast</w:t>
      </w:r>
      <w:r w:rsidR="000823AA">
        <w:t>, as Giblin observes</w:t>
      </w:r>
      <w:r w:rsidR="000823AA">
        <w:rPr>
          <w:rStyle w:val="FootnoteReference"/>
        </w:rPr>
        <w:footnoteReference w:id="11"/>
      </w:r>
      <w:r w:rsidR="000823AA">
        <w:t>,</w:t>
      </w:r>
      <w:r>
        <w:t xml:space="preserve"> with the eventual outcome, in which the </w:t>
      </w:r>
      <w:r w:rsidR="000823AA">
        <w:t xml:space="preserve">miraculous sign occurs. </w:t>
      </w:r>
      <w:r w:rsidR="007F7D4D">
        <w:t>Giblin demonstrates that with certain miracles in the Synoptic gospels, Jesus’ engagement is driven by human concern</w:t>
      </w:r>
      <w:r w:rsidR="000823AA">
        <w:rPr>
          <w:rStyle w:val="FootnoteReference"/>
        </w:rPr>
        <w:footnoteReference w:id="12"/>
      </w:r>
      <w:r w:rsidR="007F7D4D">
        <w:t xml:space="preserve">. He proposes that John’s gospel </w:t>
      </w:r>
      <w:r w:rsidR="00435D4E">
        <w:t>wishes</w:t>
      </w:r>
      <w:r w:rsidR="007F7D4D">
        <w:t xml:space="preserve"> to show that Jesus’ </w:t>
      </w:r>
      <w:proofErr w:type="gramStart"/>
      <w:r w:rsidR="007F7D4D">
        <w:t>signs’</w:t>
      </w:r>
      <w:proofErr w:type="gramEnd"/>
      <w:r w:rsidR="007F7D4D">
        <w:t xml:space="preserve"> come </w:t>
      </w:r>
      <w:r w:rsidR="00BA346C">
        <w:t xml:space="preserve">rather </w:t>
      </w:r>
      <w:r w:rsidR="007F7D4D">
        <w:t xml:space="preserve">from a concern to do the will of the Father. There are other instances in John where this </w:t>
      </w:r>
      <w:r w:rsidR="00EB00C0">
        <w:t>initial reluctance</w:t>
      </w:r>
      <w:r w:rsidR="007F7D4D">
        <w:t>’ on Jesus’ part is found</w:t>
      </w:r>
      <w:r w:rsidR="007F7D4D">
        <w:rPr>
          <w:rStyle w:val="FootnoteReference"/>
        </w:rPr>
        <w:footnoteReference w:id="13"/>
      </w:r>
      <w:r w:rsidR="007F7D4D">
        <w:t xml:space="preserve">, in the remote healing of the royal official’s son, </w:t>
      </w:r>
      <w:r w:rsidR="00435D4E">
        <w:t>his secret visit to Jerusalem (not related to a sign), and most notably in the raising of Lazarus from the dead</w:t>
      </w:r>
      <w:r w:rsidR="00EB00C0">
        <w:t xml:space="preserve"> –</w:t>
      </w:r>
      <w:r w:rsidR="00435D4E">
        <w:t xml:space="preserve"> and Giblin tries to see those through the prism of the same reserve</w:t>
      </w:r>
      <w:r w:rsidR="004E40F4">
        <w:rPr>
          <w:rStyle w:val="FootnoteReference"/>
        </w:rPr>
        <w:footnoteReference w:id="14"/>
      </w:r>
      <w:r w:rsidR="00435D4E">
        <w:t xml:space="preserve">. </w:t>
      </w:r>
      <w:r w:rsidR="004E40F4">
        <w:t xml:space="preserve">It is interesting to note from Giblin that this narrative style of ‘suggestion, negative response, and positive action’ has roots in Semitic practice. </w:t>
      </w:r>
    </w:p>
    <w:p w14:paraId="272808A3" w14:textId="77777777" w:rsidR="00D40C3A" w:rsidRDefault="00D40C3A"/>
    <w:p w14:paraId="42EA6FBC" w14:textId="62C0B9B0" w:rsidR="00D40C3A" w:rsidRDefault="00D40C3A">
      <w:r>
        <w:rPr>
          <w:i/>
          <w:iCs/>
        </w:rPr>
        <w:t>Do whatever he tells you</w:t>
      </w:r>
      <w:r w:rsidR="004A7BA6">
        <w:rPr>
          <w:i/>
          <w:iCs/>
        </w:rPr>
        <w:t xml:space="preserve"> </w:t>
      </w:r>
      <w:r w:rsidR="00315E50">
        <w:t>(2:5)</w:t>
      </w:r>
      <w:r w:rsidR="004A7BA6">
        <w:t>.</w:t>
      </w:r>
      <w:r w:rsidR="00315E50">
        <w:t xml:space="preserve"> </w:t>
      </w:r>
      <w:r>
        <w:t xml:space="preserve">This is the instruction that Jesus’ mother gives to the servants at the celebration. </w:t>
      </w:r>
      <w:r w:rsidR="00435D4E">
        <w:t xml:space="preserve">Here </w:t>
      </w:r>
      <w:r w:rsidR="004E40F4">
        <w:t>her</w:t>
      </w:r>
      <w:r w:rsidR="00435D4E">
        <w:t xml:space="preserve"> implicit trust in Jesus is on show, smarting</w:t>
      </w:r>
      <w:r w:rsidR="006434F5">
        <w:t>,</w:t>
      </w:r>
      <w:r w:rsidR="00435D4E">
        <w:t xml:space="preserve"> as she may be</w:t>
      </w:r>
      <w:r w:rsidR="006434F5">
        <w:t>,</w:t>
      </w:r>
      <w:r w:rsidR="00435D4E">
        <w:t xml:space="preserve"> from her son’s peremptory manner. Hers is a demonstration </w:t>
      </w:r>
      <w:r w:rsidR="004E40F4">
        <w:t>of how all</w:t>
      </w:r>
      <w:r w:rsidR="00BA346C">
        <w:t xml:space="preserve"> of us</w:t>
      </w:r>
      <w:r w:rsidR="004E40F4">
        <w:t>, in John’s eyes, should respond in trust to the presence of Jesus</w:t>
      </w:r>
      <w:r w:rsidR="004E40F4">
        <w:rPr>
          <w:rStyle w:val="FootnoteReference"/>
        </w:rPr>
        <w:footnoteReference w:id="15"/>
      </w:r>
      <w:r w:rsidR="004E40F4">
        <w:t xml:space="preserve">. It is not clear by what authority she so instructs the servants, but Jesus’ words are to be obeyed whatever: the servants, like the readers/listeners to the gospel, are expected to follow Jesus’ command. </w:t>
      </w:r>
    </w:p>
    <w:p w14:paraId="2BF4E801" w14:textId="77777777" w:rsidR="005C6051" w:rsidRDefault="005C6051"/>
    <w:p w14:paraId="46FB2917" w14:textId="0C823A2D" w:rsidR="005C6051" w:rsidRDefault="005C6051">
      <w:r>
        <w:rPr>
          <w:i/>
          <w:iCs/>
        </w:rPr>
        <w:t>Six stone water jars</w:t>
      </w:r>
      <w:r w:rsidR="00315E50">
        <w:rPr>
          <w:i/>
          <w:iCs/>
        </w:rPr>
        <w:t xml:space="preserve"> </w:t>
      </w:r>
      <w:r w:rsidR="00315E50">
        <w:t>(2:6)</w:t>
      </w:r>
      <w:r w:rsidR="004A7BA6">
        <w:t>.</w:t>
      </w:r>
      <w:r>
        <w:rPr>
          <w:i/>
          <w:iCs/>
        </w:rPr>
        <w:t xml:space="preserve"> </w:t>
      </w:r>
      <w:r w:rsidR="00A77758">
        <w:t>These jars were for purification according to Jewish practice (washing of hands and utensils</w:t>
      </w:r>
      <w:r w:rsidR="00A5472F">
        <w:t xml:space="preserve">, not, as with a </w:t>
      </w:r>
      <w:proofErr w:type="spellStart"/>
      <w:r w:rsidR="00A5472F">
        <w:t>miqvaot</w:t>
      </w:r>
      <w:proofErr w:type="spellEnd"/>
      <w:r w:rsidR="00A5472F">
        <w:t>, which was for immersion use</w:t>
      </w:r>
      <w:r w:rsidR="00A77758">
        <w:t xml:space="preserve">.) They were made of stone because clay purification jars would have had to be broken after use, having become unclean. </w:t>
      </w:r>
      <w:r w:rsidR="006434F5">
        <w:t>In support of John’s account, t</w:t>
      </w:r>
      <w:r w:rsidR="00A77758">
        <w:t>here is archaeological evidence of stone jar manufacture in the area at around this period</w:t>
      </w:r>
      <w:r w:rsidR="00A77758">
        <w:rPr>
          <w:rStyle w:val="FootnoteReference"/>
        </w:rPr>
        <w:footnoteReference w:id="16"/>
      </w:r>
      <w:r w:rsidR="00A77758">
        <w:t xml:space="preserve">. The number of large jars suggests a well-to-do household and the considerable scale of the </w:t>
      </w:r>
      <w:r w:rsidR="00A77758">
        <w:lastRenderedPageBreak/>
        <w:t xml:space="preserve">celebration. The volume of the jars is recorded, the equivalent of a total of </w:t>
      </w:r>
      <w:r w:rsidR="00BA346C">
        <w:t xml:space="preserve">perhaps </w:t>
      </w:r>
      <w:r w:rsidR="00A77758">
        <w:t>some 150 gallons. Some look for symbolic value in the number six</w:t>
      </w:r>
      <w:r w:rsidR="00A77758">
        <w:rPr>
          <w:rStyle w:val="FootnoteReference"/>
        </w:rPr>
        <w:footnoteReference w:id="17"/>
      </w:r>
      <w:r w:rsidR="00A77758">
        <w:t xml:space="preserve">, but it is a stretch and raises corresponding questions as to why the ‘sign’ did not include increasing the number of jars to seven. </w:t>
      </w:r>
    </w:p>
    <w:p w14:paraId="11DC8B66" w14:textId="77777777" w:rsidR="0041164E" w:rsidRDefault="0041164E"/>
    <w:p w14:paraId="2BFFC51C" w14:textId="5E548C69" w:rsidR="0041164E" w:rsidRDefault="0041164E">
      <w:r>
        <w:rPr>
          <w:i/>
          <w:iCs/>
        </w:rPr>
        <w:t>Fill the jars with water</w:t>
      </w:r>
      <w:r w:rsidR="00315E50">
        <w:t xml:space="preserve"> (2:7)</w:t>
      </w:r>
      <w:r w:rsidR="004A7BA6">
        <w:t>.</w:t>
      </w:r>
      <w:r>
        <w:rPr>
          <w:i/>
          <w:iCs/>
        </w:rPr>
        <w:t xml:space="preserve"> </w:t>
      </w:r>
      <w:proofErr w:type="gramStart"/>
      <w:r w:rsidR="00A5472F">
        <w:t>So</w:t>
      </w:r>
      <w:proofErr w:type="gramEnd"/>
      <w:r w:rsidR="00A5472F">
        <w:t xml:space="preserve"> Jesus instructs the servants. </w:t>
      </w:r>
      <w:r w:rsidR="00EB5A6A">
        <w:t>There are just two sets of instructions, which are dutifully executed. The significant thing</w:t>
      </w:r>
      <w:r w:rsidR="00A5472F">
        <w:t xml:space="preserve"> is that the jars are filled ‘to the brim’, which means that the </w:t>
      </w:r>
      <w:r w:rsidR="00EB5A6A">
        <w:t xml:space="preserve">miraculous </w:t>
      </w:r>
      <w:r w:rsidR="00A5472F">
        <w:t xml:space="preserve">sign is designed </w:t>
      </w:r>
      <w:r w:rsidR="00EB5A6A">
        <w:t xml:space="preserve">(whether by Jesus or by John) </w:t>
      </w:r>
      <w:r w:rsidR="00A5472F">
        <w:t xml:space="preserve">to be as extreme an event as possible. </w:t>
      </w:r>
      <w:r w:rsidR="00EB5A6A">
        <w:t xml:space="preserve">This ‘extremeness’ is to be found in others of </w:t>
      </w:r>
      <w:r w:rsidR="00BA346C">
        <w:t>the</w:t>
      </w:r>
      <w:r w:rsidR="00EB5A6A">
        <w:t xml:space="preserve"> signs: the confirmation of the </w:t>
      </w:r>
      <w:r w:rsidR="00EB5A6A" w:rsidRPr="00315E50">
        <w:rPr>
          <w:i/>
          <w:iCs/>
        </w:rPr>
        <w:t>exact hour</w:t>
      </w:r>
      <w:r w:rsidR="00EB5A6A">
        <w:t xml:space="preserve"> of the recovery of the son of the royal official (4:51-54); the healing of the lame man at the pool of Bethesda (5:1-18) after </w:t>
      </w:r>
      <w:r w:rsidR="00EB5A6A" w:rsidRPr="00315E50">
        <w:rPr>
          <w:i/>
          <w:iCs/>
        </w:rPr>
        <w:t>his thirty-eight years</w:t>
      </w:r>
      <w:r w:rsidR="00EB5A6A">
        <w:t xml:space="preserve"> of infirmity; the sight given to the man blind </w:t>
      </w:r>
      <w:r w:rsidR="00EB5A6A" w:rsidRPr="00315E50">
        <w:rPr>
          <w:i/>
          <w:iCs/>
        </w:rPr>
        <w:t>from birth</w:t>
      </w:r>
      <w:r w:rsidR="00EB5A6A">
        <w:t xml:space="preserve"> (9:1-41); and the resurrection of Lazarus after </w:t>
      </w:r>
      <w:r w:rsidR="00EB5A6A" w:rsidRPr="00315E50">
        <w:rPr>
          <w:i/>
          <w:iCs/>
        </w:rPr>
        <w:t>four days rotting</w:t>
      </w:r>
      <w:r w:rsidR="00EB5A6A">
        <w:t xml:space="preserve"> in the tomb (11:1-</w:t>
      </w:r>
      <w:r w:rsidR="00315E50">
        <w:t xml:space="preserve">53). </w:t>
      </w:r>
      <w:r w:rsidR="001B4ED6">
        <w:t>The plenty implicit in the quantity of water</w:t>
      </w:r>
      <w:r w:rsidR="00D76769">
        <w:t>, and the wine it will become,</w:t>
      </w:r>
      <w:r w:rsidR="001B4ED6">
        <w:t xml:space="preserve"> calls to mind the plenty promised in Amos</w:t>
      </w:r>
      <w:r w:rsidR="001B4ED6">
        <w:rPr>
          <w:rStyle w:val="FootnoteReference"/>
        </w:rPr>
        <w:footnoteReference w:id="18"/>
      </w:r>
      <w:r w:rsidR="00D76769">
        <w:t xml:space="preserve"> or Isaiah</w:t>
      </w:r>
      <w:r w:rsidR="00D76769">
        <w:rPr>
          <w:rStyle w:val="FootnoteReference"/>
        </w:rPr>
        <w:footnoteReference w:id="19"/>
      </w:r>
      <w:r w:rsidR="007A4164">
        <w:t>.</w:t>
      </w:r>
      <w:r w:rsidR="00D93360">
        <w:t xml:space="preserve"> Water plays a prominent role theologically, so it is perhaps fitting that it is part of the first sign: obviously it connects to baptism, which Jesus himself practised (3:26), but the theme develops in the story of the Samaritan woman (4:7-15) and </w:t>
      </w:r>
      <w:r w:rsidR="00325AF2">
        <w:t>a ‘</w:t>
      </w:r>
      <w:r w:rsidR="00325AF2" w:rsidRPr="00325AF2">
        <w:t>spring of water gushing up to eternal life</w:t>
      </w:r>
      <w:r w:rsidR="00325AF2">
        <w:t>’ and particularly (7:37-38) in the ‘rivers of living water.’</w:t>
      </w:r>
    </w:p>
    <w:p w14:paraId="6C38515E" w14:textId="77777777" w:rsidR="00EB5A6A" w:rsidRDefault="00EB5A6A"/>
    <w:p w14:paraId="724E5B7B" w14:textId="189646FD" w:rsidR="00EB5A6A" w:rsidRPr="00A5472F" w:rsidRDefault="00EB5A6A">
      <w:r w:rsidRPr="00EB5A6A">
        <w:rPr>
          <w:i/>
          <w:iCs/>
        </w:rPr>
        <w:t>Take it to the chief steward</w:t>
      </w:r>
      <w:r w:rsidR="00315E50">
        <w:t xml:space="preserve"> (2:8)</w:t>
      </w:r>
      <w:r w:rsidR="004A7BA6">
        <w:t>.</w:t>
      </w:r>
      <w:r w:rsidR="00315E50">
        <w:t xml:space="preserve"> </w:t>
      </w:r>
      <w:r w:rsidR="006434F5">
        <w:t xml:space="preserve">However, as elsewhere, </w:t>
      </w:r>
      <w:r w:rsidR="00315E50">
        <w:t xml:space="preserve">John’s description of the miraculous event is extremely downbeat. </w:t>
      </w:r>
      <w:r>
        <w:t>We only know that the water has become wine through a parenthetical remark of the author (‘</w:t>
      </w:r>
      <w:r w:rsidR="00BA346C">
        <w:t xml:space="preserve">When the steward </w:t>
      </w:r>
      <w:r>
        <w:t>tasted the water that had become wine’, 2:9)</w:t>
      </w:r>
      <w:r w:rsidR="00315E50">
        <w:t>:</w:t>
      </w:r>
      <w:r>
        <w:t xml:space="preserve"> Jesus himself has no obvious physical engagement with the event at all.</w:t>
      </w:r>
      <w:r w:rsidR="00315E50">
        <w:t xml:space="preserve"> </w:t>
      </w:r>
      <w:r w:rsidR="00AD22C4">
        <w:t>Hoskyns observes that the ignorance of the chief steward about the source of the wine (2:9) has parallels with the ignorance of others throughout the gospel such as Nicodemus (3:8), the Samaritan woman (4:11) and the Jews in Jerusalem</w:t>
      </w:r>
      <w:r w:rsidR="00AD22C4">
        <w:rPr>
          <w:rStyle w:val="FootnoteReference"/>
        </w:rPr>
        <w:footnoteReference w:id="20"/>
      </w:r>
      <w:r w:rsidR="00AD22C4">
        <w:t>. He ignores one of the most powerful confessions of ignorance, though, in the man who was blind</w:t>
      </w:r>
      <w:r w:rsidR="00BA346C">
        <w:t>, but can say nothing of the man that gave him his sight</w:t>
      </w:r>
      <w:r w:rsidR="00AD22C4">
        <w:t xml:space="preserve"> (9:25): ‘</w:t>
      </w:r>
      <w:r w:rsidR="00AD22C4" w:rsidRPr="00AD22C4">
        <w:t>One thing I do know, that though I was blind, now I see.’</w:t>
      </w:r>
      <w:r w:rsidR="00AD22C4">
        <w:t xml:space="preserve"> It is a moment when even John steps back theologically and allows </w:t>
      </w:r>
      <w:r w:rsidR="000F65CA">
        <w:t>reality (‘our reality’) to speak for itself</w:t>
      </w:r>
      <w:r w:rsidR="00AD22C4">
        <w:t>.</w:t>
      </w:r>
      <w:r w:rsidR="000F65CA">
        <w:t xml:space="preserve"> </w:t>
      </w:r>
      <w:r w:rsidR="006434F5">
        <w:t xml:space="preserve">Incidentally, </w:t>
      </w:r>
      <w:r w:rsidR="000F65CA">
        <w:t xml:space="preserve">Hoskyns is surely mistaken in thinking that the servants have knowledge: according to John (2:9) what they know is where the water came from, not (necessarily) that the water had become wine. </w:t>
      </w:r>
      <w:r w:rsidR="006434F5">
        <w:t xml:space="preserve">If </w:t>
      </w:r>
      <w:r w:rsidR="00BA346C">
        <w:t xml:space="preserve">this is </w:t>
      </w:r>
      <w:r w:rsidR="006434F5">
        <w:t xml:space="preserve">so, it </w:t>
      </w:r>
      <w:r w:rsidR="00BA346C">
        <w:t>may</w:t>
      </w:r>
      <w:r w:rsidR="006434F5">
        <w:t xml:space="preserve"> be</w:t>
      </w:r>
      <w:r w:rsidR="000F65CA">
        <w:t xml:space="preserve"> because he is reserving the ‘revelation’ of the sign for the disciples alone. </w:t>
      </w:r>
      <w:r w:rsidR="00AD22C4">
        <w:t xml:space="preserve">  </w:t>
      </w:r>
    </w:p>
    <w:p w14:paraId="2A1A73B6" w14:textId="77777777" w:rsidR="001C371D" w:rsidRPr="00056CDC" w:rsidRDefault="001C371D"/>
    <w:p w14:paraId="1796F3B4" w14:textId="32771913" w:rsidR="00895420" w:rsidRDefault="000F65CA">
      <w:r>
        <w:rPr>
          <w:i/>
          <w:iCs/>
        </w:rPr>
        <w:t>The steward called the bridegroom and said to him</w:t>
      </w:r>
      <w:r w:rsidR="004A7BA6">
        <w:rPr>
          <w:i/>
          <w:iCs/>
        </w:rPr>
        <w:t>..</w:t>
      </w:r>
      <w:r>
        <w:rPr>
          <w:i/>
          <w:iCs/>
        </w:rPr>
        <w:t xml:space="preserve">. </w:t>
      </w:r>
      <w:r>
        <w:t>(2:9-10)</w:t>
      </w:r>
      <w:r w:rsidR="004A7BA6">
        <w:t>.</w:t>
      </w:r>
      <w:r>
        <w:t xml:space="preserve"> </w:t>
      </w:r>
      <w:r w:rsidR="0036542B">
        <w:t>It is hard not connect the bridegroom with what will follow in 3:29, when John the Baptizer is quoted, referring to Jesus: ‘</w:t>
      </w:r>
      <w:r w:rsidR="0036542B" w:rsidRPr="0036542B">
        <w:t xml:space="preserve">The friend of the bridegroom, who stands and hears him, rejoices greatly at </w:t>
      </w:r>
      <w:r w:rsidR="0036542B" w:rsidRPr="0036542B">
        <w:lastRenderedPageBreak/>
        <w:t>the bridegroom’s voice.’</w:t>
      </w:r>
      <w:r w:rsidR="0036542B">
        <w:t xml:space="preserve"> The image of the bridegroom also appears in the Synoptics</w:t>
      </w:r>
      <w:r w:rsidR="0036542B">
        <w:rPr>
          <w:rStyle w:val="FootnoteReference"/>
        </w:rPr>
        <w:footnoteReference w:id="21"/>
      </w:r>
      <w:r w:rsidR="007A4164">
        <w:t>. In the present account,</w:t>
      </w:r>
      <w:r>
        <w:t xml:space="preserve"> we learn that the chemical change was not the real miracle, but rather the fact that the best wine was saved till last. </w:t>
      </w:r>
      <w:r w:rsidR="0089630A">
        <w:t xml:space="preserve">Wine clearly features large in the social and cultural landscape of </w:t>
      </w:r>
      <w:r w:rsidR="000803D4">
        <w:t>Israel and of the Greco-Roman world.</w:t>
      </w:r>
      <w:r w:rsidR="006434F5">
        <w:t xml:space="preserve"> </w:t>
      </w:r>
      <w:r w:rsidR="002D3261">
        <w:t xml:space="preserve">Dodd, for example, draws attention to Philo’s account of Melchizedek ‘bringing forth </w:t>
      </w:r>
      <w:r w:rsidR="002D3261">
        <w:rPr>
          <w:i/>
          <w:iCs/>
        </w:rPr>
        <w:t>wine instead of water</w:t>
      </w:r>
      <w:r w:rsidR="0089630A">
        <w:t>…’ for that ‘divine intoxication which is more sober than sobriety itself.’</w:t>
      </w:r>
      <w:r w:rsidR="0089630A">
        <w:rPr>
          <w:rStyle w:val="FootnoteReference"/>
        </w:rPr>
        <w:footnoteReference w:id="22"/>
      </w:r>
      <w:r w:rsidR="0089630A">
        <w:t xml:space="preserve"> Elsewhere, some (perhaps attracted to theories of the Johannine community in Asia Minor) pick up on an annual ‘miracle’ recounted by Pausanias</w:t>
      </w:r>
      <w:r w:rsidR="0089630A">
        <w:rPr>
          <w:rStyle w:val="FootnoteReference"/>
        </w:rPr>
        <w:footnoteReference w:id="23"/>
      </w:r>
      <w:r w:rsidR="0089630A">
        <w:t xml:space="preserve"> at </w:t>
      </w:r>
      <w:proofErr w:type="spellStart"/>
      <w:r w:rsidR="0089630A">
        <w:t>Thyia</w:t>
      </w:r>
      <w:proofErr w:type="spellEnd"/>
      <w:r w:rsidR="0089630A">
        <w:t>, near Elis</w:t>
      </w:r>
      <w:r w:rsidR="000803D4">
        <w:t>, a</w:t>
      </w:r>
      <w:r w:rsidR="0089630A">
        <w:t>s part of the festival celebrating Dionysus</w:t>
      </w:r>
      <w:r w:rsidR="000803D4">
        <w:t>,</w:t>
      </w:r>
      <w:r w:rsidR="0089630A">
        <w:t xml:space="preserve"> the Greek God of wine. </w:t>
      </w:r>
      <w:r w:rsidR="000803D4">
        <w:t xml:space="preserve">These may be attempts to source John’s thinking beyond </w:t>
      </w:r>
      <w:r w:rsidR="007A4164">
        <w:t>his</w:t>
      </w:r>
      <w:r w:rsidR="000803D4">
        <w:t xml:space="preserve"> declared experience (and Scripture itself), but they may undermine the coherence of the gospel’s </w:t>
      </w:r>
      <w:r w:rsidR="00BA346C">
        <w:t>theological ambition (unless, lamely, to show a religious superiority over the pagans</w:t>
      </w:r>
      <w:r w:rsidR="001D68C1">
        <w:t>.)</w:t>
      </w:r>
      <w:r w:rsidR="000803D4">
        <w:t xml:space="preserve"> The wine is crucial to the wedding, as it is to a prosperous society: we will learn later, however, that (beyond magic) Jesus is the source, the vine no less</w:t>
      </w:r>
      <w:r w:rsidR="000803D4">
        <w:rPr>
          <w:rStyle w:val="FootnoteReference"/>
        </w:rPr>
        <w:footnoteReference w:id="24"/>
      </w:r>
      <w:r w:rsidR="000803D4">
        <w:t xml:space="preserve">, as his Father is the vine-grower. Jesus’ theology (in John) is relational, for we are the branches that bear the fruit from our connection to the vine itself. Mark may offer little more than housekeeping advice on wine (2:22 on new wine in old wineskins) but he corroborates John’s metaphor of the vine in 12:1-9. </w:t>
      </w:r>
      <w:r w:rsidR="001D4AB4">
        <w:t>And w</w:t>
      </w:r>
      <w:r w:rsidR="004A7BA6">
        <w:t>e have already had a clue as to what the water is that the wine replaces (1:17): ‘</w:t>
      </w:r>
      <w:r w:rsidR="004A7BA6" w:rsidRPr="004A7BA6">
        <w:t>The law indeed was given through Moses; grace and truth came through Jesus Christ.</w:t>
      </w:r>
      <w:r w:rsidR="004A7BA6">
        <w:t>’</w:t>
      </w:r>
      <w:r w:rsidR="004A7BA6" w:rsidRPr="004A7BA6">
        <w:t> </w:t>
      </w:r>
      <w:r w:rsidR="0036542B">
        <w:t>John, despite charges of hostility to the Jews, is clear about the priority of the Jewish tradition: as he says, ‘for salvation is from the Jews.’ (4:22).</w:t>
      </w:r>
      <w:r w:rsidR="0036542B">
        <w:rPr>
          <w:rFonts w:eastAsia="Times New Roman" w:cs="Times New Roman"/>
          <w:color w:val="333333"/>
          <w:lang w:eastAsia="en-GB"/>
        </w:rPr>
        <w:t xml:space="preserve"> </w:t>
      </w:r>
      <w:r w:rsidR="004A7BA6">
        <w:t xml:space="preserve">Thus, the allegory of the sign begins to emerge: the fact that the water in our story began life ‘in the purification jars (of Jewish tradition)’ </w:t>
      </w:r>
      <w:r w:rsidR="001D4AB4">
        <w:t>before ending as the best of the wine, is a ‘sign’ of Jesus’ glory revealed.</w:t>
      </w:r>
    </w:p>
    <w:p w14:paraId="52052ACA" w14:textId="77777777" w:rsidR="001D4AB4" w:rsidRDefault="001D4AB4"/>
    <w:p w14:paraId="6B78243D" w14:textId="6F8800F8" w:rsidR="001D4AB4" w:rsidRDefault="001D4AB4">
      <w:r>
        <w:rPr>
          <w:i/>
          <w:iCs/>
        </w:rPr>
        <w:t>And his disciples believed in him</w:t>
      </w:r>
      <w:r>
        <w:t xml:space="preserve"> (2:11). The signs are sometimes referred to as ‘works’ (‘</w:t>
      </w:r>
      <w:proofErr w:type="spellStart"/>
      <w:r>
        <w:t>erga</w:t>
      </w:r>
      <w:proofErr w:type="spellEnd"/>
      <w:r>
        <w:t>’) and are evidence of Jesus doing the work of the Father</w:t>
      </w:r>
      <w:r>
        <w:rPr>
          <w:rStyle w:val="FootnoteReference"/>
        </w:rPr>
        <w:footnoteReference w:id="25"/>
      </w:r>
      <w:r>
        <w:t xml:space="preserve">. But Jesus is ambivalent about his signs. </w:t>
      </w:r>
      <w:r w:rsidR="001B4ED6">
        <w:t>He almost rebukes the</w:t>
      </w:r>
      <w:r>
        <w:t xml:space="preserve"> royal official</w:t>
      </w:r>
      <w:r w:rsidR="001B4ED6">
        <w:t xml:space="preserve"> (‘</w:t>
      </w:r>
      <w:r w:rsidR="001B4ED6" w:rsidRPr="001B4ED6">
        <w:t>Then Jesus said to him</w:t>
      </w:r>
      <w:r w:rsidR="001D68C1">
        <w:t xml:space="preserve"> and others</w:t>
      </w:r>
      <w:r w:rsidR="001B4ED6" w:rsidRPr="001B4ED6">
        <w:t>, ‘Unless you see signs and wonders you will not believe.’</w:t>
      </w:r>
      <w:r w:rsidR="001B4ED6">
        <w:t>(4:48))</w:t>
      </w:r>
      <w:r w:rsidR="001B4ED6" w:rsidRPr="001B4ED6">
        <w:t> </w:t>
      </w:r>
      <w:r w:rsidR="001B4ED6">
        <w:t>as though signs in themselves were not enough to believe in him; while John sometimes sees a direct link between signs and belief in Jesus (as here with the disciples), though demonstrating on other occasions that signs did not automatically induce faith: ‘</w:t>
      </w:r>
      <w:r w:rsidR="001B4ED6" w:rsidRPr="001B4ED6">
        <w:t>Although he had performed so many signs in their presence, they did not believe in him.’</w:t>
      </w:r>
      <w:r w:rsidR="001B4ED6">
        <w:t xml:space="preserve"> (12:37).</w:t>
      </w:r>
      <w:r w:rsidR="00FF6106">
        <w:t xml:space="preserve"> In this regard, Thompson</w:t>
      </w:r>
      <w:r w:rsidR="001D68C1">
        <w:t>’s</w:t>
      </w:r>
      <w:r w:rsidR="00FF6106">
        <w:t xml:space="preserve"> conclusion seems apt: ‘When the signs’ witness to the unity of the Father and the Son is grasped, then the signs lead to faith.’</w:t>
      </w:r>
      <w:r w:rsidR="00FF6106">
        <w:rPr>
          <w:rStyle w:val="FootnoteReference"/>
        </w:rPr>
        <w:footnoteReference w:id="26"/>
      </w:r>
    </w:p>
    <w:p w14:paraId="18069B41" w14:textId="77777777" w:rsidR="00325AF2" w:rsidRDefault="00325AF2"/>
    <w:p w14:paraId="2D115C32" w14:textId="47AF6062" w:rsidR="00325AF2" w:rsidRDefault="00325AF2">
      <w:r w:rsidRPr="00325AF2">
        <w:rPr>
          <w:i/>
          <w:iCs/>
        </w:rPr>
        <w:t>He went down to Capernaum</w:t>
      </w:r>
      <w:r>
        <w:rPr>
          <w:i/>
          <w:iCs/>
        </w:rPr>
        <w:t xml:space="preserve"> </w:t>
      </w:r>
      <w:r>
        <w:t xml:space="preserve">(2:12). Since Jesus’ next port of call is Jerusalem (and Capernaum would be a detour), some have questioned whether this is accurate: perhaps it is a narrative device for writing his mother and brothers out of the story at this stage. </w:t>
      </w:r>
    </w:p>
    <w:p w14:paraId="6B68F858" w14:textId="77777777" w:rsidR="00325AF2" w:rsidRDefault="00325AF2"/>
    <w:p w14:paraId="301A75AF" w14:textId="460B8AC4" w:rsidR="00325AF2" w:rsidRDefault="00325AF2">
      <w:r w:rsidRPr="00325AF2">
        <w:rPr>
          <w:i/>
          <w:iCs/>
        </w:rPr>
        <w:t>Conclusion.</w:t>
      </w:r>
      <w:r>
        <w:rPr>
          <w:i/>
          <w:iCs/>
        </w:rPr>
        <w:t xml:space="preserve"> </w:t>
      </w:r>
      <w:r w:rsidR="006848E8">
        <w:t>The account of the first sign points the way to several themes that follow: the glory to come, the challenge of belief, the plentifulness of the divine offering, and the fulfilment of Jewish heritage (</w:t>
      </w:r>
      <w:r w:rsidR="001D68C1">
        <w:t xml:space="preserve">but emphatically </w:t>
      </w:r>
      <w:r w:rsidR="006848E8">
        <w:t xml:space="preserve">not its supersession). It also marks out literary devices that pull the reader/listener into the drama: the scale of the works of Jesus, the mystery of the ‘hour’, and the hidden-ness of the miraculous. With an economy that recalls scenes from Genesis, a credible lifelike event emerges on our – so-to-speak – doorstep. </w:t>
      </w:r>
    </w:p>
    <w:p w14:paraId="076362A5" w14:textId="77777777" w:rsidR="00A50197" w:rsidRDefault="00A50197"/>
    <w:p w14:paraId="51595920" w14:textId="414E3542" w:rsidR="00A50197" w:rsidRPr="00325AF2" w:rsidRDefault="00A50197">
      <w:r>
        <w:t xml:space="preserve">There is also the bigger backdrop, itself shrouded in the only half-expressed. The stone jars were there for purification reasons (related principally to eating and drinking.) The water in them is made into wine, turning </w:t>
      </w:r>
      <w:r w:rsidR="001D68C1">
        <w:t>a</w:t>
      </w:r>
      <w:r>
        <w:t xml:space="preserve"> necessity of </w:t>
      </w:r>
      <w:r w:rsidR="001D68C1">
        <w:t xml:space="preserve">the </w:t>
      </w:r>
      <w:r>
        <w:t>everyday into a form of divine joy. What follows the sign is Jesus’ explosive visit to Jerusalem where he sees the temple’s sanctity being abused around the feast of the Passover</w:t>
      </w:r>
      <w:r w:rsidR="004F4F58">
        <w:t xml:space="preserve"> </w:t>
      </w:r>
      <w:r>
        <w:t>and subsequently has an earnest discussion with the Pharisee Nicodemus. What happens next is a return to Jesus’s association with John the Baptizer</w:t>
      </w:r>
      <w:r w:rsidR="004F4F58">
        <w:t xml:space="preserve">, which is how we first meet Jesus in chapter 1 (1:19). There is a consolidation of Jesus’ ministry happening, a </w:t>
      </w:r>
      <w:r w:rsidR="004F4F58" w:rsidRPr="004F4F58">
        <w:rPr>
          <w:i/>
          <w:iCs/>
        </w:rPr>
        <w:t>new</w:t>
      </w:r>
      <w:r w:rsidR="004F4F58">
        <w:t xml:space="preserve"> purification afoot (something beyond food and drink), which will launch Jesus into his own mission, confirmed in his work by the Baptizer, and leading</w:t>
      </w:r>
      <w:r w:rsidR="001D68C1">
        <w:t>,</w:t>
      </w:r>
      <w:r w:rsidR="004F4F58">
        <w:t xml:space="preserve"> eventually</w:t>
      </w:r>
      <w:r w:rsidR="001D68C1">
        <w:t>,</w:t>
      </w:r>
      <w:r w:rsidR="004F4F58">
        <w:t xml:space="preserve"> to his glorification on the cross. </w:t>
      </w:r>
    </w:p>
    <w:p w14:paraId="2D472DE2" w14:textId="77777777" w:rsidR="00042223" w:rsidRDefault="00042223"/>
    <w:p w14:paraId="6C780B93" w14:textId="77777777" w:rsidR="00A50197" w:rsidRDefault="00A50197">
      <w:pPr>
        <w:rPr>
          <w:b/>
          <w:bCs/>
        </w:rPr>
        <w:sectPr w:rsidR="00A50197">
          <w:pgSz w:w="11906" w:h="16838"/>
          <w:pgMar w:top="1440" w:right="1440" w:bottom="1440" w:left="1440" w:header="708" w:footer="708" w:gutter="0"/>
          <w:cols w:space="708"/>
          <w:docGrid w:linePitch="360"/>
        </w:sectPr>
      </w:pPr>
    </w:p>
    <w:p w14:paraId="133E852D" w14:textId="008AB99F" w:rsidR="003E7972" w:rsidRDefault="003E7972">
      <w:r>
        <w:rPr>
          <w:b/>
          <w:bCs/>
        </w:rPr>
        <w:lastRenderedPageBreak/>
        <w:t>Bibliography</w:t>
      </w:r>
    </w:p>
    <w:p w14:paraId="4089717B" w14:textId="77777777" w:rsidR="003E7972" w:rsidRDefault="003E7972"/>
    <w:p w14:paraId="41A5F06F" w14:textId="77777777" w:rsidR="006F5129" w:rsidRPr="006F5129" w:rsidRDefault="006F5129" w:rsidP="006F5129">
      <w:r w:rsidRPr="006F5129">
        <w:rPr>
          <w:i/>
          <w:iCs/>
        </w:rPr>
        <w:t xml:space="preserve">Ancient Christian Commentary on Scripture </w:t>
      </w:r>
      <w:r>
        <w:rPr>
          <w:i/>
          <w:iCs/>
        </w:rPr>
        <w:t>–</w:t>
      </w:r>
      <w:r>
        <w:t xml:space="preserve"> </w:t>
      </w:r>
      <w:r>
        <w:rPr>
          <w:i/>
          <w:iCs/>
        </w:rPr>
        <w:t xml:space="preserve">New Testament </w:t>
      </w:r>
      <w:proofErr w:type="spellStart"/>
      <w:r>
        <w:rPr>
          <w:i/>
          <w:iCs/>
        </w:rPr>
        <w:t>ivA</w:t>
      </w:r>
      <w:proofErr w:type="spellEnd"/>
      <w:r>
        <w:rPr>
          <w:i/>
          <w:iCs/>
        </w:rPr>
        <w:t>, John 1-</w:t>
      </w:r>
      <w:proofErr w:type="gramStart"/>
      <w:r>
        <w:rPr>
          <w:i/>
          <w:iCs/>
        </w:rPr>
        <w:t>10</w:t>
      </w:r>
      <w:r>
        <w:t xml:space="preserve"> ,</w:t>
      </w:r>
      <w:proofErr w:type="gramEnd"/>
      <w:r>
        <w:t xml:space="preserve"> ed. Elowsky, J.C. (Downers Grove: IVP Academic, 2006)</w:t>
      </w:r>
    </w:p>
    <w:p w14:paraId="7068D2EC" w14:textId="77777777" w:rsidR="006F5129" w:rsidRDefault="006F5129"/>
    <w:p w14:paraId="0F287479" w14:textId="16059D1B" w:rsidR="003E7972" w:rsidRDefault="003E7972">
      <w:r>
        <w:t>Bible: NRSV</w:t>
      </w:r>
    </w:p>
    <w:p w14:paraId="3931A9D2" w14:textId="77777777" w:rsidR="006F5129" w:rsidRDefault="006F5129"/>
    <w:p w14:paraId="1E953079" w14:textId="77777777" w:rsidR="006F5129" w:rsidRDefault="006F5129" w:rsidP="006F5129">
      <w:r>
        <w:t xml:space="preserve">Dodd, C.H., </w:t>
      </w:r>
      <w:r>
        <w:rPr>
          <w:i/>
          <w:iCs/>
        </w:rPr>
        <w:t>The Interpretation of the Fourth Gospel</w:t>
      </w:r>
      <w:r>
        <w:t xml:space="preserve"> (Cambridge: CUP, 1953)</w:t>
      </w:r>
    </w:p>
    <w:p w14:paraId="4C86236C" w14:textId="77777777" w:rsidR="006F5129" w:rsidRDefault="006F5129" w:rsidP="006F5129"/>
    <w:p w14:paraId="7EC09BEF" w14:textId="0A594DB5" w:rsidR="002A2B6B" w:rsidRPr="002A2B6B" w:rsidRDefault="002A2B6B" w:rsidP="002A2B6B">
      <w:r>
        <w:t xml:space="preserve">Giblin, C.H., </w:t>
      </w:r>
      <w:r w:rsidR="00D40C3A">
        <w:t>‘</w:t>
      </w:r>
      <w:r>
        <w:t xml:space="preserve">Suggestion, Negative Response, </w:t>
      </w:r>
      <w:r w:rsidR="00D40C3A">
        <w:t xml:space="preserve">and Positive Action in St John’s </w:t>
      </w:r>
      <w:r w:rsidR="000823AA">
        <w:t>Portrayal</w:t>
      </w:r>
      <w:r w:rsidR="00D40C3A">
        <w:t xml:space="preserve"> of Jesus.’ </w:t>
      </w:r>
      <w:r w:rsidRPr="002A2B6B">
        <w:rPr>
          <w:i/>
          <w:iCs/>
        </w:rPr>
        <w:t>New Test</w:t>
      </w:r>
      <w:r>
        <w:rPr>
          <w:i/>
          <w:iCs/>
        </w:rPr>
        <w:t>ament</w:t>
      </w:r>
      <w:r w:rsidRPr="002A2B6B">
        <w:rPr>
          <w:i/>
          <w:iCs/>
        </w:rPr>
        <w:t xml:space="preserve"> Stud</w:t>
      </w:r>
      <w:r>
        <w:rPr>
          <w:i/>
          <w:iCs/>
        </w:rPr>
        <w:t>ies</w:t>
      </w:r>
      <w:r w:rsidRPr="002A2B6B">
        <w:rPr>
          <w:i/>
          <w:iCs/>
        </w:rPr>
        <w:t xml:space="preserve">. </w:t>
      </w:r>
      <w:r w:rsidRPr="002A2B6B">
        <w:t>26</w:t>
      </w:r>
      <w:r w:rsidR="00D40C3A">
        <w:t xml:space="preserve"> (1980)</w:t>
      </w:r>
      <w:r w:rsidRPr="002A2B6B">
        <w:t xml:space="preserve">, 197-211 </w:t>
      </w:r>
    </w:p>
    <w:p w14:paraId="59FB2310" w14:textId="3E2B2C17" w:rsidR="002A2B6B" w:rsidRDefault="002A2B6B" w:rsidP="006F5129"/>
    <w:p w14:paraId="5109B270" w14:textId="77777777" w:rsidR="006F5129" w:rsidRDefault="006F5129" w:rsidP="006F5129">
      <w:r>
        <w:t xml:space="preserve">Hoskyns, E., </w:t>
      </w:r>
      <w:r>
        <w:rPr>
          <w:i/>
          <w:iCs/>
        </w:rPr>
        <w:t xml:space="preserve">The Fourth Gospel, </w:t>
      </w:r>
      <w:r w:rsidRPr="00F15F77">
        <w:t>2</w:t>
      </w:r>
      <w:r w:rsidRPr="00F15F77">
        <w:rPr>
          <w:vertAlign w:val="superscript"/>
        </w:rPr>
        <w:t>nd</w:t>
      </w:r>
      <w:r w:rsidRPr="00F15F77">
        <w:t xml:space="preserve"> </w:t>
      </w:r>
      <w:proofErr w:type="spellStart"/>
      <w:r w:rsidRPr="00F15F77">
        <w:t>edn</w:t>
      </w:r>
      <w:proofErr w:type="spellEnd"/>
      <w:r w:rsidRPr="00F15F77">
        <w:t>.</w:t>
      </w:r>
      <w:r>
        <w:rPr>
          <w:i/>
          <w:iCs/>
        </w:rPr>
        <w:t xml:space="preserve"> </w:t>
      </w:r>
      <w:r>
        <w:t>(London: Faber and Faber, 1947)</w:t>
      </w:r>
    </w:p>
    <w:p w14:paraId="72B9179A" w14:textId="77777777" w:rsidR="003E7972" w:rsidRDefault="003E7972"/>
    <w:p w14:paraId="36FF88D8" w14:textId="77777777" w:rsidR="003E7972" w:rsidRDefault="003E7972">
      <w:r>
        <w:t xml:space="preserve">Lincoln, A.T., </w:t>
      </w:r>
      <w:r>
        <w:rPr>
          <w:i/>
          <w:iCs/>
        </w:rPr>
        <w:t>The Gospel According to Saint John</w:t>
      </w:r>
      <w:r>
        <w:t xml:space="preserve"> (London: Continuum, 2005)</w:t>
      </w:r>
    </w:p>
    <w:p w14:paraId="7D309BC4" w14:textId="77777777" w:rsidR="003E7972" w:rsidRDefault="003E7972"/>
    <w:p w14:paraId="439F8277" w14:textId="6975EA10" w:rsidR="00093B5F" w:rsidRPr="00093B5F" w:rsidRDefault="00093B5F" w:rsidP="00093B5F">
      <w:pPr>
        <w:pStyle w:val="NormalWeb"/>
        <w:rPr>
          <w:rFonts w:asciiTheme="minorHAnsi" w:eastAsia="Times New Roman" w:hAnsiTheme="minorHAnsi"/>
          <w:lang w:eastAsia="en-GB"/>
        </w:rPr>
      </w:pPr>
      <w:r w:rsidRPr="00FA6C8C">
        <w:rPr>
          <w:rFonts w:asciiTheme="minorHAnsi" w:hAnsiTheme="minorHAnsi"/>
        </w:rPr>
        <w:t>Maynard, A.</w:t>
      </w:r>
      <w:r w:rsidR="000F1EE7">
        <w:rPr>
          <w:rFonts w:asciiTheme="minorHAnsi" w:hAnsiTheme="minorHAnsi"/>
        </w:rPr>
        <w:t xml:space="preserve">H., </w:t>
      </w:r>
      <w:r w:rsidRPr="00FA6C8C">
        <w:rPr>
          <w:rFonts w:asciiTheme="minorHAnsi" w:hAnsiTheme="minorHAnsi"/>
        </w:rPr>
        <w:t>‘</w:t>
      </w:r>
      <w:r w:rsidRPr="00093B5F">
        <w:rPr>
          <w:rFonts w:asciiTheme="minorHAnsi" w:eastAsia="Times New Roman" w:hAnsiTheme="minorHAnsi"/>
          <w:lang w:eastAsia="en-GB"/>
        </w:rPr>
        <w:t>TI EMOI KAI SOI’</w:t>
      </w:r>
      <w:r>
        <w:rPr>
          <w:rFonts w:asciiTheme="minorHAnsi" w:eastAsia="Times New Roman" w:hAnsiTheme="minorHAnsi"/>
          <w:lang w:eastAsia="en-GB"/>
        </w:rPr>
        <w:t xml:space="preserve">, </w:t>
      </w:r>
      <w:r w:rsidRPr="00093B5F">
        <w:rPr>
          <w:rFonts w:asciiTheme="minorHAnsi" w:hAnsiTheme="minorHAnsi" w:cstheme="minorBidi"/>
          <w:i/>
          <w:iCs/>
        </w:rPr>
        <w:t>New Tes</w:t>
      </w:r>
      <w:r>
        <w:rPr>
          <w:rFonts w:asciiTheme="minorHAnsi" w:hAnsiTheme="minorHAnsi" w:cstheme="minorBidi"/>
          <w:i/>
          <w:iCs/>
        </w:rPr>
        <w:t>tamen</w:t>
      </w:r>
      <w:r w:rsidRPr="00093B5F">
        <w:rPr>
          <w:rFonts w:asciiTheme="minorHAnsi" w:hAnsiTheme="minorHAnsi" w:cstheme="minorBidi"/>
          <w:i/>
          <w:iCs/>
        </w:rPr>
        <w:t>t Stud</w:t>
      </w:r>
      <w:r>
        <w:rPr>
          <w:rFonts w:asciiTheme="minorHAnsi" w:hAnsiTheme="minorHAnsi" w:cstheme="minorBidi"/>
          <w:i/>
          <w:iCs/>
        </w:rPr>
        <w:t>ies,</w:t>
      </w:r>
      <w:r w:rsidRPr="00093B5F">
        <w:rPr>
          <w:rFonts w:asciiTheme="minorHAnsi" w:hAnsiTheme="minorHAnsi" w:cstheme="minorBidi"/>
          <w:i/>
          <w:iCs/>
        </w:rPr>
        <w:t xml:space="preserve"> </w:t>
      </w:r>
      <w:r w:rsidRPr="00093B5F">
        <w:rPr>
          <w:rFonts w:asciiTheme="minorHAnsi" w:hAnsiTheme="minorHAnsi" w:cstheme="minorBidi"/>
        </w:rPr>
        <w:t>31</w:t>
      </w:r>
      <w:r w:rsidR="00FA6C8C">
        <w:rPr>
          <w:rFonts w:asciiTheme="minorHAnsi" w:hAnsiTheme="minorHAnsi" w:cstheme="minorBidi"/>
        </w:rPr>
        <w:t xml:space="preserve"> (</w:t>
      </w:r>
      <w:r w:rsidRPr="00093B5F">
        <w:rPr>
          <w:rFonts w:asciiTheme="minorHAnsi" w:hAnsiTheme="minorHAnsi" w:cstheme="minorBidi"/>
        </w:rPr>
        <w:t>1985</w:t>
      </w:r>
      <w:r w:rsidR="00FA6C8C">
        <w:rPr>
          <w:rFonts w:asciiTheme="minorHAnsi" w:hAnsiTheme="minorHAnsi" w:cstheme="minorBidi"/>
        </w:rPr>
        <w:t xml:space="preserve">), </w:t>
      </w:r>
      <w:r w:rsidRPr="00093B5F">
        <w:rPr>
          <w:rFonts w:asciiTheme="minorHAnsi" w:hAnsiTheme="minorHAnsi" w:cstheme="minorBidi"/>
        </w:rPr>
        <w:t xml:space="preserve">582-586 </w:t>
      </w:r>
    </w:p>
    <w:p w14:paraId="61B00569" w14:textId="580B3528" w:rsidR="00093B5F" w:rsidRDefault="00FA6C8C">
      <w:r>
        <w:t xml:space="preserve"> </w:t>
      </w:r>
    </w:p>
    <w:p w14:paraId="43893DCF" w14:textId="7D757173" w:rsidR="00F15F77" w:rsidRDefault="00F15F77">
      <w:r>
        <w:t xml:space="preserve">Moloney, F.J., </w:t>
      </w:r>
      <w:r>
        <w:rPr>
          <w:i/>
          <w:iCs/>
        </w:rPr>
        <w:t>The Gospel of John</w:t>
      </w:r>
      <w:r>
        <w:t xml:space="preserve"> (Collegeville: The Liturgical Press, 1998)</w:t>
      </w:r>
    </w:p>
    <w:p w14:paraId="5AB3E45A" w14:textId="77777777" w:rsidR="00F15F77" w:rsidRDefault="00F15F77"/>
    <w:p w14:paraId="4BB49526" w14:textId="77777777" w:rsidR="006F5129" w:rsidRDefault="006F5129" w:rsidP="006F5129">
      <w:pPr>
        <w:rPr>
          <w:rFonts w:eastAsia="Times New Roman" w:cs="Segoe UI"/>
          <w:color w:val="1D2125"/>
          <w:lang w:eastAsia="en-GB"/>
        </w:rPr>
      </w:pPr>
      <w:r>
        <w:t xml:space="preserve">Robinson, J.A.T., </w:t>
      </w:r>
      <w:r>
        <w:rPr>
          <w:i/>
          <w:iCs/>
        </w:rPr>
        <w:t xml:space="preserve">The Priority of John </w:t>
      </w:r>
      <w:r>
        <w:rPr>
          <w:rFonts w:eastAsia="Times New Roman" w:cs="Segoe UI"/>
          <w:color w:val="1D2125"/>
          <w:lang w:eastAsia="en-GB"/>
        </w:rPr>
        <w:t>(London: SCM Press, 1985)</w:t>
      </w:r>
    </w:p>
    <w:p w14:paraId="4CEA1857" w14:textId="77777777" w:rsidR="006F5129" w:rsidRDefault="006F5129"/>
    <w:p w14:paraId="22590491" w14:textId="77777777" w:rsidR="006F5129" w:rsidRDefault="006F5129" w:rsidP="006F5129">
      <w:r>
        <w:t xml:space="preserve">Temple, W., </w:t>
      </w:r>
      <w:r>
        <w:rPr>
          <w:i/>
          <w:iCs/>
        </w:rPr>
        <w:t xml:space="preserve">Readings in St. John’s Gospel </w:t>
      </w:r>
      <w:r>
        <w:t>(London: Macmillan, 1949)</w:t>
      </w:r>
    </w:p>
    <w:p w14:paraId="43CB69C6" w14:textId="77777777" w:rsidR="006F5129" w:rsidRDefault="006F5129"/>
    <w:p w14:paraId="34D59228" w14:textId="4C1103CB" w:rsidR="003E7972" w:rsidRDefault="00F15F77">
      <w:r>
        <w:t xml:space="preserve">Thompson, M.M., </w:t>
      </w:r>
      <w:r>
        <w:rPr>
          <w:i/>
          <w:iCs/>
        </w:rPr>
        <w:t xml:space="preserve">John A Commentary </w:t>
      </w:r>
      <w:r>
        <w:t>(Louisville: Westminster John Knox Press, 2015)</w:t>
      </w:r>
    </w:p>
    <w:p w14:paraId="69343FF2" w14:textId="77777777" w:rsidR="00F15F77" w:rsidRDefault="00F15F77"/>
    <w:p w14:paraId="7030E420" w14:textId="77777777" w:rsidR="00F15F77" w:rsidRDefault="00F15F77"/>
    <w:p w14:paraId="1F1FD5E1" w14:textId="77777777" w:rsidR="00F15F77" w:rsidRDefault="00F15F77"/>
    <w:p w14:paraId="1318EB44" w14:textId="77777777" w:rsidR="006F5129" w:rsidRDefault="006F5129">
      <w:pPr>
        <w:rPr>
          <w:rFonts w:eastAsia="Times New Roman" w:cs="Segoe UI"/>
          <w:color w:val="1D2125"/>
          <w:lang w:eastAsia="en-GB"/>
        </w:rPr>
      </w:pPr>
    </w:p>
    <w:sectPr w:rsidR="006F51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4A80FB" w14:textId="77777777" w:rsidR="00317FF2" w:rsidRDefault="00317FF2" w:rsidP="00DA2B35">
      <w:r>
        <w:separator/>
      </w:r>
    </w:p>
  </w:endnote>
  <w:endnote w:type="continuationSeparator" w:id="0">
    <w:p w14:paraId="2941E4E3" w14:textId="77777777" w:rsidR="00317FF2" w:rsidRDefault="00317FF2" w:rsidP="00DA2B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F4CDBE" w14:textId="77777777" w:rsidR="00317FF2" w:rsidRDefault="00317FF2" w:rsidP="00DA2B35">
      <w:r>
        <w:separator/>
      </w:r>
    </w:p>
  </w:footnote>
  <w:footnote w:type="continuationSeparator" w:id="0">
    <w:p w14:paraId="27CD993B" w14:textId="77777777" w:rsidR="00317FF2" w:rsidRDefault="00317FF2" w:rsidP="00DA2B35">
      <w:r>
        <w:continuationSeparator/>
      </w:r>
    </w:p>
  </w:footnote>
  <w:footnote w:id="1">
    <w:p w14:paraId="2C16E5F9" w14:textId="5A10A855" w:rsidR="002A2B6B" w:rsidRDefault="002A2B6B">
      <w:pPr>
        <w:pStyle w:val="FootnoteText"/>
      </w:pPr>
      <w:r>
        <w:rPr>
          <w:rStyle w:val="FootnoteReference"/>
        </w:rPr>
        <w:footnoteRef/>
      </w:r>
      <w:r>
        <w:t xml:space="preserve"> </w:t>
      </w:r>
      <w:r w:rsidRPr="002A2B6B">
        <w:t>in contrast to the typically Markan term ‘</w:t>
      </w:r>
      <w:proofErr w:type="spellStart"/>
      <w:r w:rsidRPr="002A2B6B">
        <w:t>dynameis</w:t>
      </w:r>
      <w:proofErr w:type="spellEnd"/>
      <w:r w:rsidRPr="002A2B6B">
        <w:t>’, which translates as ‘</w:t>
      </w:r>
      <w:proofErr w:type="gramStart"/>
      <w:r w:rsidRPr="002A2B6B">
        <w:t>powers</w:t>
      </w:r>
      <w:r w:rsidR="00C419FC">
        <w:t>’</w:t>
      </w:r>
      <w:proofErr w:type="gramEnd"/>
      <w:r w:rsidRPr="002A2B6B">
        <w:t xml:space="preserve">. </w:t>
      </w:r>
    </w:p>
  </w:footnote>
  <w:footnote w:id="2">
    <w:p w14:paraId="7A895AF7" w14:textId="4B41E88B" w:rsidR="00056CDC" w:rsidRDefault="00056CDC">
      <w:pPr>
        <w:pStyle w:val="FootnoteText"/>
      </w:pPr>
      <w:r>
        <w:rPr>
          <w:rStyle w:val="FootnoteReference"/>
        </w:rPr>
        <w:footnoteRef/>
      </w:r>
      <w:r>
        <w:t xml:space="preserve"> </w:t>
      </w:r>
      <w:r w:rsidR="00EB5A6A">
        <w:t xml:space="preserve">Edwyn Hoskyns, </w:t>
      </w:r>
      <w:r w:rsidR="00EB5A6A" w:rsidRPr="00056CDC">
        <w:rPr>
          <w:i/>
          <w:iCs/>
        </w:rPr>
        <w:t xml:space="preserve">The Fourth Gospel, </w:t>
      </w:r>
      <w:r w:rsidR="00EB5A6A" w:rsidRPr="00056CDC">
        <w:t>2</w:t>
      </w:r>
      <w:r w:rsidR="00EB5A6A" w:rsidRPr="00056CDC">
        <w:rPr>
          <w:vertAlign w:val="superscript"/>
        </w:rPr>
        <w:t>nd</w:t>
      </w:r>
      <w:r w:rsidR="00EB5A6A" w:rsidRPr="00056CDC">
        <w:t xml:space="preserve"> </w:t>
      </w:r>
      <w:proofErr w:type="spellStart"/>
      <w:r w:rsidR="00EB5A6A" w:rsidRPr="00056CDC">
        <w:t>edn</w:t>
      </w:r>
      <w:proofErr w:type="spellEnd"/>
      <w:r w:rsidR="00EB5A6A" w:rsidRPr="00056CDC">
        <w:t>.</w:t>
      </w:r>
      <w:r w:rsidR="00EB5A6A" w:rsidRPr="00056CDC">
        <w:rPr>
          <w:i/>
          <w:iCs/>
        </w:rPr>
        <w:t xml:space="preserve"> </w:t>
      </w:r>
      <w:r w:rsidR="00EB5A6A" w:rsidRPr="00056CDC">
        <w:t>(London: Faber and Faber, 1947)</w:t>
      </w:r>
      <w:r w:rsidR="00EB5A6A">
        <w:t xml:space="preserve"> </w:t>
      </w:r>
      <w:r>
        <w:t>185.</w:t>
      </w:r>
    </w:p>
  </w:footnote>
  <w:footnote w:id="3">
    <w:p w14:paraId="70B46BCC" w14:textId="62973A75" w:rsidR="00C5563F" w:rsidRDefault="00C5563F">
      <w:pPr>
        <w:pStyle w:val="FootnoteText"/>
      </w:pPr>
      <w:r>
        <w:rPr>
          <w:rStyle w:val="FootnoteReference"/>
        </w:rPr>
        <w:footnoteRef/>
      </w:r>
      <w:r>
        <w:t xml:space="preserve"> </w:t>
      </w:r>
      <w:r w:rsidRPr="00C5563F">
        <w:rPr>
          <w:i/>
          <w:iCs/>
        </w:rPr>
        <w:t>Ancient Christian Commentary on Scripture –</w:t>
      </w:r>
      <w:r w:rsidRPr="00C5563F">
        <w:t xml:space="preserve"> </w:t>
      </w:r>
      <w:r w:rsidRPr="00C5563F">
        <w:rPr>
          <w:i/>
          <w:iCs/>
        </w:rPr>
        <w:t xml:space="preserve">New Testament </w:t>
      </w:r>
      <w:proofErr w:type="spellStart"/>
      <w:r w:rsidRPr="00C5563F">
        <w:rPr>
          <w:i/>
          <w:iCs/>
        </w:rPr>
        <w:t>ivA</w:t>
      </w:r>
      <w:proofErr w:type="spellEnd"/>
      <w:r w:rsidRPr="00C5563F">
        <w:rPr>
          <w:i/>
          <w:iCs/>
        </w:rPr>
        <w:t>, John 1-</w:t>
      </w:r>
      <w:proofErr w:type="gramStart"/>
      <w:r w:rsidRPr="00C5563F">
        <w:rPr>
          <w:i/>
          <w:iCs/>
        </w:rPr>
        <w:t>10</w:t>
      </w:r>
      <w:r w:rsidRPr="00C5563F">
        <w:t xml:space="preserve"> ,</w:t>
      </w:r>
      <w:proofErr w:type="gramEnd"/>
      <w:r w:rsidRPr="00C5563F">
        <w:t xml:space="preserve"> ed. Elowsky, J.C. (Downers Grove: IVP Academic, 2006)</w:t>
      </w:r>
      <w:r>
        <w:t xml:space="preserve"> 90.</w:t>
      </w:r>
    </w:p>
  </w:footnote>
  <w:footnote w:id="4">
    <w:p w14:paraId="15B8ACD4" w14:textId="4BE2A924" w:rsidR="008D416F" w:rsidRDefault="008D416F" w:rsidP="008D416F">
      <w:pPr>
        <w:pStyle w:val="FootnoteText"/>
      </w:pPr>
      <w:r>
        <w:rPr>
          <w:rStyle w:val="FootnoteReference"/>
        </w:rPr>
        <w:footnoteRef/>
      </w:r>
      <w:r>
        <w:t xml:space="preserve"> Equally with the Samaritan woman in 4:21, and of the angels in the tomb to Mary Magdalene in 20:13 (reprised by Jesus in 20:15). Similarly, Jesus to the Canaanite woman in Matthew 15:28.</w:t>
      </w:r>
    </w:p>
  </w:footnote>
  <w:footnote w:id="5">
    <w:p w14:paraId="72BA24D6" w14:textId="0B281EEC" w:rsidR="00A4184D" w:rsidRDefault="00A4184D">
      <w:pPr>
        <w:pStyle w:val="FootnoteText"/>
      </w:pPr>
      <w:r>
        <w:rPr>
          <w:rStyle w:val="FootnoteReference"/>
        </w:rPr>
        <w:footnoteRef/>
      </w:r>
      <w:r>
        <w:t xml:space="preserve"> In the Codex Sinaiticus, and some Old Latin Versions. </w:t>
      </w:r>
    </w:p>
  </w:footnote>
  <w:footnote w:id="6">
    <w:p w14:paraId="32C45F52" w14:textId="5CC1002D" w:rsidR="00A4184D" w:rsidRDefault="00A4184D">
      <w:pPr>
        <w:pStyle w:val="FootnoteText"/>
      </w:pPr>
      <w:r>
        <w:rPr>
          <w:rStyle w:val="FootnoteReference"/>
        </w:rPr>
        <w:footnoteRef/>
      </w:r>
      <w:r>
        <w:t xml:space="preserve"> William Temple, </w:t>
      </w:r>
      <w:r>
        <w:rPr>
          <w:i/>
          <w:iCs/>
        </w:rPr>
        <w:t xml:space="preserve">Readings in St. John’s Gospel </w:t>
      </w:r>
      <w:r>
        <w:t>(London: Macmillan, 1949)</w:t>
      </w:r>
      <w:r w:rsidR="00703E60">
        <w:t>.</w:t>
      </w:r>
    </w:p>
  </w:footnote>
  <w:footnote w:id="7">
    <w:p w14:paraId="7B4ED1E6" w14:textId="77777777" w:rsidR="00703E60" w:rsidRDefault="00703E60" w:rsidP="00703E60">
      <w:pPr>
        <w:pStyle w:val="FootnoteText"/>
      </w:pPr>
      <w:r>
        <w:rPr>
          <w:rStyle w:val="FootnoteReference"/>
        </w:rPr>
        <w:footnoteRef/>
      </w:r>
      <w:r>
        <w:t xml:space="preserve"> E.g. Matthew 8:29; Mark 5:7; and Luke 8:28.</w:t>
      </w:r>
    </w:p>
  </w:footnote>
  <w:footnote w:id="8">
    <w:p w14:paraId="413E7E41" w14:textId="438B0440" w:rsidR="000F1EE7" w:rsidRDefault="000F1EE7">
      <w:pPr>
        <w:pStyle w:val="FootnoteText"/>
      </w:pPr>
      <w:r>
        <w:rPr>
          <w:rStyle w:val="FootnoteReference"/>
        </w:rPr>
        <w:footnoteRef/>
      </w:r>
      <w:r>
        <w:t xml:space="preserve"> Arthur H. </w:t>
      </w:r>
      <w:r w:rsidRPr="000F1EE7">
        <w:t xml:space="preserve">Maynard, ‘TI EMOI KAI SOI’, </w:t>
      </w:r>
      <w:r w:rsidRPr="000F1EE7">
        <w:rPr>
          <w:i/>
          <w:iCs/>
        </w:rPr>
        <w:t xml:space="preserve">New Testament Studies, </w:t>
      </w:r>
      <w:r w:rsidRPr="000F1EE7">
        <w:t>31 (1985), 582-586</w:t>
      </w:r>
      <w:r w:rsidR="003E7868">
        <w:t>.</w:t>
      </w:r>
      <w:r w:rsidRPr="000F1EE7">
        <w:t xml:space="preserve"> </w:t>
      </w:r>
    </w:p>
  </w:footnote>
  <w:footnote w:id="9">
    <w:p w14:paraId="178904EE" w14:textId="7D74F030" w:rsidR="00DF0AEF" w:rsidRPr="00DF0AEF" w:rsidRDefault="00DF0AEF" w:rsidP="00DF0AEF">
      <w:pPr>
        <w:pStyle w:val="FootnoteText"/>
      </w:pPr>
      <w:r>
        <w:rPr>
          <w:rStyle w:val="FootnoteReference"/>
        </w:rPr>
        <w:footnoteRef/>
      </w:r>
      <w:r>
        <w:t xml:space="preserve"> Francis J. </w:t>
      </w:r>
      <w:r w:rsidRPr="00DF0AEF">
        <w:t xml:space="preserve">Moloney, </w:t>
      </w:r>
      <w:r w:rsidRPr="00DF0AEF">
        <w:rPr>
          <w:i/>
          <w:iCs/>
        </w:rPr>
        <w:t>The Gospel of John</w:t>
      </w:r>
      <w:r w:rsidRPr="00DF0AEF">
        <w:t xml:space="preserve"> (Collegeville: The Liturgical Press, 1998)</w:t>
      </w:r>
      <w:r>
        <w:t xml:space="preserve"> 67.</w:t>
      </w:r>
    </w:p>
    <w:p w14:paraId="23338CFC" w14:textId="7E8EE3C4" w:rsidR="00DF0AEF" w:rsidRDefault="00DF0AEF">
      <w:pPr>
        <w:pStyle w:val="FootnoteText"/>
      </w:pPr>
    </w:p>
  </w:footnote>
  <w:footnote w:id="10">
    <w:p w14:paraId="6EA7C250" w14:textId="20676221" w:rsidR="000F1EE7" w:rsidRDefault="000F1EE7">
      <w:pPr>
        <w:pStyle w:val="FootnoteText"/>
      </w:pPr>
      <w:r>
        <w:rPr>
          <w:rStyle w:val="FootnoteReference"/>
        </w:rPr>
        <w:footnoteRef/>
      </w:r>
      <w:r>
        <w:t xml:space="preserve"> </w:t>
      </w:r>
      <w:r w:rsidR="003E7868">
        <w:t>At 4:21, 23; 5:25,28; 7:30; 8:20; 12:23; 13:1; 16:25,32; 17:1.</w:t>
      </w:r>
    </w:p>
  </w:footnote>
  <w:footnote w:id="11">
    <w:p w14:paraId="0DDACBEA" w14:textId="4C16AF34" w:rsidR="000823AA" w:rsidRDefault="000823AA">
      <w:pPr>
        <w:pStyle w:val="FootnoteText"/>
      </w:pPr>
      <w:r>
        <w:rPr>
          <w:rStyle w:val="FootnoteReference"/>
        </w:rPr>
        <w:footnoteRef/>
      </w:r>
      <w:r>
        <w:t xml:space="preserve"> Charles Giblin, ‘Suggestion, Negative Response, and Positive Action in St John’s Portrayal of Jesus.’ </w:t>
      </w:r>
      <w:r w:rsidRPr="002A2B6B">
        <w:rPr>
          <w:i/>
          <w:iCs/>
        </w:rPr>
        <w:t>New Test</w:t>
      </w:r>
      <w:r>
        <w:rPr>
          <w:i/>
          <w:iCs/>
        </w:rPr>
        <w:t>ament</w:t>
      </w:r>
      <w:r w:rsidRPr="002A2B6B">
        <w:rPr>
          <w:i/>
          <w:iCs/>
        </w:rPr>
        <w:t xml:space="preserve"> Stud</w:t>
      </w:r>
      <w:r>
        <w:rPr>
          <w:i/>
          <w:iCs/>
        </w:rPr>
        <w:t>ies</w:t>
      </w:r>
      <w:r w:rsidRPr="002A2B6B">
        <w:rPr>
          <w:i/>
          <w:iCs/>
        </w:rPr>
        <w:t xml:space="preserve">. </w:t>
      </w:r>
      <w:r w:rsidRPr="002A2B6B">
        <w:t>26</w:t>
      </w:r>
      <w:r>
        <w:t xml:space="preserve"> (1980)</w:t>
      </w:r>
      <w:r w:rsidRPr="002A2B6B">
        <w:t>, 197-211</w:t>
      </w:r>
      <w:r w:rsidR="00C419FC">
        <w:t>.</w:t>
      </w:r>
    </w:p>
  </w:footnote>
  <w:footnote w:id="12">
    <w:p w14:paraId="2BB5C966" w14:textId="3B95571D" w:rsidR="000823AA" w:rsidRDefault="000823AA">
      <w:pPr>
        <w:pStyle w:val="FootnoteText"/>
      </w:pPr>
      <w:r>
        <w:rPr>
          <w:rStyle w:val="FootnoteReference"/>
        </w:rPr>
        <w:footnoteRef/>
      </w:r>
      <w:r>
        <w:t xml:space="preserve"> </w:t>
      </w:r>
      <w:proofErr w:type="spellStart"/>
      <w:r>
        <w:t>Eg.</w:t>
      </w:r>
      <w:proofErr w:type="spellEnd"/>
      <w:r>
        <w:t xml:space="preserve"> In Mark 6:34</w:t>
      </w:r>
      <w:r w:rsidR="007F7D4D">
        <w:t xml:space="preserve"> and Luke 5:12-16, to name but two. </w:t>
      </w:r>
    </w:p>
  </w:footnote>
  <w:footnote w:id="13">
    <w:p w14:paraId="4E4A176D" w14:textId="25A8BC87" w:rsidR="007F7D4D" w:rsidRDefault="007F7D4D">
      <w:pPr>
        <w:pStyle w:val="FootnoteText"/>
      </w:pPr>
      <w:r>
        <w:rPr>
          <w:rStyle w:val="FootnoteReference"/>
        </w:rPr>
        <w:footnoteRef/>
      </w:r>
      <w:r>
        <w:t xml:space="preserve"> John, 4:46-54; 7:2-14; 11:1-44.</w:t>
      </w:r>
    </w:p>
  </w:footnote>
  <w:footnote w:id="14">
    <w:p w14:paraId="12F80CCC" w14:textId="0C04A777" w:rsidR="004E40F4" w:rsidRDefault="004E40F4" w:rsidP="004E40F4">
      <w:pPr>
        <w:pStyle w:val="FootnoteText"/>
      </w:pPr>
      <w:r>
        <w:rPr>
          <w:rStyle w:val="FootnoteReference"/>
        </w:rPr>
        <w:footnoteRef/>
      </w:r>
      <w:r>
        <w:t xml:space="preserve"> </w:t>
      </w:r>
      <w:r w:rsidRPr="004E40F4">
        <w:t>In the case of Lazarus, however, Jesus’ emotional engagement is palpable</w:t>
      </w:r>
      <w:r>
        <w:t>. 11:33, ‘</w:t>
      </w:r>
      <w:r w:rsidRPr="00435D4E">
        <w:t>When Jesus saw her weeping, and the Jews who came with her also weeping, he was greatly disturbed in spirit and deeply moved.</w:t>
      </w:r>
      <w:r>
        <w:t>’</w:t>
      </w:r>
    </w:p>
  </w:footnote>
  <w:footnote w:id="15">
    <w:p w14:paraId="7C6A86AC" w14:textId="1C8B6A63" w:rsidR="004E40F4" w:rsidRDefault="004E40F4">
      <w:pPr>
        <w:pStyle w:val="FootnoteText"/>
      </w:pPr>
      <w:r>
        <w:rPr>
          <w:rStyle w:val="FootnoteReference"/>
        </w:rPr>
        <w:footnoteRef/>
      </w:r>
      <w:r>
        <w:t xml:space="preserve"> Moloney, op. cit. 67-68.</w:t>
      </w:r>
    </w:p>
  </w:footnote>
  <w:footnote w:id="16">
    <w:p w14:paraId="78B986E4" w14:textId="1D4C2E11" w:rsidR="00A77758" w:rsidRDefault="00A77758">
      <w:pPr>
        <w:pStyle w:val="FootnoteText"/>
      </w:pPr>
      <w:r>
        <w:rPr>
          <w:rStyle w:val="FootnoteReference"/>
        </w:rPr>
        <w:footnoteRef/>
      </w:r>
      <w:r>
        <w:t xml:space="preserve"> Marianne Meye Thompson</w:t>
      </w:r>
      <w:r w:rsidRPr="00A77758">
        <w:t xml:space="preserve">, </w:t>
      </w:r>
      <w:r w:rsidRPr="00A77758">
        <w:rPr>
          <w:i/>
          <w:iCs/>
        </w:rPr>
        <w:t xml:space="preserve">John A Commentary </w:t>
      </w:r>
      <w:r w:rsidRPr="00A77758">
        <w:t>(Louisville: Westminster John Knox Press, 2015)</w:t>
      </w:r>
      <w:r>
        <w:t xml:space="preserve"> 62</w:t>
      </w:r>
      <w:r w:rsidR="00C419FC">
        <w:t>.</w:t>
      </w:r>
    </w:p>
  </w:footnote>
  <w:footnote w:id="17">
    <w:p w14:paraId="0385364E" w14:textId="54E3C041" w:rsidR="00A77758" w:rsidRDefault="00A77758">
      <w:pPr>
        <w:pStyle w:val="FootnoteText"/>
      </w:pPr>
      <w:r>
        <w:rPr>
          <w:rStyle w:val="FootnoteReference"/>
        </w:rPr>
        <w:footnoteRef/>
      </w:r>
      <w:r>
        <w:t xml:space="preserve"> As representing the incompleteness of the Judaic tradition.</w:t>
      </w:r>
    </w:p>
  </w:footnote>
  <w:footnote w:id="18">
    <w:p w14:paraId="4B3BD133" w14:textId="4F762EBD" w:rsidR="001B4ED6" w:rsidRDefault="001B4ED6">
      <w:pPr>
        <w:pStyle w:val="FootnoteText"/>
      </w:pPr>
      <w:r>
        <w:rPr>
          <w:rStyle w:val="FootnoteReference"/>
        </w:rPr>
        <w:footnoteRef/>
      </w:r>
      <w:r>
        <w:t xml:space="preserve"> 9:13-14</w:t>
      </w:r>
      <w:r w:rsidR="00D76769">
        <w:t xml:space="preserve">, </w:t>
      </w:r>
      <w:r>
        <w:t>‘</w:t>
      </w:r>
      <w:r w:rsidRPr="001B4ED6">
        <w:t>the mountains shall drip sweet wine,</w:t>
      </w:r>
      <w:r>
        <w:t xml:space="preserve"> </w:t>
      </w:r>
      <w:r w:rsidRPr="001B4ED6">
        <w:t>and all the hills shall flow with it</w:t>
      </w:r>
      <w:r>
        <w:t>…</w:t>
      </w:r>
      <w:r w:rsidR="00D76769">
        <w:t xml:space="preserve"> </w:t>
      </w:r>
      <w:r w:rsidR="00D76769" w:rsidRPr="00D76769">
        <w:t>they shall plant vineyards and drink their wine,</w:t>
      </w:r>
      <w:r w:rsidR="00D76769">
        <w:t xml:space="preserve"> </w:t>
      </w:r>
      <w:r w:rsidR="00D76769" w:rsidRPr="00D76769">
        <w:t>and they shall make gardens and eat their fruit.</w:t>
      </w:r>
      <w:r w:rsidR="00D76769">
        <w:t>’</w:t>
      </w:r>
    </w:p>
  </w:footnote>
  <w:footnote w:id="19">
    <w:p w14:paraId="6C168256" w14:textId="36BC5D8F" w:rsidR="00D76769" w:rsidRDefault="00D76769">
      <w:pPr>
        <w:pStyle w:val="FootnoteText"/>
      </w:pPr>
      <w:r>
        <w:rPr>
          <w:rStyle w:val="FootnoteReference"/>
        </w:rPr>
        <w:footnoteRef/>
      </w:r>
      <w:r>
        <w:t xml:space="preserve"> </w:t>
      </w:r>
      <w:proofErr w:type="gramStart"/>
      <w:r>
        <w:t>25:6 ,</w:t>
      </w:r>
      <w:proofErr w:type="gramEnd"/>
      <w:r>
        <w:t xml:space="preserve"> ‘</w:t>
      </w:r>
      <w:r w:rsidRPr="00D76769">
        <w:t>On this mountain the Lord of hosts will make for all peoples</w:t>
      </w:r>
      <w:r>
        <w:t xml:space="preserve"> </w:t>
      </w:r>
      <w:r w:rsidRPr="00D76769">
        <w:t>a feast of rich food, a feast of well-matured wines</w:t>
      </w:r>
      <w:r>
        <w:t>.’</w:t>
      </w:r>
    </w:p>
  </w:footnote>
  <w:footnote w:id="20">
    <w:p w14:paraId="32FC9923" w14:textId="0D4AF1BF" w:rsidR="00AD22C4" w:rsidRDefault="00AD22C4">
      <w:pPr>
        <w:pStyle w:val="FootnoteText"/>
      </w:pPr>
      <w:r>
        <w:rPr>
          <w:rStyle w:val="FootnoteReference"/>
        </w:rPr>
        <w:footnoteRef/>
      </w:r>
      <w:r>
        <w:t xml:space="preserve"> E.g. 7:25,26; 8:14; 9:29,30.</w:t>
      </w:r>
    </w:p>
  </w:footnote>
  <w:footnote w:id="21">
    <w:p w14:paraId="168BDE2D" w14:textId="4485F468" w:rsidR="0036542B" w:rsidRDefault="0036542B">
      <w:pPr>
        <w:pStyle w:val="FootnoteText"/>
      </w:pPr>
      <w:r>
        <w:rPr>
          <w:rStyle w:val="FootnoteReference"/>
        </w:rPr>
        <w:footnoteRef/>
      </w:r>
      <w:r>
        <w:t xml:space="preserve"> Notably Mark 2:19-20, where the identification with Jesus is clear; </w:t>
      </w:r>
      <w:proofErr w:type="gramStart"/>
      <w:r>
        <w:t>also</w:t>
      </w:r>
      <w:proofErr w:type="gramEnd"/>
      <w:r>
        <w:t xml:space="preserve"> the fact of </w:t>
      </w:r>
      <w:r w:rsidR="007A4164">
        <w:t>his being the cause of the celebration.</w:t>
      </w:r>
    </w:p>
  </w:footnote>
  <w:footnote w:id="22">
    <w:p w14:paraId="50B5FE37" w14:textId="509B0862" w:rsidR="0089630A" w:rsidRPr="0089630A" w:rsidRDefault="0089630A">
      <w:pPr>
        <w:pStyle w:val="FootnoteText"/>
      </w:pPr>
      <w:r>
        <w:rPr>
          <w:rStyle w:val="FootnoteReference"/>
        </w:rPr>
        <w:footnoteRef/>
      </w:r>
      <w:r>
        <w:t xml:space="preserve"> Philo, </w:t>
      </w:r>
      <w:r>
        <w:rPr>
          <w:i/>
          <w:iCs/>
        </w:rPr>
        <w:t xml:space="preserve">Legum </w:t>
      </w:r>
      <w:proofErr w:type="spellStart"/>
      <w:r>
        <w:rPr>
          <w:i/>
          <w:iCs/>
        </w:rPr>
        <w:t>Allegoriae</w:t>
      </w:r>
      <w:proofErr w:type="spellEnd"/>
      <w:r>
        <w:rPr>
          <w:i/>
          <w:iCs/>
        </w:rPr>
        <w:t xml:space="preserve"> III 79 </w:t>
      </w:r>
      <w:r>
        <w:t>– as quoted in Charles H. Dodd,</w:t>
      </w:r>
      <w:r w:rsidRPr="0089630A">
        <w:rPr>
          <w:i/>
          <w:iCs/>
        </w:rPr>
        <w:t xml:space="preserve"> </w:t>
      </w:r>
      <w:r>
        <w:rPr>
          <w:i/>
          <w:iCs/>
        </w:rPr>
        <w:t>The Interpretation of the Fourth Gospel</w:t>
      </w:r>
      <w:r>
        <w:t xml:space="preserve"> (Cambridge: CUP, 1953) 298</w:t>
      </w:r>
      <w:r w:rsidR="000803D4">
        <w:t>.</w:t>
      </w:r>
    </w:p>
  </w:footnote>
  <w:footnote w:id="23">
    <w:p w14:paraId="37D7D964" w14:textId="42A1B49F" w:rsidR="0089630A" w:rsidRPr="0089630A" w:rsidRDefault="0089630A">
      <w:pPr>
        <w:pStyle w:val="FootnoteText"/>
      </w:pPr>
      <w:r>
        <w:rPr>
          <w:rStyle w:val="FootnoteReference"/>
        </w:rPr>
        <w:footnoteRef/>
      </w:r>
      <w:r>
        <w:t xml:space="preserve"> Pausanias, </w:t>
      </w:r>
      <w:r>
        <w:rPr>
          <w:i/>
          <w:iCs/>
        </w:rPr>
        <w:t>Description of Greece</w:t>
      </w:r>
      <w:r>
        <w:t>, 6.26.1</w:t>
      </w:r>
      <w:r w:rsidR="000803D4">
        <w:t>.</w:t>
      </w:r>
    </w:p>
  </w:footnote>
  <w:footnote w:id="24">
    <w:p w14:paraId="3EC32899" w14:textId="17D0DC57" w:rsidR="000803D4" w:rsidRDefault="000803D4">
      <w:pPr>
        <w:pStyle w:val="FootnoteText"/>
      </w:pPr>
      <w:r>
        <w:rPr>
          <w:rStyle w:val="FootnoteReference"/>
        </w:rPr>
        <w:footnoteRef/>
      </w:r>
      <w:r>
        <w:t xml:space="preserve"> John 15:1-5.</w:t>
      </w:r>
    </w:p>
  </w:footnote>
  <w:footnote w:id="25">
    <w:p w14:paraId="2F099FC6" w14:textId="0E90034B" w:rsidR="001D4AB4" w:rsidRDefault="001D4AB4">
      <w:pPr>
        <w:pStyle w:val="FootnoteText"/>
      </w:pPr>
      <w:r>
        <w:rPr>
          <w:rStyle w:val="FootnoteReference"/>
        </w:rPr>
        <w:footnoteRef/>
      </w:r>
      <w:r>
        <w:t xml:space="preserve"> 5:17, ‘</w:t>
      </w:r>
      <w:r w:rsidRPr="001D4AB4">
        <w:t>My Father is still working, and I also am working.’</w:t>
      </w:r>
      <w:r>
        <w:t>; 5:20 ‘</w:t>
      </w:r>
      <w:r w:rsidRPr="001D4AB4">
        <w:t xml:space="preserve">he will show him greater works than </w:t>
      </w:r>
      <w:r w:rsidRPr="001D4AB4">
        <w:t>these</w:t>
      </w:r>
      <w:r>
        <w:t>’</w:t>
      </w:r>
      <w:r w:rsidR="00C419FC">
        <w:t>.</w:t>
      </w:r>
    </w:p>
  </w:footnote>
  <w:footnote w:id="26">
    <w:p w14:paraId="6186FA49" w14:textId="5F7D1953" w:rsidR="00FF6106" w:rsidRPr="00FF6106" w:rsidRDefault="00FF6106">
      <w:pPr>
        <w:pStyle w:val="FootnoteText"/>
      </w:pPr>
      <w:r>
        <w:rPr>
          <w:rStyle w:val="FootnoteReference"/>
        </w:rPr>
        <w:footnoteRef/>
      </w:r>
      <w:r>
        <w:t xml:space="preserve"> Thompson, </w:t>
      </w:r>
      <w:r>
        <w:rPr>
          <w:i/>
          <w:iCs/>
        </w:rPr>
        <w:t>op. cit.</w:t>
      </w:r>
      <w:r>
        <w:t>, 68.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16B"/>
    <w:rsid w:val="0002516B"/>
    <w:rsid w:val="00042223"/>
    <w:rsid w:val="00056CDC"/>
    <w:rsid w:val="00067B15"/>
    <w:rsid w:val="00074EBA"/>
    <w:rsid w:val="000803D4"/>
    <w:rsid w:val="000823AA"/>
    <w:rsid w:val="00093B5F"/>
    <w:rsid w:val="000E6A1E"/>
    <w:rsid w:val="000F1EE7"/>
    <w:rsid w:val="000F65CA"/>
    <w:rsid w:val="001521B0"/>
    <w:rsid w:val="001901C1"/>
    <w:rsid w:val="001B4ED6"/>
    <w:rsid w:val="001C371D"/>
    <w:rsid w:val="001D4AB4"/>
    <w:rsid w:val="001D68C1"/>
    <w:rsid w:val="001E4954"/>
    <w:rsid w:val="002A2B6B"/>
    <w:rsid w:val="002D3261"/>
    <w:rsid w:val="00310FDD"/>
    <w:rsid w:val="00315E50"/>
    <w:rsid w:val="00317FF2"/>
    <w:rsid w:val="00325AF2"/>
    <w:rsid w:val="0036542B"/>
    <w:rsid w:val="00371AE2"/>
    <w:rsid w:val="003E7868"/>
    <w:rsid w:val="003E7972"/>
    <w:rsid w:val="0041164E"/>
    <w:rsid w:val="00435D4E"/>
    <w:rsid w:val="00460629"/>
    <w:rsid w:val="00477A1D"/>
    <w:rsid w:val="004A7BA6"/>
    <w:rsid w:val="004E40F4"/>
    <w:rsid w:val="004F4F58"/>
    <w:rsid w:val="005040BC"/>
    <w:rsid w:val="00597CD5"/>
    <w:rsid w:val="005A5C59"/>
    <w:rsid w:val="005C6051"/>
    <w:rsid w:val="006434F5"/>
    <w:rsid w:val="006848E8"/>
    <w:rsid w:val="006F5129"/>
    <w:rsid w:val="00703E60"/>
    <w:rsid w:val="00762B55"/>
    <w:rsid w:val="00782B94"/>
    <w:rsid w:val="007A4164"/>
    <w:rsid w:val="007F7D4D"/>
    <w:rsid w:val="00872873"/>
    <w:rsid w:val="00880298"/>
    <w:rsid w:val="00895420"/>
    <w:rsid w:val="0089630A"/>
    <w:rsid w:val="008D416F"/>
    <w:rsid w:val="00980978"/>
    <w:rsid w:val="009C477B"/>
    <w:rsid w:val="009D7EA0"/>
    <w:rsid w:val="00A4184D"/>
    <w:rsid w:val="00A50197"/>
    <w:rsid w:val="00A5472F"/>
    <w:rsid w:val="00A77758"/>
    <w:rsid w:val="00AB346F"/>
    <w:rsid w:val="00AD22C4"/>
    <w:rsid w:val="00B73386"/>
    <w:rsid w:val="00BA346C"/>
    <w:rsid w:val="00C419FC"/>
    <w:rsid w:val="00C42AF4"/>
    <w:rsid w:val="00C5563F"/>
    <w:rsid w:val="00D04C0C"/>
    <w:rsid w:val="00D40C3A"/>
    <w:rsid w:val="00D76769"/>
    <w:rsid w:val="00D93360"/>
    <w:rsid w:val="00DA2B35"/>
    <w:rsid w:val="00DF0AEF"/>
    <w:rsid w:val="00E104ED"/>
    <w:rsid w:val="00EB00C0"/>
    <w:rsid w:val="00EB5A6A"/>
    <w:rsid w:val="00F15F77"/>
    <w:rsid w:val="00F343A1"/>
    <w:rsid w:val="00F62AD3"/>
    <w:rsid w:val="00FA6C8C"/>
    <w:rsid w:val="00FF61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A4B3E"/>
  <w15:chartTrackingRefBased/>
  <w15:docId w15:val="{C413583F-B968-A647-A41A-E0D9FEC9E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51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51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51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51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51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516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516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516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516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51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51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51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51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51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51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51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51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516B"/>
    <w:rPr>
      <w:rFonts w:eastAsiaTheme="majorEastAsia" w:cstheme="majorBidi"/>
      <w:color w:val="272727" w:themeColor="text1" w:themeTint="D8"/>
    </w:rPr>
  </w:style>
  <w:style w:type="paragraph" w:styleId="Title">
    <w:name w:val="Title"/>
    <w:basedOn w:val="Normal"/>
    <w:next w:val="Normal"/>
    <w:link w:val="TitleChar"/>
    <w:uiPriority w:val="10"/>
    <w:qFormat/>
    <w:rsid w:val="0002516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51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516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51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516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2516B"/>
    <w:rPr>
      <w:i/>
      <w:iCs/>
      <w:color w:val="404040" w:themeColor="text1" w:themeTint="BF"/>
    </w:rPr>
  </w:style>
  <w:style w:type="paragraph" w:styleId="ListParagraph">
    <w:name w:val="List Paragraph"/>
    <w:basedOn w:val="Normal"/>
    <w:uiPriority w:val="34"/>
    <w:qFormat/>
    <w:rsid w:val="0002516B"/>
    <w:pPr>
      <w:ind w:left="720"/>
      <w:contextualSpacing/>
    </w:pPr>
  </w:style>
  <w:style w:type="character" w:styleId="IntenseEmphasis">
    <w:name w:val="Intense Emphasis"/>
    <w:basedOn w:val="DefaultParagraphFont"/>
    <w:uiPriority w:val="21"/>
    <w:qFormat/>
    <w:rsid w:val="0002516B"/>
    <w:rPr>
      <w:i/>
      <w:iCs/>
      <w:color w:val="0F4761" w:themeColor="accent1" w:themeShade="BF"/>
    </w:rPr>
  </w:style>
  <w:style w:type="paragraph" w:styleId="IntenseQuote">
    <w:name w:val="Intense Quote"/>
    <w:basedOn w:val="Normal"/>
    <w:next w:val="Normal"/>
    <w:link w:val="IntenseQuoteChar"/>
    <w:uiPriority w:val="30"/>
    <w:qFormat/>
    <w:rsid w:val="000251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516B"/>
    <w:rPr>
      <w:i/>
      <w:iCs/>
      <w:color w:val="0F4761" w:themeColor="accent1" w:themeShade="BF"/>
    </w:rPr>
  </w:style>
  <w:style w:type="character" w:styleId="IntenseReference">
    <w:name w:val="Intense Reference"/>
    <w:basedOn w:val="DefaultParagraphFont"/>
    <w:uiPriority w:val="32"/>
    <w:qFormat/>
    <w:rsid w:val="0002516B"/>
    <w:rPr>
      <w:b/>
      <w:bCs/>
      <w:smallCaps/>
      <w:color w:val="0F4761" w:themeColor="accent1" w:themeShade="BF"/>
      <w:spacing w:val="5"/>
    </w:rPr>
  </w:style>
  <w:style w:type="paragraph" w:styleId="FootnoteText">
    <w:name w:val="footnote text"/>
    <w:basedOn w:val="Normal"/>
    <w:link w:val="FootnoteTextChar"/>
    <w:uiPriority w:val="99"/>
    <w:semiHidden/>
    <w:unhideWhenUsed/>
    <w:rsid w:val="00DA2B35"/>
    <w:rPr>
      <w:sz w:val="20"/>
      <w:szCs w:val="20"/>
    </w:rPr>
  </w:style>
  <w:style w:type="character" w:customStyle="1" w:styleId="FootnoteTextChar">
    <w:name w:val="Footnote Text Char"/>
    <w:basedOn w:val="DefaultParagraphFont"/>
    <w:link w:val="FootnoteText"/>
    <w:uiPriority w:val="99"/>
    <w:semiHidden/>
    <w:rsid w:val="00DA2B35"/>
    <w:rPr>
      <w:sz w:val="20"/>
      <w:szCs w:val="20"/>
    </w:rPr>
  </w:style>
  <w:style w:type="character" w:styleId="FootnoteReference">
    <w:name w:val="footnote reference"/>
    <w:basedOn w:val="DefaultParagraphFont"/>
    <w:uiPriority w:val="99"/>
    <w:semiHidden/>
    <w:unhideWhenUsed/>
    <w:rsid w:val="00DA2B35"/>
    <w:rPr>
      <w:vertAlign w:val="superscript"/>
    </w:rPr>
  </w:style>
  <w:style w:type="character" w:styleId="Hyperlink">
    <w:name w:val="Hyperlink"/>
    <w:basedOn w:val="DefaultParagraphFont"/>
    <w:uiPriority w:val="99"/>
    <w:unhideWhenUsed/>
    <w:rsid w:val="00074EBA"/>
    <w:rPr>
      <w:color w:val="467886" w:themeColor="hyperlink"/>
      <w:u w:val="single"/>
    </w:rPr>
  </w:style>
  <w:style w:type="character" w:styleId="UnresolvedMention">
    <w:name w:val="Unresolved Mention"/>
    <w:basedOn w:val="DefaultParagraphFont"/>
    <w:uiPriority w:val="99"/>
    <w:semiHidden/>
    <w:unhideWhenUsed/>
    <w:rsid w:val="00074EBA"/>
    <w:rPr>
      <w:color w:val="605E5C"/>
      <w:shd w:val="clear" w:color="auto" w:fill="E1DFDD"/>
    </w:rPr>
  </w:style>
  <w:style w:type="paragraph" w:styleId="NormalWeb">
    <w:name w:val="Normal (Web)"/>
    <w:basedOn w:val="Normal"/>
    <w:uiPriority w:val="99"/>
    <w:unhideWhenUsed/>
    <w:rsid w:val="00093B5F"/>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897B48-9619-2D48-A277-6CBEB66FF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446</TotalTime>
  <Pages>7</Pages>
  <Words>2734</Words>
  <Characters>14301</Characters>
  <Application>Microsoft Office Word</Application>
  <DocSecurity>0</DocSecurity>
  <Lines>357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Young</dc:creator>
  <cp:keywords/>
  <dc:description/>
  <cp:lastModifiedBy>Patrick Young</cp:lastModifiedBy>
  <cp:revision>22</cp:revision>
  <dcterms:created xsi:type="dcterms:W3CDTF">2026-05-07T09:05:00Z</dcterms:created>
  <dcterms:modified xsi:type="dcterms:W3CDTF">2026-05-07T20:26:00Z</dcterms:modified>
</cp:coreProperties>
</file>