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82ADCA9" w14:textId="545B61DD" w:rsidR="006B6D92" w:rsidRPr="006B6D92" w:rsidRDefault="006B6D92" w:rsidP="006B6D92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sz w:val="32"/>
          <w:szCs w:val="32"/>
        </w:rPr>
      </w:pPr>
      <w:r w:rsidRPr="006B6D92">
        <w:rPr>
          <w:rFonts w:ascii="Arial" w:hAnsi="Arial" w:cs="Arial"/>
          <w:b/>
          <w:bCs/>
          <w:color w:val="000000" w:themeColor="text1"/>
          <w:sz w:val="32"/>
          <w:szCs w:val="32"/>
        </w:rPr>
        <w:t>References</w:t>
      </w:r>
    </w:p>
    <w:p w14:paraId="0F60168A" w14:textId="77777777" w:rsidR="006B6D92" w:rsidRPr="006B6D92" w:rsidRDefault="006B6D92" w:rsidP="006B6D92">
      <w:pPr>
        <w:pStyle w:val="p1"/>
        <w:spacing w:line="360" w:lineRule="auto"/>
        <w:rPr>
          <w:rFonts w:ascii="Arial" w:hAnsi="Arial" w:cs="Arial"/>
          <w:sz w:val="22"/>
          <w:szCs w:val="22"/>
        </w:rPr>
      </w:pPr>
      <w:r w:rsidRPr="006B6D92">
        <w:rPr>
          <w:rFonts w:ascii="Arial" w:hAnsi="Arial" w:cs="Arial"/>
          <w:sz w:val="22"/>
          <w:szCs w:val="22"/>
        </w:rPr>
        <w:t xml:space="preserve">Alzheimer’s Society. (2023) </w:t>
      </w:r>
      <w:r w:rsidRPr="006B6D92">
        <w:rPr>
          <w:rFonts w:ascii="Arial" w:hAnsi="Arial" w:cs="Arial"/>
          <w:i/>
          <w:iCs/>
          <w:sz w:val="22"/>
          <w:szCs w:val="22"/>
        </w:rPr>
        <w:t>Dementia statistics hub</w:t>
      </w:r>
      <w:r w:rsidRPr="006B6D92">
        <w:rPr>
          <w:rFonts w:ascii="Arial" w:hAnsi="Arial" w:cs="Arial"/>
          <w:sz w:val="22"/>
          <w:szCs w:val="22"/>
        </w:rPr>
        <w:t xml:space="preserve">. Available at: </w:t>
      </w:r>
      <w:hyperlink r:id="rId4" w:history="1">
        <w:r w:rsidRPr="006B6D92">
          <w:rPr>
            <w:rStyle w:val="Hyperlink"/>
            <w:rFonts w:ascii="Arial" w:hAnsi="Arial" w:cs="Arial"/>
            <w:sz w:val="22"/>
            <w:szCs w:val="22"/>
          </w:rPr>
          <w:t>https://www.alzheimers.org.uk/about-dementia/facts-and-figures</w:t>
        </w:r>
      </w:hyperlink>
      <w:r w:rsidRPr="006B6D92">
        <w:rPr>
          <w:rFonts w:ascii="Arial" w:hAnsi="Arial" w:cs="Arial"/>
          <w:sz w:val="22"/>
          <w:szCs w:val="22"/>
        </w:rPr>
        <w:t xml:space="preserve"> (Accessed: 8 March 2026).</w:t>
      </w:r>
    </w:p>
    <w:p w14:paraId="744D691F" w14:textId="77777777" w:rsidR="006B6D92" w:rsidRPr="006B6D92" w:rsidRDefault="006B6D92" w:rsidP="006B6D92">
      <w:pPr>
        <w:pStyle w:val="p1"/>
        <w:spacing w:line="360" w:lineRule="auto"/>
        <w:rPr>
          <w:rFonts w:ascii="Arial" w:hAnsi="Arial" w:cs="Arial"/>
          <w:sz w:val="22"/>
          <w:szCs w:val="22"/>
        </w:rPr>
      </w:pPr>
      <w:r w:rsidRPr="006B6D92">
        <w:rPr>
          <w:rFonts w:ascii="Arial" w:hAnsi="Arial" w:cs="Arial"/>
          <w:sz w:val="22"/>
          <w:szCs w:val="22"/>
        </w:rPr>
        <w:t xml:space="preserve">Ang, S.G.M., O’Brien, A.P. and Wilson, A. (2020) ‘Carers’ concern for older people falling at home: an integrative review’, </w:t>
      </w:r>
      <w:r w:rsidRPr="006B6D92">
        <w:rPr>
          <w:rFonts w:ascii="Arial" w:hAnsi="Arial" w:cs="Arial"/>
          <w:i/>
          <w:iCs/>
          <w:sz w:val="22"/>
          <w:szCs w:val="22"/>
        </w:rPr>
        <w:t>Singapore Medical Journal</w:t>
      </w:r>
      <w:r w:rsidRPr="006B6D92">
        <w:rPr>
          <w:rFonts w:ascii="Arial" w:hAnsi="Arial" w:cs="Arial"/>
          <w:sz w:val="22"/>
          <w:szCs w:val="22"/>
        </w:rPr>
        <w:t>, 61(5), pp. 272–280.</w:t>
      </w:r>
    </w:p>
    <w:p w14:paraId="58C6C4EB" w14:textId="77777777" w:rsidR="006B6D92" w:rsidRPr="006B6D92" w:rsidRDefault="006B6D92" w:rsidP="006B6D92">
      <w:pPr>
        <w:pStyle w:val="p1"/>
        <w:spacing w:line="360" w:lineRule="auto"/>
        <w:rPr>
          <w:rFonts w:ascii="Arial" w:hAnsi="Arial" w:cs="Arial"/>
          <w:sz w:val="22"/>
          <w:szCs w:val="22"/>
        </w:rPr>
      </w:pPr>
      <w:r w:rsidRPr="006B6D92">
        <w:rPr>
          <w:rFonts w:ascii="Arial" w:hAnsi="Arial" w:cs="Arial"/>
          <w:sz w:val="22"/>
          <w:szCs w:val="22"/>
        </w:rPr>
        <w:t xml:space="preserve">Bölenius, K., Lämås, K. and Edvardsson, D. (2023) ‘Older adults’ experiences of self-determination when needing homecare services – an interview study’, </w:t>
      </w:r>
      <w:r w:rsidRPr="006B6D92">
        <w:rPr>
          <w:rFonts w:ascii="Arial" w:hAnsi="Arial" w:cs="Arial"/>
          <w:i/>
          <w:iCs/>
          <w:sz w:val="22"/>
          <w:szCs w:val="22"/>
        </w:rPr>
        <w:t>BMC Geriatrics</w:t>
      </w:r>
      <w:r w:rsidRPr="006B6D92">
        <w:rPr>
          <w:rFonts w:ascii="Arial" w:hAnsi="Arial" w:cs="Arial"/>
          <w:sz w:val="22"/>
          <w:szCs w:val="22"/>
        </w:rPr>
        <w:t>, 23(1), 824.</w:t>
      </w:r>
    </w:p>
    <w:p w14:paraId="5C7D528C" w14:textId="77777777" w:rsidR="006B6D92" w:rsidRPr="006B6D92" w:rsidRDefault="006B6D92" w:rsidP="006B6D92">
      <w:pPr>
        <w:pStyle w:val="p1"/>
        <w:spacing w:line="360" w:lineRule="auto"/>
        <w:rPr>
          <w:rFonts w:ascii="Arial" w:hAnsi="Arial" w:cs="Arial"/>
          <w:sz w:val="22"/>
          <w:szCs w:val="22"/>
        </w:rPr>
      </w:pPr>
      <w:r w:rsidRPr="006B6D92">
        <w:rPr>
          <w:rFonts w:ascii="Arial" w:hAnsi="Arial" w:cs="Arial"/>
          <w:sz w:val="22"/>
          <w:szCs w:val="22"/>
        </w:rPr>
        <w:t xml:space="preserve">Centre for Ageing Better. (2025) </w:t>
      </w:r>
      <w:r w:rsidRPr="006B6D92">
        <w:rPr>
          <w:rFonts w:ascii="Arial" w:hAnsi="Arial" w:cs="Arial"/>
          <w:i/>
          <w:iCs/>
          <w:sz w:val="22"/>
          <w:szCs w:val="22"/>
        </w:rPr>
        <w:t>The State of Ageing 2025: Our ageing population</w:t>
      </w:r>
      <w:r w:rsidRPr="006B6D92">
        <w:rPr>
          <w:rFonts w:ascii="Arial" w:hAnsi="Arial" w:cs="Arial"/>
          <w:sz w:val="22"/>
          <w:szCs w:val="22"/>
        </w:rPr>
        <w:t xml:space="preserve">. Available at: </w:t>
      </w:r>
      <w:hyperlink r:id="rId5" w:history="1">
        <w:r w:rsidRPr="006B6D92">
          <w:rPr>
            <w:rStyle w:val="Hyperlink"/>
            <w:rFonts w:ascii="Arial" w:hAnsi="Arial" w:cs="Arial"/>
            <w:sz w:val="22"/>
            <w:szCs w:val="22"/>
          </w:rPr>
          <w:t>https://ageing-better.org.uk/our-ageing-population-state-ageing-2025</w:t>
        </w:r>
      </w:hyperlink>
      <w:r w:rsidRPr="006B6D92">
        <w:rPr>
          <w:rFonts w:ascii="Arial" w:hAnsi="Arial" w:cs="Arial"/>
          <w:sz w:val="22"/>
          <w:szCs w:val="22"/>
        </w:rPr>
        <w:t xml:space="preserve">  (Accessed: 8 March 2026).</w:t>
      </w:r>
    </w:p>
    <w:p w14:paraId="4ED4A345" w14:textId="77777777" w:rsidR="006B6D92" w:rsidRPr="006B6D92" w:rsidRDefault="006B6D92" w:rsidP="006B6D92">
      <w:pPr>
        <w:pStyle w:val="p1"/>
        <w:spacing w:line="360" w:lineRule="auto"/>
        <w:rPr>
          <w:rFonts w:ascii="Arial" w:hAnsi="Arial" w:cs="Arial"/>
          <w:sz w:val="22"/>
          <w:szCs w:val="22"/>
        </w:rPr>
      </w:pPr>
      <w:r w:rsidRPr="006B6D92">
        <w:rPr>
          <w:rFonts w:ascii="Arial" w:hAnsi="Arial" w:cs="Arial"/>
          <w:sz w:val="22"/>
          <w:szCs w:val="22"/>
        </w:rPr>
        <w:t xml:space="preserve">Crocker, T.F., Ensor, J., Lam, N., Jordão, M., Bajpai, R., Bond, M., Forster, A., Riley, R.D., Andre, D., Brundle, C., Ellwood, A., Green, J., Hale, M., Mirza, L., Morgan, J., Patel, I., Patetsini, E., Prescott, M., Ramiz, R., Todd, O. and Clegg, A. (2024) ‘Community-based complex interventions to sustain independence in older people: systematic review and network meta-analysis’, </w:t>
      </w:r>
      <w:r w:rsidRPr="006B6D92">
        <w:rPr>
          <w:rFonts w:ascii="Arial" w:hAnsi="Arial" w:cs="Arial"/>
          <w:i/>
          <w:iCs/>
          <w:sz w:val="22"/>
          <w:szCs w:val="22"/>
        </w:rPr>
        <w:t>BMJ</w:t>
      </w:r>
      <w:r w:rsidRPr="006B6D92">
        <w:rPr>
          <w:rFonts w:ascii="Arial" w:hAnsi="Arial" w:cs="Arial"/>
          <w:sz w:val="22"/>
          <w:szCs w:val="22"/>
        </w:rPr>
        <w:t>, 384, e077764.</w:t>
      </w:r>
    </w:p>
    <w:p w14:paraId="4E8862CF" w14:textId="77777777" w:rsidR="006B6D92" w:rsidRPr="006B6D92" w:rsidRDefault="006B6D92" w:rsidP="006B6D92">
      <w:pPr>
        <w:pStyle w:val="p1"/>
        <w:spacing w:line="360" w:lineRule="auto"/>
        <w:rPr>
          <w:rFonts w:ascii="Arial" w:hAnsi="Arial" w:cs="Arial"/>
          <w:sz w:val="22"/>
          <w:szCs w:val="22"/>
        </w:rPr>
      </w:pPr>
      <w:r w:rsidRPr="006B6D92">
        <w:rPr>
          <w:rFonts w:ascii="Arial" w:hAnsi="Arial" w:cs="Arial"/>
          <w:sz w:val="22"/>
          <w:szCs w:val="22"/>
        </w:rPr>
        <w:t xml:space="preserve">Costlow, K. and Parmelee, P.A. (2020) ‘The impact of relocation stress on cognitively impaired and cognitively unimpaired long-term care residents’, </w:t>
      </w:r>
      <w:r w:rsidRPr="006B6D92">
        <w:rPr>
          <w:rFonts w:ascii="Arial" w:hAnsi="Arial" w:cs="Arial"/>
          <w:i/>
          <w:iCs/>
          <w:sz w:val="22"/>
          <w:szCs w:val="22"/>
        </w:rPr>
        <w:t>Aging &amp; Mental Health</w:t>
      </w:r>
      <w:r w:rsidRPr="006B6D92">
        <w:rPr>
          <w:rFonts w:ascii="Arial" w:hAnsi="Arial" w:cs="Arial"/>
          <w:sz w:val="22"/>
          <w:szCs w:val="22"/>
        </w:rPr>
        <w:t>, 24(10), pp. 1589–1595.</w:t>
      </w:r>
    </w:p>
    <w:p w14:paraId="614389BF" w14:textId="77777777" w:rsidR="006B6D92" w:rsidRPr="006B6D92" w:rsidRDefault="006B6D92" w:rsidP="006B6D92">
      <w:pPr>
        <w:pStyle w:val="p1"/>
        <w:spacing w:line="360" w:lineRule="auto"/>
        <w:rPr>
          <w:rFonts w:ascii="Arial" w:hAnsi="Arial" w:cs="Arial"/>
          <w:sz w:val="22"/>
          <w:szCs w:val="22"/>
        </w:rPr>
      </w:pPr>
      <w:r w:rsidRPr="006B6D92">
        <w:rPr>
          <w:rFonts w:ascii="Arial" w:hAnsi="Arial" w:cs="Arial"/>
          <w:sz w:val="22"/>
          <w:szCs w:val="22"/>
        </w:rPr>
        <w:t xml:space="preserve">Chifu, V.R., Pop, C.B., Demjen, D., Socaci, R., Todea, D., Antal, M., Cioara, T., Anghel, I. and Antal, C. (2022) ‘Identifying and monitoring the daily routine of seniors living at home’, </w:t>
      </w:r>
      <w:r w:rsidRPr="006B6D92">
        <w:rPr>
          <w:rFonts w:ascii="Arial" w:hAnsi="Arial" w:cs="Arial"/>
          <w:i/>
          <w:iCs/>
          <w:sz w:val="22"/>
          <w:szCs w:val="22"/>
        </w:rPr>
        <w:t>Sensors</w:t>
      </w:r>
      <w:r w:rsidRPr="006B6D92">
        <w:rPr>
          <w:rFonts w:ascii="Arial" w:hAnsi="Arial" w:cs="Arial"/>
          <w:sz w:val="22"/>
          <w:szCs w:val="22"/>
        </w:rPr>
        <w:t>, 22(3), 992.</w:t>
      </w:r>
    </w:p>
    <w:p w14:paraId="77084976" w14:textId="77777777" w:rsidR="006B6D92" w:rsidRPr="006B6D92" w:rsidRDefault="006B6D92" w:rsidP="006B6D92">
      <w:pPr>
        <w:pStyle w:val="p1"/>
        <w:spacing w:line="360" w:lineRule="auto"/>
        <w:rPr>
          <w:rFonts w:ascii="Arial" w:hAnsi="Arial" w:cs="Arial"/>
          <w:sz w:val="22"/>
          <w:szCs w:val="22"/>
        </w:rPr>
      </w:pPr>
      <w:r w:rsidRPr="006B6D92">
        <w:rPr>
          <w:rFonts w:ascii="Arial" w:hAnsi="Arial" w:cs="Arial"/>
          <w:sz w:val="22"/>
          <w:szCs w:val="22"/>
        </w:rPr>
        <w:t xml:space="preserve">Department of Health and Social Care. (2025) </w:t>
      </w:r>
      <w:r w:rsidRPr="006B6D92">
        <w:rPr>
          <w:rFonts w:ascii="Arial" w:hAnsi="Arial" w:cs="Arial"/>
          <w:i/>
          <w:iCs/>
          <w:sz w:val="22"/>
          <w:szCs w:val="22"/>
        </w:rPr>
        <w:t>Adult social care in England: monthly statistics</w:t>
      </w:r>
      <w:r w:rsidRPr="006B6D92">
        <w:rPr>
          <w:rFonts w:ascii="Arial" w:hAnsi="Arial" w:cs="Arial"/>
          <w:sz w:val="22"/>
          <w:szCs w:val="22"/>
        </w:rPr>
        <w:t xml:space="preserve">. Available at: </w:t>
      </w:r>
      <w:hyperlink r:id="rId6" w:history="1">
        <w:r w:rsidRPr="006B6D92">
          <w:rPr>
            <w:rStyle w:val="Hyperlink"/>
            <w:rFonts w:ascii="Arial" w:hAnsi="Arial" w:cs="Arial"/>
            <w:sz w:val="22"/>
            <w:szCs w:val="22"/>
          </w:rPr>
          <w:t>https://www.gov.uk/government/statistics/adult-social-care-in-england-monthly-statistics-july-2025</w:t>
        </w:r>
      </w:hyperlink>
      <w:r w:rsidRPr="006B6D92">
        <w:rPr>
          <w:rFonts w:ascii="Arial" w:hAnsi="Arial" w:cs="Arial"/>
          <w:sz w:val="22"/>
          <w:szCs w:val="22"/>
        </w:rPr>
        <w:t xml:space="preserve">  (Accessed: 8 March 2026).</w:t>
      </w:r>
    </w:p>
    <w:p w14:paraId="13F73559" w14:textId="77777777" w:rsidR="006B6D92" w:rsidRPr="006B6D92" w:rsidRDefault="006B6D92" w:rsidP="006B6D92">
      <w:pPr>
        <w:pStyle w:val="p1"/>
        <w:spacing w:line="360" w:lineRule="auto"/>
        <w:rPr>
          <w:rFonts w:ascii="Arial" w:hAnsi="Arial" w:cs="Arial"/>
          <w:sz w:val="22"/>
          <w:szCs w:val="22"/>
        </w:rPr>
      </w:pPr>
      <w:r w:rsidRPr="006B6D92">
        <w:rPr>
          <w:rFonts w:ascii="Arial" w:hAnsi="Arial" w:cs="Arial"/>
          <w:sz w:val="22"/>
          <w:szCs w:val="22"/>
        </w:rPr>
        <w:t xml:space="preserve">Lopez, J., Perez-Rojo, G., Noriega, C., Sánchez-Cabaco, A., Sitges, E. and Bonete, B. (2024) ‘Quality-of-life in older adults: its association with emotional distress and psychological wellbeing’, </w:t>
      </w:r>
      <w:r w:rsidRPr="006B6D92">
        <w:rPr>
          <w:rFonts w:ascii="Arial" w:hAnsi="Arial" w:cs="Arial"/>
          <w:i/>
          <w:iCs/>
          <w:sz w:val="22"/>
          <w:szCs w:val="22"/>
        </w:rPr>
        <w:t>BMC Geriatrics</w:t>
      </w:r>
      <w:r w:rsidRPr="006B6D92">
        <w:rPr>
          <w:rFonts w:ascii="Arial" w:hAnsi="Arial" w:cs="Arial"/>
          <w:sz w:val="22"/>
          <w:szCs w:val="22"/>
        </w:rPr>
        <w:t>, 24(1), 815.</w:t>
      </w:r>
    </w:p>
    <w:p w14:paraId="0DC64604" w14:textId="77777777" w:rsidR="006B6D92" w:rsidRPr="006B6D92" w:rsidRDefault="006B6D92" w:rsidP="006B6D92">
      <w:pPr>
        <w:pStyle w:val="p1"/>
        <w:spacing w:line="360" w:lineRule="auto"/>
        <w:rPr>
          <w:rStyle w:val="apple-converted-space"/>
          <w:rFonts w:ascii="Arial" w:eastAsiaTheme="majorEastAsia" w:hAnsi="Arial" w:cs="Arial"/>
          <w:sz w:val="22"/>
          <w:szCs w:val="22"/>
        </w:rPr>
      </w:pPr>
      <w:r w:rsidRPr="006B6D92">
        <w:rPr>
          <w:rFonts w:ascii="Arial" w:hAnsi="Arial" w:cs="Arial"/>
          <w:sz w:val="22"/>
          <w:szCs w:val="22"/>
        </w:rPr>
        <w:lastRenderedPageBreak/>
        <w:t xml:space="preserve">Lee, V.S.P., Simpson, J. and Froggatt, K. (2013) ‘A narrative exploration of older people’s transitions into residential care’, </w:t>
      </w:r>
      <w:r w:rsidRPr="006B6D92">
        <w:rPr>
          <w:rFonts w:ascii="Arial" w:hAnsi="Arial" w:cs="Arial"/>
          <w:i/>
          <w:iCs/>
          <w:sz w:val="22"/>
          <w:szCs w:val="22"/>
        </w:rPr>
        <w:t>Aging &amp; Mental Health</w:t>
      </w:r>
      <w:r w:rsidRPr="006B6D92">
        <w:rPr>
          <w:rFonts w:ascii="Arial" w:hAnsi="Arial" w:cs="Arial"/>
          <w:sz w:val="22"/>
          <w:szCs w:val="22"/>
        </w:rPr>
        <w:t>, 17(1), pp. 48–56.</w:t>
      </w:r>
      <w:r w:rsidRPr="006B6D92">
        <w:rPr>
          <w:rStyle w:val="apple-converted-space"/>
          <w:rFonts w:ascii="Arial" w:eastAsiaTheme="majorEastAsia" w:hAnsi="Arial" w:cs="Arial"/>
          <w:sz w:val="22"/>
          <w:szCs w:val="22"/>
        </w:rPr>
        <w:t> </w:t>
      </w:r>
    </w:p>
    <w:p w14:paraId="0A78C127" w14:textId="77777777" w:rsidR="006B6D92" w:rsidRPr="006B6D92" w:rsidRDefault="006B6D92" w:rsidP="006B6D92">
      <w:pPr>
        <w:pStyle w:val="p1"/>
        <w:spacing w:line="360" w:lineRule="auto"/>
        <w:rPr>
          <w:rFonts w:ascii="Arial" w:eastAsiaTheme="majorEastAsia" w:hAnsi="Arial" w:cs="Arial"/>
          <w:sz w:val="22"/>
          <w:szCs w:val="22"/>
        </w:rPr>
      </w:pPr>
      <w:r w:rsidRPr="006B6D92">
        <w:rPr>
          <w:rFonts w:ascii="Arial" w:hAnsi="Arial" w:cs="Arial"/>
          <w:sz w:val="22"/>
          <w:szCs w:val="22"/>
        </w:rPr>
        <w:t xml:space="preserve">Moilanen, T., Pietilä, I. and Kangasniemi, M. (2020) ‘Older people’s perceived autonomy in residential care: An integrative review’, </w:t>
      </w:r>
      <w:r w:rsidRPr="006B6D92">
        <w:rPr>
          <w:rFonts w:ascii="Arial" w:hAnsi="Arial" w:cs="Arial"/>
          <w:i/>
          <w:iCs/>
          <w:sz w:val="22"/>
          <w:szCs w:val="22"/>
        </w:rPr>
        <w:t>International Journal of Older People Nursing</w:t>
      </w:r>
      <w:r w:rsidRPr="006B6D92">
        <w:rPr>
          <w:rFonts w:ascii="Arial" w:hAnsi="Arial" w:cs="Arial"/>
          <w:sz w:val="22"/>
          <w:szCs w:val="22"/>
        </w:rPr>
        <w:t xml:space="preserve">, 15(3). </w:t>
      </w:r>
    </w:p>
    <w:p w14:paraId="5596A366" w14:textId="77777777" w:rsidR="006B6D92" w:rsidRPr="006B6D92" w:rsidRDefault="006B6D92" w:rsidP="006B6D92">
      <w:pPr>
        <w:pStyle w:val="p1"/>
        <w:spacing w:line="360" w:lineRule="auto"/>
        <w:rPr>
          <w:rFonts w:ascii="Arial" w:hAnsi="Arial" w:cs="Arial"/>
          <w:color w:val="1B1B1B"/>
          <w:sz w:val="22"/>
          <w:szCs w:val="22"/>
          <w:shd w:val="clear" w:color="auto" w:fill="FFFFFF"/>
        </w:rPr>
      </w:pPr>
      <w:r w:rsidRPr="006B6D92">
        <w:rPr>
          <w:rFonts w:ascii="Arial" w:hAnsi="Arial" w:cs="Arial"/>
          <w:color w:val="1B1B1B"/>
          <w:sz w:val="22"/>
          <w:szCs w:val="22"/>
          <w:shd w:val="clear" w:color="auto" w:fill="FFFFFF"/>
        </w:rPr>
        <w:t>Moilanen, T., Kangasniemi, M., Papinaho, O., Mynttinen, M., Siipi, H., Suominen, S., &amp; Suhonen, R. (2021) Older people's perceived autonomy in residential care: An integrative review.</w:t>
      </w:r>
      <w:r w:rsidRPr="006B6D92">
        <w:rPr>
          <w:rStyle w:val="apple-converted-space"/>
          <w:rFonts w:ascii="Arial" w:eastAsiaTheme="majorEastAsia" w:hAnsi="Arial" w:cs="Arial"/>
          <w:color w:val="1B1B1B"/>
          <w:sz w:val="22"/>
          <w:szCs w:val="22"/>
          <w:shd w:val="clear" w:color="auto" w:fill="FFFFFF"/>
        </w:rPr>
        <w:t> </w:t>
      </w:r>
      <w:r w:rsidRPr="006B6D92">
        <w:rPr>
          <w:rFonts w:ascii="Arial" w:hAnsi="Arial" w:cs="Arial"/>
          <w:i/>
          <w:iCs/>
          <w:color w:val="1B1B1B"/>
          <w:sz w:val="22"/>
          <w:szCs w:val="22"/>
        </w:rPr>
        <w:t>Nursing ethics</w:t>
      </w:r>
      <w:r w:rsidRPr="006B6D92">
        <w:rPr>
          <w:rFonts w:ascii="Arial" w:hAnsi="Arial" w:cs="Arial"/>
          <w:color w:val="1B1B1B"/>
          <w:sz w:val="22"/>
          <w:szCs w:val="22"/>
          <w:shd w:val="clear" w:color="auto" w:fill="FFFFFF"/>
        </w:rPr>
        <w:t>,</w:t>
      </w:r>
      <w:r w:rsidRPr="006B6D92">
        <w:rPr>
          <w:rStyle w:val="apple-converted-space"/>
          <w:rFonts w:ascii="Arial" w:eastAsiaTheme="majorEastAsia" w:hAnsi="Arial" w:cs="Arial"/>
          <w:color w:val="1B1B1B"/>
          <w:sz w:val="22"/>
          <w:szCs w:val="22"/>
          <w:shd w:val="clear" w:color="auto" w:fill="FFFFFF"/>
        </w:rPr>
        <w:t> </w:t>
      </w:r>
      <w:r w:rsidRPr="006B6D92">
        <w:rPr>
          <w:rFonts w:ascii="Arial" w:hAnsi="Arial" w:cs="Arial"/>
          <w:i/>
          <w:iCs/>
          <w:color w:val="1B1B1B"/>
          <w:sz w:val="22"/>
          <w:szCs w:val="22"/>
        </w:rPr>
        <w:t>28</w:t>
      </w:r>
      <w:r w:rsidRPr="006B6D92">
        <w:rPr>
          <w:rFonts w:ascii="Arial" w:hAnsi="Arial" w:cs="Arial"/>
          <w:color w:val="1B1B1B"/>
          <w:sz w:val="22"/>
          <w:szCs w:val="22"/>
          <w:shd w:val="clear" w:color="auto" w:fill="FFFFFF"/>
        </w:rPr>
        <w:t>(3), 414–434.</w:t>
      </w:r>
    </w:p>
    <w:p w14:paraId="0F075CAB" w14:textId="77777777" w:rsidR="006B6D92" w:rsidRPr="006B6D92" w:rsidRDefault="006B6D92" w:rsidP="006B6D92">
      <w:pPr>
        <w:pStyle w:val="p1"/>
        <w:spacing w:line="360" w:lineRule="auto"/>
        <w:rPr>
          <w:rFonts w:ascii="Arial" w:hAnsi="Arial" w:cs="Arial"/>
          <w:sz w:val="22"/>
          <w:szCs w:val="22"/>
        </w:rPr>
      </w:pPr>
      <w:r w:rsidRPr="006B6D92">
        <w:rPr>
          <w:rFonts w:ascii="Arial" w:hAnsi="Arial" w:cs="Arial"/>
          <w:sz w:val="22"/>
          <w:szCs w:val="22"/>
        </w:rPr>
        <w:t xml:space="preserve">National Institute for Health and Care Excellence. (2015) </w:t>
      </w:r>
      <w:r w:rsidRPr="006B6D92">
        <w:rPr>
          <w:rFonts w:ascii="Arial" w:hAnsi="Arial" w:cs="Arial"/>
          <w:i/>
          <w:iCs/>
          <w:sz w:val="22"/>
          <w:szCs w:val="22"/>
        </w:rPr>
        <w:t>Older people with social care needs and multiple long-term conditions (NG22)</w:t>
      </w:r>
      <w:r w:rsidRPr="006B6D92">
        <w:rPr>
          <w:rFonts w:ascii="Arial" w:hAnsi="Arial" w:cs="Arial"/>
          <w:sz w:val="22"/>
          <w:szCs w:val="22"/>
        </w:rPr>
        <w:t xml:space="preserve">. Available at: </w:t>
      </w:r>
      <w:hyperlink r:id="rId7" w:history="1">
        <w:r w:rsidRPr="006B6D92">
          <w:rPr>
            <w:rStyle w:val="Hyperlink"/>
            <w:rFonts w:ascii="Arial" w:hAnsi="Arial" w:cs="Arial"/>
            <w:sz w:val="22"/>
            <w:szCs w:val="22"/>
          </w:rPr>
          <w:t>https://www.nice.org.uk/guidance/ng22</w:t>
        </w:r>
      </w:hyperlink>
      <w:r w:rsidRPr="006B6D92">
        <w:rPr>
          <w:rFonts w:ascii="Arial" w:hAnsi="Arial" w:cs="Arial"/>
          <w:sz w:val="22"/>
          <w:szCs w:val="22"/>
        </w:rPr>
        <w:t xml:space="preserve"> (Accessed: 8 March 2026).</w:t>
      </w:r>
    </w:p>
    <w:p w14:paraId="287AD314" w14:textId="77777777" w:rsidR="006B6D92" w:rsidRPr="006B6D92" w:rsidRDefault="006B6D92" w:rsidP="006B6D92">
      <w:pPr>
        <w:pStyle w:val="p1"/>
        <w:spacing w:line="360" w:lineRule="auto"/>
        <w:rPr>
          <w:rFonts w:ascii="Arial" w:hAnsi="Arial" w:cs="Arial"/>
          <w:sz w:val="22"/>
          <w:szCs w:val="22"/>
        </w:rPr>
      </w:pPr>
      <w:r w:rsidRPr="006B6D92">
        <w:rPr>
          <w:rFonts w:ascii="Arial" w:hAnsi="Arial" w:cs="Arial"/>
          <w:sz w:val="22"/>
          <w:szCs w:val="22"/>
        </w:rPr>
        <w:t xml:space="preserve">NHS. (2024a) </w:t>
      </w:r>
      <w:r w:rsidRPr="006B6D92">
        <w:rPr>
          <w:rFonts w:ascii="Arial" w:hAnsi="Arial" w:cs="Arial"/>
          <w:i/>
          <w:iCs/>
          <w:sz w:val="22"/>
          <w:szCs w:val="22"/>
        </w:rPr>
        <w:t>Help at home from a paid carer</w:t>
      </w:r>
      <w:r w:rsidRPr="006B6D92">
        <w:rPr>
          <w:rFonts w:ascii="Arial" w:hAnsi="Arial" w:cs="Arial"/>
          <w:sz w:val="22"/>
          <w:szCs w:val="22"/>
        </w:rPr>
        <w:t xml:space="preserve">. Available at: </w:t>
      </w:r>
      <w:hyperlink r:id="rId8" w:history="1">
        <w:r w:rsidRPr="006B6D92">
          <w:rPr>
            <w:rStyle w:val="Hyperlink"/>
            <w:rFonts w:ascii="Arial" w:hAnsi="Arial" w:cs="Arial"/>
            <w:sz w:val="22"/>
            <w:szCs w:val="22"/>
          </w:rPr>
          <w:t>https://www.nhs.uk/social-care-and-support/care-services-equipment-and-care-homes/homecare/</w:t>
        </w:r>
      </w:hyperlink>
      <w:r w:rsidRPr="006B6D92">
        <w:rPr>
          <w:rFonts w:ascii="Arial" w:hAnsi="Arial" w:cs="Arial"/>
          <w:sz w:val="22"/>
          <w:szCs w:val="22"/>
        </w:rPr>
        <w:t xml:space="preserve"> (Accessed: 6 March 2026).</w:t>
      </w:r>
    </w:p>
    <w:p w14:paraId="0B0080A2" w14:textId="77777777" w:rsidR="006B6D92" w:rsidRPr="006B6D92" w:rsidRDefault="006B6D92" w:rsidP="006B6D92">
      <w:pPr>
        <w:pStyle w:val="p1"/>
        <w:spacing w:line="360" w:lineRule="auto"/>
        <w:rPr>
          <w:rFonts w:ascii="Arial" w:hAnsi="Arial" w:cs="Arial"/>
          <w:sz w:val="22"/>
          <w:szCs w:val="22"/>
        </w:rPr>
      </w:pPr>
      <w:r w:rsidRPr="006B6D92">
        <w:rPr>
          <w:rFonts w:ascii="Arial" w:hAnsi="Arial" w:cs="Arial"/>
          <w:sz w:val="22"/>
          <w:szCs w:val="22"/>
        </w:rPr>
        <w:t xml:space="preserve">NHS. (2024b) </w:t>
      </w:r>
      <w:r w:rsidRPr="006B6D92">
        <w:rPr>
          <w:rFonts w:ascii="Arial" w:hAnsi="Arial" w:cs="Arial"/>
          <w:i/>
          <w:iCs/>
          <w:sz w:val="22"/>
          <w:szCs w:val="22"/>
        </w:rPr>
        <w:t>Care homes</w:t>
      </w:r>
      <w:r w:rsidRPr="006B6D92">
        <w:rPr>
          <w:rFonts w:ascii="Arial" w:hAnsi="Arial" w:cs="Arial"/>
          <w:sz w:val="22"/>
          <w:szCs w:val="22"/>
        </w:rPr>
        <w:t xml:space="preserve">. Available at: </w:t>
      </w:r>
      <w:hyperlink r:id="rId9" w:history="1">
        <w:r w:rsidRPr="006B6D92">
          <w:rPr>
            <w:rStyle w:val="Hyperlink"/>
            <w:rFonts w:ascii="Arial" w:hAnsi="Arial" w:cs="Arial"/>
            <w:sz w:val="22"/>
            <w:szCs w:val="22"/>
          </w:rPr>
          <w:t>https://www.nhs.uk/social-care-and-support/care-services-equipment-and-care-homes/care-homes/</w:t>
        </w:r>
      </w:hyperlink>
      <w:r w:rsidRPr="006B6D92">
        <w:rPr>
          <w:rFonts w:ascii="Arial" w:hAnsi="Arial" w:cs="Arial"/>
          <w:sz w:val="22"/>
          <w:szCs w:val="22"/>
        </w:rPr>
        <w:t xml:space="preserve"> (Accessed: 6 March 2026).</w:t>
      </w:r>
    </w:p>
    <w:p w14:paraId="2D537C94" w14:textId="77777777" w:rsidR="006B6D92" w:rsidRPr="006B6D92" w:rsidRDefault="006B6D92" w:rsidP="006B6D92">
      <w:pPr>
        <w:pStyle w:val="p1"/>
        <w:spacing w:line="360" w:lineRule="auto"/>
        <w:rPr>
          <w:rFonts w:ascii="Arial" w:hAnsi="Arial" w:cs="Arial"/>
          <w:sz w:val="22"/>
          <w:szCs w:val="22"/>
        </w:rPr>
      </w:pPr>
      <w:r w:rsidRPr="006B6D92">
        <w:rPr>
          <w:rFonts w:ascii="Arial" w:hAnsi="Arial" w:cs="Arial"/>
          <w:sz w:val="22"/>
          <w:szCs w:val="22"/>
        </w:rPr>
        <w:t xml:space="preserve">Ouden, M., Kuk, N.O., Zwakhalen, S.M.G., Bleijlevens, M.H.C., Meijers, J.M.M. and Hamers, J.P.H. (2017) ‘The role of nursing staff in the activities of daily living of nursing home residents’, </w:t>
      </w:r>
      <w:r w:rsidRPr="006B6D92">
        <w:rPr>
          <w:rFonts w:ascii="Arial" w:hAnsi="Arial" w:cs="Arial"/>
          <w:i/>
          <w:iCs/>
          <w:sz w:val="22"/>
          <w:szCs w:val="22"/>
        </w:rPr>
        <w:t>Geriatric Nursing</w:t>
      </w:r>
      <w:r w:rsidRPr="006B6D92">
        <w:rPr>
          <w:rFonts w:ascii="Arial" w:hAnsi="Arial" w:cs="Arial"/>
          <w:sz w:val="22"/>
          <w:szCs w:val="22"/>
        </w:rPr>
        <w:t>, 38(3), pp. 225–230.</w:t>
      </w:r>
      <w:r w:rsidRPr="006B6D92">
        <w:rPr>
          <w:rStyle w:val="apple-converted-space"/>
          <w:rFonts w:ascii="Arial" w:eastAsiaTheme="majorEastAsia" w:hAnsi="Arial" w:cs="Arial"/>
          <w:sz w:val="22"/>
          <w:szCs w:val="22"/>
        </w:rPr>
        <w:t> </w:t>
      </w:r>
    </w:p>
    <w:p w14:paraId="76DEF64E" w14:textId="77777777" w:rsidR="006B6D92" w:rsidRPr="006B6D92" w:rsidRDefault="006B6D92" w:rsidP="006B6D92">
      <w:pPr>
        <w:pStyle w:val="p1"/>
        <w:spacing w:line="360" w:lineRule="auto"/>
        <w:rPr>
          <w:rFonts w:ascii="Arial" w:hAnsi="Arial" w:cs="Arial"/>
          <w:sz w:val="22"/>
          <w:szCs w:val="22"/>
        </w:rPr>
      </w:pPr>
      <w:r w:rsidRPr="006B6D92">
        <w:rPr>
          <w:rFonts w:ascii="Arial" w:hAnsi="Arial" w:cs="Arial"/>
          <w:sz w:val="22"/>
          <w:szCs w:val="22"/>
        </w:rPr>
        <w:t xml:space="preserve">Office for Health Improvement and Disparities. (2022) </w:t>
      </w:r>
      <w:r w:rsidRPr="006B6D92">
        <w:rPr>
          <w:rFonts w:ascii="Arial" w:hAnsi="Arial" w:cs="Arial"/>
          <w:i/>
          <w:iCs/>
          <w:sz w:val="22"/>
          <w:szCs w:val="22"/>
        </w:rPr>
        <w:t>Falls: applying All Our Health</w:t>
      </w:r>
      <w:r w:rsidRPr="006B6D92">
        <w:rPr>
          <w:rFonts w:ascii="Arial" w:hAnsi="Arial" w:cs="Arial"/>
          <w:sz w:val="22"/>
          <w:szCs w:val="22"/>
        </w:rPr>
        <w:t xml:space="preserve">. Available at: </w:t>
      </w:r>
      <w:hyperlink r:id="rId10" w:history="1">
        <w:r w:rsidRPr="006B6D92">
          <w:rPr>
            <w:rStyle w:val="Hyperlink"/>
            <w:rFonts w:ascii="Arial" w:hAnsi="Arial" w:cs="Arial"/>
            <w:color w:val="156082" w:themeColor="accent1"/>
            <w:sz w:val="22"/>
            <w:szCs w:val="22"/>
          </w:rPr>
          <w:t>https://www.gov.uk/government/publications/falls-applying-all-our-health/falls-applying-all-our-health</w:t>
        </w:r>
      </w:hyperlink>
      <w:r w:rsidRPr="006B6D92">
        <w:rPr>
          <w:rFonts w:ascii="Arial" w:hAnsi="Arial" w:cs="Arial"/>
          <w:color w:val="156082" w:themeColor="accent1"/>
          <w:sz w:val="22"/>
          <w:szCs w:val="22"/>
        </w:rPr>
        <w:t xml:space="preserve"> (</w:t>
      </w:r>
      <w:r w:rsidRPr="006B6D92">
        <w:rPr>
          <w:rFonts w:ascii="Arial" w:hAnsi="Arial" w:cs="Arial"/>
          <w:sz w:val="22"/>
          <w:szCs w:val="22"/>
        </w:rPr>
        <w:t>Accessed: 8 March 2026).</w:t>
      </w:r>
    </w:p>
    <w:p w14:paraId="629C058C" w14:textId="77777777" w:rsidR="006B6D92" w:rsidRPr="006B6D92" w:rsidRDefault="006B6D92" w:rsidP="006B6D92">
      <w:pPr>
        <w:pStyle w:val="p1"/>
        <w:spacing w:line="360" w:lineRule="auto"/>
        <w:rPr>
          <w:rFonts w:ascii="Arial" w:hAnsi="Arial" w:cs="Arial"/>
          <w:sz w:val="22"/>
          <w:szCs w:val="22"/>
        </w:rPr>
      </w:pPr>
      <w:r w:rsidRPr="006B6D92">
        <w:rPr>
          <w:rFonts w:ascii="Arial" w:hAnsi="Arial" w:cs="Arial"/>
          <w:sz w:val="22"/>
          <w:szCs w:val="22"/>
        </w:rPr>
        <w:t xml:space="preserve">Powell, J., Mackintosh, S., Bird, E., Ige, J., Garrett, H. and Roys, M. (2017) </w:t>
      </w:r>
      <w:r w:rsidRPr="006B6D92">
        <w:rPr>
          <w:rFonts w:ascii="Arial" w:hAnsi="Arial" w:cs="Arial"/>
          <w:i/>
          <w:iCs/>
          <w:sz w:val="22"/>
          <w:szCs w:val="22"/>
        </w:rPr>
        <w:t>The role of home adaptations in improving later life</w:t>
      </w:r>
      <w:r w:rsidRPr="006B6D92">
        <w:rPr>
          <w:rFonts w:ascii="Arial" w:hAnsi="Arial" w:cs="Arial"/>
          <w:sz w:val="22"/>
          <w:szCs w:val="22"/>
        </w:rPr>
        <w:t xml:space="preserve">. Available at: </w:t>
      </w:r>
      <w:hyperlink r:id="rId11" w:history="1">
        <w:r w:rsidRPr="006B6D92">
          <w:rPr>
            <w:rStyle w:val="Hyperlink"/>
            <w:rFonts w:ascii="Arial" w:hAnsi="Arial" w:cs="Arial"/>
            <w:sz w:val="22"/>
            <w:szCs w:val="22"/>
          </w:rPr>
          <w:t>https://ageing-better.org.uk/sites/default/files/2017-12/The%20role%20of%20home%20adaptations%20in%20improving%20later%20life.pdf</w:t>
        </w:r>
      </w:hyperlink>
      <w:r w:rsidRPr="006B6D92">
        <w:rPr>
          <w:rFonts w:ascii="Arial" w:hAnsi="Arial" w:cs="Arial"/>
          <w:sz w:val="22"/>
          <w:szCs w:val="22"/>
        </w:rPr>
        <w:t xml:space="preserve">   (Accessed: 11 March 2026).</w:t>
      </w:r>
    </w:p>
    <w:p w14:paraId="168DA567" w14:textId="77777777" w:rsidR="006B6D92" w:rsidRPr="006B6D92" w:rsidRDefault="006B6D92" w:rsidP="006B6D92">
      <w:pPr>
        <w:pStyle w:val="p1"/>
        <w:spacing w:line="360" w:lineRule="auto"/>
        <w:rPr>
          <w:rFonts w:ascii="Arial" w:hAnsi="Arial" w:cs="Arial"/>
          <w:sz w:val="22"/>
          <w:szCs w:val="22"/>
        </w:rPr>
      </w:pPr>
      <w:r w:rsidRPr="006B6D92">
        <w:rPr>
          <w:rFonts w:ascii="Arial" w:hAnsi="Arial" w:cs="Arial"/>
          <w:sz w:val="22"/>
          <w:szCs w:val="22"/>
        </w:rPr>
        <w:t>Rebourg, M. (2025) ‘</w:t>
      </w:r>
      <w:r w:rsidRPr="006B6D92">
        <w:rPr>
          <w:rFonts w:ascii="Arial" w:hAnsi="Arial" w:cs="Arial"/>
          <w:i/>
          <w:iCs/>
          <w:sz w:val="22"/>
          <w:szCs w:val="22"/>
        </w:rPr>
        <w:t>Aging and autonomy’</w:t>
      </w:r>
      <w:r w:rsidRPr="006B6D92">
        <w:rPr>
          <w:rFonts w:ascii="Arial" w:hAnsi="Arial" w:cs="Arial"/>
          <w:sz w:val="22"/>
          <w:szCs w:val="22"/>
        </w:rPr>
        <w:t xml:space="preserve">, </w:t>
      </w:r>
      <w:r w:rsidRPr="006B6D92">
        <w:rPr>
          <w:rFonts w:ascii="Arial" w:hAnsi="Arial" w:cs="Arial"/>
          <w:i/>
          <w:iCs/>
          <w:sz w:val="22"/>
          <w:szCs w:val="22"/>
        </w:rPr>
        <w:t>Ethics, Medicine and Public Health</w:t>
      </w:r>
      <w:r w:rsidRPr="006B6D92">
        <w:rPr>
          <w:rFonts w:ascii="Arial" w:hAnsi="Arial" w:cs="Arial"/>
          <w:sz w:val="22"/>
          <w:szCs w:val="22"/>
        </w:rPr>
        <w:t xml:space="preserve">. Available at: </w:t>
      </w:r>
      <w:hyperlink r:id="rId12" w:history="1">
        <w:r w:rsidRPr="006B6D92">
          <w:rPr>
            <w:rStyle w:val="Hyperlink"/>
            <w:rFonts w:ascii="Arial" w:hAnsi="Arial" w:cs="Arial"/>
            <w:sz w:val="22"/>
            <w:szCs w:val="22"/>
          </w:rPr>
          <w:t>https://doi.org/10.1016/j.jemep.2025.101053</w:t>
        </w:r>
      </w:hyperlink>
      <w:r w:rsidRPr="006B6D92">
        <w:rPr>
          <w:rFonts w:ascii="Arial" w:hAnsi="Arial" w:cs="Arial"/>
          <w:sz w:val="22"/>
          <w:szCs w:val="22"/>
        </w:rPr>
        <w:t xml:space="preserve"> (Accessed: 6 March 2026).</w:t>
      </w:r>
    </w:p>
    <w:p w14:paraId="530F1637" w14:textId="77777777" w:rsidR="006B6D92" w:rsidRPr="006B6D92" w:rsidRDefault="006B6D92" w:rsidP="006B6D92">
      <w:pPr>
        <w:pStyle w:val="p1"/>
        <w:spacing w:line="360" w:lineRule="auto"/>
        <w:rPr>
          <w:rFonts w:ascii="Arial" w:hAnsi="Arial" w:cs="Arial"/>
          <w:sz w:val="22"/>
          <w:szCs w:val="22"/>
        </w:rPr>
      </w:pPr>
      <w:r w:rsidRPr="006B6D92">
        <w:rPr>
          <w:rFonts w:ascii="Arial" w:hAnsi="Arial" w:cs="Arial"/>
          <w:sz w:val="22"/>
          <w:szCs w:val="22"/>
        </w:rPr>
        <w:lastRenderedPageBreak/>
        <w:t xml:space="preserve">Scheibl, F., Fleming, J., Buck, J., Barclay, S., Brayne, C. and Farquhar, M. (2019) ‘The experience of transitions in care in very old age: implications for general practice’, </w:t>
      </w:r>
      <w:r w:rsidRPr="006B6D92">
        <w:rPr>
          <w:rFonts w:ascii="Arial" w:hAnsi="Arial" w:cs="Arial"/>
          <w:i/>
          <w:iCs/>
          <w:sz w:val="22"/>
          <w:szCs w:val="22"/>
        </w:rPr>
        <w:t>Family Practice</w:t>
      </w:r>
      <w:r w:rsidRPr="006B6D92">
        <w:rPr>
          <w:rFonts w:ascii="Arial" w:hAnsi="Arial" w:cs="Arial"/>
          <w:sz w:val="22"/>
          <w:szCs w:val="22"/>
        </w:rPr>
        <w:t>, 36(6), pp. 778–784.</w:t>
      </w:r>
    </w:p>
    <w:p w14:paraId="04D425DC" w14:textId="77777777" w:rsidR="006B6D92" w:rsidRPr="006B6D92" w:rsidRDefault="006B6D92" w:rsidP="006B6D92">
      <w:pPr>
        <w:pStyle w:val="p1"/>
        <w:spacing w:line="360" w:lineRule="auto"/>
        <w:rPr>
          <w:rFonts w:ascii="Arial" w:hAnsi="Arial" w:cs="Arial"/>
          <w:sz w:val="22"/>
          <w:szCs w:val="22"/>
        </w:rPr>
      </w:pPr>
      <w:r w:rsidRPr="006B6D92">
        <w:rPr>
          <w:rFonts w:ascii="Arial" w:hAnsi="Arial" w:cs="Arial"/>
          <w:sz w:val="22"/>
          <w:szCs w:val="22"/>
        </w:rPr>
        <w:t xml:space="preserve">Sun, C., Ding, Y., Cui, Y., Zhu, S., Li, X., Chen, S., Zhou, R. and Yu, Y. (2021) ‘The adaptation of older adults’ transition to residential care facilities and cultural factors: a meta-synthesis’, </w:t>
      </w:r>
      <w:r w:rsidRPr="006B6D92">
        <w:rPr>
          <w:rFonts w:ascii="Arial" w:hAnsi="Arial" w:cs="Arial"/>
          <w:i/>
          <w:iCs/>
          <w:sz w:val="22"/>
          <w:szCs w:val="22"/>
        </w:rPr>
        <w:t>BMC Geriatrics</w:t>
      </w:r>
      <w:r w:rsidRPr="006B6D92">
        <w:rPr>
          <w:rFonts w:ascii="Arial" w:hAnsi="Arial" w:cs="Arial"/>
          <w:sz w:val="22"/>
          <w:szCs w:val="22"/>
        </w:rPr>
        <w:t>, 21(1), p. 64.</w:t>
      </w:r>
    </w:p>
    <w:p w14:paraId="59BD0F49" w14:textId="77777777" w:rsidR="006B6D92" w:rsidRPr="006B6D92" w:rsidRDefault="006B6D92" w:rsidP="006B6D92">
      <w:pPr>
        <w:pStyle w:val="p1"/>
        <w:spacing w:line="360" w:lineRule="auto"/>
        <w:rPr>
          <w:rFonts w:ascii="Arial" w:hAnsi="Arial" w:cs="Arial"/>
          <w:sz w:val="22"/>
          <w:szCs w:val="22"/>
        </w:rPr>
      </w:pPr>
      <w:r w:rsidRPr="006B6D92">
        <w:rPr>
          <w:rFonts w:ascii="Arial" w:hAnsi="Arial" w:cs="Arial"/>
          <w:sz w:val="22"/>
          <w:szCs w:val="22"/>
        </w:rPr>
        <w:t xml:space="preserve">van Loon, J., van der Steen, J.T., de Rooij, A.H. and colleagues (2023) ‘Developing a person-centred care environment aiming to enhance autonomy in nursing homes’, </w:t>
      </w:r>
      <w:r w:rsidRPr="006B6D92">
        <w:rPr>
          <w:rFonts w:ascii="Arial" w:hAnsi="Arial" w:cs="Arial"/>
          <w:i/>
          <w:iCs/>
          <w:sz w:val="22"/>
          <w:szCs w:val="22"/>
        </w:rPr>
        <w:t>BMC Geriatrics</w:t>
      </w:r>
      <w:r w:rsidRPr="006B6D92">
        <w:rPr>
          <w:rFonts w:ascii="Arial" w:hAnsi="Arial" w:cs="Arial"/>
          <w:sz w:val="22"/>
          <w:szCs w:val="22"/>
        </w:rPr>
        <w:t>.</w:t>
      </w:r>
    </w:p>
    <w:p w14:paraId="45003D5C" w14:textId="77777777" w:rsidR="006B6D92" w:rsidRPr="006B6D92" w:rsidRDefault="006B6D92" w:rsidP="006B6D92">
      <w:pPr>
        <w:pStyle w:val="p1"/>
        <w:spacing w:line="360" w:lineRule="auto"/>
        <w:rPr>
          <w:rFonts w:ascii="Arial" w:hAnsi="Arial" w:cs="Arial"/>
          <w:sz w:val="22"/>
          <w:szCs w:val="22"/>
        </w:rPr>
      </w:pPr>
      <w:r w:rsidRPr="006B6D92">
        <w:rPr>
          <w:rFonts w:ascii="Arial" w:hAnsi="Arial" w:cs="Arial"/>
          <w:sz w:val="22"/>
          <w:szCs w:val="22"/>
        </w:rPr>
        <w:t xml:space="preserve">World Health Organization. (2020) </w:t>
      </w:r>
      <w:r w:rsidRPr="006B6D92">
        <w:rPr>
          <w:rFonts w:ascii="Arial" w:hAnsi="Arial" w:cs="Arial"/>
          <w:i/>
          <w:iCs/>
          <w:sz w:val="22"/>
          <w:szCs w:val="22"/>
        </w:rPr>
        <w:t>Decade of Healthy Ageing: Plan of action 2021–2030</w:t>
      </w:r>
      <w:r w:rsidRPr="006B6D92">
        <w:rPr>
          <w:rFonts w:ascii="Arial" w:hAnsi="Arial" w:cs="Arial"/>
          <w:sz w:val="22"/>
          <w:szCs w:val="22"/>
        </w:rPr>
        <w:t xml:space="preserve">. Available at: </w:t>
      </w:r>
      <w:hyperlink r:id="rId13" w:history="1">
        <w:r w:rsidRPr="0012083F">
          <w:rPr>
            <w:rStyle w:val="Hyperlink"/>
            <w:rFonts w:ascii="Arial" w:hAnsi="Arial" w:cs="Arial"/>
            <w:color w:val="156082" w:themeColor="accent1"/>
            <w:sz w:val="22"/>
            <w:szCs w:val="22"/>
          </w:rPr>
          <w:t>https://cdn.who.int/media/docs/default-source/decade-of-healthy-ageing/decade-proposal-final-apr2020-en.pdf</w:t>
        </w:r>
      </w:hyperlink>
      <w:r w:rsidRPr="00DE6376">
        <w:rPr>
          <w:rFonts w:ascii="Arial" w:hAnsi="Arial" w:cs="Arial"/>
          <w:color w:val="00B0F0"/>
          <w:sz w:val="22"/>
          <w:szCs w:val="22"/>
        </w:rPr>
        <w:t xml:space="preserve"> </w:t>
      </w:r>
      <w:r w:rsidRPr="0012083F">
        <w:rPr>
          <w:rFonts w:ascii="Arial" w:hAnsi="Arial" w:cs="Arial"/>
          <w:color w:val="000000" w:themeColor="text1"/>
          <w:sz w:val="22"/>
          <w:szCs w:val="22"/>
        </w:rPr>
        <w:t>(Accessed</w:t>
      </w:r>
      <w:r w:rsidRPr="006B6D92">
        <w:rPr>
          <w:rFonts w:ascii="Arial" w:hAnsi="Arial" w:cs="Arial"/>
          <w:sz w:val="22"/>
          <w:szCs w:val="22"/>
        </w:rPr>
        <w:t>: 8 March 2026).</w:t>
      </w:r>
    </w:p>
    <w:p w14:paraId="192C297F" w14:textId="77777777" w:rsidR="006B6D92" w:rsidRPr="006B6D92" w:rsidRDefault="006B6D92" w:rsidP="006B6D92">
      <w:pPr>
        <w:spacing w:line="360" w:lineRule="auto"/>
        <w:rPr>
          <w:rFonts w:ascii="Arial" w:hAnsi="Arial" w:cs="Arial"/>
          <w:sz w:val="22"/>
          <w:szCs w:val="22"/>
        </w:rPr>
      </w:pPr>
    </w:p>
    <w:sectPr w:rsidR="006B6D92" w:rsidRPr="006B6D9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6D92"/>
    <w:rsid w:val="0012083F"/>
    <w:rsid w:val="006B6D92"/>
    <w:rsid w:val="00741BAF"/>
    <w:rsid w:val="00CF48C8"/>
    <w:rsid w:val="00DE63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598E3CF"/>
  <w15:chartTrackingRefBased/>
  <w15:docId w15:val="{923648C1-1DDC-E646-9BC9-6EEEC4344D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B6D92"/>
  </w:style>
  <w:style w:type="paragraph" w:styleId="Heading1">
    <w:name w:val="heading 1"/>
    <w:basedOn w:val="Normal"/>
    <w:next w:val="Normal"/>
    <w:link w:val="Heading1Char"/>
    <w:uiPriority w:val="9"/>
    <w:qFormat/>
    <w:rsid w:val="006B6D9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B6D9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B6D9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B6D9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B6D9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B6D9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B6D9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B6D9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B6D9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B6D9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B6D9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B6D9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B6D9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B6D9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B6D9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B6D9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B6D9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B6D9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B6D9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B6D9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B6D9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B6D9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B6D9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B6D9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B6D9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B6D9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B6D9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B6D9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B6D92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6B6D9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6B6D92"/>
    <w:rPr>
      <w:color w:val="467886" w:themeColor="hyperlink"/>
      <w:u w:val="single"/>
    </w:rPr>
  </w:style>
  <w:style w:type="character" w:customStyle="1" w:styleId="apple-converted-space">
    <w:name w:val="apple-converted-space"/>
    <w:basedOn w:val="DefaultParagraphFont"/>
    <w:rsid w:val="006B6D92"/>
  </w:style>
  <w:style w:type="character" w:styleId="FollowedHyperlink">
    <w:name w:val="FollowedHyperlink"/>
    <w:basedOn w:val="DefaultParagraphFont"/>
    <w:uiPriority w:val="99"/>
    <w:semiHidden/>
    <w:unhideWhenUsed/>
    <w:rsid w:val="006B6D92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hs.uk/social-care-and-support/care-services-equipment-and-care-homes/homecare/" TargetMode="External"/><Relationship Id="rId13" Type="http://schemas.openxmlformats.org/officeDocument/2006/relationships/hyperlink" Target="https://cdn.who.int/media/docs/default-source/decade-of-healthy-ageing/decade-proposal-final-apr2020-en.pdf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nice.org.uk/guidance/ng22" TargetMode="External"/><Relationship Id="rId12" Type="http://schemas.openxmlformats.org/officeDocument/2006/relationships/hyperlink" Target="https://doi.org/10.1016/j.jemep.2025.101053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gov.uk/government/statistics/adult-social-care-in-england-monthly-statistics-july-2025" TargetMode="External"/><Relationship Id="rId11" Type="http://schemas.openxmlformats.org/officeDocument/2006/relationships/hyperlink" Target="https://ageing-better.org.uk/sites/default/files/2017-12/The%20role%20of%20home%20adaptations%20in%20improving%20later%20life.pdf" TargetMode="External"/><Relationship Id="rId5" Type="http://schemas.openxmlformats.org/officeDocument/2006/relationships/hyperlink" Target="https://ageing-better.org.uk/our-ageing-population-state-ageing-2025" TargetMode="External"/><Relationship Id="rId15" Type="http://schemas.openxmlformats.org/officeDocument/2006/relationships/theme" Target="theme/theme1.xml"/><Relationship Id="rId10" Type="http://schemas.openxmlformats.org/officeDocument/2006/relationships/hyperlink" Target="https://www.gov.uk/government/publications/falls-applying-all-our-health/falls-applying-all-our-health" TargetMode="External"/><Relationship Id="rId4" Type="http://schemas.openxmlformats.org/officeDocument/2006/relationships/hyperlink" Target="https://www.alzheimers.org.uk/about-dementia/facts-and-figures" TargetMode="External"/><Relationship Id="rId9" Type="http://schemas.openxmlformats.org/officeDocument/2006/relationships/hyperlink" Target="https://www.nhs.uk/social-care-and-support/care-services-equipment-and-care-homes/care-homes/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3</Pages>
  <Words>739</Words>
  <Characters>5137</Characters>
  <Application>Microsoft Office Word</Application>
  <DocSecurity>0</DocSecurity>
  <Lines>82</Lines>
  <Paragraphs>33</Paragraphs>
  <ScaleCrop>false</ScaleCrop>
  <Company/>
  <LinksUpToDate>false</LinksUpToDate>
  <CharactersWithSpaces>5843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Safina Bibi (2243482)</dc:creator>
  <cp:keywords/>
  <dc:description/>
  <cp:lastModifiedBy>Safina Bibi (2243482)</cp:lastModifiedBy>
  <cp:revision>4</cp:revision>
  <dcterms:created xsi:type="dcterms:W3CDTF">2026-03-13T18:34:00Z</dcterms:created>
  <dcterms:modified xsi:type="dcterms:W3CDTF">2026-03-13T18:52:00Z</dcterms:modified>
</cp:coreProperties>
</file>