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21B95" w14:textId="77777777" w:rsidR="0016477B" w:rsidRPr="00A85BFE" w:rsidRDefault="0016477B" w:rsidP="0016477B">
      <w:pPr>
        <w:pStyle w:val="Heading2"/>
        <w:rPr>
          <w:rFonts w:cs="Arial"/>
          <w:sz w:val="28"/>
          <w:szCs w:val="28"/>
        </w:rPr>
      </w:pPr>
      <w:bookmarkStart w:id="0" w:name="_Toc48725198"/>
      <w:bookmarkStart w:id="1" w:name="_Toc48725263"/>
      <w:bookmarkStart w:id="2" w:name="_Toc48728834"/>
      <w:r>
        <w:t>ASSESSMENT 1</w:t>
      </w:r>
      <w:bookmarkEnd w:id="0"/>
      <w:bookmarkEnd w:id="1"/>
      <w:bookmarkEnd w:id="2"/>
    </w:p>
    <w:p w14:paraId="12992655" w14:textId="77777777" w:rsidR="0016477B" w:rsidRPr="007826B5" w:rsidRDefault="0016477B" w:rsidP="0016477B">
      <w:pPr>
        <w:spacing w:line="240" w:lineRule="auto"/>
        <w:jc w:val="right"/>
        <w:rPr>
          <w:rFonts w:cs="Arial"/>
          <w:b/>
          <w:sz w:val="28"/>
          <w:szCs w:val="28"/>
        </w:rPr>
      </w:pPr>
      <w:r w:rsidRPr="007826B5">
        <w:rPr>
          <w:rFonts w:cs="Arial"/>
          <w:b/>
          <w:sz w:val="28"/>
          <w:szCs w:val="28"/>
        </w:rPr>
        <w:t>APPENDIX GA36b</w:t>
      </w:r>
    </w:p>
    <w:p w14:paraId="18604075" w14:textId="77777777" w:rsidR="0016477B" w:rsidRPr="007826B5" w:rsidRDefault="0016477B" w:rsidP="0016477B">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16477B" w:rsidRPr="007826B5" w14:paraId="64074642" w14:textId="77777777" w:rsidTr="00B46CE7">
        <w:tc>
          <w:tcPr>
            <w:tcW w:w="9922" w:type="dxa"/>
            <w:shd w:val="clear" w:color="auto" w:fill="C0C0C0"/>
          </w:tcPr>
          <w:p w14:paraId="3F95771C" w14:textId="77777777" w:rsidR="0016477B" w:rsidRPr="007826B5" w:rsidRDefault="0016477B" w:rsidP="00B46CE7">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061F510F" w14:textId="77777777" w:rsidR="0016477B" w:rsidRPr="007826B5" w:rsidRDefault="0016477B" w:rsidP="0016477B">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6477B" w:rsidRPr="007826B5" w14:paraId="3087B9C7" w14:textId="77777777" w:rsidTr="00B46CE7">
        <w:tc>
          <w:tcPr>
            <w:tcW w:w="2093" w:type="dxa"/>
            <w:shd w:val="clear" w:color="auto" w:fill="auto"/>
          </w:tcPr>
          <w:p w14:paraId="7A756252" w14:textId="77777777" w:rsidR="0016477B" w:rsidRPr="007826B5" w:rsidRDefault="0016477B" w:rsidP="00B46CE7">
            <w:pPr>
              <w:spacing w:before="120" w:after="120" w:line="240" w:lineRule="auto"/>
              <w:jc w:val="both"/>
              <w:rPr>
                <w:rFonts w:cs="Arial"/>
                <w:b/>
              </w:rPr>
            </w:pPr>
            <w:r w:rsidRPr="007826B5">
              <w:rPr>
                <w:rFonts w:cs="Arial"/>
                <w:b/>
              </w:rPr>
              <w:t>Student name:</w:t>
            </w:r>
          </w:p>
        </w:tc>
        <w:tc>
          <w:tcPr>
            <w:tcW w:w="3293" w:type="dxa"/>
          </w:tcPr>
          <w:p w14:paraId="0449D4A3" w14:textId="77777777" w:rsidR="0016477B" w:rsidRPr="007826B5" w:rsidRDefault="0016477B" w:rsidP="00B46CE7">
            <w:pPr>
              <w:spacing w:before="120" w:after="120" w:line="240" w:lineRule="auto"/>
              <w:jc w:val="both"/>
              <w:rPr>
                <w:rFonts w:cs="Arial"/>
                <w:b/>
              </w:rPr>
            </w:pPr>
            <w:r>
              <w:rPr>
                <w:rFonts w:cs="Arial"/>
                <w:b/>
              </w:rPr>
              <w:t>LENISHA MUNIANDY</w:t>
            </w:r>
          </w:p>
        </w:tc>
        <w:tc>
          <w:tcPr>
            <w:tcW w:w="2268" w:type="dxa"/>
            <w:shd w:val="clear" w:color="auto" w:fill="D9D9D9" w:themeFill="background1" w:themeFillShade="D9"/>
          </w:tcPr>
          <w:p w14:paraId="1F6F139C" w14:textId="77777777" w:rsidR="0016477B" w:rsidRPr="007826B5" w:rsidRDefault="0016477B" w:rsidP="00B46CE7">
            <w:pPr>
              <w:spacing w:before="120" w:after="120" w:line="240" w:lineRule="auto"/>
              <w:jc w:val="both"/>
              <w:rPr>
                <w:rFonts w:cs="Arial"/>
                <w:b/>
              </w:rPr>
            </w:pPr>
            <w:r w:rsidRPr="007826B5">
              <w:rPr>
                <w:rFonts w:cs="Arial"/>
                <w:b/>
              </w:rPr>
              <w:t>Student ID number:</w:t>
            </w:r>
          </w:p>
        </w:tc>
        <w:tc>
          <w:tcPr>
            <w:tcW w:w="2268" w:type="dxa"/>
          </w:tcPr>
          <w:p w14:paraId="03500977" w14:textId="77777777" w:rsidR="0016477B" w:rsidRPr="007826B5" w:rsidRDefault="0016477B" w:rsidP="00B46CE7">
            <w:pPr>
              <w:spacing w:before="120" w:after="120" w:line="240" w:lineRule="auto"/>
              <w:jc w:val="both"/>
              <w:rPr>
                <w:rFonts w:cs="Arial"/>
                <w:b/>
              </w:rPr>
            </w:pPr>
            <w:r>
              <w:rPr>
                <w:rFonts w:cs="Arial"/>
                <w:b/>
              </w:rPr>
              <w:t>21090080</w:t>
            </w:r>
          </w:p>
        </w:tc>
      </w:tr>
      <w:tr w:rsidR="0016477B" w:rsidRPr="007826B5" w14:paraId="7FDFCA7E" w14:textId="77777777" w:rsidTr="00B46CE7">
        <w:tc>
          <w:tcPr>
            <w:tcW w:w="2093" w:type="dxa"/>
            <w:shd w:val="clear" w:color="auto" w:fill="auto"/>
          </w:tcPr>
          <w:p w14:paraId="61EECCD4" w14:textId="77777777" w:rsidR="0016477B" w:rsidRPr="007826B5" w:rsidRDefault="0016477B" w:rsidP="00B46CE7">
            <w:pPr>
              <w:spacing w:before="120" w:after="120" w:line="240" w:lineRule="auto"/>
              <w:jc w:val="both"/>
              <w:rPr>
                <w:rFonts w:cs="Arial"/>
                <w:b/>
              </w:rPr>
            </w:pPr>
            <w:proofErr w:type="spellStart"/>
            <w:r w:rsidRPr="007826B5">
              <w:rPr>
                <w:rFonts w:cs="Arial"/>
                <w:b/>
              </w:rPr>
              <w:t>Programme</w:t>
            </w:r>
            <w:proofErr w:type="spellEnd"/>
            <w:r w:rsidRPr="007826B5">
              <w:rPr>
                <w:rFonts w:cs="Arial"/>
                <w:b/>
              </w:rPr>
              <w:t>:</w:t>
            </w:r>
          </w:p>
        </w:tc>
        <w:tc>
          <w:tcPr>
            <w:tcW w:w="7829" w:type="dxa"/>
            <w:gridSpan w:val="3"/>
          </w:tcPr>
          <w:p w14:paraId="2134C113" w14:textId="77777777" w:rsidR="0016477B" w:rsidRPr="007826B5" w:rsidRDefault="0016477B" w:rsidP="00B46CE7">
            <w:pPr>
              <w:spacing w:before="120" w:after="120" w:line="240" w:lineRule="auto"/>
              <w:jc w:val="both"/>
              <w:rPr>
                <w:rFonts w:cs="Arial"/>
                <w:b/>
              </w:rPr>
            </w:pPr>
            <w:r>
              <w:rPr>
                <w:rFonts w:cs="Arial"/>
                <w:b/>
              </w:rPr>
              <w:t>IUMW</w:t>
            </w:r>
          </w:p>
        </w:tc>
      </w:tr>
      <w:tr w:rsidR="0016477B" w:rsidRPr="007826B5" w14:paraId="6A94CC1D" w14:textId="77777777" w:rsidTr="00B46CE7">
        <w:tc>
          <w:tcPr>
            <w:tcW w:w="2093" w:type="dxa"/>
            <w:shd w:val="clear" w:color="auto" w:fill="auto"/>
          </w:tcPr>
          <w:p w14:paraId="476846BF" w14:textId="77777777" w:rsidR="0016477B" w:rsidRPr="007826B5" w:rsidRDefault="0016477B" w:rsidP="00B46CE7">
            <w:pPr>
              <w:spacing w:before="120" w:after="120" w:line="240" w:lineRule="auto"/>
              <w:jc w:val="both"/>
              <w:rPr>
                <w:rFonts w:cs="Arial"/>
                <w:b/>
              </w:rPr>
            </w:pPr>
            <w:r w:rsidRPr="007826B5">
              <w:rPr>
                <w:rFonts w:cs="Arial"/>
                <w:b/>
              </w:rPr>
              <w:t>Module:</w:t>
            </w:r>
          </w:p>
        </w:tc>
        <w:tc>
          <w:tcPr>
            <w:tcW w:w="7829" w:type="dxa"/>
            <w:gridSpan w:val="3"/>
            <w:shd w:val="clear" w:color="auto" w:fill="auto"/>
          </w:tcPr>
          <w:p w14:paraId="066EFAB6" w14:textId="77777777" w:rsidR="0016477B" w:rsidRPr="007826B5" w:rsidRDefault="0016477B" w:rsidP="00B46CE7">
            <w:pPr>
              <w:spacing w:before="120" w:after="120" w:line="240" w:lineRule="auto"/>
              <w:jc w:val="both"/>
              <w:rPr>
                <w:rFonts w:cs="Arial"/>
                <w:b/>
              </w:rPr>
            </w:pPr>
            <w:r w:rsidRPr="00CE12D6">
              <w:rPr>
                <w:rFonts w:cs="Arial"/>
                <w:b/>
              </w:rPr>
              <w:t>Changemakers: Creativity and Value Creation</w:t>
            </w:r>
          </w:p>
        </w:tc>
      </w:tr>
      <w:tr w:rsidR="0016477B" w:rsidRPr="007826B5" w14:paraId="42BBE512" w14:textId="77777777" w:rsidTr="00B46CE7">
        <w:tc>
          <w:tcPr>
            <w:tcW w:w="2093" w:type="dxa"/>
            <w:shd w:val="clear" w:color="auto" w:fill="auto"/>
          </w:tcPr>
          <w:p w14:paraId="696776FC" w14:textId="77777777" w:rsidR="0016477B" w:rsidRPr="007826B5" w:rsidRDefault="0016477B" w:rsidP="00B46CE7">
            <w:pPr>
              <w:spacing w:before="120" w:after="120" w:line="240" w:lineRule="auto"/>
              <w:jc w:val="both"/>
              <w:rPr>
                <w:rFonts w:cs="Arial"/>
                <w:b/>
              </w:rPr>
            </w:pPr>
            <w:r w:rsidRPr="007826B5">
              <w:rPr>
                <w:rFonts w:cs="Arial"/>
                <w:b/>
              </w:rPr>
              <w:t>Module code:</w:t>
            </w:r>
          </w:p>
        </w:tc>
        <w:tc>
          <w:tcPr>
            <w:tcW w:w="3293" w:type="dxa"/>
          </w:tcPr>
          <w:p w14:paraId="414C8474" w14:textId="77777777" w:rsidR="0016477B" w:rsidRPr="007826B5" w:rsidRDefault="0016477B" w:rsidP="00B46CE7">
            <w:pPr>
              <w:spacing w:before="120" w:after="120" w:line="240" w:lineRule="auto"/>
              <w:jc w:val="both"/>
              <w:rPr>
                <w:rFonts w:cs="Arial"/>
                <w:b/>
              </w:rPr>
            </w:pPr>
            <w:r>
              <w:rPr>
                <w:rFonts w:cs="Arial"/>
                <w:b/>
              </w:rPr>
              <w:t>BMSW5008_SWAN</w:t>
            </w:r>
          </w:p>
        </w:tc>
        <w:tc>
          <w:tcPr>
            <w:tcW w:w="2268" w:type="dxa"/>
            <w:shd w:val="clear" w:color="auto" w:fill="D9D9D9" w:themeFill="background1" w:themeFillShade="D9"/>
          </w:tcPr>
          <w:p w14:paraId="2F8226FD" w14:textId="77777777" w:rsidR="0016477B" w:rsidRPr="002D2DB3" w:rsidRDefault="0016477B" w:rsidP="00B46CE7">
            <w:pPr>
              <w:spacing w:line="240" w:lineRule="auto"/>
              <w:rPr>
                <w:b/>
              </w:rPr>
            </w:pPr>
            <w:bookmarkStart w:id="3" w:name="_Toc48728114"/>
            <w:r w:rsidRPr="002D2DB3">
              <w:rPr>
                <w:b/>
              </w:rPr>
              <w:t>Contribution to Overall Module Assessment (%):</w:t>
            </w:r>
            <w:bookmarkEnd w:id="3"/>
          </w:p>
        </w:tc>
        <w:tc>
          <w:tcPr>
            <w:tcW w:w="2268" w:type="dxa"/>
          </w:tcPr>
          <w:p w14:paraId="2F1E9160" w14:textId="77777777" w:rsidR="0016477B" w:rsidRPr="007826B5" w:rsidRDefault="0016477B" w:rsidP="00B46CE7">
            <w:pPr>
              <w:spacing w:before="120" w:after="120" w:line="240" w:lineRule="auto"/>
              <w:jc w:val="both"/>
              <w:rPr>
                <w:rFonts w:cs="Arial"/>
                <w:b/>
              </w:rPr>
            </w:pPr>
            <w:r>
              <w:rPr>
                <w:rFonts w:cs="Arial"/>
                <w:b/>
              </w:rPr>
              <w:t>50%</w:t>
            </w:r>
          </w:p>
        </w:tc>
      </w:tr>
      <w:tr w:rsidR="0016477B" w:rsidRPr="007826B5" w14:paraId="6D938339" w14:textId="77777777" w:rsidTr="00B46CE7">
        <w:tc>
          <w:tcPr>
            <w:tcW w:w="2093" w:type="dxa"/>
            <w:shd w:val="clear" w:color="auto" w:fill="auto"/>
          </w:tcPr>
          <w:p w14:paraId="3D4FAB2C" w14:textId="77777777" w:rsidR="0016477B" w:rsidRPr="007826B5" w:rsidRDefault="0016477B" w:rsidP="00B46CE7">
            <w:pPr>
              <w:spacing w:before="120" w:after="120" w:line="240" w:lineRule="auto"/>
              <w:jc w:val="both"/>
              <w:rPr>
                <w:rFonts w:cs="Arial"/>
                <w:b/>
              </w:rPr>
            </w:pPr>
            <w:r w:rsidRPr="007826B5">
              <w:rPr>
                <w:rFonts w:cs="Arial"/>
                <w:b/>
              </w:rPr>
              <w:t>Lecturer:</w:t>
            </w:r>
          </w:p>
        </w:tc>
        <w:tc>
          <w:tcPr>
            <w:tcW w:w="3293" w:type="dxa"/>
          </w:tcPr>
          <w:p w14:paraId="34668356" w14:textId="77777777" w:rsidR="0016477B" w:rsidRPr="007826B5" w:rsidRDefault="0016477B" w:rsidP="00B46CE7">
            <w:pPr>
              <w:spacing w:before="120" w:after="120" w:line="240" w:lineRule="auto"/>
              <w:jc w:val="both"/>
              <w:rPr>
                <w:rFonts w:cs="Arial"/>
                <w:b/>
              </w:rPr>
            </w:pPr>
            <w:r>
              <w:rPr>
                <w:rFonts w:cs="Arial"/>
                <w:b/>
              </w:rPr>
              <w:t>Myfanwy Davies</w:t>
            </w:r>
          </w:p>
        </w:tc>
        <w:tc>
          <w:tcPr>
            <w:tcW w:w="2268" w:type="dxa"/>
            <w:shd w:val="clear" w:color="auto" w:fill="D9D9D9" w:themeFill="background1" w:themeFillShade="D9"/>
          </w:tcPr>
          <w:p w14:paraId="5BC9579A" w14:textId="77777777" w:rsidR="0016477B" w:rsidRPr="007826B5" w:rsidRDefault="0016477B" w:rsidP="00B46CE7">
            <w:pPr>
              <w:spacing w:before="120" w:after="120" w:line="240" w:lineRule="auto"/>
              <w:jc w:val="both"/>
              <w:rPr>
                <w:rFonts w:cs="Arial"/>
                <w:b/>
              </w:rPr>
            </w:pPr>
            <w:r w:rsidRPr="007826B5">
              <w:rPr>
                <w:rFonts w:cs="Arial"/>
                <w:b/>
              </w:rPr>
              <w:t>Internal Verifier:</w:t>
            </w:r>
          </w:p>
        </w:tc>
        <w:tc>
          <w:tcPr>
            <w:tcW w:w="2268" w:type="dxa"/>
          </w:tcPr>
          <w:p w14:paraId="56329539" w14:textId="77777777" w:rsidR="0016477B" w:rsidRPr="007826B5" w:rsidRDefault="0016477B" w:rsidP="00B46CE7">
            <w:pPr>
              <w:spacing w:before="120" w:after="120" w:line="240" w:lineRule="auto"/>
              <w:jc w:val="both"/>
              <w:rPr>
                <w:rFonts w:cs="Arial"/>
                <w:b/>
              </w:rPr>
            </w:pPr>
          </w:p>
        </w:tc>
      </w:tr>
      <w:tr w:rsidR="0016477B" w:rsidRPr="007826B5" w14:paraId="35139DCB" w14:textId="77777777" w:rsidTr="00B46CE7">
        <w:tc>
          <w:tcPr>
            <w:tcW w:w="2093" w:type="dxa"/>
            <w:shd w:val="clear" w:color="auto" w:fill="auto"/>
          </w:tcPr>
          <w:p w14:paraId="4F1E018A" w14:textId="77777777" w:rsidR="0016477B" w:rsidRPr="007826B5" w:rsidRDefault="0016477B" w:rsidP="00B46CE7">
            <w:pPr>
              <w:spacing w:before="120" w:after="120" w:line="240" w:lineRule="auto"/>
              <w:jc w:val="both"/>
              <w:rPr>
                <w:rFonts w:cs="Arial"/>
                <w:b/>
              </w:rPr>
            </w:pPr>
            <w:r w:rsidRPr="007826B5">
              <w:rPr>
                <w:rFonts w:cs="Arial"/>
                <w:b/>
              </w:rPr>
              <w:t>Assignment Title:</w:t>
            </w:r>
          </w:p>
        </w:tc>
        <w:tc>
          <w:tcPr>
            <w:tcW w:w="3293" w:type="dxa"/>
          </w:tcPr>
          <w:p w14:paraId="4D2DF142" w14:textId="77777777" w:rsidR="0016477B" w:rsidRPr="007826B5" w:rsidRDefault="0016477B" w:rsidP="00B46CE7">
            <w:pPr>
              <w:spacing w:before="120" w:after="120" w:line="240" w:lineRule="auto"/>
              <w:jc w:val="both"/>
              <w:rPr>
                <w:rFonts w:cs="Arial"/>
                <w:b/>
              </w:rPr>
            </w:pPr>
            <w:r>
              <w:rPr>
                <w:rFonts w:cs="Arial"/>
                <w:b/>
              </w:rPr>
              <w:t>E-Portfolio Evidence of Learning</w:t>
            </w:r>
          </w:p>
        </w:tc>
        <w:tc>
          <w:tcPr>
            <w:tcW w:w="2268" w:type="dxa"/>
            <w:shd w:val="clear" w:color="auto" w:fill="auto"/>
          </w:tcPr>
          <w:p w14:paraId="768D60EB" w14:textId="77777777" w:rsidR="0016477B" w:rsidRPr="007826B5" w:rsidRDefault="0016477B" w:rsidP="00B46CE7">
            <w:pPr>
              <w:spacing w:before="120" w:after="120" w:line="240" w:lineRule="auto"/>
              <w:jc w:val="both"/>
              <w:rPr>
                <w:rFonts w:cs="Arial"/>
                <w:b/>
              </w:rPr>
            </w:pPr>
            <w:r w:rsidRPr="007826B5">
              <w:rPr>
                <w:rFonts w:cs="Arial"/>
                <w:b/>
              </w:rPr>
              <w:t>Word count (or equivalent):</w:t>
            </w:r>
          </w:p>
        </w:tc>
        <w:tc>
          <w:tcPr>
            <w:tcW w:w="2268" w:type="dxa"/>
          </w:tcPr>
          <w:p w14:paraId="28CBFF73" w14:textId="77777777" w:rsidR="0016477B" w:rsidRPr="007826B5" w:rsidRDefault="0016477B" w:rsidP="00B46CE7">
            <w:pPr>
              <w:spacing w:before="120" w:after="120" w:line="240" w:lineRule="auto"/>
              <w:jc w:val="both"/>
              <w:rPr>
                <w:rFonts w:cs="Arial"/>
                <w:b/>
              </w:rPr>
            </w:pPr>
            <w:r>
              <w:rPr>
                <w:rFonts w:cs="Arial"/>
                <w:b/>
              </w:rPr>
              <w:t>2000 or equivalent</w:t>
            </w:r>
          </w:p>
        </w:tc>
      </w:tr>
      <w:tr w:rsidR="0016477B" w:rsidRPr="007826B5" w14:paraId="569456C5" w14:textId="77777777" w:rsidTr="00B46CE7">
        <w:tc>
          <w:tcPr>
            <w:tcW w:w="2093" w:type="dxa"/>
            <w:shd w:val="clear" w:color="auto" w:fill="auto"/>
          </w:tcPr>
          <w:p w14:paraId="4C99455E" w14:textId="77777777" w:rsidR="0016477B" w:rsidRPr="007826B5" w:rsidRDefault="0016477B" w:rsidP="00B46CE7">
            <w:pPr>
              <w:spacing w:before="120" w:after="120" w:line="240" w:lineRule="auto"/>
              <w:jc w:val="both"/>
              <w:rPr>
                <w:rFonts w:cs="Arial"/>
                <w:b/>
              </w:rPr>
            </w:pPr>
            <w:r w:rsidRPr="007826B5">
              <w:rPr>
                <w:rFonts w:cs="Arial"/>
                <w:b/>
              </w:rPr>
              <w:t>Submission deadline:</w:t>
            </w:r>
          </w:p>
        </w:tc>
        <w:tc>
          <w:tcPr>
            <w:tcW w:w="3293" w:type="dxa"/>
            <w:shd w:val="clear" w:color="auto" w:fill="auto"/>
          </w:tcPr>
          <w:p w14:paraId="2F071213" w14:textId="77777777" w:rsidR="0016477B" w:rsidRPr="007826B5" w:rsidRDefault="0016477B" w:rsidP="00B46CE7">
            <w:pPr>
              <w:spacing w:before="120" w:after="120" w:line="240" w:lineRule="auto"/>
              <w:jc w:val="both"/>
              <w:rPr>
                <w:rFonts w:cs="Arial"/>
                <w:b/>
                <w:bCs/>
              </w:rPr>
            </w:pPr>
            <w:r w:rsidRPr="1B74FB4A">
              <w:rPr>
                <w:rFonts w:cs="Arial"/>
                <w:b/>
                <w:bCs/>
              </w:rPr>
              <w:t>25th August, 2023</w:t>
            </w:r>
          </w:p>
        </w:tc>
        <w:tc>
          <w:tcPr>
            <w:tcW w:w="2268" w:type="dxa"/>
            <w:shd w:val="clear" w:color="auto" w:fill="auto"/>
          </w:tcPr>
          <w:p w14:paraId="3D4D1E19" w14:textId="77777777" w:rsidR="0016477B" w:rsidRPr="007826B5" w:rsidRDefault="0016477B" w:rsidP="00B46CE7">
            <w:pPr>
              <w:spacing w:before="120" w:after="120" w:line="240" w:lineRule="auto"/>
              <w:jc w:val="both"/>
              <w:rPr>
                <w:rFonts w:cs="Arial"/>
                <w:b/>
              </w:rPr>
            </w:pPr>
            <w:r w:rsidRPr="007826B5">
              <w:rPr>
                <w:rFonts w:cs="Arial"/>
                <w:b/>
              </w:rPr>
              <w:t>Return date of provisional marks &amp; written feedback:</w:t>
            </w:r>
          </w:p>
        </w:tc>
        <w:tc>
          <w:tcPr>
            <w:tcW w:w="2268" w:type="dxa"/>
          </w:tcPr>
          <w:p w14:paraId="52886B97" w14:textId="77777777" w:rsidR="0016477B" w:rsidRPr="007826B5" w:rsidRDefault="0016477B" w:rsidP="00B46CE7">
            <w:pPr>
              <w:spacing w:before="120" w:after="120" w:line="240" w:lineRule="auto"/>
              <w:jc w:val="both"/>
              <w:rPr>
                <w:rFonts w:cs="Arial"/>
                <w:b/>
              </w:rPr>
            </w:pPr>
          </w:p>
        </w:tc>
      </w:tr>
      <w:tr w:rsidR="0016477B" w:rsidRPr="007826B5" w14:paraId="17FC6551" w14:textId="77777777" w:rsidTr="00B46CE7">
        <w:tc>
          <w:tcPr>
            <w:tcW w:w="2093" w:type="dxa"/>
            <w:shd w:val="clear" w:color="auto" w:fill="auto"/>
          </w:tcPr>
          <w:p w14:paraId="13D1B862" w14:textId="77777777" w:rsidR="0016477B" w:rsidRPr="007826B5" w:rsidRDefault="0016477B" w:rsidP="00B46CE7">
            <w:pPr>
              <w:spacing w:before="120" w:after="120" w:line="240" w:lineRule="auto"/>
              <w:jc w:val="both"/>
              <w:rPr>
                <w:rFonts w:cs="Arial"/>
                <w:b/>
              </w:rPr>
            </w:pPr>
            <w:r w:rsidRPr="007826B5">
              <w:rPr>
                <w:rFonts w:cs="Arial"/>
                <w:b/>
              </w:rPr>
              <w:t>Submission method:</w:t>
            </w:r>
          </w:p>
        </w:tc>
        <w:tc>
          <w:tcPr>
            <w:tcW w:w="7829" w:type="dxa"/>
            <w:gridSpan w:val="3"/>
            <w:shd w:val="clear" w:color="auto" w:fill="auto"/>
          </w:tcPr>
          <w:p w14:paraId="6F9B41E5" w14:textId="77777777" w:rsidR="0016477B" w:rsidRPr="007826B5" w:rsidRDefault="0016477B" w:rsidP="00B46CE7">
            <w:pPr>
              <w:spacing w:line="240" w:lineRule="auto"/>
              <w:rPr>
                <w:rFonts w:cs="Arial"/>
              </w:rPr>
            </w:pPr>
            <w:r w:rsidRPr="007826B5">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3BD42C" w14:textId="77777777" w:rsidR="0016477B" w:rsidRPr="007826B5" w:rsidRDefault="0016477B" w:rsidP="00B46CE7">
            <w:pPr>
              <w:spacing w:before="120" w:after="120" w:line="240" w:lineRule="auto"/>
              <w:jc w:val="both"/>
              <w:rPr>
                <w:rFonts w:cs="Arial"/>
                <w:b/>
              </w:rPr>
            </w:pPr>
            <w:r w:rsidRPr="007826B5">
              <w:rPr>
                <w:rFonts w:cs="Arial"/>
                <w:b/>
              </w:rPr>
              <w:t xml:space="preserve">Alternative submission method (if applicable): </w:t>
            </w:r>
          </w:p>
          <w:p w14:paraId="3C4757B4" w14:textId="77777777" w:rsidR="0016477B" w:rsidRPr="007826B5" w:rsidRDefault="0016477B" w:rsidP="00B46CE7">
            <w:pPr>
              <w:spacing w:before="120" w:after="120" w:line="240" w:lineRule="auto"/>
              <w:jc w:val="both"/>
              <w:rPr>
                <w:rFonts w:cs="Arial"/>
                <w:b/>
              </w:rPr>
            </w:pPr>
            <w:r w:rsidRPr="007826B5">
              <w:rPr>
                <w:rFonts w:cs="Arial"/>
                <w:b/>
              </w:rPr>
              <w:t xml:space="preserve">Late submission of the assessment will result in a late penalty mark.  </w:t>
            </w:r>
            <w:r w:rsidRPr="007826B5">
              <w:rPr>
                <w:rFonts w:cs="Arial"/>
              </w:rPr>
              <w:t>Penalties for late submission: Up to one week late, maximum mark of 40%.  Over one week late, 0%.  Only the Extenuating Circumstances Panel may approve a change to submission dates.</w:t>
            </w:r>
          </w:p>
        </w:tc>
      </w:tr>
      <w:tr w:rsidR="0016477B" w:rsidRPr="007826B5" w14:paraId="1A6132A0" w14:textId="77777777" w:rsidTr="00B46CE7">
        <w:tc>
          <w:tcPr>
            <w:tcW w:w="2093" w:type="dxa"/>
            <w:shd w:val="clear" w:color="auto" w:fill="auto"/>
          </w:tcPr>
          <w:p w14:paraId="48C78E7F" w14:textId="77777777" w:rsidR="0016477B" w:rsidRPr="007826B5" w:rsidRDefault="0016477B" w:rsidP="00B46CE7">
            <w:pPr>
              <w:spacing w:before="120" w:after="120" w:line="240" w:lineRule="auto"/>
              <w:rPr>
                <w:rFonts w:cs="Arial"/>
                <w:b/>
              </w:rPr>
            </w:pPr>
            <w:r w:rsidRPr="007826B5">
              <w:rPr>
                <w:rFonts w:cs="Arial"/>
                <w:b/>
              </w:rPr>
              <w:t>Academic honesty / referencing:</w:t>
            </w:r>
          </w:p>
        </w:tc>
        <w:tc>
          <w:tcPr>
            <w:tcW w:w="7829" w:type="dxa"/>
            <w:gridSpan w:val="3"/>
            <w:shd w:val="clear" w:color="auto" w:fill="auto"/>
          </w:tcPr>
          <w:p w14:paraId="2AB26F36" w14:textId="77777777" w:rsidR="0016477B" w:rsidRPr="007826B5" w:rsidRDefault="0016477B" w:rsidP="00B46CE7">
            <w:pPr>
              <w:spacing w:before="120" w:after="120" w:line="240" w:lineRule="auto"/>
              <w:jc w:val="both"/>
              <w:rPr>
                <w:rFonts w:cs="Arial"/>
              </w:rPr>
            </w:pPr>
            <w:r w:rsidRPr="007826B5">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DDFECF5" w14:textId="77777777" w:rsidR="004665B9" w:rsidRDefault="004665B9" w:rsidP="00E6653B">
      <w:pPr>
        <w:rPr>
          <w:rFonts w:ascii="Times New Roman" w:hAnsi="Times New Roman" w:cs="Times New Roman"/>
          <w:b/>
          <w:sz w:val="24"/>
          <w:szCs w:val="24"/>
        </w:rPr>
      </w:pPr>
    </w:p>
    <w:p w14:paraId="32923BC3" w14:textId="77777777" w:rsidR="0016477B" w:rsidRDefault="0016477B" w:rsidP="00E6653B">
      <w:pPr>
        <w:rPr>
          <w:rFonts w:ascii="Times New Roman" w:hAnsi="Times New Roman" w:cs="Times New Roman"/>
          <w:b/>
          <w:sz w:val="24"/>
          <w:szCs w:val="24"/>
        </w:rPr>
      </w:pPr>
    </w:p>
    <w:p w14:paraId="2F0B69A1" w14:textId="77777777" w:rsidR="00E6653B" w:rsidRPr="004665B9" w:rsidRDefault="00E6653B" w:rsidP="00E6653B">
      <w:pPr>
        <w:rPr>
          <w:rFonts w:ascii="Times New Roman" w:hAnsi="Times New Roman" w:cs="Times New Roman"/>
          <w:b/>
          <w:sz w:val="24"/>
          <w:szCs w:val="24"/>
        </w:rPr>
      </w:pPr>
      <w:r w:rsidRPr="004665B9">
        <w:rPr>
          <w:rFonts w:ascii="Times New Roman" w:hAnsi="Times New Roman" w:cs="Times New Roman"/>
          <w:b/>
          <w:sz w:val="24"/>
          <w:szCs w:val="24"/>
        </w:rPr>
        <w:lastRenderedPageBreak/>
        <w:t>Task 1</w:t>
      </w:r>
    </w:p>
    <w:p w14:paraId="63E00B65" w14:textId="77777777" w:rsidR="003F09B9" w:rsidRPr="004665B9" w:rsidRDefault="003F09B9" w:rsidP="003F09B9">
      <w:pPr>
        <w:rPr>
          <w:rFonts w:ascii="Times New Roman" w:hAnsi="Times New Roman" w:cs="Times New Roman"/>
          <w:b/>
          <w:sz w:val="24"/>
          <w:szCs w:val="24"/>
        </w:rPr>
      </w:pPr>
      <w:r w:rsidRPr="004665B9">
        <w:rPr>
          <w:rFonts w:ascii="Times New Roman" w:hAnsi="Times New Roman" w:cs="Times New Roman"/>
          <w:b/>
          <w:sz w:val="24"/>
          <w:szCs w:val="24"/>
        </w:rPr>
        <w:t>Title: Unveiling Barriers and Enablers for Women's Career Progression in the Tech Industry: A Mixed-Methods Investigation</w:t>
      </w:r>
    </w:p>
    <w:p w14:paraId="25220D97" w14:textId="77777777" w:rsidR="003F09B9" w:rsidRPr="004665B9" w:rsidRDefault="003F09B9" w:rsidP="003F09B9">
      <w:pPr>
        <w:rPr>
          <w:rFonts w:ascii="Times New Roman" w:hAnsi="Times New Roman" w:cs="Times New Roman"/>
          <w:b/>
          <w:sz w:val="24"/>
          <w:szCs w:val="24"/>
        </w:rPr>
      </w:pPr>
    </w:p>
    <w:p w14:paraId="267022EA" w14:textId="77777777" w:rsidR="003F09B9" w:rsidRPr="004665B9" w:rsidRDefault="003F09B9" w:rsidP="003F09B9">
      <w:pPr>
        <w:rPr>
          <w:rFonts w:ascii="Times New Roman" w:hAnsi="Times New Roman" w:cs="Times New Roman"/>
          <w:b/>
          <w:sz w:val="24"/>
          <w:szCs w:val="24"/>
        </w:rPr>
      </w:pPr>
      <w:r w:rsidRPr="004665B9">
        <w:rPr>
          <w:rFonts w:ascii="Times New Roman" w:hAnsi="Times New Roman" w:cs="Times New Roman"/>
          <w:b/>
          <w:sz w:val="24"/>
          <w:szCs w:val="24"/>
        </w:rPr>
        <w:t>Introduction</w:t>
      </w:r>
    </w:p>
    <w:p w14:paraId="36F8224E"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The technology industry has long been dominated by gender disparities, with women significantly underrepresented in various roles, especially in leadership positions. This issue has gained increasing attention as efforts to promote diversity and inclusion intensify. The research question that stems from this concern is: "What are the barriers and enablers for women's career progression in the tech industry, and what strategies can be used to address them?" This study aims to delve into the challenges women face while advancing in the tech industry, identify factors that facilitate their career growth, and propose strategies to overcome these barriers.</w:t>
      </w:r>
    </w:p>
    <w:p w14:paraId="6848E61F" w14:textId="77777777" w:rsidR="003F09B9" w:rsidRPr="004665B9" w:rsidRDefault="003F09B9" w:rsidP="003F09B9">
      <w:pPr>
        <w:rPr>
          <w:rFonts w:ascii="Times New Roman" w:hAnsi="Times New Roman" w:cs="Times New Roman"/>
          <w:b/>
          <w:sz w:val="24"/>
          <w:szCs w:val="24"/>
        </w:rPr>
      </w:pPr>
    </w:p>
    <w:p w14:paraId="4FB120A8" w14:textId="77777777" w:rsidR="003F09B9" w:rsidRPr="004665B9" w:rsidRDefault="003F09B9" w:rsidP="003F09B9">
      <w:pPr>
        <w:rPr>
          <w:rFonts w:ascii="Times New Roman" w:hAnsi="Times New Roman" w:cs="Times New Roman"/>
          <w:b/>
          <w:sz w:val="24"/>
          <w:szCs w:val="24"/>
        </w:rPr>
      </w:pPr>
      <w:r w:rsidRPr="004665B9">
        <w:rPr>
          <w:rFonts w:ascii="Times New Roman" w:hAnsi="Times New Roman" w:cs="Times New Roman"/>
          <w:b/>
          <w:sz w:val="24"/>
          <w:szCs w:val="24"/>
        </w:rPr>
        <w:t>Value of Research</w:t>
      </w:r>
    </w:p>
    <w:p w14:paraId="593EAE5D"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The significance of this research is rooted in its potential to drive transformative change in the tech industry. As the demand for technology professionals grows, it becomes imperative to tap into the diverse talent pool that includes women. Addressing the barriers that hinder women's career progression could lead to increased gender diversity in tech roles, resulting in more innovative and inclusive workplaces. Furthermore, the research findings could serve as a guide for tech companies to develop and implement effective strategies that foster women's career development and close the gender gap in the industry.</w:t>
      </w:r>
    </w:p>
    <w:p w14:paraId="54B3FDC0" w14:textId="77777777" w:rsidR="003F09B9" w:rsidRPr="004665B9" w:rsidRDefault="003F09B9" w:rsidP="003F09B9">
      <w:pPr>
        <w:rPr>
          <w:rFonts w:ascii="Times New Roman" w:hAnsi="Times New Roman" w:cs="Times New Roman"/>
          <w:sz w:val="24"/>
          <w:szCs w:val="24"/>
        </w:rPr>
      </w:pPr>
    </w:p>
    <w:p w14:paraId="181A9208" w14:textId="77777777" w:rsidR="003F09B9" w:rsidRPr="004665B9" w:rsidRDefault="003F09B9" w:rsidP="003F09B9">
      <w:pPr>
        <w:rPr>
          <w:rFonts w:ascii="Times New Roman" w:hAnsi="Times New Roman" w:cs="Times New Roman"/>
          <w:b/>
          <w:sz w:val="24"/>
          <w:szCs w:val="24"/>
        </w:rPr>
      </w:pPr>
      <w:r w:rsidRPr="004665B9">
        <w:rPr>
          <w:rFonts w:ascii="Times New Roman" w:hAnsi="Times New Roman" w:cs="Times New Roman"/>
          <w:b/>
          <w:sz w:val="24"/>
          <w:szCs w:val="24"/>
        </w:rPr>
        <w:t>Research Approach</w:t>
      </w:r>
    </w:p>
    <w:p w14:paraId="4E610A3B"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This study will employ a mixed-methods research approach, specifically using abductive reasoning. Abductive reasoning combines deductive and inductive approaches, allowing the researcher to formulate hypotheses based on existing theories and data collected during the study. This approach offers flexibility, adaptability, and a holistic understanding of the complex issue of women's career progression in the tech industry.</w:t>
      </w:r>
    </w:p>
    <w:p w14:paraId="7BD264A7" w14:textId="77777777" w:rsidR="003F09B9" w:rsidRPr="004665B9" w:rsidRDefault="003F09B9" w:rsidP="003F09B9">
      <w:pPr>
        <w:rPr>
          <w:rFonts w:ascii="Times New Roman" w:hAnsi="Times New Roman" w:cs="Times New Roman"/>
          <w:sz w:val="24"/>
          <w:szCs w:val="24"/>
        </w:rPr>
      </w:pPr>
    </w:p>
    <w:p w14:paraId="516C5819"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Qualitative Component (Inductive and Qualitative)</w:t>
      </w:r>
    </w:p>
    <w:p w14:paraId="447C939E"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The qualitative phase will involve conducting semi-structured interviews with women employed in various roles within the tech industry</w:t>
      </w:r>
      <w:r w:rsidR="001201A7" w:rsidRPr="004665B9">
        <w:rPr>
          <w:rFonts w:ascii="Times New Roman" w:hAnsi="Times New Roman" w:cs="Times New Roman"/>
          <w:sz w:val="24"/>
          <w:szCs w:val="24"/>
        </w:rPr>
        <w:t xml:space="preserve"> </w:t>
      </w:r>
      <w:r w:rsidR="001201A7" w:rsidRPr="004665B9">
        <w:rPr>
          <w:rFonts w:ascii="Times New Roman" w:hAnsi="Times New Roman" w:cs="Times New Roman"/>
          <w:sz w:val="24"/>
          <w:szCs w:val="24"/>
          <w:highlight w:val="yellow"/>
        </w:rPr>
        <w:t>(Dang, 2017; Truong, 2014)</w:t>
      </w:r>
      <w:r w:rsidRPr="004665B9">
        <w:rPr>
          <w:rFonts w:ascii="Times New Roman" w:hAnsi="Times New Roman" w:cs="Times New Roman"/>
          <w:sz w:val="24"/>
          <w:szCs w:val="24"/>
          <w:highlight w:val="yellow"/>
        </w:rPr>
        <w:t>.</w:t>
      </w:r>
      <w:r w:rsidRPr="004665B9">
        <w:rPr>
          <w:rFonts w:ascii="Times New Roman" w:hAnsi="Times New Roman" w:cs="Times New Roman"/>
          <w:sz w:val="24"/>
          <w:szCs w:val="24"/>
        </w:rPr>
        <w:t xml:space="preserve"> These interviews will offer insights into the personal experiences, challenges, and perceptions of women regarding their career advancement. By using an inductive approach, themes and patterns will emerge from participants' narratives, shedding light on the intricacies of barriers and enablers.</w:t>
      </w:r>
    </w:p>
    <w:p w14:paraId="7A37FABF" w14:textId="77777777" w:rsidR="00512FD8" w:rsidRPr="004665B9" w:rsidRDefault="00512FD8" w:rsidP="003F09B9">
      <w:pPr>
        <w:rPr>
          <w:rFonts w:ascii="Times New Roman" w:hAnsi="Times New Roman" w:cs="Times New Roman"/>
          <w:sz w:val="24"/>
          <w:szCs w:val="24"/>
        </w:rPr>
      </w:pPr>
    </w:p>
    <w:p w14:paraId="509B763C"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lastRenderedPageBreak/>
        <w:t>Quantitative Component (Deductive and Quantitative)</w:t>
      </w:r>
    </w:p>
    <w:p w14:paraId="7713B795"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A quantitative survey will be administered to a broader group of women working in the tech industry. This survey will include Likert-scale questions to quantify experiences related to career progression, pay discrepancies, and workplace dynamics. The deductive approach will guide the formulation of hypotheses based on existing theories and data analysis, allowing for statistical examination of trends and correlations</w:t>
      </w:r>
      <w:r w:rsidR="001201A7" w:rsidRPr="004665B9">
        <w:rPr>
          <w:rFonts w:ascii="Times New Roman" w:hAnsi="Times New Roman" w:cs="Times New Roman"/>
          <w:sz w:val="24"/>
          <w:szCs w:val="24"/>
        </w:rPr>
        <w:t xml:space="preserve"> </w:t>
      </w:r>
      <w:r w:rsidR="001201A7" w:rsidRPr="004665B9">
        <w:rPr>
          <w:rFonts w:ascii="Times New Roman" w:hAnsi="Times New Roman" w:cs="Times New Roman"/>
          <w:sz w:val="24"/>
          <w:szCs w:val="24"/>
          <w:highlight w:val="yellow"/>
        </w:rPr>
        <w:t>(Workplace Gender Equality Agency, 2016).</w:t>
      </w:r>
    </w:p>
    <w:p w14:paraId="4A76BC86" w14:textId="77777777" w:rsidR="0048333B" w:rsidRPr="004665B9" w:rsidRDefault="0048333B" w:rsidP="0048333B">
      <w:pPr>
        <w:rPr>
          <w:rFonts w:ascii="Times New Roman" w:hAnsi="Times New Roman" w:cs="Times New Roman"/>
          <w:b/>
          <w:sz w:val="24"/>
          <w:szCs w:val="24"/>
        </w:rPr>
      </w:pPr>
    </w:p>
    <w:p w14:paraId="482B4203"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Data Collection Methods</w:t>
      </w:r>
    </w:p>
    <w:p w14:paraId="3E90450E"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Primary Methods</w:t>
      </w:r>
    </w:p>
    <w:p w14:paraId="3FB60D5E"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Semi-structured interviews will be conducted with a purposive sample of 10-15 women in the tech industry. These interviews will be audio-recorded, transcribed, and analyzed qualitatively to identify common themes, challenges, and enablers for career progression.</w:t>
      </w:r>
    </w:p>
    <w:p w14:paraId="462B9C79"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A quantitative survey will be distributed to a minimum of 200 women currently employed in the tech industry. The survey will employ Likert-scale questions to assess various aspects of career progression, opportunities, and challenges faced by women in the industry. Open-ended questions will provide space for participants to share their experiences in their own words.</w:t>
      </w:r>
    </w:p>
    <w:p w14:paraId="121EB92F" w14:textId="77777777" w:rsidR="0048333B" w:rsidRPr="004665B9" w:rsidRDefault="0048333B" w:rsidP="0048333B">
      <w:pPr>
        <w:rPr>
          <w:rFonts w:ascii="Times New Roman" w:hAnsi="Times New Roman" w:cs="Times New Roman"/>
          <w:b/>
          <w:sz w:val="24"/>
          <w:szCs w:val="24"/>
        </w:rPr>
      </w:pPr>
    </w:p>
    <w:p w14:paraId="3FB2F0C7"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Secondary Methods</w:t>
      </w:r>
    </w:p>
    <w:p w14:paraId="4ECBDEAE" w14:textId="77777777" w:rsidR="003F09B9" w:rsidRPr="004665B9" w:rsidRDefault="0048333B" w:rsidP="0048333B">
      <w:pPr>
        <w:rPr>
          <w:rFonts w:ascii="Times New Roman" w:hAnsi="Times New Roman" w:cs="Times New Roman"/>
          <w:b/>
          <w:sz w:val="24"/>
          <w:szCs w:val="24"/>
        </w:rPr>
      </w:pPr>
      <w:r w:rsidRPr="004665B9">
        <w:rPr>
          <w:rFonts w:ascii="Times New Roman" w:hAnsi="Times New Roman" w:cs="Times New Roman"/>
          <w:sz w:val="24"/>
          <w:szCs w:val="24"/>
        </w:rPr>
        <w:t>Secondary data sources will include existing research on gender disparities in the tech industry, studies related to workplace diversity and inclusion, and reports on women's experiences in technology careers. These sources will provide a theoretical foundation and contextual understanding of the research problem</w:t>
      </w:r>
      <w:r w:rsidRPr="004665B9">
        <w:rPr>
          <w:rFonts w:ascii="Times New Roman" w:hAnsi="Times New Roman" w:cs="Times New Roman"/>
          <w:b/>
          <w:sz w:val="24"/>
          <w:szCs w:val="24"/>
        </w:rPr>
        <w:t>.</w:t>
      </w:r>
    </w:p>
    <w:p w14:paraId="7E2A919F" w14:textId="77777777" w:rsidR="003F09B9" w:rsidRPr="004665B9" w:rsidRDefault="003F09B9" w:rsidP="003F09B9">
      <w:pPr>
        <w:rPr>
          <w:rFonts w:ascii="Times New Roman" w:hAnsi="Times New Roman" w:cs="Times New Roman"/>
          <w:b/>
          <w:sz w:val="24"/>
          <w:szCs w:val="24"/>
        </w:rPr>
      </w:pPr>
    </w:p>
    <w:p w14:paraId="42218DDA" w14:textId="77777777" w:rsidR="003F09B9" w:rsidRPr="004665B9" w:rsidRDefault="003F09B9" w:rsidP="003F09B9">
      <w:pPr>
        <w:rPr>
          <w:rFonts w:ascii="Times New Roman" w:hAnsi="Times New Roman" w:cs="Times New Roman"/>
          <w:b/>
          <w:sz w:val="24"/>
          <w:szCs w:val="24"/>
        </w:rPr>
      </w:pPr>
      <w:r w:rsidRPr="004665B9">
        <w:rPr>
          <w:rFonts w:ascii="Times New Roman" w:hAnsi="Times New Roman" w:cs="Times New Roman"/>
          <w:b/>
          <w:sz w:val="24"/>
          <w:szCs w:val="24"/>
        </w:rPr>
        <w:t>Sampling Method &amp; Sample Size</w:t>
      </w:r>
    </w:p>
    <w:p w14:paraId="1C4BBF3C"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Snowball sampling, a form of purposive sampling, will be used to identify potential interview participants. Participants will be asked to refer other women in the tech industry who can contribute unique perspectives. This method is particularly useful for accessing a specific population that might be difficult to reach through traditional sampling methods.</w:t>
      </w:r>
    </w:p>
    <w:p w14:paraId="20F42EE0"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The qualitative phase will involve a sample size of 10-15 participants, aiming for diversity in roles, experiences, and backgrounds. For the quantitative survey, a target sample size of at least 200 women from various regions of the tech industry will be pursued to ensure comprehensive insights.</w:t>
      </w:r>
    </w:p>
    <w:p w14:paraId="52B70531" w14:textId="77777777" w:rsidR="003F09B9" w:rsidRPr="004665B9" w:rsidRDefault="003F09B9" w:rsidP="003F09B9">
      <w:pPr>
        <w:rPr>
          <w:rFonts w:ascii="Times New Roman" w:hAnsi="Times New Roman" w:cs="Times New Roman"/>
          <w:sz w:val="24"/>
          <w:szCs w:val="24"/>
        </w:rPr>
      </w:pPr>
    </w:p>
    <w:p w14:paraId="524EFD05" w14:textId="77777777" w:rsidR="00512FD8" w:rsidRPr="004665B9" w:rsidRDefault="00512FD8" w:rsidP="003F09B9">
      <w:pPr>
        <w:rPr>
          <w:rFonts w:ascii="Times New Roman" w:hAnsi="Times New Roman" w:cs="Times New Roman"/>
          <w:b/>
          <w:sz w:val="24"/>
          <w:szCs w:val="24"/>
        </w:rPr>
      </w:pPr>
    </w:p>
    <w:p w14:paraId="3B4D88F3" w14:textId="77777777" w:rsidR="003F09B9" w:rsidRPr="004665B9" w:rsidRDefault="003F09B9" w:rsidP="003F09B9">
      <w:pPr>
        <w:rPr>
          <w:rFonts w:ascii="Times New Roman" w:hAnsi="Times New Roman" w:cs="Times New Roman"/>
          <w:b/>
          <w:sz w:val="24"/>
          <w:szCs w:val="24"/>
        </w:rPr>
      </w:pPr>
      <w:r w:rsidRPr="004665B9">
        <w:rPr>
          <w:rFonts w:ascii="Times New Roman" w:hAnsi="Times New Roman" w:cs="Times New Roman"/>
          <w:b/>
          <w:sz w:val="24"/>
          <w:szCs w:val="24"/>
        </w:rPr>
        <w:lastRenderedPageBreak/>
        <w:t>Conclusion</w:t>
      </w:r>
    </w:p>
    <w:p w14:paraId="288BADD7" w14:textId="77777777" w:rsidR="003F09B9" w:rsidRPr="004665B9" w:rsidRDefault="003F09B9" w:rsidP="003F09B9">
      <w:pPr>
        <w:rPr>
          <w:rFonts w:ascii="Times New Roman" w:hAnsi="Times New Roman" w:cs="Times New Roman"/>
          <w:sz w:val="24"/>
          <w:szCs w:val="24"/>
        </w:rPr>
      </w:pPr>
      <w:r w:rsidRPr="004665B9">
        <w:rPr>
          <w:rFonts w:ascii="Times New Roman" w:hAnsi="Times New Roman" w:cs="Times New Roman"/>
          <w:sz w:val="24"/>
          <w:szCs w:val="24"/>
        </w:rPr>
        <w:t>In summary, this study aims to investigate barriers and enablers for women's career progression in the tech industry, and propose strategies to address these issues. The mixed-methods approach, utilizing both abductive reasoning and qualitative and quantitative data collection methods, will provide a multifaceted understanding of the challenges women face and the factors that facilitate their advancement. By uncovering these insights, the research seeks to contribute to increased gender diversity, equality, and inclusivity in the tech industry, fostering innovation and better representation of women in leadership roles.</w:t>
      </w:r>
    </w:p>
    <w:p w14:paraId="1198E999" w14:textId="77777777" w:rsidR="00983B1C" w:rsidRPr="004665B9" w:rsidRDefault="00983B1C" w:rsidP="00E6653B">
      <w:pPr>
        <w:rPr>
          <w:rFonts w:ascii="Times New Roman" w:hAnsi="Times New Roman" w:cs="Times New Roman"/>
          <w:sz w:val="24"/>
          <w:szCs w:val="24"/>
        </w:rPr>
      </w:pPr>
    </w:p>
    <w:p w14:paraId="324659EA" w14:textId="77777777" w:rsidR="00512FD8" w:rsidRPr="004665B9" w:rsidRDefault="00512FD8" w:rsidP="00E6653B">
      <w:pPr>
        <w:rPr>
          <w:rFonts w:ascii="Times New Roman" w:hAnsi="Times New Roman" w:cs="Times New Roman"/>
          <w:sz w:val="24"/>
          <w:szCs w:val="24"/>
        </w:rPr>
      </w:pPr>
    </w:p>
    <w:p w14:paraId="4FF43CD9" w14:textId="77777777" w:rsidR="00512FD8" w:rsidRPr="004665B9" w:rsidRDefault="00512FD8" w:rsidP="00E6653B">
      <w:pPr>
        <w:rPr>
          <w:rFonts w:ascii="Times New Roman" w:hAnsi="Times New Roman" w:cs="Times New Roman"/>
          <w:sz w:val="24"/>
          <w:szCs w:val="24"/>
        </w:rPr>
      </w:pPr>
    </w:p>
    <w:p w14:paraId="67CF3EAD" w14:textId="77777777" w:rsidR="00512FD8" w:rsidRPr="004665B9" w:rsidRDefault="00512FD8" w:rsidP="00E6653B">
      <w:pPr>
        <w:rPr>
          <w:rFonts w:ascii="Times New Roman" w:hAnsi="Times New Roman" w:cs="Times New Roman"/>
          <w:sz w:val="24"/>
          <w:szCs w:val="24"/>
        </w:rPr>
      </w:pPr>
    </w:p>
    <w:p w14:paraId="14A457A1" w14:textId="77777777" w:rsidR="00512FD8" w:rsidRPr="004665B9" w:rsidRDefault="00512FD8" w:rsidP="00E6653B">
      <w:pPr>
        <w:rPr>
          <w:rFonts w:ascii="Times New Roman" w:hAnsi="Times New Roman" w:cs="Times New Roman"/>
          <w:sz w:val="24"/>
          <w:szCs w:val="24"/>
        </w:rPr>
      </w:pPr>
    </w:p>
    <w:p w14:paraId="7FC27AB9" w14:textId="77777777" w:rsidR="00512FD8" w:rsidRPr="004665B9" w:rsidRDefault="00512FD8" w:rsidP="00E6653B">
      <w:pPr>
        <w:rPr>
          <w:rFonts w:ascii="Times New Roman" w:hAnsi="Times New Roman" w:cs="Times New Roman"/>
          <w:sz w:val="24"/>
          <w:szCs w:val="24"/>
        </w:rPr>
      </w:pPr>
    </w:p>
    <w:p w14:paraId="62EB1719" w14:textId="77777777" w:rsidR="00512FD8" w:rsidRPr="004665B9" w:rsidRDefault="00512FD8" w:rsidP="00E6653B">
      <w:pPr>
        <w:rPr>
          <w:rFonts w:ascii="Times New Roman" w:hAnsi="Times New Roman" w:cs="Times New Roman"/>
          <w:sz w:val="24"/>
          <w:szCs w:val="24"/>
        </w:rPr>
      </w:pPr>
    </w:p>
    <w:p w14:paraId="6FE1F8B7" w14:textId="77777777" w:rsidR="00512FD8" w:rsidRPr="004665B9" w:rsidRDefault="00512FD8" w:rsidP="00E6653B">
      <w:pPr>
        <w:rPr>
          <w:rFonts w:ascii="Times New Roman" w:hAnsi="Times New Roman" w:cs="Times New Roman"/>
          <w:sz w:val="24"/>
          <w:szCs w:val="24"/>
        </w:rPr>
      </w:pPr>
    </w:p>
    <w:p w14:paraId="4B0F6E21" w14:textId="77777777" w:rsidR="00512FD8" w:rsidRPr="004665B9" w:rsidRDefault="00512FD8" w:rsidP="00E6653B">
      <w:pPr>
        <w:rPr>
          <w:rFonts w:ascii="Times New Roman" w:hAnsi="Times New Roman" w:cs="Times New Roman"/>
          <w:sz w:val="24"/>
          <w:szCs w:val="24"/>
        </w:rPr>
      </w:pPr>
    </w:p>
    <w:p w14:paraId="2A00C653" w14:textId="77777777" w:rsidR="00512FD8" w:rsidRPr="004665B9" w:rsidRDefault="00512FD8" w:rsidP="00E6653B">
      <w:pPr>
        <w:rPr>
          <w:rFonts w:ascii="Times New Roman" w:hAnsi="Times New Roman" w:cs="Times New Roman"/>
          <w:sz w:val="24"/>
          <w:szCs w:val="24"/>
        </w:rPr>
      </w:pPr>
    </w:p>
    <w:p w14:paraId="7AC52BED" w14:textId="77777777" w:rsidR="00512FD8" w:rsidRPr="004665B9" w:rsidRDefault="00512FD8" w:rsidP="00E6653B">
      <w:pPr>
        <w:rPr>
          <w:rFonts w:ascii="Times New Roman" w:hAnsi="Times New Roman" w:cs="Times New Roman"/>
          <w:sz w:val="24"/>
          <w:szCs w:val="24"/>
        </w:rPr>
      </w:pPr>
    </w:p>
    <w:p w14:paraId="793311C3" w14:textId="77777777" w:rsidR="00512FD8" w:rsidRPr="004665B9" w:rsidRDefault="00512FD8" w:rsidP="00E6653B">
      <w:pPr>
        <w:rPr>
          <w:rFonts w:ascii="Times New Roman" w:hAnsi="Times New Roman" w:cs="Times New Roman"/>
          <w:sz w:val="24"/>
          <w:szCs w:val="24"/>
        </w:rPr>
      </w:pPr>
    </w:p>
    <w:p w14:paraId="373D70FC" w14:textId="77777777" w:rsidR="00512FD8" w:rsidRPr="004665B9" w:rsidRDefault="00512FD8" w:rsidP="00E6653B">
      <w:pPr>
        <w:rPr>
          <w:rFonts w:ascii="Times New Roman" w:hAnsi="Times New Roman" w:cs="Times New Roman"/>
          <w:sz w:val="24"/>
          <w:szCs w:val="24"/>
        </w:rPr>
      </w:pPr>
    </w:p>
    <w:p w14:paraId="4B2432DC" w14:textId="77777777" w:rsidR="00512FD8" w:rsidRPr="004665B9" w:rsidRDefault="00512FD8" w:rsidP="00E6653B">
      <w:pPr>
        <w:rPr>
          <w:rFonts w:ascii="Times New Roman" w:hAnsi="Times New Roman" w:cs="Times New Roman"/>
          <w:sz w:val="24"/>
          <w:szCs w:val="24"/>
        </w:rPr>
      </w:pPr>
    </w:p>
    <w:p w14:paraId="46C00E6B" w14:textId="77777777" w:rsidR="00512FD8" w:rsidRPr="004665B9" w:rsidRDefault="00512FD8" w:rsidP="00E6653B">
      <w:pPr>
        <w:rPr>
          <w:rFonts w:ascii="Times New Roman" w:hAnsi="Times New Roman" w:cs="Times New Roman"/>
          <w:sz w:val="24"/>
          <w:szCs w:val="24"/>
        </w:rPr>
      </w:pPr>
    </w:p>
    <w:p w14:paraId="50F5F94F" w14:textId="77777777" w:rsidR="00512FD8" w:rsidRPr="004665B9" w:rsidRDefault="00512FD8" w:rsidP="00E6653B">
      <w:pPr>
        <w:rPr>
          <w:rFonts w:ascii="Times New Roman" w:hAnsi="Times New Roman" w:cs="Times New Roman"/>
          <w:sz w:val="24"/>
          <w:szCs w:val="24"/>
        </w:rPr>
      </w:pPr>
    </w:p>
    <w:p w14:paraId="076A2EC2" w14:textId="77777777" w:rsidR="00512FD8" w:rsidRPr="004665B9" w:rsidRDefault="00512FD8" w:rsidP="00E6653B">
      <w:pPr>
        <w:rPr>
          <w:rFonts w:ascii="Times New Roman" w:hAnsi="Times New Roman" w:cs="Times New Roman"/>
          <w:sz w:val="24"/>
          <w:szCs w:val="24"/>
        </w:rPr>
      </w:pPr>
    </w:p>
    <w:p w14:paraId="0F9080E7" w14:textId="77777777" w:rsidR="00512FD8" w:rsidRPr="004665B9" w:rsidRDefault="00512FD8" w:rsidP="00E6653B">
      <w:pPr>
        <w:rPr>
          <w:rFonts w:ascii="Times New Roman" w:hAnsi="Times New Roman" w:cs="Times New Roman"/>
          <w:sz w:val="24"/>
          <w:szCs w:val="24"/>
        </w:rPr>
      </w:pPr>
    </w:p>
    <w:p w14:paraId="35ADC8C7" w14:textId="77777777" w:rsidR="00512FD8" w:rsidRPr="004665B9" w:rsidRDefault="00512FD8" w:rsidP="00E6653B">
      <w:pPr>
        <w:rPr>
          <w:rFonts w:ascii="Times New Roman" w:hAnsi="Times New Roman" w:cs="Times New Roman"/>
          <w:sz w:val="24"/>
          <w:szCs w:val="24"/>
        </w:rPr>
      </w:pPr>
    </w:p>
    <w:p w14:paraId="66FC503C" w14:textId="77777777" w:rsidR="00512FD8" w:rsidRPr="004665B9" w:rsidRDefault="00512FD8" w:rsidP="00E6653B">
      <w:pPr>
        <w:rPr>
          <w:rFonts w:ascii="Times New Roman" w:hAnsi="Times New Roman" w:cs="Times New Roman"/>
          <w:sz w:val="24"/>
          <w:szCs w:val="24"/>
        </w:rPr>
      </w:pPr>
    </w:p>
    <w:p w14:paraId="789EF4BF" w14:textId="77777777" w:rsidR="00512FD8" w:rsidRPr="004665B9" w:rsidRDefault="00512FD8" w:rsidP="00E6653B">
      <w:pPr>
        <w:rPr>
          <w:rFonts w:ascii="Times New Roman" w:hAnsi="Times New Roman" w:cs="Times New Roman"/>
          <w:sz w:val="24"/>
          <w:szCs w:val="24"/>
        </w:rPr>
      </w:pPr>
    </w:p>
    <w:p w14:paraId="05203342" w14:textId="77777777" w:rsidR="00512FD8" w:rsidRPr="004665B9" w:rsidRDefault="00512FD8" w:rsidP="00E6653B">
      <w:pPr>
        <w:rPr>
          <w:rFonts w:ascii="Times New Roman" w:hAnsi="Times New Roman" w:cs="Times New Roman"/>
          <w:sz w:val="24"/>
          <w:szCs w:val="24"/>
        </w:rPr>
      </w:pPr>
    </w:p>
    <w:p w14:paraId="3F5B25CC" w14:textId="77777777" w:rsidR="00512FD8" w:rsidRPr="004665B9" w:rsidRDefault="00512FD8" w:rsidP="00E6653B">
      <w:pPr>
        <w:rPr>
          <w:rFonts w:ascii="Times New Roman" w:hAnsi="Times New Roman" w:cs="Times New Roman"/>
          <w:sz w:val="24"/>
          <w:szCs w:val="24"/>
        </w:rPr>
      </w:pPr>
    </w:p>
    <w:p w14:paraId="26C5CD24" w14:textId="77777777" w:rsidR="0048333B" w:rsidRPr="004665B9" w:rsidRDefault="00E6653B" w:rsidP="0048333B">
      <w:pPr>
        <w:rPr>
          <w:rFonts w:ascii="Times New Roman" w:hAnsi="Times New Roman" w:cs="Times New Roman"/>
          <w:sz w:val="24"/>
          <w:szCs w:val="24"/>
        </w:rPr>
      </w:pPr>
      <w:r w:rsidRPr="004665B9">
        <w:rPr>
          <w:rFonts w:ascii="Times New Roman" w:hAnsi="Times New Roman" w:cs="Times New Roman"/>
          <w:sz w:val="24"/>
          <w:szCs w:val="24"/>
        </w:rPr>
        <w:t>Task 2</w:t>
      </w:r>
      <w:r w:rsidR="0048333B" w:rsidRPr="004665B9">
        <w:rPr>
          <w:rFonts w:ascii="Times New Roman" w:hAnsi="Times New Roman" w:cs="Times New Roman"/>
          <w:sz w:val="24"/>
          <w:szCs w:val="24"/>
        </w:rPr>
        <w:t xml:space="preserve"> </w:t>
      </w:r>
    </w:p>
    <w:p w14:paraId="0D5BA33E"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Primary Research: Qualitative Semi-Structured Interviews</w:t>
      </w:r>
    </w:p>
    <w:p w14:paraId="0F9227BD"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Conduct semi-structured interviews with 12 women currently employed in the tech industry. The interviews will be designed to explore their personal experiences, challenges, and perceptions related to career progression, barriers faced, and strategies that have facilitated their advancement. Through open-ended questions, participants can provide in-depth narratives, allowing the emergence of themes and patterns. The interviews will be audio-recorded, transcribed, and analyzed using thematic analysis to identify common barriers, enablers, and potential strategies.</w:t>
      </w:r>
    </w:p>
    <w:p w14:paraId="750B498F" w14:textId="77777777" w:rsidR="0048333B" w:rsidRPr="004665B9" w:rsidRDefault="0048333B" w:rsidP="0048333B">
      <w:pPr>
        <w:rPr>
          <w:rFonts w:ascii="Times New Roman" w:hAnsi="Times New Roman" w:cs="Times New Roman"/>
          <w:sz w:val="24"/>
          <w:szCs w:val="24"/>
        </w:rPr>
      </w:pPr>
    </w:p>
    <w:p w14:paraId="4D11F33A"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Quantitative Survey</w:t>
      </w:r>
    </w:p>
    <w:p w14:paraId="44ACD0B6"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Administer an online survey to a diverse sample of 250 women working in the tech industry. The survey will consist of Likert-scale questions, asking participants to rate their agreement with statements related to career progression, workplace culture, gender-related challenges, and strategies. Additionally, open-ended questions will allow participants to provide qualitative insights. The data collected will be analyzed quantitatively, employing statistical techniques to identify trends, correlations, and significant differences in responses.</w:t>
      </w:r>
    </w:p>
    <w:p w14:paraId="34CFAB63" w14:textId="77777777" w:rsidR="0048333B" w:rsidRPr="004665B9" w:rsidRDefault="0048333B" w:rsidP="0048333B">
      <w:pPr>
        <w:rPr>
          <w:rFonts w:ascii="Times New Roman" w:hAnsi="Times New Roman" w:cs="Times New Roman"/>
          <w:sz w:val="24"/>
          <w:szCs w:val="24"/>
        </w:rPr>
      </w:pPr>
    </w:p>
    <w:p w14:paraId="1DEEC391"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Secondary Research: Literature Review</w:t>
      </w:r>
    </w:p>
    <w:p w14:paraId="6BD159E8"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Conduct a comprehensive review of existing literature related to gender disparities, women's career progression, diversity and inclusion, and workplace challenges in the tech industry. The literature review will provide a theoretical foundation for the research, informing the development of interview questions, survey items, and the overall research framework. It will also facilitate the contextualization of findings within the bro</w:t>
      </w:r>
      <w:r w:rsidR="004665B9" w:rsidRPr="004665B9">
        <w:rPr>
          <w:rFonts w:ascii="Times New Roman" w:hAnsi="Times New Roman" w:cs="Times New Roman"/>
          <w:sz w:val="24"/>
          <w:szCs w:val="24"/>
        </w:rPr>
        <w:t>ader discourse.</w:t>
      </w:r>
    </w:p>
    <w:p w14:paraId="5972F704"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Industry Reports and Case Studies</w:t>
      </w:r>
    </w:p>
    <w:p w14:paraId="2A7B3749"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 xml:space="preserve">Examine industry reports, case studies, and white papers that highlight gender diversity initiatives, best practices, and challenges faced by tech companies in promoting women's career </w:t>
      </w:r>
      <w:r w:rsidR="004665B9" w:rsidRPr="004665B9">
        <w:rPr>
          <w:rFonts w:ascii="Times New Roman" w:hAnsi="Times New Roman" w:cs="Times New Roman"/>
          <w:sz w:val="24"/>
          <w:szCs w:val="24"/>
        </w:rPr>
        <w:t>progression (</w:t>
      </w:r>
      <w:r w:rsidR="004665B9" w:rsidRPr="004665B9">
        <w:rPr>
          <w:rFonts w:ascii="Times New Roman" w:hAnsi="Times New Roman" w:cs="Times New Roman"/>
          <w:sz w:val="24"/>
          <w:szCs w:val="24"/>
          <w:highlight w:val="yellow"/>
        </w:rPr>
        <w:t>Murphy et al., 2017)</w:t>
      </w:r>
      <w:r w:rsidRPr="004665B9">
        <w:rPr>
          <w:rFonts w:ascii="Times New Roman" w:hAnsi="Times New Roman" w:cs="Times New Roman"/>
          <w:sz w:val="24"/>
          <w:szCs w:val="24"/>
        </w:rPr>
        <w:t>. This secondary data will enrich the understanding of the context and provide insights into the effectiveness of various strategies implemented by organizations.</w:t>
      </w:r>
    </w:p>
    <w:p w14:paraId="5404B566" w14:textId="77777777" w:rsidR="0048333B" w:rsidRPr="004665B9" w:rsidRDefault="0048333B" w:rsidP="0048333B">
      <w:pPr>
        <w:rPr>
          <w:rFonts w:ascii="Times New Roman" w:hAnsi="Times New Roman" w:cs="Times New Roman"/>
          <w:sz w:val="24"/>
          <w:szCs w:val="24"/>
        </w:rPr>
      </w:pPr>
    </w:p>
    <w:p w14:paraId="53AFE7A4" w14:textId="77777777" w:rsidR="00512FD8" w:rsidRPr="004665B9" w:rsidRDefault="00512FD8" w:rsidP="0048333B">
      <w:pPr>
        <w:rPr>
          <w:rFonts w:ascii="Times New Roman" w:hAnsi="Times New Roman" w:cs="Times New Roman"/>
          <w:sz w:val="24"/>
          <w:szCs w:val="24"/>
        </w:rPr>
      </w:pPr>
    </w:p>
    <w:p w14:paraId="1E565366" w14:textId="77777777" w:rsidR="004665B9" w:rsidRPr="004665B9" w:rsidRDefault="004665B9" w:rsidP="0048333B">
      <w:pPr>
        <w:rPr>
          <w:rFonts w:ascii="Times New Roman" w:hAnsi="Times New Roman" w:cs="Times New Roman"/>
          <w:sz w:val="24"/>
          <w:szCs w:val="24"/>
        </w:rPr>
      </w:pPr>
    </w:p>
    <w:p w14:paraId="70CA3B35" w14:textId="77777777" w:rsidR="004665B9" w:rsidRPr="004665B9" w:rsidRDefault="004665B9" w:rsidP="0048333B">
      <w:pPr>
        <w:rPr>
          <w:rFonts w:ascii="Times New Roman" w:hAnsi="Times New Roman" w:cs="Times New Roman"/>
          <w:sz w:val="24"/>
          <w:szCs w:val="24"/>
        </w:rPr>
      </w:pPr>
    </w:p>
    <w:p w14:paraId="194E4137" w14:textId="77777777" w:rsidR="004665B9" w:rsidRPr="004665B9" w:rsidRDefault="004665B9" w:rsidP="0048333B">
      <w:pPr>
        <w:rPr>
          <w:rFonts w:ascii="Times New Roman" w:hAnsi="Times New Roman" w:cs="Times New Roman"/>
          <w:sz w:val="24"/>
          <w:szCs w:val="24"/>
        </w:rPr>
      </w:pPr>
    </w:p>
    <w:p w14:paraId="6A289041" w14:textId="77777777" w:rsidR="0048333B" w:rsidRPr="004665B9" w:rsidRDefault="0048333B" w:rsidP="0048333B">
      <w:pPr>
        <w:rPr>
          <w:rFonts w:ascii="Times New Roman" w:hAnsi="Times New Roman" w:cs="Times New Roman"/>
          <w:b/>
          <w:sz w:val="24"/>
          <w:szCs w:val="24"/>
        </w:rPr>
      </w:pPr>
      <w:r w:rsidRPr="004665B9">
        <w:rPr>
          <w:rFonts w:ascii="Times New Roman" w:hAnsi="Times New Roman" w:cs="Times New Roman"/>
          <w:b/>
          <w:sz w:val="24"/>
          <w:szCs w:val="24"/>
        </w:rPr>
        <w:t>Secondary Data Analysis</w:t>
      </w:r>
    </w:p>
    <w:p w14:paraId="3132ED13"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Analyze relevant secondary data sources such as statistical reports, workforce demographics, and research studies conducted by organizations focusing on gender diversity in the tech industry. This analysis will provide context for the quantitative survey findings, enabling comparisons and validation of the research outcomes.</w:t>
      </w:r>
    </w:p>
    <w:p w14:paraId="09BDB51E" w14:textId="77777777" w:rsidR="0048333B" w:rsidRPr="004665B9" w:rsidRDefault="0048333B" w:rsidP="0048333B">
      <w:pPr>
        <w:rPr>
          <w:rFonts w:ascii="Times New Roman" w:hAnsi="Times New Roman" w:cs="Times New Roman"/>
          <w:sz w:val="24"/>
          <w:szCs w:val="24"/>
        </w:rPr>
      </w:pPr>
    </w:p>
    <w:p w14:paraId="4DD9F0C0" w14:textId="77777777" w:rsidR="0048333B" w:rsidRPr="004665B9" w:rsidRDefault="0048333B" w:rsidP="00E6653B">
      <w:pPr>
        <w:rPr>
          <w:rFonts w:ascii="Times New Roman" w:hAnsi="Times New Roman" w:cs="Times New Roman"/>
          <w:sz w:val="24"/>
          <w:szCs w:val="24"/>
        </w:rPr>
      </w:pPr>
      <w:r w:rsidRPr="004665B9">
        <w:rPr>
          <w:rFonts w:ascii="Times New Roman" w:hAnsi="Times New Roman" w:cs="Times New Roman"/>
          <w:sz w:val="24"/>
          <w:szCs w:val="24"/>
        </w:rPr>
        <w:t>By employing a mixed-methods approach that incorporates primary data collection through interviews and surveys, along with secondary research through literature review and analysis of existing data, this research aims to achieve a comprehensive understanding of barriers, enablers, and strategies for women's career progression in the tech industry</w:t>
      </w:r>
      <w:r w:rsidR="001201A7" w:rsidRPr="004665B9">
        <w:rPr>
          <w:rFonts w:ascii="Times New Roman" w:hAnsi="Times New Roman" w:cs="Times New Roman"/>
          <w:sz w:val="24"/>
          <w:szCs w:val="24"/>
        </w:rPr>
        <w:t xml:space="preserve"> </w:t>
      </w:r>
      <w:r w:rsidR="001201A7" w:rsidRPr="004665B9">
        <w:rPr>
          <w:rFonts w:ascii="Times New Roman" w:hAnsi="Times New Roman" w:cs="Times New Roman"/>
          <w:sz w:val="24"/>
          <w:szCs w:val="24"/>
          <w:highlight w:val="yellow"/>
        </w:rPr>
        <w:t>(Dang, 2017; Truong, 2014)</w:t>
      </w:r>
      <w:r w:rsidRPr="004665B9">
        <w:rPr>
          <w:rFonts w:ascii="Times New Roman" w:hAnsi="Times New Roman" w:cs="Times New Roman"/>
          <w:sz w:val="24"/>
          <w:szCs w:val="24"/>
          <w:highlight w:val="yellow"/>
        </w:rPr>
        <w:t>.</w:t>
      </w:r>
      <w:r w:rsidRPr="004665B9">
        <w:rPr>
          <w:rFonts w:ascii="Times New Roman" w:hAnsi="Times New Roman" w:cs="Times New Roman"/>
          <w:sz w:val="24"/>
          <w:szCs w:val="24"/>
        </w:rPr>
        <w:t xml:space="preserve"> The combined utilization of qualitative and quantitative data sources will strengthen the validity and reliability of the research findings, contributing valuable insights to address the gender disparity issue in the tech sector.</w:t>
      </w:r>
    </w:p>
    <w:p w14:paraId="3CF5E013" w14:textId="77777777" w:rsidR="00512FD8" w:rsidRPr="004665B9" w:rsidRDefault="00512FD8" w:rsidP="00E6653B">
      <w:pPr>
        <w:rPr>
          <w:rFonts w:ascii="Times New Roman" w:hAnsi="Times New Roman" w:cs="Times New Roman"/>
          <w:sz w:val="24"/>
          <w:szCs w:val="24"/>
        </w:rPr>
      </w:pPr>
    </w:p>
    <w:p w14:paraId="3FA20913" w14:textId="77777777" w:rsidR="002C68A6" w:rsidRPr="004665B9" w:rsidRDefault="002C68A6" w:rsidP="00E6653B">
      <w:pPr>
        <w:rPr>
          <w:rFonts w:ascii="Times New Roman" w:hAnsi="Times New Roman" w:cs="Times New Roman"/>
          <w:b/>
          <w:sz w:val="24"/>
          <w:szCs w:val="24"/>
        </w:rPr>
      </w:pPr>
      <w:r w:rsidRPr="004665B9">
        <w:rPr>
          <w:rFonts w:ascii="Times New Roman" w:hAnsi="Times New Roman" w:cs="Times New Roman"/>
          <w:b/>
          <w:sz w:val="24"/>
          <w:szCs w:val="24"/>
        </w:rPr>
        <w:t>Task 3</w:t>
      </w:r>
    </w:p>
    <w:p w14:paraId="46430561"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Engaging with stakeholders is a crucial step in refining the research approach and ensuring its relevance to the field. In this case, stakeholders include professionals from the tech industry, diversity and inclusion experts, and women in technology roles. Presenting the research on "Unveiling Barriers and Enablers for Women's Career Progression in the Tech Industry" to these stakeholders can yield valuable feedback.</w:t>
      </w:r>
    </w:p>
    <w:p w14:paraId="14322E29" w14:textId="77777777" w:rsidR="0048333B" w:rsidRPr="004665B9" w:rsidRDefault="0048333B" w:rsidP="0048333B">
      <w:pPr>
        <w:rPr>
          <w:rFonts w:ascii="Times New Roman" w:hAnsi="Times New Roman" w:cs="Times New Roman"/>
          <w:sz w:val="24"/>
          <w:szCs w:val="24"/>
        </w:rPr>
      </w:pPr>
    </w:p>
    <w:p w14:paraId="64219F27"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 xml:space="preserve">Feedback from tech industry professionals will provide insights into the practical implications of the research </w:t>
      </w:r>
      <w:r w:rsidR="004665B9" w:rsidRPr="004665B9">
        <w:rPr>
          <w:rFonts w:ascii="Times New Roman" w:hAnsi="Times New Roman" w:cs="Times New Roman"/>
          <w:sz w:val="24"/>
          <w:szCs w:val="24"/>
        </w:rPr>
        <w:t>findings</w:t>
      </w:r>
      <w:r w:rsidR="004665B9" w:rsidRPr="004665B9">
        <w:rPr>
          <w:rFonts w:ascii="Times New Roman" w:hAnsi="Times New Roman" w:cs="Times New Roman"/>
          <w:sz w:val="24"/>
          <w:szCs w:val="24"/>
          <w:highlight w:val="yellow"/>
        </w:rPr>
        <w:t xml:space="preserve"> (Workplace Gender Equality Agency, 2016)</w:t>
      </w:r>
      <w:r w:rsidRPr="004665B9">
        <w:rPr>
          <w:rFonts w:ascii="Times New Roman" w:hAnsi="Times New Roman" w:cs="Times New Roman"/>
          <w:sz w:val="24"/>
          <w:szCs w:val="24"/>
        </w:rPr>
        <w:t>. Their perspectives can validate the identified barriers and enablers and help refine proposed strategies. Diversity and inclusion experts can offer guidance on framing the research within the broader context of gender equality initiatives and suggest additional factors to consider. Direct input from women working in the tech industry will validate the research's alignment with their experiences and potentially uncover nuances that could enhance the research's validity.</w:t>
      </w:r>
    </w:p>
    <w:p w14:paraId="78E38736" w14:textId="77777777" w:rsidR="0048333B" w:rsidRPr="004665B9" w:rsidRDefault="0048333B" w:rsidP="0048333B">
      <w:pPr>
        <w:rPr>
          <w:rFonts w:ascii="Times New Roman" w:hAnsi="Times New Roman" w:cs="Times New Roman"/>
          <w:sz w:val="24"/>
          <w:szCs w:val="24"/>
        </w:rPr>
      </w:pPr>
    </w:p>
    <w:p w14:paraId="4BC71FF9" w14:textId="77777777" w:rsidR="0048333B" w:rsidRPr="004665B9" w:rsidRDefault="0048333B" w:rsidP="0048333B">
      <w:pPr>
        <w:rPr>
          <w:rFonts w:ascii="Times New Roman" w:hAnsi="Times New Roman" w:cs="Times New Roman"/>
          <w:sz w:val="24"/>
          <w:szCs w:val="24"/>
        </w:rPr>
      </w:pPr>
      <w:r w:rsidRPr="004665B9">
        <w:rPr>
          <w:rFonts w:ascii="Times New Roman" w:hAnsi="Times New Roman" w:cs="Times New Roman"/>
          <w:sz w:val="24"/>
          <w:szCs w:val="24"/>
        </w:rPr>
        <w:t xml:space="preserve">Stakeholder feedback can lead to refinements in the research questions, survey design, and interview </w:t>
      </w:r>
      <w:r w:rsidR="004665B9" w:rsidRPr="004665B9">
        <w:rPr>
          <w:rFonts w:ascii="Times New Roman" w:hAnsi="Times New Roman" w:cs="Times New Roman"/>
          <w:sz w:val="24"/>
          <w:szCs w:val="24"/>
        </w:rPr>
        <w:t>approach (</w:t>
      </w:r>
      <w:r w:rsidR="004665B9" w:rsidRPr="004665B9">
        <w:rPr>
          <w:rFonts w:ascii="Times New Roman" w:hAnsi="Times New Roman" w:cs="Times New Roman"/>
          <w:sz w:val="24"/>
          <w:szCs w:val="24"/>
          <w:highlight w:val="yellow"/>
        </w:rPr>
        <w:t>Murphy et al., 2017</w:t>
      </w:r>
      <w:proofErr w:type="gramStart"/>
      <w:r w:rsidR="004665B9" w:rsidRPr="004665B9">
        <w:rPr>
          <w:rFonts w:ascii="Times New Roman" w:hAnsi="Times New Roman" w:cs="Times New Roman"/>
          <w:sz w:val="24"/>
          <w:szCs w:val="24"/>
          <w:highlight w:val="yellow"/>
        </w:rPr>
        <w:t>)</w:t>
      </w:r>
      <w:r w:rsidR="004665B9" w:rsidRPr="004665B9">
        <w:rPr>
          <w:rFonts w:ascii="Times New Roman" w:hAnsi="Times New Roman" w:cs="Times New Roman"/>
          <w:sz w:val="24"/>
          <w:szCs w:val="24"/>
        </w:rPr>
        <w:t>.</w:t>
      </w:r>
      <w:r w:rsidRPr="004665B9">
        <w:rPr>
          <w:rFonts w:ascii="Times New Roman" w:hAnsi="Times New Roman" w:cs="Times New Roman"/>
          <w:sz w:val="24"/>
          <w:szCs w:val="24"/>
        </w:rPr>
        <w:t>.</w:t>
      </w:r>
      <w:proofErr w:type="gramEnd"/>
      <w:r w:rsidRPr="004665B9">
        <w:rPr>
          <w:rFonts w:ascii="Times New Roman" w:hAnsi="Times New Roman" w:cs="Times New Roman"/>
          <w:sz w:val="24"/>
          <w:szCs w:val="24"/>
        </w:rPr>
        <w:t xml:space="preserve"> Incorporating their insights ensures that the research is well-grounded, addressing real-world challenges, and offering meaningful solutions. Ultimately, stakeholder engagement strengthens the research's impact by making it relevant, actionable, and beneficial for promoting gender diversity and women's career progression in the tech industry.</w:t>
      </w:r>
    </w:p>
    <w:p w14:paraId="312268F4" w14:textId="77777777" w:rsidR="00E6653B" w:rsidRPr="004665B9" w:rsidRDefault="00E6653B" w:rsidP="00E6653B">
      <w:pPr>
        <w:rPr>
          <w:rFonts w:ascii="Times New Roman" w:hAnsi="Times New Roman" w:cs="Times New Roman"/>
          <w:sz w:val="24"/>
          <w:szCs w:val="24"/>
        </w:rPr>
      </w:pPr>
    </w:p>
    <w:p w14:paraId="102115C9" w14:textId="77777777" w:rsidR="00512FD8" w:rsidRPr="004665B9" w:rsidRDefault="00512FD8" w:rsidP="00E6653B">
      <w:pPr>
        <w:rPr>
          <w:rFonts w:ascii="Times New Roman" w:hAnsi="Times New Roman" w:cs="Times New Roman"/>
          <w:sz w:val="24"/>
          <w:szCs w:val="24"/>
        </w:rPr>
      </w:pPr>
    </w:p>
    <w:p w14:paraId="604D7BE3" w14:textId="77777777" w:rsidR="00E6653B" w:rsidRPr="004665B9" w:rsidRDefault="006F504C" w:rsidP="00E6653B">
      <w:pPr>
        <w:rPr>
          <w:rFonts w:ascii="Times New Roman" w:hAnsi="Times New Roman" w:cs="Times New Roman"/>
          <w:b/>
          <w:sz w:val="24"/>
          <w:szCs w:val="24"/>
        </w:rPr>
      </w:pPr>
      <w:r w:rsidRPr="004665B9">
        <w:rPr>
          <w:rFonts w:ascii="Times New Roman" w:hAnsi="Times New Roman" w:cs="Times New Roman"/>
          <w:b/>
          <w:sz w:val="24"/>
          <w:szCs w:val="24"/>
        </w:rPr>
        <w:t>Task 4</w:t>
      </w:r>
    </w:p>
    <w:p w14:paraId="17969254" w14:textId="77777777" w:rsidR="00A67277" w:rsidRPr="004665B9" w:rsidRDefault="00A67277" w:rsidP="00A67277">
      <w:pPr>
        <w:rPr>
          <w:rFonts w:ascii="Times New Roman" w:hAnsi="Times New Roman" w:cs="Times New Roman"/>
          <w:b/>
          <w:sz w:val="24"/>
          <w:szCs w:val="24"/>
        </w:rPr>
      </w:pPr>
      <w:r w:rsidRPr="004665B9">
        <w:rPr>
          <w:rFonts w:ascii="Times New Roman" w:hAnsi="Times New Roman" w:cs="Times New Roman"/>
          <w:b/>
          <w:sz w:val="24"/>
          <w:szCs w:val="24"/>
        </w:rPr>
        <w:t>Conclusion</w:t>
      </w:r>
    </w:p>
    <w:p w14:paraId="06785259" w14:textId="77777777" w:rsidR="006F504C" w:rsidRPr="004665B9" w:rsidRDefault="00A67277" w:rsidP="00E6653B">
      <w:pPr>
        <w:rPr>
          <w:rFonts w:ascii="Times New Roman" w:hAnsi="Times New Roman" w:cs="Times New Roman"/>
          <w:sz w:val="24"/>
          <w:szCs w:val="24"/>
        </w:rPr>
      </w:pPr>
      <w:r w:rsidRPr="004665B9">
        <w:rPr>
          <w:rFonts w:ascii="Times New Roman" w:hAnsi="Times New Roman" w:cs="Times New Roman"/>
          <w:sz w:val="24"/>
          <w:szCs w:val="24"/>
        </w:rPr>
        <w:t>Through a mixed-methods approach, this research underscores the urgency of addressing gender disparities in the tech industry</w:t>
      </w:r>
      <w:r w:rsidR="004665B9" w:rsidRPr="004665B9">
        <w:rPr>
          <w:rFonts w:ascii="Times New Roman" w:hAnsi="Times New Roman" w:cs="Times New Roman"/>
          <w:sz w:val="24"/>
          <w:szCs w:val="24"/>
        </w:rPr>
        <w:t xml:space="preserve"> (</w:t>
      </w:r>
      <w:r w:rsidR="004665B9" w:rsidRPr="004665B9">
        <w:rPr>
          <w:rFonts w:ascii="Times New Roman" w:hAnsi="Times New Roman" w:cs="Times New Roman"/>
          <w:sz w:val="24"/>
          <w:szCs w:val="24"/>
          <w:highlight w:val="yellow"/>
        </w:rPr>
        <w:t>Murphy et al., 2017</w:t>
      </w:r>
      <w:proofErr w:type="gramStart"/>
      <w:r w:rsidR="004665B9" w:rsidRPr="004665B9">
        <w:rPr>
          <w:rFonts w:ascii="Times New Roman" w:hAnsi="Times New Roman" w:cs="Times New Roman"/>
          <w:sz w:val="24"/>
          <w:szCs w:val="24"/>
          <w:highlight w:val="yellow"/>
        </w:rPr>
        <w:t>)</w:t>
      </w:r>
      <w:r w:rsidR="004665B9" w:rsidRPr="004665B9">
        <w:rPr>
          <w:rFonts w:ascii="Times New Roman" w:hAnsi="Times New Roman" w:cs="Times New Roman"/>
          <w:sz w:val="24"/>
          <w:szCs w:val="24"/>
        </w:rPr>
        <w:t>.</w:t>
      </w:r>
      <w:r w:rsidRPr="004665B9">
        <w:rPr>
          <w:rFonts w:ascii="Times New Roman" w:hAnsi="Times New Roman" w:cs="Times New Roman"/>
          <w:sz w:val="24"/>
          <w:szCs w:val="24"/>
        </w:rPr>
        <w:t>.</w:t>
      </w:r>
      <w:proofErr w:type="gramEnd"/>
      <w:r w:rsidRPr="004665B9">
        <w:rPr>
          <w:rFonts w:ascii="Times New Roman" w:hAnsi="Times New Roman" w:cs="Times New Roman"/>
          <w:sz w:val="24"/>
          <w:szCs w:val="24"/>
        </w:rPr>
        <w:t xml:space="preserve"> By identifying barriers, enablers, and strategies, this study contributes to a more diverse, inclusive, and innovative tech ecosystem. The research findings inform tech companies, policy makers, and educators about actions required to ensure equitable career opportunities for women in the tech industry. The study underscores the importance of gender diversity in driving innovation and fostering inclusive workplaces. We express gratitude to all participants, stakeholders, and experts who contributed their valuable insights to this research. Your collaboration fuels the drive for change in the tech industry. Some</w:t>
      </w:r>
      <w:r w:rsidR="006F504C" w:rsidRPr="004665B9">
        <w:rPr>
          <w:rFonts w:ascii="Times New Roman" w:hAnsi="Times New Roman" w:cs="Times New Roman"/>
          <w:sz w:val="24"/>
          <w:szCs w:val="24"/>
        </w:rPr>
        <w:t xml:space="preserve"> potential ethical considerations for this study include ensuring that informed consent is obtained from all participants and that their identities remain confidential to protect their privacy. Additionally, researchers must ensure that participants are not coerced or pressured into participating and that they have the option to withdraw at any time. Observing ethical practices in data collection, storage, and analysis is essential to avoid issues such as breaches of confidentiality and data </w:t>
      </w:r>
      <w:proofErr w:type="gramStart"/>
      <w:r w:rsidR="006F504C" w:rsidRPr="004665B9">
        <w:rPr>
          <w:rFonts w:ascii="Times New Roman" w:hAnsi="Times New Roman" w:cs="Times New Roman"/>
          <w:sz w:val="24"/>
          <w:szCs w:val="24"/>
        </w:rPr>
        <w:t>protection</w:t>
      </w:r>
      <w:r w:rsidR="004665B9" w:rsidRPr="004665B9">
        <w:rPr>
          <w:rFonts w:ascii="Times New Roman" w:hAnsi="Times New Roman" w:cs="Times New Roman"/>
          <w:sz w:val="24"/>
          <w:szCs w:val="24"/>
          <w:highlight w:val="yellow"/>
        </w:rPr>
        <w:t>(</w:t>
      </w:r>
      <w:proofErr w:type="gramEnd"/>
      <w:r w:rsidR="004665B9" w:rsidRPr="004665B9">
        <w:rPr>
          <w:rFonts w:ascii="Times New Roman" w:hAnsi="Times New Roman" w:cs="Times New Roman"/>
          <w:sz w:val="24"/>
          <w:szCs w:val="24"/>
          <w:highlight w:val="yellow"/>
        </w:rPr>
        <w:t>Dang, 2017; Truong, 2014).</w:t>
      </w:r>
      <w:r w:rsidR="006F504C" w:rsidRPr="004665B9">
        <w:rPr>
          <w:rFonts w:ascii="Times New Roman" w:hAnsi="Times New Roman" w:cs="Times New Roman"/>
          <w:sz w:val="24"/>
          <w:szCs w:val="24"/>
        </w:rPr>
        <w:t>. Finally, researchers must ensure that the study does not cause harm or distress to participants and that any potential risks are identified and addressed proactively.</w:t>
      </w:r>
    </w:p>
    <w:p w14:paraId="50FBCBCA" w14:textId="77777777" w:rsidR="00F335C0" w:rsidRDefault="00F335C0" w:rsidP="00E6653B">
      <w:pPr>
        <w:rPr>
          <w:rFonts w:ascii="Times New Roman" w:hAnsi="Times New Roman" w:cs="Times New Roman"/>
          <w:sz w:val="24"/>
        </w:rPr>
      </w:pPr>
    </w:p>
    <w:p w14:paraId="66C5EBB5" w14:textId="77777777" w:rsidR="00F335C0" w:rsidRDefault="00F335C0" w:rsidP="00E6653B">
      <w:pPr>
        <w:rPr>
          <w:rFonts w:ascii="Times New Roman" w:hAnsi="Times New Roman" w:cs="Times New Roman"/>
          <w:sz w:val="24"/>
        </w:rPr>
      </w:pPr>
    </w:p>
    <w:p w14:paraId="51F06B19" w14:textId="77777777" w:rsidR="00F335C0" w:rsidRDefault="00F335C0" w:rsidP="00E6653B">
      <w:pPr>
        <w:rPr>
          <w:rFonts w:ascii="Times New Roman" w:hAnsi="Times New Roman" w:cs="Times New Roman"/>
          <w:sz w:val="24"/>
        </w:rPr>
      </w:pPr>
    </w:p>
    <w:p w14:paraId="0F4990F3" w14:textId="77777777" w:rsidR="00F335C0" w:rsidRDefault="00F335C0" w:rsidP="00E6653B">
      <w:pPr>
        <w:rPr>
          <w:rFonts w:ascii="Times New Roman" w:hAnsi="Times New Roman" w:cs="Times New Roman"/>
          <w:sz w:val="24"/>
        </w:rPr>
      </w:pPr>
    </w:p>
    <w:p w14:paraId="144A7F37" w14:textId="77777777" w:rsidR="00F335C0" w:rsidRDefault="00F335C0" w:rsidP="00E6653B">
      <w:pPr>
        <w:rPr>
          <w:rFonts w:ascii="Times New Roman" w:hAnsi="Times New Roman" w:cs="Times New Roman"/>
          <w:sz w:val="24"/>
        </w:rPr>
      </w:pPr>
    </w:p>
    <w:p w14:paraId="08FF18A8" w14:textId="77777777" w:rsidR="00F335C0" w:rsidRDefault="00F335C0" w:rsidP="00E6653B">
      <w:pPr>
        <w:rPr>
          <w:rFonts w:ascii="Times New Roman" w:hAnsi="Times New Roman" w:cs="Times New Roman"/>
          <w:sz w:val="24"/>
        </w:rPr>
      </w:pPr>
    </w:p>
    <w:p w14:paraId="3D6196EF" w14:textId="77777777" w:rsidR="00F335C0" w:rsidRDefault="00F335C0" w:rsidP="00E6653B">
      <w:pPr>
        <w:rPr>
          <w:rFonts w:ascii="Times New Roman" w:hAnsi="Times New Roman" w:cs="Times New Roman"/>
          <w:sz w:val="24"/>
        </w:rPr>
      </w:pPr>
    </w:p>
    <w:p w14:paraId="63E8279D" w14:textId="77777777" w:rsidR="00F335C0" w:rsidRDefault="00F335C0" w:rsidP="00E6653B">
      <w:pPr>
        <w:rPr>
          <w:rFonts w:ascii="Times New Roman" w:hAnsi="Times New Roman" w:cs="Times New Roman"/>
          <w:sz w:val="24"/>
        </w:rPr>
      </w:pPr>
    </w:p>
    <w:p w14:paraId="5C44953D" w14:textId="77777777" w:rsidR="00F335C0" w:rsidRDefault="00F335C0" w:rsidP="00E6653B">
      <w:pPr>
        <w:rPr>
          <w:rFonts w:ascii="Times New Roman" w:hAnsi="Times New Roman" w:cs="Times New Roman"/>
          <w:sz w:val="24"/>
        </w:rPr>
      </w:pPr>
    </w:p>
    <w:p w14:paraId="4E1E31E1" w14:textId="77777777" w:rsidR="00F335C0" w:rsidRDefault="00F335C0" w:rsidP="00E6653B">
      <w:pPr>
        <w:rPr>
          <w:rFonts w:ascii="Times New Roman" w:hAnsi="Times New Roman" w:cs="Times New Roman"/>
          <w:sz w:val="24"/>
        </w:rPr>
      </w:pPr>
    </w:p>
    <w:p w14:paraId="776C7414" w14:textId="77777777" w:rsidR="00F335C0" w:rsidRDefault="00F335C0" w:rsidP="00E6653B">
      <w:pPr>
        <w:rPr>
          <w:rFonts w:ascii="Times New Roman" w:hAnsi="Times New Roman" w:cs="Times New Roman"/>
          <w:sz w:val="24"/>
        </w:rPr>
      </w:pPr>
    </w:p>
    <w:p w14:paraId="16AE2053" w14:textId="77777777" w:rsidR="00F335C0" w:rsidRDefault="00F335C0" w:rsidP="00E6653B">
      <w:pPr>
        <w:rPr>
          <w:rFonts w:ascii="Times New Roman" w:hAnsi="Times New Roman" w:cs="Times New Roman"/>
          <w:sz w:val="24"/>
        </w:rPr>
      </w:pPr>
    </w:p>
    <w:p w14:paraId="311AC9C6" w14:textId="77777777" w:rsidR="00F335C0" w:rsidRDefault="00F335C0" w:rsidP="00E6653B">
      <w:pPr>
        <w:rPr>
          <w:rFonts w:ascii="Times New Roman" w:hAnsi="Times New Roman" w:cs="Times New Roman"/>
          <w:sz w:val="24"/>
        </w:rPr>
      </w:pPr>
    </w:p>
    <w:p w14:paraId="6BBB7E8E" w14:textId="77777777" w:rsidR="00F335C0" w:rsidRDefault="00F335C0" w:rsidP="00E6653B">
      <w:pPr>
        <w:rPr>
          <w:rFonts w:ascii="Times New Roman" w:hAnsi="Times New Roman" w:cs="Times New Roman"/>
          <w:sz w:val="24"/>
        </w:rPr>
      </w:pPr>
    </w:p>
    <w:p w14:paraId="12F2EE52" w14:textId="77777777" w:rsidR="00F335C0" w:rsidRDefault="00F335C0" w:rsidP="00E6653B">
      <w:pPr>
        <w:rPr>
          <w:rFonts w:ascii="Times New Roman" w:hAnsi="Times New Roman" w:cs="Times New Roman"/>
          <w:sz w:val="24"/>
        </w:rPr>
      </w:pPr>
    </w:p>
    <w:p w14:paraId="0CAD8673" w14:textId="77777777" w:rsidR="00F335C0" w:rsidRDefault="00F335C0" w:rsidP="00E6653B">
      <w:pPr>
        <w:rPr>
          <w:rFonts w:ascii="Times New Roman" w:hAnsi="Times New Roman" w:cs="Times New Roman"/>
          <w:sz w:val="24"/>
        </w:rPr>
      </w:pPr>
    </w:p>
    <w:p w14:paraId="780BA844" w14:textId="77777777" w:rsidR="00F335C0" w:rsidRDefault="00F335C0" w:rsidP="00E6653B">
      <w:pPr>
        <w:rPr>
          <w:rFonts w:ascii="Times New Roman" w:hAnsi="Times New Roman" w:cs="Times New Roman"/>
          <w:sz w:val="24"/>
        </w:rPr>
      </w:pPr>
      <w:r>
        <w:rPr>
          <w:rFonts w:ascii="Times New Roman" w:hAnsi="Times New Roman" w:cs="Times New Roman"/>
          <w:sz w:val="24"/>
        </w:rPr>
        <w:t>References</w:t>
      </w:r>
    </w:p>
    <w:p w14:paraId="72432545" w14:textId="77777777" w:rsidR="00F335C0" w:rsidRPr="001201A7" w:rsidRDefault="00F335C0" w:rsidP="00F335C0">
      <w:pPr>
        <w:pStyle w:val="ListParagraph"/>
        <w:numPr>
          <w:ilvl w:val="0"/>
          <w:numId w:val="1"/>
        </w:numPr>
        <w:rPr>
          <w:rFonts w:ascii="Times New Roman" w:hAnsi="Times New Roman" w:cs="Times New Roman"/>
          <w:sz w:val="24"/>
          <w:szCs w:val="24"/>
        </w:rPr>
      </w:pPr>
      <w:r w:rsidRPr="001201A7">
        <w:rPr>
          <w:rFonts w:ascii="Times New Roman" w:hAnsi="Times New Roman" w:cs="Times New Roman"/>
          <w:sz w:val="24"/>
          <w:szCs w:val="24"/>
        </w:rPr>
        <w:t>Mate, Susan &amp; McDonald, Matthew &amp; Do, Truc. (2019). The barriers and enablers to career and leadership development: An exploration of women’s stories in two work cultures. International Journal of Organizational Analysis. 27. 857-874. 10.1108/IJOA-07-2018-1475.</w:t>
      </w:r>
    </w:p>
    <w:p w14:paraId="14F9CFEA" w14:textId="77777777" w:rsidR="00F83F4F" w:rsidRPr="001201A7" w:rsidRDefault="00F83F4F" w:rsidP="00F335C0">
      <w:pPr>
        <w:pStyle w:val="ListParagraph"/>
        <w:numPr>
          <w:ilvl w:val="0"/>
          <w:numId w:val="1"/>
        </w:numPr>
        <w:rPr>
          <w:rFonts w:ascii="Times New Roman" w:hAnsi="Times New Roman" w:cs="Times New Roman"/>
          <w:sz w:val="24"/>
          <w:szCs w:val="24"/>
        </w:rPr>
      </w:pPr>
      <w:r w:rsidRPr="001201A7">
        <w:rPr>
          <w:rFonts w:ascii="Times New Roman" w:hAnsi="Times New Roman" w:cs="Times New Roman"/>
          <w:sz w:val="24"/>
          <w:szCs w:val="24"/>
        </w:rPr>
        <w:t>Yeganeh, H. (2013), “A compound index of cultural dimensions: implications and applications”, International Journal of Organizational Analysis, Vol. 21 No. 1, pp. 5-65.</w:t>
      </w:r>
    </w:p>
    <w:p w14:paraId="4EAA039F" w14:textId="77777777" w:rsidR="00F83F4F" w:rsidRPr="001201A7" w:rsidRDefault="00F83F4F" w:rsidP="00F335C0">
      <w:pPr>
        <w:pStyle w:val="ListParagraph"/>
        <w:numPr>
          <w:ilvl w:val="0"/>
          <w:numId w:val="1"/>
        </w:numPr>
        <w:rPr>
          <w:rFonts w:ascii="Times New Roman" w:hAnsi="Times New Roman" w:cs="Times New Roman"/>
          <w:sz w:val="24"/>
          <w:szCs w:val="24"/>
        </w:rPr>
      </w:pPr>
      <w:r w:rsidRPr="001201A7">
        <w:rPr>
          <w:rFonts w:ascii="Times New Roman" w:hAnsi="Times New Roman" w:cs="Times New Roman"/>
          <w:sz w:val="24"/>
          <w:szCs w:val="24"/>
        </w:rPr>
        <w:t xml:space="preserve">World Economic Forum (2015), “Gender Gap Report”, World Economic Forum, </w:t>
      </w:r>
      <w:proofErr w:type="spellStart"/>
      <w:r w:rsidRPr="001201A7">
        <w:rPr>
          <w:rFonts w:ascii="Times New Roman" w:hAnsi="Times New Roman" w:cs="Times New Roman"/>
          <w:sz w:val="24"/>
          <w:szCs w:val="24"/>
        </w:rPr>
        <w:t>Cologny</w:t>
      </w:r>
      <w:proofErr w:type="spellEnd"/>
      <w:r w:rsidRPr="001201A7">
        <w:rPr>
          <w:rFonts w:ascii="Times New Roman" w:hAnsi="Times New Roman" w:cs="Times New Roman"/>
          <w:sz w:val="24"/>
          <w:szCs w:val="24"/>
        </w:rPr>
        <w:t>, available at: http://reports.weforum.org/global-gender-gap-report-2 (accessed 31 December 2015).</w:t>
      </w:r>
    </w:p>
    <w:p w14:paraId="6B59CCC4" w14:textId="77777777" w:rsidR="00F83F4F" w:rsidRPr="001201A7" w:rsidRDefault="00F83F4F" w:rsidP="00F335C0">
      <w:pPr>
        <w:pStyle w:val="ListParagraph"/>
        <w:numPr>
          <w:ilvl w:val="0"/>
          <w:numId w:val="1"/>
        </w:numPr>
        <w:rPr>
          <w:rFonts w:ascii="Times New Roman" w:hAnsi="Times New Roman" w:cs="Times New Roman"/>
          <w:sz w:val="24"/>
          <w:szCs w:val="24"/>
        </w:rPr>
      </w:pPr>
      <w:r w:rsidRPr="001201A7">
        <w:rPr>
          <w:rFonts w:ascii="Times New Roman" w:hAnsi="Times New Roman" w:cs="Times New Roman"/>
          <w:sz w:val="24"/>
          <w:szCs w:val="24"/>
        </w:rPr>
        <w:t xml:space="preserve">Workplace Gender Equality Agency (2016), Gender Equality Scorecard 2015-2016, Workplace Gender Equality Agency, available at: </w:t>
      </w:r>
      <w:hyperlink r:id="rId5" w:history="1">
        <w:r w:rsidRPr="001201A7">
          <w:rPr>
            <w:rStyle w:val="Hyperlink"/>
            <w:rFonts w:ascii="Times New Roman" w:hAnsi="Times New Roman" w:cs="Times New Roman"/>
            <w:sz w:val="24"/>
            <w:szCs w:val="24"/>
          </w:rPr>
          <w:t>www.wgea.gov.au/media-releases/australia%E2%80%99slatest-gender-equality-scorecard-released-today</w:t>
        </w:r>
      </w:hyperlink>
    </w:p>
    <w:p w14:paraId="6F116B85" w14:textId="77777777" w:rsidR="00F83F4F" w:rsidRPr="001201A7" w:rsidRDefault="00F83F4F" w:rsidP="00F335C0">
      <w:pPr>
        <w:pStyle w:val="ListParagraph"/>
        <w:numPr>
          <w:ilvl w:val="0"/>
          <w:numId w:val="1"/>
        </w:numPr>
        <w:rPr>
          <w:rFonts w:ascii="Times New Roman" w:hAnsi="Times New Roman" w:cs="Times New Roman"/>
          <w:sz w:val="24"/>
          <w:szCs w:val="24"/>
        </w:rPr>
      </w:pPr>
      <w:proofErr w:type="spellStart"/>
      <w:r w:rsidRPr="001201A7">
        <w:rPr>
          <w:rFonts w:ascii="Times New Roman" w:hAnsi="Times New Roman" w:cs="Times New Roman"/>
          <w:sz w:val="24"/>
          <w:szCs w:val="24"/>
        </w:rPr>
        <w:t>Wedu</w:t>
      </w:r>
      <w:proofErr w:type="spellEnd"/>
      <w:r w:rsidRPr="001201A7">
        <w:rPr>
          <w:rFonts w:ascii="Times New Roman" w:hAnsi="Times New Roman" w:cs="Times New Roman"/>
          <w:sz w:val="24"/>
          <w:szCs w:val="24"/>
        </w:rPr>
        <w:t xml:space="preserve"> (2014), “Women leaders join the mentoring walk celebrating international women’s day in </w:t>
      </w:r>
      <w:proofErr w:type="spellStart"/>
      <w:r w:rsidRPr="001201A7">
        <w:rPr>
          <w:rFonts w:ascii="Times New Roman" w:hAnsi="Times New Roman" w:cs="Times New Roman"/>
          <w:sz w:val="24"/>
          <w:szCs w:val="24"/>
        </w:rPr>
        <w:t>bangkok</w:t>
      </w:r>
      <w:proofErr w:type="spellEnd"/>
      <w:r w:rsidRPr="001201A7">
        <w:rPr>
          <w:rFonts w:ascii="Times New Roman" w:hAnsi="Times New Roman" w:cs="Times New Roman"/>
          <w:sz w:val="24"/>
          <w:szCs w:val="24"/>
        </w:rPr>
        <w:t xml:space="preserve"> to share common challenges facing women in </w:t>
      </w:r>
      <w:proofErr w:type="spellStart"/>
      <w:r w:rsidRPr="001201A7">
        <w:rPr>
          <w:rFonts w:ascii="Times New Roman" w:hAnsi="Times New Roman" w:cs="Times New Roman"/>
          <w:sz w:val="24"/>
          <w:szCs w:val="24"/>
        </w:rPr>
        <w:t>asia</w:t>
      </w:r>
      <w:proofErr w:type="spellEnd"/>
      <w:r w:rsidRPr="001201A7">
        <w:rPr>
          <w:rFonts w:ascii="Times New Roman" w:hAnsi="Times New Roman" w:cs="Times New Roman"/>
          <w:sz w:val="24"/>
          <w:szCs w:val="24"/>
        </w:rPr>
        <w:t xml:space="preserve">”, </w:t>
      </w:r>
      <w:proofErr w:type="spellStart"/>
      <w:r w:rsidRPr="001201A7">
        <w:rPr>
          <w:rFonts w:ascii="Times New Roman" w:hAnsi="Times New Roman" w:cs="Times New Roman"/>
          <w:sz w:val="24"/>
          <w:szCs w:val="24"/>
        </w:rPr>
        <w:t>Wedu</w:t>
      </w:r>
      <w:proofErr w:type="spellEnd"/>
      <w:r w:rsidRPr="001201A7">
        <w:rPr>
          <w:rFonts w:ascii="Times New Roman" w:hAnsi="Times New Roman" w:cs="Times New Roman"/>
          <w:sz w:val="24"/>
          <w:szCs w:val="24"/>
        </w:rPr>
        <w:t>, available at: http:// Barriers and enablers 873 wedufund.org/women-leaders-join-mentoring-walk-celebrating-international-womens-day-bangkokshare-common-challenges-facing-women-asia/</w:t>
      </w:r>
    </w:p>
    <w:p w14:paraId="0A56B1F3" w14:textId="77777777" w:rsidR="00F83F4F" w:rsidRPr="001201A7" w:rsidRDefault="00F83F4F" w:rsidP="00F83F4F">
      <w:pPr>
        <w:pStyle w:val="ListParagraph"/>
        <w:numPr>
          <w:ilvl w:val="0"/>
          <w:numId w:val="1"/>
        </w:numPr>
        <w:rPr>
          <w:rFonts w:ascii="Times New Roman" w:hAnsi="Times New Roman" w:cs="Times New Roman"/>
          <w:sz w:val="24"/>
          <w:szCs w:val="24"/>
        </w:rPr>
      </w:pPr>
      <w:r w:rsidRPr="001201A7">
        <w:rPr>
          <w:rFonts w:ascii="Times New Roman" w:hAnsi="Times New Roman" w:cs="Times New Roman"/>
          <w:sz w:val="24"/>
          <w:szCs w:val="24"/>
        </w:rPr>
        <w:t>Mate, S., Gordon, R. and McDonald, M. (2015), “How do women in leadership roles conceptualize their development and growth within organizations? A narrative inquiry approach, APROS 2015: Spaces, constraints”, Creativities: Organization and Disorganization Open Spaces for Theorizing, Theorizing Open Space, University of Western Sydney.</w:t>
      </w:r>
    </w:p>
    <w:p w14:paraId="3AF568A8" w14:textId="77777777" w:rsidR="00F83F4F" w:rsidRPr="001201A7" w:rsidRDefault="00F83F4F" w:rsidP="00F83F4F">
      <w:pPr>
        <w:pStyle w:val="ListParagraph"/>
        <w:numPr>
          <w:ilvl w:val="0"/>
          <w:numId w:val="1"/>
        </w:numPr>
        <w:rPr>
          <w:rFonts w:ascii="Times New Roman" w:hAnsi="Times New Roman" w:cs="Times New Roman"/>
          <w:sz w:val="24"/>
          <w:szCs w:val="24"/>
        </w:rPr>
      </w:pPr>
      <w:r w:rsidRPr="001201A7">
        <w:rPr>
          <w:rFonts w:ascii="Times New Roman" w:hAnsi="Times New Roman" w:cs="Times New Roman"/>
          <w:sz w:val="24"/>
          <w:szCs w:val="24"/>
        </w:rPr>
        <w:t xml:space="preserve">Do, T.H.V. and Brennan, M. (2015), “Complexities of </w:t>
      </w:r>
      <w:proofErr w:type="spellStart"/>
      <w:r w:rsidRPr="001201A7">
        <w:rPr>
          <w:rFonts w:ascii="Times New Roman" w:hAnsi="Times New Roman" w:cs="Times New Roman"/>
          <w:sz w:val="24"/>
          <w:szCs w:val="24"/>
        </w:rPr>
        <w:t>vietnamese</w:t>
      </w:r>
      <w:proofErr w:type="spellEnd"/>
      <w:r w:rsidRPr="001201A7">
        <w:rPr>
          <w:rFonts w:ascii="Times New Roman" w:hAnsi="Times New Roman" w:cs="Times New Roman"/>
          <w:sz w:val="24"/>
          <w:szCs w:val="24"/>
        </w:rPr>
        <w:t xml:space="preserve"> femininities: a resource for rethinking women’s university leadership practices”, Gender and Education, Vol. 27 No. 3, pp. 273-287.</w:t>
      </w:r>
    </w:p>
    <w:p w14:paraId="73BCC367" w14:textId="77777777" w:rsidR="00F83F4F" w:rsidRPr="001201A7" w:rsidRDefault="001201A7" w:rsidP="00F83F4F">
      <w:pPr>
        <w:pStyle w:val="ListParagraph"/>
        <w:numPr>
          <w:ilvl w:val="0"/>
          <w:numId w:val="1"/>
        </w:numPr>
        <w:rPr>
          <w:rFonts w:ascii="Times New Roman" w:hAnsi="Times New Roman" w:cs="Times New Roman"/>
          <w:sz w:val="24"/>
          <w:szCs w:val="24"/>
        </w:rPr>
      </w:pPr>
      <w:r w:rsidRPr="001201A7">
        <w:rPr>
          <w:rFonts w:ascii="Times New Roman" w:hAnsi="Times New Roman" w:cs="Times New Roman"/>
          <w:color w:val="222222"/>
          <w:sz w:val="24"/>
          <w:szCs w:val="24"/>
          <w:shd w:val="clear" w:color="auto" w:fill="FFFFFF"/>
        </w:rPr>
        <w:t>Molina-</w:t>
      </w:r>
      <w:proofErr w:type="spellStart"/>
      <w:r w:rsidRPr="001201A7">
        <w:rPr>
          <w:rFonts w:ascii="Times New Roman" w:hAnsi="Times New Roman" w:cs="Times New Roman"/>
          <w:color w:val="222222"/>
          <w:sz w:val="24"/>
          <w:szCs w:val="24"/>
          <w:shd w:val="clear" w:color="auto" w:fill="FFFFFF"/>
        </w:rPr>
        <w:t>Azorin</w:t>
      </w:r>
      <w:proofErr w:type="spellEnd"/>
      <w:r w:rsidRPr="001201A7">
        <w:rPr>
          <w:rFonts w:ascii="Times New Roman" w:hAnsi="Times New Roman" w:cs="Times New Roman"/>
          <w:color w:val="222222"/>
          <w:sz w:val="24"/>
          <w:szCs w:val="24"/>
          <w:shd w:val="clear" w:color="auto" w:fill="FFFFFF"/>
        </w:rPr>
        <w:t>, J. F., &amp; Guetterman, T. C. (2023). Special Issues on Mixed Methods Research: Expanding the Use of Mixed Methods in Disciplines. </w:t>
      </w:r>
      <w:r w:rsidRPr="001201A7">
        <w:rPr>
          <w:rFonts w:ascii="Times New Roman" w:hAnsi="Times New Roman" w:cs="Times New Roman"/>
          <w:i/>
          <w:iCs/>
          <w:color w:val="222222"/>
          <w:sz w:val="24"/>
          <w:szCs w:val="24"/>
          <w:shd w:val="clear" w:color="auto" w:fill="FFFFFF"/>
        </w:rPr>
        <w:t>Journal of Mixed Methods Research</w:t>
      </w:r>
      <w:r w:rsidRPr="001201A7">
        <w:rPr>
          <w:rFonts w:ascii="Times New Roman" w:hAnsi="Times New Roman" w:cs="Times New Roman"/>
          <w:color w:val="222222"/>
          <w:sz w:val="24"/>
          <w:szCs w:val="24"/>
          <w:shd w:val="clear" w:color="auto" w:fill="FFFFFF"/>
        </w:rPr>
        <w:t>, </w:t>
      </w:r>
      <w:r w:rsidRPr="001201A7">
        <w:rPr>
          <w:rFonts w:ascii="Times New Roman" w:hAnsi="Times New Roman" w:cs="Times New Roman"/>
          <w:i/>
          <w:iCs/>
          <w:color w:val="222222"/>
          <w:sz w:val="24"/>
          <w:szCs w:val="24"/>
          <w:shd w:val="clear" w:color="auto" w:fill="FFFFFF"/>
        </w:rPr>
        <w:t>17</w:t>
      </w:r>
      <w:r w:rsidRPr="001201A7">
        <w:rPr>
          <w:rFonts w:ascii="Times New Roman" w:hAnsi="Times New Roman" w:cs="Times New Roman"/>
          <w:color w:val="222222"/>
          <w:sz w:val="24"/>
          <w:szCs w:val="24"/>
          <w:shd w:val="clear" w:color="auto" w:fill="FFFFFF"/>
        </w:rPr>
        <w:t>(3), 234-242.</w:t>
      </w:r>
    </w:p>
    <w:p w14:paraId="2BA14679" w14:textId="77777777" w:rsidR="001201A7" w:rsidRPr="001201A7" w:rsidRDefault="001201A7" w:rsidP="00F83F4F">
      <w:pPr>
        <w:pStyle w:val="ListParagraph"/>
        <w:numPr>
          <w:ilvl w:val="0"/>
          <w:numId w:val="1"/>
        </w:numPr>
        <w:rPr>
          <w:rFonts w:ascii="Times New Roman" w:hAnsi="Times New Roman" w:cs="Times New Roman"/>
          <w:sz w:val="24"/>
          <w:szCs w:val="24"/>
        </w:rPr>
      </w:pPr>
      <w:r w:rsidRPr="001201A7">
        <w:rPr>
          <w:rFonts w:ascii="Times New Roman" w:hAnsi="Times New Roman" w:cs="Times New Roman"/>
          <w:color w:val="222222"/>
          <w:sz w:val="24"/>
          <w:szCs w:val="24"/>
          <w:shd w:val="clear" w:color="auto" w:fill="FFFFFF"/>
        </w:rPr>
        <w:t>Leko, M. M., Hitchcock, J. H., Love, H. R., Houchins, D. E., &amp; Conroy, M. A. (2023). Quality indicators for mixed-methods research in special education. </w:t>
      </w:r>
      <w:r w:rsidRPr="001201A7">
        <w:rPr>
          <w:rFonts w:ascii="Times New Roman" w:hAnsi="Times New Roman" w:cs="Times New Roman"/>
          <w:i/>
          <w:iCs/>
          <w:color w:val="222222"/>
          <w:sz w:val="24"/>
          <w:szCs w:val="24"/>
          <w:shd w:val="clear" w:color="auto" w:fill="FFFFFF"/>
        </w:rPr>
        <w:t>Exceptional Children</w:t>
      </w:r>
      <w:r w:rsidRPr="001201A7">
        <w:rPr>
          <w:rFonts w:ascii="Times New Roman" w:hAnsi="Times New Roman" w:cs="Times New Roman"/>
          <w:color w:val="222222"/>
          <w:sz w:val="24"/>
          <w:szCs w:val="24"/>
          <w:shd w:val="clear" w:color="auto" w:fill="FFFFFF"/>
        </w:rPr>
        <w:t>, </w:t>
      </w:r>
      <w:r w:rsidRPr="001201A7">
        <w:rPr>
          <w:rFonts w:ascii="Times New Roman" w:hAnsi="Times New Roman" w:cs="Times New Roman"/>
          <w:i/>
          <w:iCs/>
          <w:color w:val="222222"/>
          <w:sz w:val="24"/>
          <w:szCs w:val="24"/>
          <w:shd w:val="clear" w:color="auto" w:fill="FFFFFF"/>
        </w:rPr>
        <w:t>89</w:t>
      </w:r>
      <w:r w:rsidRPr="001201A7">
        <w:rPr>
          <w:rFonts w:ascii="Times New Roman" w:hAnsi="Times New Roman" w:cs="Times New Roman"/>
          <w:color w:val="222222"/>
          <w:sz w:val="24"/>
          <w:szCs w:val="24"/>
          <w:shd w:val="clear" w:color="auto" w:fill="FFFFFF"/>
        </w:rPr>
        <w:t>(4), 432-448.</w:t>
      </w:r>
    </w:p>
    <w:p w14:paraId="651953C4" w14:textId="77777777" w:rsidR="001201A7" w:rsidRPr="00F335C0" w:rsidRDefault="001201A7" w:rsidP="00F83F4F">
      <w:pPr>
        <w:pStyle w:val="ListParagraph"/>
        <w:numPr>
          <w:ilvl w:val="0"/>
          <w:numId w:val="1"/>
        </w:numPr>
        <w:rPr>
          <w:rFonts w:ascii="Times New Roman" w:hAnsi="Times New Roman" w:cs="Times New Roman"/>
          <w:sz w:val="24"/>
          <w:szCs w:val="24"/>
        </w:rPr>
      </w:pPr>
      <w:r w:rsidRPr="001201A7">
        <w:rPr>
          <w:rFonts w:ascii="Times New Roman" w:hAnsi="Times New Roman" w:cs="Times New Roman"/>
          <w:color w:val="222222"/>
          <w:sz w:val="24"/>
          <w:szCs w:val="24"/>
          <w:shd w:val="clear" w:color="auto" w:fill="FFFFFF"/>
        </w:rPr>
        <w:t>Dai, C. P., Ke, F., Pan, Y., &amp; Liu, Y. (2023). Exploring students’ learning support use in digital game-based math learning: A mixed-methods approach using machine learning and multi-cases study. </w:t>
      </w:r>
      <w:r w:rsidRPr="001201A7">
        <w:rPr>
          <w:rFonts w:ascii="Times New Roman" w:hAnsi="Times New Roman" w:cs="Times New Roman"/>
          <w:i/>
          <w:iCs/>
          <w:color w:val="222222"/>
          <w:sz w:val="24"/>
          <w:szCs w:val="24"/>
          <w:shd w:val="clear" w:color="auto" w:fill="FFFFFF"/>
        </w:rPr>
        <w:t>Computers &amp; Education</w:t>
      </w:r>
      <w:r w:rsidRPr="001201A7">
        <w:rPr>
          <w:rFonts w:ascii="Times New Roman" w:hAnsi="Times New Roman" w:cs="Times New Roman"/>
          <w:color w:val="222222"/>
          <w:sz w:val="24"/>
          <w:szCs w:val="24"/>
          <w:shd w:val="clear" w:color="auto" w:fill="FFFFFF"/>
        </w:rPr>
        <w:t>, </w:t>
      </w:r>
      <w:r w:rsidRPr="001201A7">
        <w:rPr>
          <w:rFonts w:ascii="Times New Roman" w:hAnsi="Times New Roman" w:cs="Times New Roman"/>
          <w:i/>
          <w:iCs/>
          <w:color w:val="222222"/>
          <w:sz w:val="24"/>
          <w:szCs w:val="24"/>
          <w:shd w:val="clear" w:color="auto" w:fill="FFFFFF"/>
        </w:rPr>
        <w:t>194</w:t>
      </w:r>
      <w:r w:rsidRPr="001201A7">
        <w:rPr>
          <w:rFonts w:ascii="Times New Roman" w:hAnsi="Times New Roman" w:cs="Times New Roman"/>
          <w:color w:val="222222"/>
          <w:sz w:val="24"/>
          <w:szCs w:val="24"/>
          <w:shd w:val="clear" w:color="auto" w:fill="FFFFFF"/>
        </w:rPr>
        <w:t>, 104698.</w:t>
      </w:r>
    </w:p>
    <w:sectPr w:rsidR="001201A7" w:rsidRPr="00F335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C3782"/>
    <w:multiLevelType w:val="hybridMultilevel"/>
    <w:tmpl w:val="C28C08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8039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jAyMjYxNDAxNje2MDFS0lEKTi0uzszPAykwrAUAwuV3wSwAAAA="/>
  </w:docVars>
  <w:rsids>
    <w:rsidRoot w:val="00E6653B"/>
    <w:rsid w:val="001201A7"/>
    <w:rsid w:val="0016477B"/>
    <w:rsid w:val="002C68A6"/>
    <w:rsid w:val="003F09B9"/>
    <w:rsid w:val="004665B9"/>
    <w:rsid w:val="0048333B"/>
    <w:rsid w:val="00512FD8"/>
    <w:rsid w:val="006F504C"/>
    <w:rsid w:val="00983B1C"/>
    <w:rsid w:val="00A67277"/>
    <w:rsid w:val="00AD46BF"/>
    <w:rsid w:val="00E6653B"/>
    <w:rsid w:val="00F335C0"/>
    <w:rsid w:val="00F83F4F"/>
    <w:rsid w:val="00F92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A9E31"/>
  <w15:chartTrackingRefBased/>
  <w15:docId w15:val="{0788F68A-E3D4-4EA5-9330-6107C226A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6477B"/>
    <w:pPr>
      <w:keepNext/>
      <w:spacing w:after="0" w:line="480" w:lineRule="auto"/>
      <w:jc w:val="both"/>
      <w:outlineLvl w:val="1"/>
    </w:pPr>
    <w:rPr>
      <w:rFonts w:ascii="Arial" w:eastAsia="Times New Roman" w:hAnsi="Arial" w:cs="Times New Roman"/>
      <w:b/>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35C0"/>
    <w:pPr>
      <w:ind w:left="720"/>
      <w:contextualSpacing/>
    </w:pPr>
  </w:style>
  <w:style w:type="character" w:styleId="Hyperlink">
    <w:name w:val="Hyperlink"/>
    <w:basedOn w:val="DefaultParagraphFont"/>
    <w:uiPriority w:val="99"/>
    <w:unhideWhenUsed/>
    <w:rsid w:val="00F83F4F"/>
    <w:rPr>
      <w:color w:val="0563C1" w:themeColor="hyperlink"/>
      <w:u w:val="single"/>
    </w:rPr>
  </w:style>
  <w:style w:type="character" w:customStyle="1" w:styleId="Heading2Char">
    <w:name w:val="Heading 2 Char"/>
    <w:basedOn w:val="DefaultParagraphFont"/>
    <w:link w:val="Heading2"/>
    <w:rsid w:val="0016477B"/>
    <w:rPr>
      <w:rFonts w:ascii="Arial" w:eastAsia="Times New Roman" w:hAnsi="Arial" w:cs="Times New Roman"/>
      <w:b/>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936965">
      <w:bodyDiv w:val="1"/>
      <w:marLeft w:val="0"/>
      <w:marRight w:val="0"/>
      <w:marTop w:val="0"/>
      <w:marBottom w:val="0"/>
      <w:divBdr>
        <w:top w:val="none" w:sz="0" w:space="0" w:color="auto"/>
        <w:left w:val="none" w:sz="0" w:space="0" w:color="auto"/>
        <w:bottom w:val="none" w:sz="0" w:space="0" w:color="auto"/>
        <w:right w:val="none" w:sz="0" w:space="0" w:color="auto"/>
      </w:divBdr>
    </w:div>
    <w:div w:id="752439066">
      <w:bodyDiv w:val="1"/>
      <w:marLeft w:val="0"/>
      <w:marRight w:val="0"/>
      <w:marTop w:val="0"/>
      <w:marBottom w:val="0"/>
      <w:divBdr>
        <w:top w:val="none" w:sz="0" w:space="0" w:color="auto"/>
        <w:left w:val="none" w:sz="0" w:space="0" w:color="auto"/>
        <w:bottom w:val="none" w:sz="0" w:space="0" w:color="auto"/>
        <w:right w:val="none" w:sz="0" w:space="0" w:color="auto"/>
      </w:divBdr>
    </w:div>
    <w:div w:id="983701848">
      <w:bodyDiv w:val="1"/>
      <w:marLeft w:val="0"/>
      <w:marRight w:val="0"/>
      <w:marTop w:val="0"/>
      <w:marBottom w:val="0"/>
      <w:divBdr>
        <w:top w:val="none" w:sz="0" w:space="0" w:color="auto"/>
        <w:left w:val="none" w:sz="0" w:space="0" w:color="auto"/>
        <w:bottom w:val="none" w:sz="0" w:space="0" w:color="auto"/>
        <w:right w:val="none" w:sz="0" w:space="0" w:color="auto"/>
      </w:divBdr>
    </w:div>
    <w:div w:id="2137095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wgea.gov.au/media-releases/australia%E2%80%99slatest-gender-equality-scorecard-released-toda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2282</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Lenisha Lenu</cp:lastModifiedBy>
  <cp:revision>2</cp:revision>
  <dcterms:created xsi:type="dcterms:W3CDTF">2023-09-03T14:03:00Z</dcterms:created>
  <dcterms:modified xsi:type="dcterms:W3CDTF">2023-09-03T14:03:00Z</dcterms:modified>
</cp:coreProperties>
</file>