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FE8D2" w14:textId="77777777" w:rsidR="005F0F2F" w:rsidRDefault="005F0F2F" w:rsidP="005F0F2F">
      <w:pPr>
        <w:spacing w:line="360" w:lineRule="auto"/>
        <w:jc w:val="both"/>
        <w:rPr>
          <w:rFonts w:ascii="Arial" w:hAnsi="Arial" w:cs="Arial"/>
        </w:rPr>
      </w:pPr>
    </w:p>
    <w:p w14:paraId="76A3A657" w14:textId="77777777" w:rsidR="005F0F2F" w:rsidRDefault="005F0F2F" w:rsidP="005F0F2F">
      <w:pPr>
        <w:spacing w:line="360" w:lineRule="auto"/>
        <w:jc w:val="both"/>
      </w:pPr>
      <w:r>
        <w:rPr>
          <w:rFonts w:ascii="Arial" w:hAnsi="Arial" w:cs="Arial"/>
          <w:b/>
          <w:bCs/>
          <w:noProof/>
        </w:rPr>
        <w:drawing>
          <wp:anchor distT="0" distB="0" distL="114300" distR="114300" simplePos="0" relativeHeight="251659264" behindDoc="0" locked="0" layoutInCell="1" allowOverlap="1" wp14:anchorId="54947FE0" wp14:editId="5FFA9867">
            <wp:simplePos x="0" y="0"/>
            <wp:positionH relativeFrom="column">
              <wp:align>left</wp:align>
            </wp:positionH>
            <wp:positionV relativeFrom="paragraph">
              <wp:align>top</wp:align>
            </wp:positionV>
            <wp:extent cx="2209803" cy="742950"/>
            <wp:effectExtent l="0" t="0" r="0" b="0"/>
            <wp:wrapSquare wrapText="bothSides"/>
            <wp:docPr id="930578656" name="Picture 2"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209803" cy="742950"/>
                    </a:xfrm>
                    <a:prstGeom prst="rect">
                      <a:avLst/>
                    </a:prstGeom>
                    <a:noFill/>
                    <a:ln>
                      <a:noFill/>
                      <a:prstDash/>
                    </a:ln>
                  </pic:spPr>
                </pic:pic>
              </a:graphicData>
            </a:graphic>
          </wp:anchor>
        </w:drawing>
      </w:r>
      <w:r>
        <w:rPr>
          <w:rFonts w:ascii="Arial" w:hAnsi="Arial" w:cs="Arial"/>
        </w:rPr>
        <w:br/>
      </w:r>
    </w:p>
    <w:p w14:paraId="7F314094" w14:textId="77777777" w:rsidR="005F0F2F" w:rsidRDefault="005F0F2F" w:rsidP="005F0F2F">
      <w:pPr>
        <w:spacing w:line="360" w:lineRule="auto"/>
        <w:jc w:val="both"/>
        <w:rPr>
          <w:rFonts w:ascii="Arial" w:hAnsi="Arial" w:cs="Arial"/>
        </w:rPr>
      </w:pPr>
    </w:p>
    <w:p w14:paraId="1F875A0A" w14:textId="77777777" w:rsidR="005F0F2F" w:rsidRDefault="005F0F2F" w:rsidP="00C77699">
      <w:pPr>
        <w:spacing w:line="360" w:lineRule="auto"/>
        <w:rPr>
          <w:rFonts w:ascii="Arial" w:hAnsi="Arial" w:cs="Arial"/>
          <w:sz w:val="22"/>
          <w:szCs w:val="22"/>
        </w:rPr>
      </w:pPr>
      <w:r>
        <w:rPr>
          <w:rFonts w:ascii="Arial" w:hAnsi="Arial" w:cs="Arial"/>
          <w:sz w:val="22"/>
          <w:szCs w:val="22"/>
        </w:rPr>
        <w:t>Applied Leadership and Management in the Workplace</w:t>
      </w:r>
      <w:r>
        <w:rPr>
          <w:rFonts w:ascii="Arial" w:hAnsi="Arial" w:cs="Arial"/>
          <w:sz w:val="22"/>
          <w:szCs w:val="22"/>
        </w:rPr>
        <w:br/>
        <w:t xml:space="preserve">Module Assignment Submission </w:t>
      </w:r>
      <w:r>
        <w:rPr>
          <w:rFonts w:ascii="Arial" w:hAnsi="Arial" w:cs="Arial"/>
          <w:sz w:val="22"/>
          <w:szCs w:val="22"/>
        </w:rPr>
        <w:br/>
      </w:r>
      <w:r>
        <w:rPr>
          <w:rFonts w:ascii="Arial" w:hAnsi="Arial" w:cs="Arial"/>
          <w:sz w:val="22"/>
          <w:szCs w:val="22"/>
        </w:rPr>
        <w:br/>
      </w:r>
    </w:p>
    <w:tbl>
      <w:tblPr>
        <w:tblW w:w="8784" w:type="dxa"/>
        <w:tblCellMar>
          <w:left w:w="10" w:type="dxa"/>
          <w:right w:w="10" w:type="dxa"/>
        </w:tblCellMar>
        <w:tblLook w:val="04A0" w:firstRow="1" w:lastRow="0" w:firstColumn="1" w:lastColumn="0" w:noHBand="0" w:noVBand="1"/>
      </w:tblPr>
      <w:tblGrid>
        <w:gridCol w:w="2016"/>
        <w:gridCol w:w="6768"/>
      </w:tblGrid>
      <w:tr w:rsidR="005F0F2F" w14:paraId="061F3567" w14:textId="77777777" w:rsidTr="00A02EE9">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2695F73E" w14:textId="77777777" w:rsidR="005F0F2F" w:rsidRDefault="005F0F2F" w:rsidP="00332641">
            <w:pPr>
              <w:spacing w:line="360" w:lineRule="auto"/>
              <w:jc w:val="both"/>
              <w:rPr>
                <w:rFonts w:ascii="Arial" w:hAnsi="Arial" w:cs="Arial"/>
              </w:rPr>
            </w:pPr>
            <w:r>
              <w:rPr>
                <w:rFonts w:ascii="Arial" w:hAnsi="Arial" w:cs="Arial"/>
              </w:rPr>
              <w:t>Student Name: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23AD58C" w14:textId="77777777" w:rsidR="005F0F2F" w:rsidRDefault="005F0F2F" w:rsidP="00332641">
            <w:pPr>
              <w:spacing w:line="360" w:lineRule="auto"/>
              <w:jc w:val="both"/>
              <w:rPr>
                <w:rFonts w:ascii="Arial" w:hAnsi="Arial" w:cs="Arial"/>
              </w:rPr>
            </w:pPr>
            <w:r>
              <w:rPr>
                <w:rFonts w:ascii="Arial" w:hAnsi="Arial" w:cs="Arial"/>
              </w:rPr>
              <w:t>Kelly Keefe </w:t>
            </w:r>
          </w:p>
        </w:tc>
      </w:tr>
      <w:tr w:rsidR="005F0F2F" w14:paraId="7014DF5C" w14:textId="77777777" w:rsidTr="00A02EE9">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76506637" w14:textId="77777777" w:rsidR="005F0F2F" w:rsidRDefault="005F0F2F" w:rsidP="00332641">
            <w:pPr>
              <w:spacing w:line="360" w:lineRule="auto"/>
              <w:jc w:val="both"/>
              <w:rPr>
                <w:rFonts w:ascii="Arial" w:hAnsi="Arial" w:cs="Arial"/>
              </w:rPr>
            </w:pPr>
            <w:r>
              <w:rPr>
                <w:rFonts w:ascii="Arial" w:hAnsi="Arial" w:cs="Arial"/>
              </w:rPr>
              <w:t>Student Number:</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56E35DC" w14:textId="77777777" w:rsidR="005F0F2F" w:rsidRDefault="005F0F2F" w:rsidP="00332641">
            <w:pPr>
              <w:spacing w:line="360" w:lineRule="auto"/>
              <w:jc w:val="both"/>
              <w:rPr>
                <w:rFonts w:ascii="Arial" w:hAnsi="Arial" w:cs="Arial"/>
              </w:rPr>
            </w:pPr>
            <w:r>
              <w:rPr>
                <w:rFonts w:ascii="Arial" w:hAnsi="Arial" w:cs="Arial"/>
              </w:rPr>
              <w:t>2318120</w:t>
            </w:r>
          </w:p>
        </w:tc>
      </w:tr>
      <w:tr w:rsidR="005F0F2F" w14:paraId="41790663" w14:textId="77777777" w:rsidTr="00A02EE9">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6BC9AD3A" w14:textId="77777777" w:rsidR="005F0F2F" w:rsidRDefault="005F0F2F" w:rsidP="00332641">
            <w:pPr>
              <w:spacing w:line="360" w:lineRule="auto"/>
              <w:jc w:val="both"/>
              <w:rPr>
                <w:rFonts w:ascii="Arial" w:hAnsi="Arial" w:cs="Arial"/>
              </w:rPr>
            </w:pPr>
            <w:r>
              <w:rPr>
                <w:rFonts w:ascii="Arial" w:hAnsi="Arial" w:cs="Arial"/>
              </w:rPr>
              <w:t>Module No:</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3077DFC" w14:textId="77777777" w:rsidR="005F0F2F" w:rsidRDefault="005F0F2F" w:rsidP="00332641">
            <w:pPr>
              <w:spacing w:line="360" w:lineRule="auto"/>
              <w:jc w:val="both"/>
              <w:rPr>
                <w:rFonts w:ascii="Arial" w:hAnsi="Arial" w:cs="Arial"/>
              </w:rPr>
            </w:pPr>
            <w:r>
              <w:rPr>
                <w:rFonts w:ascii="Arial" w:hAnsi="Arial" w:cs="Arial"/>
              </w:rPr>
              <w:t>BMSK5009</w:t>
            </w:r>
          </w:p>
        </w:tc>
      </w:tr>
      <w:tr w:rsidR="005F0F2F" w14:paraId="1220B389" w14:textId="77777777" w:rsidTr="00A02EE9">
        <w:trPr>
          <w:trHeight w:val="649"/>
        </w:trPr>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5AF6D5A3" w14:textId="77777777" w:rsidR="005F0F2F" w:rsidRDefault="005F0F2F" w:rsidP="00332641">
            <w:pPr>
              <w:spacing w:line="360" w:lineRule="auto"/>
              <w:jc w:val="both"/>
              <w:rPr>
                <w:rFonts w:ascii="Arial" w:hAnsi="Arial" w:cs="Arial"/>
              </w:rPr>
            </w:pPr>
            <w:r>
              <w:rPr>
                <w:rFonts w:ascii="Arial" w:hAnsi="Arial" w:cs="Arial"/>
              </w:rPr>
              <w:t>Module Title: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A6EA79B" w14:textId="77777777" w:rsidR="005F0F2F" w:rsidRDefault="005F0F2F" w:rsidP="00332641">
            <w:pPr>
              <w:spacing w:line="360" w:lineRule="auto"/>
              <w:jc w:val="both"/>
              <w:rPr>
                <w:rFonts w:ascii="Arial" w:hAnsi="Arial" w:cs="Arial"/>
              </w:rPr>
            </w:pPr>
            <w:r>
              <w:rPr>
                <w:rFonts w:ascii="Arial" w:hAnsi="Arial" w:cs="Arial"/>
                <w:b/>
                <w:color w:val="000000"/>
              </w:rPr>
              <w:t>Developing a High-Performance Culture</w:t>
            </w:r>
          </w:p>
        </w:tc>
      </w:tr>
    </w:tbl>
    <w:p w14:paraId="0B945A87" w14:textId="77777777" w:rsidR="005F0F2F" w:rsidRDefault="005F0F2F" w:rsidP="00332641">
      <w:pPr>
        <w:spacing w:line="360" w:lineRule="auto"/>
        <w:jc w:val="both"/>
        <w:rPr>
          <w:rFonts w:ascii="Arial" w:hAnsi="Arial" w:cs="Arial"/>
        </w:rPr>
      </w:pPr>
    </w:p>
    <w:p w14:paraId="556192A8" w14:textId="77777777" w:rsidR="005F0F2F" w:rsidRDefault="005F0F2F" w:rsidP="00332641">
      <w:pPr>
        <w:spacing w:line="360" w:lineRule="auto"/>
        <w:jc w:val="both"/>
      </w:pPr>
      <w:r>
        <w:rPr>
          <w:rFonts w:ascii="Arial" w:hAnsi="Arial" w:cs="Arial"/>
          <w:b/>
          <w:bCs/>
        </w:rPr>
        <w:t>Statement of Confirmation of Authenticity</w:t>
      </w:r>
    </w:p>
    <w:p w14:paraId="1B4417EB" w14:textId="77777777" w:rsidR="005F0F2F" w:rsidRDefault="005F0F2F" w:rsidP="00332641">
      <w:pPr>
        <w:spacing w:line="360" w:lineRule="auto"/>
        <w:jc w:val="both"/>
        <w:rPr>
          <w:rFonts w:ascii="Arial" w:hAnsi="Arial" w:cs="Arial"/>
          <w:sz w:val="22"/>
          <w:szCs w:val="22"/>
        </w:rPr>
      </w:pPr>
      <w:r>
        <w:rPr>
          <w:rFonts w:ascii="Arial" w:hAnsi="Arial" w:cs="Arial"/>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E564088" w14:textId="77777777" w:rsidR="005F0F2F" w:rsidRDefault="005F0F2F" w:rsidP="00332641">
      <w:pPr>
        <w:spacing w:line="360" w:lineRule="auto"/>
        <w:jc w:val="both"/>
        <w:rPr>
          <w:rFonts w:ascii="Arial" w:hAnsi="Arial" w:cs="Arial"/>
          <w:sz w:val="22"/>
          <w:szCs w:val="22"/>
        </w:rPr>
      </w:pPr>
      <w:r>
        <w:rPr>
          <w:rFonts w:ascii="Arial" w:hAnsi="Arial" w:cs="Arial"/>
          <w:sz w:val="22"/>
          <w:szCs w:val="22"/>
        </w:rPr>
        <w:t>Attention is drawn to the plagiarism and unfair practice policies of both the University and of ILM.</w:t>
      </w:r>
    </w:p>
    <w:p w14:paraId="6DF650AF" w14:textId="77777777" w:rsidR="005F0F2F" w:rsidRDefault="005F0F2F" w:rsidP="00332641">
      <w:pPr>
        <w:jc w:val="both"/>
      </w:pPr>
      <w:r>
        <w:rPr>
          <w:rFonts w:ascii="Arial" w:hAnsi="Arial" w:cs="Arial"/>
        </w:rPr>
        <w:br/>
      </w:r>
    </w:p>
    <w:p w14:paraId="1D823B05" w14:textId="77777777" w:rsidR="005F0F2F" w:rsidRDefault="005F0F2F" w:rsidP="00332641">
      <w:pPr>
        <w:jc w:val="both"/>
      </w:pPr>
    </w:p>
    <w:p w14:paraId="281EE298" w14:textId="77777777" w:rsidR="005F0F2F" w:rsidRDefault="005F0F2F" w:rsidP="00332641">
      <w:pPr>
        <w:jc w:val="both"/>
      </w:pPr>
    </w:p>
    <w:p w14:paraId="43E7A867" w14:textId="77777777" w:rsidR="005F0F2F" w:rsidRDefault="005F0F2F" w:rsidP="00332641">
      <w:pPr>
        <w:jc w:val="both"/>
      </w:pPr>
    </w:p>
    <w:p w14:paraId="29344053" w14:textId="77777777" w:rsidR="005F0F2F" w:rsidRDefault="005F0F2F" w:rsidP="00332641">
      <w:pPr>
        <w:jc w:val="both"/>
      </w:pPr>
    </w:p>
    <w:sdt>
      <w:sdtPr>
        <w:rPr>
          <w:rFonts w:asciiTheme="minorHAnsi" w:eastAsiaTheme="minorHAnsi" w:hAnsiTheme="minorHAnsi" w:cstheme="minorBidi"/>
          <w:color w:val="auto"/>
          <w:kern w:val="2"/>
          <w:sz w:val="24"/>
          <w:szCs w:val="24"/>
          <w:lang w:val="en-GB"/>
          <w14:ligatures w14:val="standardContextual"/>
        </w:rPr>
        <w:id w:val="1330168938"/>
        <w:docPartObj>
          <w:docPartGallery w:val="Table of Contents"/>
          <w:docPartUnique/>
        </w:docPartObj>
      </w:sdtPr>
      <w:sdtEndPr>
        <w:rPr>
          <w:b/>
          <w:bCs/>
          <w:noProof/>
        </w:rPr>
      </w:sdtEndPr>
      <w:sdtContent>
        <w:p w14:paraId="73E67789" w14:textId="1F80B4C9" w:rsidR="005F0F2F" w:rsidRDefault="005F0F2F" w:rsidP="00332641">
          <w:pPr>
            <w:pStyle w:val="TOCHeading"/>
            <w:jc w:val="both"/>
          </w:pPr>
          <w:r>
            <w:t>Table of Contents</w:t>
          </w:r>
        </w:p>
        <w:p w14:paraId="522E8FF9" w14:textId="28EB9BA9" w:rsidR="002C1C1B" w:rsidRDefault="005F0F2F">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4246961" w:history="1">
            <w:r w:rsidR="002C1C1B" w:rsidRPr="00796CCA">
              <w:rPr>
                <w:rStyle w:val="Hyperlink"/>
                <w:noProof/>
              </w:rPr>
              <w:t>Coaching and Mentoring Skills in the Workplace</w:t>
            </w:r>
            <w:r w:rsidR="002C1C1B">
              <w:rPr>
                <w:noProof/>
                <w:webHidden/>
              </w:rPr>
              <w:tab/>
            </w:r>
            <w:r w:rsidR="002C1C1B">
              <w:rPr>
                <w:noProof/>
                <w:webHidden/>
              </w:rPr>
              <w:fldChar w:fldCharType="begin"/>
            </w:r>
            <w:r w:rsidR="002C1C1B">
              <w:rPr>
                <w:noProof/>
                <w:webHidden/>
              </w:rPr>
              <w:instrText xml:space="preserve"> PAGEREF _Toc224246961 \h </w:instrText>
            </w:r>
            <w:r w:rsidR="002C1C1B">
              <w:rPr>
                <w:noProof/>
                <w:webHidden/>
              </w:rPr>
            </w:r>
            <w:r w:rsidR="002C1C1B">
              <w:rPr>
                <w:noProof/>
                <w:webHidden/>
              </w:rPr>
              <w:fldChar w:fldCharType="separate"/>
            </w:r>
            <w:r w:rsidR="002C1C1B">
              <w:rPr>
                <w:noProof/>
                <w:webHidden/>
              </w:rPr>
              <w:t>2</w:t>
            </w:r>
            <w:r w:rsidR="002C1C1B">
              <w:rPr>
                <w:noProof/>
                <w:webHidden/>
              </w:rPr>
              <w:fldChar w:fldCharType="end"/>
            </w:r>
          </w:hyperlink>
        </w:p>
        <w:p w14:paraId="5F562071" w14:textId="569B632C" w:rsidR="002C1C1B" w:rsidRDefault="002C1C1B">
          <w:pPr>
            <w:pStyle w:val="TOC2"/>
            <w:tabs>
              <w:tab w:val="right" w:leader="dot" w:pos="9016"/>
            </w:tabs>
            <w:rPr>
              <w:rFonts w:cstheme="minorBidi"/>
              <w:noProof/>
              <w:kern w:val="2"/>
              <w:sz w:val="24"/>
              <w:szCs w:val="24"/>
              <w:lang w:val="en-GB" w:eastAsia="en-GB"/>
              <w14:ligatures w14:val="standardContextual"/>
            </w:rPr>
          </w:pPr>
          <w:hyperlink w:anchor="_Toc224246962" w:history="1">
            <w:r w:rsidRPr="00796CCA">
              <w:rPr>
                <w:rStyle w:val="Hyperlink"/>
                <w:noProof/>
              </w:rPr>
              <w:t>1.0 Introduction</w:t>
            </w:r>
            <w:r>
              <w:rPr>
                <w:noProof/>
                <w:webHidden/>
              </w:rPr>
              <w:tab/>
            </w:r>
            <w:r>
              <w:rPr>
                <w:noProof/>
                <w:webHidden/>
              </w:rPr>
              <w:fldChar w:fldCharType="begin"/>
            </w:r>
            <w:r>
              <w:rPr>
                <w:noProof/>
                <w:webHidden/>
              </w:rPr>
              <w:instrText xml:space="preserve"> PAGEREF _Toc224246962 \h </w:instrText>
            </w:r>
            <w:r>
              <w:rPr>
                <w:noProof/>
                <w:webHidden/>
              </w:rPr>
            </w:r>
            <w:r>
              <w:rPr>
                <w:noProof/>
                <w:webHidden/>
              </w:rPr>
              <w:fldChar w:fldCharType="separate"/>
            </w:r>
            <w:r>
              <w:rPr>
                <w:noProof/>
                <w:webHidden/>
              </w:rPr>
              <w:t>2</w:t>
            </w:r>
            <w:r>
              <w:rPr>
                <w:noProof/>
                <w:webHidden/>
              </w:rPr>
              <w:fldChar w:fldCharType="end"/>
            </w:r>
          </w:hyperlink>
        </w:p>
        <w:p w14:paraId="062778DA" w14:textId="68EC3A64" w:rsidR="002C1C1B" w:rsidRDefault="002C1C1B">
          <w:pPr>
            <w:pStyle w:val="TOC2"/>
            <w:tabs>
              <w:tab w:val="right" w:leader="dot" w:pos="9016"/>
            </w:tabs>
            <w:rPr>
              <w:rFonts w:cstheme="minorBidi"/>
              <w:noProof/>
              <w:kern w:val="2"/>
              <w:sz w:val="24"/>
              <w:szCs w:val="24"/>
              <w:lang w:val="en-GB" w:eastAsia="en-GB"/>
              <w14:ligatures w14:val="standardContextual"/>
            </w:rPr>
          </w:pPr>
          <w:hyperlink w:anchor="_Toc224246963" w:history="1">
            <w:r w:rsidRPr="00796CCA">
              <w:rPr>
                <w:rStyle w:val="Hyperlink"/>
                <w:noProof/>
              </w:rPr>
              <w:t>2.0 Defining Coaching and Mentoring</w:t>
            </w:r>
            <w:r>
              <w:rPr>
                <w:noProof/>
                <w:webHidden/>
              </w:rPr>
              <w:tab/>
            </w:r>
            <w:r>
              <w:rPr>
                <w:noProof/>
                <w:webHidden/>
              </w:rPr>
              <w:fldChar w:fldCharType="begin"/>
            </w:r>
            <w:r>
              <w:rPr>
                <w:noProof/>
                <w:webHidden/>
              </w:rPr>
              <w:instrText xml:space="preserve"> PAGEREF _Toc224246963 \h </w:instrText>
            </w:r>
            <w:r>
              <w:rPr>
                <w:noProof/>
                <w:webHidden/>
              </w:rPr>
            </w:r>
            <w:r>
              <w:rPr>
                <w:noProof/>
                <w:webHidden/>
              </w:rPr>
              <w:fldChar w:fldCharType="separate"/>
            </w:r>
            <w:r>
              <w:rPr>
                <w:noProof/>
                <w:webHidden/>
              </w:rPr>
              <w:t>3</w:t>
            </w:r>
            <w:r>
              <w:rPr>
                <w:noProof/>
                <w:webHidden/>
              </w:rPr>
              <w:fldChar w:fldCharType="end"/>
            </w:r>
          </w:hyperlink>
        </w:p>
        <w:p w14:paraId="335408F4" w14:textId="28501C7B" w:rsidR="002C1C1B" w:rsidRDefault="002C1C1B">
          <w:pPr>
            <w:pStyle w:val="TOC3"/>
            <w:tabs>
              <w:tab w:val="right" w:leader="dot" w:pos="9016"/>
            </w:tabs>
            <w:rPr>
              <w:rFonts w:cstheme="minorBidi"/>
              <w:noProof/>
              <w:kern w:val="2"/>
              <w:sz w:val="24"/>
              <w:szCs w:val="24"/>
              <w:lang w:val="en-GB" w:eastAsia="en-GB"/>
              <w14:ligatures w14:val="standardContextual"/>
            </w:rPr>
          </w:pPr>
          <w:hyperlink w:anchor="_Toc224246964" w:history="1">
            <w:r w:rsidRPr="00796CCA">
              <w:rPr>
                <w:rStyle w:val="Hyperlink"/>
                <w:noProof/>
              </w:rPr>
              <w:t>2.1 Definitions and Differences</w:t>
            </w:r>
            <w:r>
              <w:rPr>
                <w:noProof/>
                <w:webHidden/>
              </w:rPr>
              <w:tab/>
            </w:r>
            <w:r>
              <w:rPr>
                <w:noProof/>
                <w:webHidden/>
              </w:rPr>
              <w:fldChar w:fldCharType="begin"/>
            </w:r>
            <w:r>
              <w:rPr>
                <w:noProof/>
                <w:webHidden/>
              </w:rPr>
              <w:instrText xml:space="preserve"> PAGEREF _Toc224246964 \h </w:instrText>
            </w:r>
            <w:r>
              <w:rPr>
                <w:noProof/>
                <w:webHidden/>
              </w:rPr>
            </w:r>
            <w:r>
              <w:rPr>
                <w:noProof/>
                <w:webHidden/>
              </w:rPr>
              <w:fldChar w:fldCharType="separate"/>
            </w:r>
            <w:r>
              <w:rPr>
                <w:noProof/>
                <w:webHidden/>
              </w:rPr>
              <w:t>3</w:t>
            </w:r>
            <w:r>
              <w:rPr>
                <w:noProof/>
                <w:webHidden/>
              </w:rPr>
              <w:fldChar w:fldCharType="end"/>
            </w:r>
          </w:hyperlink>
        </w:p>
        <w:p w14:paraId="39E8569A" w14:textId="4495C5D7" w:rsidR="002C1C1B" w:rsidRDefault="002C1C1B">
          <w:pPr>
            <w:pStyle w:val="TOC3"/>
            <w:tabs>
              <w:tab w:val="right" w:leader="dot" w:pos="9016"/>
            </w:tabs>
            <w:rPr>
              <w:rFonts w:cstheme="minorBidi"/>
              <w:noProof/>
              <w:kern w:val="2"/>
              <w:sz w:val="24"/>
              <w:szCs w:val="24"/>
              <w:lang w:val="en-GB" w:eastAsia="en-GB"/>
              <w14:ligatures w14:val="standardContextual"/>
            </w:rPr>
          </w:pPr>
          <w:hyperlink w:anchor="_Toc224246965" w:history="1">
            <w:r w:rsidRPr="00796CCA">
              <w:rPr>
                <w:rStyle w:val="Hyperlink"/>
                <w:noProof/>
              </w:rPr>
              <w:t>2.2 Why Coaching is the Chosen Focus in Aesthetic Education</w:t>
            </w:r>
            <w:r>
              <w:rPr>
                <w:noProof/>
                <w:webHidden/>
              </w:rPr>
              <w:tab/>
            </w:r>
            <w:r>
              <w:rPr>
                <w:noProof/>
                <w:webHidden/>
              </w:rPr>
              <w:fldChar w:fldCharType="begin"/>
            </w:r>
            <w:r>
              <w:rPr>
                <w:noProof/>
                <w:webHidden/>
              </w:rPr>
              <w:instrText xml:space="preserve"> PAGEREF _Toc224246965 \h </w:instrText>
            </w:r>
            <w:r>
              <w:rPr>
                <w:noProof/>
                <w:webHidden/>
              </w:rPr>
            </w:r>
            <w:r>
              <w:rPr>
                <w:noProof/>
                <w:webHidden/>
              </w:rPr>
              <w:fldChar w:fldCharType="separate"/>
            </w:r>
            <w:r>
              <w:rPr>
                <w:noProof/>
                <w:webHidden/>
              </w:rPr>
              <w:t>4</w:t>
            </w:r>
            <w:r>
              <w:rPr>
                <w:noProof/>
                <w:webHidden/>
              </w:rPr>
              <w:fldChar w:fldCharType="end"/>
            </w:r>
          </w:hyperlink>
        </w:p>
        <w:p w14:paraId="214F233F" w14:textId="146F14F3" w:rsidR="002C1C1B" w:rsidRDefault="002C1C1B">
          <w:pPr>
            <w:pStyle w:val="TOC3"/>
            <w:tabs>
              <w:tab w:val="right" w:leader="dot" w:pos="9016"/>
            </w:tabs>
            <w:rPr>
              <w:rFonts w:cstheme="minorBidi"/>
              <w:noProof/>
              <w:kern w:val="2"/>
              <w:sz w:val="24"/>
              <w:szCs w:val="24"/>
              <w:lang w:val="en-GB" w:eastAsia="en-GB"/>
              <w14:ligatures w14:val="standardContextual"/>
            </w:rPr>
          </w:pPr>
          <w:hyperlink w:anchor="_Toc224246966" w:history="1">
            <w:r w:rsidRPr="00796CCA">
              <w:rPr>
                <w:rStyle w:val="Hyperlink"/>
                <w:noProof/>
              </w:rPr>
              <w:t>3.0 Knowledge, Skills, Attitudes and Behaviours of an Effective Workplace Coach</w:t>
            </w:r>
            <w:r>
              <w:rPr>
                <w:noProof/>
                <w:webHidden/>
              </w:rPr>
              <w:tab/>
            </w:r>
            <w:r>
              <w:rPr>
                <w:noProof/>
                <w:webHidden/>
              </w:rPr>
              <w:fldChar w:fldCharType="begin"/>
            </w:r>
            <w:r>
              <w:rPr>
                <w:noProof/>
                <w:webHidden/>
              </w:rPr>
              <w:instrText xml:space="preserve"> PAGEREF _Toc224246966 \h </w:instrText>
            </w:r>
            <w:r>
              <w:rPr>
                <w:noProof/>
                <w:webHidden/>
              </w:rPr>
            </w:r>
            <w:r>
              <w:rPr>
                <w:noProof/>
                <w:webHidden/>
              </w:rPr>
              <w:fldChar w:fldCharType="separate"/>
            </w:r>
            <w:r>
              <w:rPr>
                <w:noProof/>
                <w:webHidden/>
              </w:rPr>
              <w:t>5</w:t>
            </w:r>
            <w:r>
              <w:rPr>
                <w:noProof/>
                <w:webHidden/>
              </w:rPr>
              <w:fldChar w:fldCharType="end"/>
            </w:r>
          </w:hyperlink>
        </w:p>
        <w:p w14:paraId="7407DE6F" w14:textId="3E7B0419" w:rsidR="002C1C1B" w:rsidRDefault="002C1C1B">
          <w:pPr>
            <w:pStyle w:val="TOC3"/>
            <w:tabs>
              <w:tab w:val="right" w:leader="dot" w:pos="9016"/>
            </w:tabs>
            <w:rPr>
              <w:rFonts w:cstheme="minorBidi"/>
              <w:noProof/>
              <w:kern w:val="2"/>
              <w:sz w:val="24"/>
              <w:szCs w:val="24"/>
              <w:lang w:val="en-GB" w:eastAsia="en-GB"/>
              <w14:ligatures w14:val="standardContextual"/>
            </w:rPr>
          </w:pPr>
          <w:hyperlink w:anchor="_Toc224246967" w:history="1">
            <w:r w:rsidRPr="00796CCA">
              <w:rPr>
                <w:rStyle w:val="Hyperlink"/>
                <w:noProof/>
              </w:rPr>
              <w:t>3.1 Purpose and Context of Workplace Coaching</w:t>
            </w:r>
            <w:r>
              <w:rPr>
                <w:noProof/>
                <w:webHidden/>
              </w:rPr>
              <w:tab/>
            </w:r>
            <w:r>
              <w:rPr>
                <w:noProof/>
                <w:webHidden/>
              </w:rPr>
              <w:fldChar w:fldCharType="begin"/>
            </w:r>
            <w:r>
              <w:rPr>
                <w:noProof/>
                <w:webHidden/>
              </w:rPr>
              <w:instrText xml:space="preserve"> PAGEREF _Toc224246967 \h </w:instrText>
            </w:r>
            <w:r>
              <w:rPr>
                <w:noProof/>
                <w:webHidden/>
              </w:rPr>
            </w:r>
            <w:r>
              <w:rPr>
                <w:noProof/>
                <w:webHidden/>
              </w:rPr>
              <w:fldChar w:fldCharType="separate"/>
            </w:r>
            <w:r>
              <w:rPr>
                <w:noProof/>
                <w:webHidden/>
              </w:rPr>
              <w:t>5</w:t>
            </w:r>
            <w:r>
              <w:rPr>
                <w:noProof/>
                <w:webHidden/>
              </w:rPr>
              <w:fldChar w:fldCharType="end"/>
            </w:r>
          </w:hyperlink>
        </w:p>
        <w:p w14:paraId="6CED2B27" w14:textId="41B95DC5" w:rsidR="002C1C1B" w:rsidRDefault="002C1C1B">
          <w:pPr>
            <w:pStyle w:val="TOC3"/>
            <w:tabs>
              <w:tab w:val="right" w:leader="dot" w:pos="9016"/>
            </w:tabs>
            <w:rPr>
              <w:rFonts w:cstheme="minorBidi"/>
              <w:noProof/>
              <w:kern w:val="2"/>
              <w:sz w:val="24"/>
              <w:szCs w:val="24"/>
              <w:lang w:val="en-GB" w:eastAsia="en-GB"/>
              <w14:ligatures w14:val="standardContextual"/>
            </w:rPr>
          </w:pPr>
          <w:hyperlink w:anchor="_Toc224246968" w:history="1">
            <w:r w:rsidRPr="00796CCA">
              <w:rPr>
                <w:rStyle w:val="Hyperlink"/>
                <w:noProof/>
              </w:rPr>
              <w:t>3.2 Knowledge and Skills of an Effective Coach</w:t>
            </w:r>
            <w:r>
              <w:rPr>
                <w:noProof/>
                <w:webHidden/>
              </w:rPr>
              <w:tab/>
            </w:r>
            <w:r>
              <w:rPr>
                <w:noProof/>
                <w:webHidden/>
              </w:rPr>
              <w:fldChar w:fldCharType="begin"/>
            </w:r>
            <w:r>
              <w:rPr>
                <w:noProof/>
                <w:webHidden/>
              </w:rPr>
              <w:instrText xml:space="preserve"> PAGEREF _Toc224246968 \h </w:instrText>
            </w:r>
            <w:r>
              <w:rPr>
                <w:noProof/>
                <w:webHidden/>
              </w:rPr>
            </w:r>
            <w:r>
              <w:rPr>
                <w:noProof/>
                <w:webHidden/>
              </w:rPr>
              <w:fldChar w:fldCharType="separate"/>
            </w:r>
            <w:r>
              <w:rPr>
                <w:noProof/>
                <w:webHidden/>
              </w:rPr>
              <w:t>6</w:t>
            </w:r>
            <w:r>
              <w:rPr>
                <w:noProof/>
                <w:webHidden/>
              </w:rPr>
              <w:fldChar w:fldCharType="end"/>
            </w:r>
          </w:hyperlink>
        </w:p>
        <w:p w14:paraId="619D677C" w14:textId="1C325F6B" w:rsidR="002C1C1B" w:rsidRDefault="002C1C1B">
          <w:pPr>
            <w:pStyle w:val="TOC3"/>
            <w:tabs>
              <w:tab w:val="right" w:leader="dot" w:pos="9016"/>
            </w:tabs>
            <w:rPr>
              <w:rFonts w:cstheme="minorBidi"/>
              <w:noProof/>
              <w:kern w:val="2"/>
              <w:sz w:val="24"/>
              <w:szCs w:val="24"/>
              <w:lang w:val="en-GB" w:eastAsia="en-GB"/>
              <w14:ligatures w14:val="standardContextual"/>
            </w:rPr>
          </w:pPr>
          <w:hyperlink w:anchor="_Toc224246969" w:history="1">
            <w:r w:rsidRPr="00796CCA">
              <w:rPr>
                <w:rStyle w:val="Hyperlink"/>
                <w:noProof/>
              </w:rPr>
              <w:t>3.3 Attitudes, Behaviours and Professional Judgement in Coaching</w:t>
            </w:r>
            <w:r>
              <w:rPr>
                <w:noProof/>
                <w:webHidden/>
              </w:rPr>
              <w:tab/>
            </w:r>
            <w:r>
              <w:rPr>
                <w:noProof/>
                <w:webHidden/>
              </w:rPr>
              <w:fldChar w:fldCharType="begin"/>
            </w:r>
            <w:r>
              <w:rPr>
                <w:noProof/>
                <w:webHidden/>
              </w:rPr>
              <w:instrText xml:space="preserve"> PAGEREF _Toc224246969 \h </w:instrText>
            </w:r>
            <w:r>
              <w:rPr>
                <w:noProof/>
                <w:webHidden/>
              </w:rPr>
            </w:r>
            <w:r>
              <w:rPr>
                <w:noProof/>
                <w:webHidden/>
              </w:rPr>
              <w:fldChar w:fldCharType="separate"/>
            </w:r>
            <w:r>
              <w:rPr>
                <w:noProof/>
                <w:webHidden/>
              </w:rPr>
              <w:t>7</w:t>
            </w:r>
            <w:r>
              <w:rPr>
                <w:noProof/>
                <w:webHidden/>
              </w:rPr>
              <w:fldChar w:fldCharType="end"/>
            </w:r>
          </w:hyperlink>
        </w:p>
        <w:p w14:paraId="6E97E4AC" w14:textId="70FEDE83" w:rsidR="002C1C1B" w:rsidRDefault="002C1C1B">
          <w:pPr>
            <w:pStyle w:val="TOC2"/>
            <w:tabs>
              <w:tab w:val="right" w:leader="dot" w:pos="9016"/>
            </w:tabs>
            <w:rPr>
              <w:rFonts w:cstheme="minorBidi"/>
              <w:noProof/>
              <w:kern w:val="2"/>
              <w:sz w:val="24"/>
              <w:szCs w:val="24"/>
              <w:lang w:val="en-GB" w:eastAsia="en-GB"/>
              <w14:ligatures w14:val="standardContextual"/>
            </w:rPr>
          </w:pPr>
          <w:hyperlink w:anchor="_Toc224246970" w:history="1">
            <w:r w:rsidRPr="00796CCA">
              <w:rPr>
                <w:rStyle w:val="Hyperlink"/>
                <w:noProof/>
              </w:rPr>
              <w:t>4.0 Application of Coaching Models</w:t>
            </w:r>
            <w:r>
              <w:rPr>
                <w:noProof/>
                <w:webHidden/>
              </w:rPr>
              <w:tab/>
            </w:r>
            <w:r>
              <w:rPr>
                <w:noProof/>
                <w:webHidden/>
              </w:rPr>
              <w:fldChar w:fldCharType="begin"/>
            </w:r>
            <w:r>
              <w:rPr>
                <w:noProof/>
                <w:webHidden/>
              </w:rPr>
              <w:instrText xml:space="preserve"> PAGEREF _Toc224246970 \h </w:instrText>
            </w:r>
            <w:r>
              <w:rPr>
                <w:noProof/>
                <w:webHidden/>
              </w:rPr>
            </w:r>
            <w:r>
              <w:rPr>
                <w:noProof/>
                <w:webHidden/>
              </w:rPr>
              <w:fldChar w:fldCharType="separate"/>
            </w:r>
            <w:r>
              <w:rPr>
                <w:noProof/>
                <w:webHidden/>
              </w:rPr>
              <w:t>9</w:t>
            </w:r>
            <w:r>
              <w:rPr>
                <w:noProof/>
                <w:webHidden/>
              </w:rPr>
              <w:fldChar w:fldCharType="end"/>
            </w:r>
          </w:hyperlink>
        </w:p>
        <w:p w14:paraId="542C9883" w14:textId="5221C62A" w:rsidR="002C1C1B" w:rsidRDefault="002C1C1B">
          <w:pPr>
            <w:pStyle w:val="TOC3"/>
            <w:tabs>
              <w:tab w:val="right" w:leader="dot" w:pos="9016"/>
            </w:tabs>
            <w:rPr>
              <w:rFonts w:cstheme="minorBidi"/>
              <w:noProof/>
              <w:kern w:val="2"/>
              <w:sz w:val="24"/>
              <w:szCs w:val="24"/>
              <w:lang w:val="en-GB" w:eastAsia="en-GB"/>
              <w14:ligatures w14:val="standardContextual"/>
            </w:rPr>
          </w:pPr>
          <w:hyperlink w:anchor="_Toc224246971" w:history="1">
            <w:r w:rsidRPr="00796CCA">
              <w:rPr>
                <w:rStyle w:val="Hyperlink"/>
                <w:noProof/>
              </w:rPr>
              <w:t>4.1 Application and Evaluation of Coaching Models in Aesthetic Education</w:t>
            </w:r>
            <w:r>
              <w:rPr>
                <w:noProof/>
                <w:webHidden/>
              </w:rPr>
              <w:tab/>
            </w:r>
            <w:r>
              <w:rPr>
                <w:noProof/>
                <w:webHidden/>
              </w:rPr>
              <w:fldChar w:fldCharType="begin"/>
            </w:r>
            <w:r>
              <w:rPr>
                <w:noProof/>
                <w:webHidden/>
              </w:rPr>
              <w:instrText xml:space="preserve"> PAGEREF _Toc224246971 \h </w:instrText>
            </w:r>
            <w:r>
              <w:rPr>
                <w:noProof/>
                <w:webHidden/>
              </w:rPr>
            </w:r>
            <w:r>
              <w:rPr>
                <w:noProof/>
                <w:webHidden/>
              </w:rPr>
              <w:fldChar w:fldCharType="separate"/>
            </w:r>
            <w:r>
              <w:rPr>
                <w:noProof/>
                <w:webHidden/>
              </w:rPr>
              <w:t>9</w:t>
            </w:r>
            <w:r>
              <w:rPr>
                <w:noProof/>
                <w:webHidden/>
              </w:rPr>
              <w:fldChar w:fldCharType="end"/>
            </w:r>
          </w:hyperlink>
        </w:p>
        <w:p w14:paraId="4DE3C782" w14:textId="6F9427F9" w:rsidR="002C1C1B" w:rsidRDefault="002C1C1B">
          <w:pPr>
            <w:pStyle w:val="TOC3"/>
            <w:tabs>
              <w:tab w:val="right" w:leader="dot" w:pos="9016"/>
            </w:tabs>
            <w:rPr>
              <w:rFonts w:cstheme="minorBidi"/>
              <w:noProof/>
              <w:kern w:val="2"/>
              <w:sz w:val="24"/>
              <w:szCs w:val="24"/>
              <w:lang w:val="en-GB" w:eastAsia="en-GB"/>
              <w14:ligatures w14:val="standardContextual"/>
            </w:rPr>
          </w:pPr>
          <w:hyperlink w:anchor="_Toc224246972" w:history="1">
            <w:r w:rsidRPr="00796CCA">
              <w:rPr>
                <w:rStyle w:val="Hyperlink"/>
                <w:noProof/>
              </w:rPr>
              <w:t>4.2 Comparison of GROW with Other Models</w:t>
            </w:r>
            <w:r>
              <w:rPr>
                <w:noProof/>
                <w:webHidden/>
              </w:rPr>
              <w:tab/>
            </w:r>
            <w:r>
              <w:rPr>
                <w:noProof/>
                <w:webHidden/>
              </w:rPr>
              <w:fldChar w:fldCharType="begin"/>
            </w:r>
            <w:r>
              <w:rPr>
                <w:noProof/>
                <w:webHidden/>
              </w:rPr>
              <w:instrText xml:space="preserve"> PAGEREF _Toc224246972 \h </w:instrText>
            </w:r>
            <w:r>
              <w:rPr>
                <w:noProof/>
                <w:webHidden/>
              </w:rPr>
            </w:r>
            <w:r>
              <w:rPr>
                <w:noProof/>
                <w:webHidden/>
              </w:rPr>
              <w:fldChar w:fldCharType="separate"/>
            </w:r>
            <w:r>
              <w:rPr>
                <w:noProof/>
                <w:webHidden/>
              </w:rPr>
              <w:t>10</w:t>
            </w:r>
            <w:r>
              <w:rPr>
                <w:noProof/>
                <w:webHidden/>
              </w:rPr>
              <w:fldChar w:fldCharType="end"/>
            </w:r>
          </w:hyperlink>
        </w:p>
        <w:p w14:paraId="3669B1F9" w14:textId="08BE5BE8" w:rsidR="002C1C1B" w:rsidRDefault="002C1C1B">
          <w:pPr>
            <w:pStyle w:val="TOC2"/>
            <w:tabs>
              <w:tab w:val="right" w:leader="dot" w:pos="9016"/>
            </w:tabs>
            <w:rPr>
              <w:rFonts w:cstheme="minorBidi"/>
              <w:noProof/>
              <w:kern w:val="2"/>
              <w:sz w:val="24"/>
              <w:szCs w:val="24"/>
              <w:lang w:val="en-GB" w:eastAsia="en-GB"/>
              <w14:ligatures w14:val="standardContextual"/>
            </w:rPr>
          </w:pPr>
          <w:hyperlink w:anchor="_Toc224246973" w:history="1">
            <w:r w:rsidRPr="00796CCA">
              <w:rPr>
                <w:rStyle w:val="Hyperlink"/>
                <w:noProof/>
              </w:rPr>
              <w:t>5.0 Conclusion</w:t>
            </w:r>
            <w:r>
              <w:rPr>
                <w:noProof/>
                <w:webHidden/>
              </w:rPr>
              <w:tab/>
            </w:r>
            <w:r>
              <w:rPr>
                <w:noProof/>
                <w:webHidden/>
              </w:rPr>
              <w:fldChar w:fldCharType="begin"/>
            </w:r>
            <w:r>
              <w:rPr>
                <w:noProof/>
                <w:webHidden/>
              </w:rPr>
              <w:instrText xml:space="preserve"> PAGEREF _Toc224246973 \h </w:instrText>
            </w:r>
            <w:r>
              <w:rPr>
                <w:noProof/>
                <w:webHidden/>
              </w:rPr>
            </w:r>
            <w:r>
              <w:rPr>
                <w:noProof/>
                <w:webHidden/>
              </w:rPr>
              <w:fldChar w:fldCharType="separate"/>
            </w:r>
            <w:r>
              <w:rPr>
                <w:noProof/>
                <w:webHidden/>
              </w:rPr>
              <w:t>11</w:t>
            </w:r>
            <w:r>
              <w:rPr>
                <w:noProof/>
                <w:webHidden/>
              </w:rPr>
              <w:fldChar w:fldCharType="end"/>
            </w:r>
          </w:hyperlink>
        </w:p>
        <w:p w14:paraId="0FDD7EF1" w14:textId="50804BA0" w:rsidR="002C1C1B" w:rsidRDefault="002C1C1B">
          <w:pPr>
            <w:pStyle w:val="TOC2"/>
            <w:tabs>
              <w:tab w:val="right" w:leader="dot" w:pos="9016"/>
            </w:tabs>
            <w:rPr>
              <w:rFonts w:cstheme="minorBidi"/>
              <w:noProof/>
              <w:kern w:val="2"/>
              <w:sz w:val="24"/>
              <w:szCs w:val="24"/>
              <w:lang w:val="en-GB" w:eastAsia="en-GB"/>
              <w14:ligatures w14:val="standardContextual"/>
            </w:rPr>
          </w:pPr>
          <w:hyperlink w:anchor="_Toc224246974" w:history="1">
            <w:r w:rsidRPr="00796CCA">
              <w:rPr>
                <w:rStyle w:val="Hyperlink"/>
                <w:noProof/>
              </w:rPr>
              <w:t>References</w:t>
            </w:r>
            <w:r>
              <w:rPr>
                <w:noProof/>
                <w:webHidden/>
              </w:rPr>
              <w:tab/>
            </w:r>
            <w:r>
              <w:rPr>
                <w:noProof/>
                <w:webHidden/>
              </w:rPr>
              <w:fldChar w:fldCharType="begin"/>
            </w:r>
            <w:r>
              <w:rPr>
                <w:noProof/>
                <w:webHidden/>
              </w:rPr>
              <w:instrText xml:space="preserve"> PAGEREF _Toc224246974 \h </w:instrText>
            </w:r>
            <w:r>
              <w:rPr>
                <w:noProof/>
                <w:webHidden/>
              </w:rPr>
            </w:r>
            <w:r>
              <w:rPr>
                <w:noProof/>
                <w:webHidden/>
              </w:rPr>
              <w:fldChar w:fldCharType="separate"/>
            </w:r>
            <w:r>
              <w:rPr>
                <w:noProof/>
                <w:webHidden/>
              </w:rPr>
              <w:t>12</w:t>
            </w:r>
            <w:r>
              <w:rPr>
                <w:noProof/>
                <w:webHidden/>
              </w:rPr>
              <w:fldChar w:fldCharType="end"/>
            </w:r>
          </w:hyperlink>
        </w:p>
        <w:p w14:paraId="6B84BC3A" w14:textId="3F5BA317" w:rsidR="005F0F2F" w:rsidRDefault="005F0F2F" w:rsidP="00332641">
          <w:pPr>
            <w:jc w:val="both"/>
          </w:pPr>
          <w:r>
            <w:rPr>
              <w:b/>
              <w:bCs/>
              <w:noProof/>
            </w:rPr>
            <w:fldChar w:fldCharType="end"/>
          </w:r>
        </w:p>
      </w:sdtContent>
    </w:sdt>
    <w:p w14:paraId="22EC1E2F" w14:textId="77777777" w:rsidR="005F0F2F" w:rsidRDefault="005F0F2F" w:rsidP="00332641">
      <w:pPr>
        <w:jc w:val="both"/>
        <w:rPr>
          <w:b/>
          <w:bCs/>
        </w:rPr>
      </w:pPr>
    </w:p>
    <w:p w14:paraId="7FA99FC7" w14:textId="77777777" w:rsidR="005F0F2F" w:rsidRDefault="005F0F2F" w:rsidP="00332641">
      <w:pPr>
        <w:jc w:val="both"/>
        <w:rPr>
          <w:b/>
          <w:bCs/>
        </w:rPr>
      </w:pPr>
    </w:p>
    <w:p w14:paraId="6CE0D581" w14:textId="77777777" w:rsidR="005F0F2F" w:rsidRDefault="005F0F2F" w:rsidP="00332641">
      <w:pPr>
        <w:jc w:val="both"/>
        <w:rPr>
          <w:b/>
          <w:bCs/>
        </w:rPr>
      </w:pPr>
    </w:p>
    <w:p w14:paraId="50DBB572" w14:textId="77777777" w:rsidR="002C1C1B" w:rsidRDefault="002C1C1B" w:rsidP="00332641">
      <w:pPr>
        <w:jc w:val="both"/>
        <w:rPr>
          <w:b/>
          <w:bCs/>
        </w:rPr>
      </w:pPr>
    </w:p>
    <w:p w14:paraId="20F1B20A" w14:textId="77777777" w:rsidR="002C1C1B" w:rsidRDefault="002C1C1B" w:rsidP="00332641">
      <w:pPr>
        <w:jc w:val="both"/>
        <w:rPr>
          <w:b/>
          <w:bCs/>
        </w:rPr>
      </w:pPr>
    </w:p>
    <w:p w14:paraId="2A390778" w14:textId="77777777" w:rsidR="002C1C1B" w:rsidRDefault="002C1C1B" w:rsidP="00332641">
      <w:pPr>
        <w:jc w:val="both"/>
        <w:rPr>
          <w:b/>
          <w:bCs/>
        </w:rPr>
      </w:pPr>
    </w:p>
    <w:p w14:paraId="028FD79F" w14:textId="77777777" w:rsidR="002C1C1B" w:rsidRDefault="002C1C1B" w:rsidP="00332641">
      <w:pPr>
        <w:jc w:val="both"/>
        <w:rPr>
          <w:b/>
          <w:bCs/>
        </w:rPr>
      </w:pPr>
    </w:p>
    <w:p w14:paraId="010A1019" w14:textId="77777777" w:rsidR="002C1C1B" w:rsidRDefault="002C1C1B" w:rsidP="00332641">
      <w:pPr>
        <w:jc w:val="both"/>
        <w:rPr>
          <w:b/>
          <w:bCs/>
        </w:rPr>
      </w:pPr>
    </w:p>
    <w:p w14:paraId="0E9BE6B0" w14:textId="77777777" w:rsidR="002C1C1B" w:rsidRDefault="002C1C1B" w:rsidP="00332641">
      <w:pPr>
        <w:jc w:val="both"/>
        <w:rPr>
          <w:b/>
          <w:bCs/>
        </w:rPr>
      </w:pPr>
    </w:p>
    <w:p w14:paraId="712527DE" w14:textId="77777777" w:rsidR="002C1C1B" w:rsidRDefault="002C1C1B" w:rsidP="00332641">
      <w:pPr>
        <w:jc w:val="both"/>
        <w:rPr>
          <w:b/>
          <w:bCs/>
        </w:rPr>
      </w:pPr>
    </w:p>
    <w:p w14:paraId="24D0378C" w14:textId="77777777" w:rsidR="005F0F2F" w:rsidRDefault="005F0F2F" w:rsidP="00332641">
      <w:pPr>
        <w:jc w:val="both"/>
        <w:rPr>
          <w:b/>
          <w:bCs/>
        </w:rPr>
      </w:pPr>
    </w:p>
    <w:p w14:paraId="20962A87" w14:textId="77777777" w:rsidR="005F0F2F" w:rsidRDefault="005F0F2F" w:rsidP="00332641">
      <w:pPr>
        <w:jc w:val="both"/>
        <w:rPr>
          <w:b/>
          <w:bCs/>
        </w:rPr>
      </w:pPr>
    </w:p>
    <w:p w14:paraId="23820269" w14:textId="77777777" w:rsidR="005F0F2F" w:rsidRDefault="005F0F2F" w:rsidP="00332641">
      <w:pPr>
        <w:jc w:val="both"/>
        <w:rPr>
          <w:b/>
          <w:bCs/>
        </w:rPr>
      </w:pPr>
    </w:p>
    <w:p w14:paraId="66A405B3" w14:textId="55DB115E" w:rsidR="005F0F2F" w:rsidRPr="005F0F2F" w:rsidRDefault="005F0F2F" w:rsidP="00332641">
      <w:pPr>
        <w:pStyle w:val="Heading1"/>
        <w:jc w:val="both"/>
      </w:pPr>
      <w:bookmarkStart w:id="0" w:name="_Toc224246961"/>
      <w:r>
        <w:lastRenderedPageBreak/>
        <w:t>Coaching and Mentoring Skills in the Workplace</w:t>
      </w:r>
      <w:bookmarkEnd w:id="0"/>
    </w:p>
    <w:p w14:paraId="20E4C1D5" w14:textId="43CAE52F" w:rsidR="005F0F2F" w:rsidRPr="005F0F2F" w:rsidRDefault="005F0F2F" w:rsidP="00332641">
      <w:pPr>
        <w:pStyle w:val="Heading2"/>
        <w:jc w:val="both"/>
      </w:pPr>
      <w:bookmarkStart w:id="1" w:name="_Toc224246962"/>
      <w:r w:rsidRPr="005F0F2F">
        <w:t>1.</w:t>
      </w:r>
      <w:r w:rsidR="009B7494">
        <w:t>0</w:t>
      </w:r>
      <w:r w:rsidRPr="005F0F2F">
        <w:t xml:space="preserve"> Introduction</w:t>
      </w:r>
      <w:bookmarkEnd w:id="1"/>
      <w:r w:rsidRPr="005F0F2F">
        <w:t xml:space="preserve"> </w:t>
      </w:r>
    </w:p>
    <w:p w14:paraId="470EFB5C" w14:textId="7D19FFEB" w:rsidR="00765496" w:rsidRPr="00765496" w:rsidRDefault="00765496" w:rsidP="00765496">
      <w:pPr>
        <w:spacing w:line="360" w:lineRule="auto"/>
        <w:jc w:val="both"/>
      </w:pPr>
      <w:r w:rsidRPr="00765496">
        <w:t xml:space="preserve">Coaching and mentoring are widely recognised practices used within organisations to </w:t>
      </w:r>
      <w:r w:rsidR="0068799C">
        <w:t>develop</w:t>
      </w:r>
      <w:r w:rsidRPr="00765496">
        <w:t xml:space="preserve"> employee performance, professional growth and </w:t>
      </w:r>
      <w:r w:rsidR="00C278C4">
        <w:t>improve knowledge</w:t>
      </w:r>
      <w:r w:rsidRPr="00765496">
        <w:t xml:space="preserve">. These approaches play an important role in individual development and organisational learning (Grant &amp; Hartley, 2023). </w:t>
      </w:r>
    </w:p>
    <w:p w14:paraId="24CDC659" w14:textId="46665537" w:rsidR="00765496" w:rsidRPr="00765496" w:rsidRDefault="00B0706A" w:rsidP="00765496">
      <w:pPr>
        <w:spacing w:line="360" w:lineRule="auto"/>
        <w:jc w:val="both"/>
      </w:pPr>
      <w:r>
        <w:t>C</w:t>
      </w:r>
      <w:r w:rsidR="00765496" w:rsidRPr="00765496">
        <w:t xml:space="preserve">oaching and mentoring share similar developmental </w:t>
      </w:r>
      <w:r w:rsidRPr="00765496">
        <w:t>aims</w:t>
      </w:r>
      <w:r>
        <w:t xml:space="preserve"> but</w:t>
      </w:r>
      <w:r w:rsidR="00765496" w:rsidRPr="00765496">
        <w:t xml:space="preserve"> differ in their structure and application within the workplace. Coaching is typically a short-term, goal-oriented process designed to improve specific skills or performance outcomes, whereas mentoring is generally a longer-term developmental relationship in which a more experienced individual provides guidance and professional support (</w:t>
      </w:r>
      <w:proofErr w:type="spellStart"/>
      <w:r w:rsidR="00765496" w:rsidRPr="00765496">
        <w:t>Kolontari</w:t>
      </w:r>
      <w:proofErr w:type="spellEnd"/>
      <w:r w:rsidR="00765496" w:rsidRPr="00765496">
        <w:t xml:space="preserve"> </w:t>
      </w:r>
      <w:r w:rsidR="00765496" w:rsidRPr="00B0706A">
        <w:rPr>
          <w:i/>
          <w:iCs/>
        </w:rPr>
        <w:t>et al.,</w:t>
      </w:r>
      <w:r w:rsidR="00765496" w:rsidRPr="00765496">
        <w:t xml:space="preserve"> 2023).</w:t>
      </w:r>
    </w:p>
    <w:p w14:paraId="053F1A94" w14:textId="1E9CF910" w:rsidR="00765496" w:rsidRPr="00765496" w:rsidRDefault="00765496" w:rsidP="00765496">
      <w:pPr>
        <w:spacing w:line="360" w:lineRule="auto"/>
        <w:jc w:val="both"/>
      </w:pPr>
      <w:r w:rsidRPr="00765496">
        <w:t xml:space="preserve">While both are important developmental tools, this report focuses primarily on coaching within </w:t>
      </w:r>
      <w:r w:rsidR="00AF6E0C">
        <w:t>a workplace context</w:t>
      </w:r>
      <w:r w:rsidRPr="00765496">
        <w:t xml:space="preserve"> within the aesthetics industry, where coaching is commonly used to develop practitioner competence, strengthen consultation skills and </w:t>
      </w:r>
      <w:r w:rsidR="00D36D37">
        <w:t xml:space="preserve">looks to </w:t>
      </w:r>
      <w:r w:rsidRPr="00765496">
        <w:t>promote safe clinical practice within a changing regulatory environment.</w:t>
      </w:r>
    </w:p>
    <w:p w14:paraId="60EB55DD" w14:textId="6CB4015F" w:rsidR="00765496" w:rsidRPr="00765496" w:rsidRDefault="00765496" w:rsidP="00765496">
      <w:pPr>
        <w:spacing w:line="360" w:lineRule="auto"/>
        <w:jc w:val="both"/>
      </w:pPr>
      <w:r w:rsidRPr="00765496">
        <w:t xml:space="preserve">This report </w:t>
      </w:r>
      <w:r w:rsidR="004979EC">
        <w:t xml:space="preserve">aims </w:t>
      </w:r>
      <w:r w:rsidRPr="00765496">
        <w:t>critically analys</w:t>
      </w:r>
      <w:r w:rsidR="00DB5E6A">
        <w:t>e</w:t>
      </w:r>
      <w:r w:rsidRPr="00765496">
        <w:t xml:space="preserve"> coaching within organisational contexts</w:t>
      </w:r>
      <w:r w:rsidR="00DB5E6A">
        <w:t>,</w:t>
      </w:r>
      <w:r w:rsidRPr="00765496">
        <w:t xml:space="preserve"> evaluate selected coaching models used in practice</w:t>
      </w:r>
      <w:r w:rsidR="007F3553">
        <w:t xml:space="preserve"> and f</w:t>
      </w:r>
      <w:r w:rsidRPr="00765496">
        <w:t>inally reflect on how coaching can support practitioner development and workplace performance in the aesthetics sector.</w:t>
      </w:r>
    </w:p>
    <w:p w14:paraId="7B4F5CB4" w14:textId="607A961B" w:rsidR="005F0F2F" w:rsidRDefault="005F0F2F" w:rsidP="00332641">
      <w:pPr>
        <w:pStyle w:val="Heading2"/>
        <w:jc w:val="both"/>
      </w:pPr>
      <w:bookmarkStart w:id="2" w:name="_Toc224246963"/>
      <w:r w:rsidRPr="005F0F2F">
        <w:t>2.</w:t>
      </w:r>
      <w:r w:rsidR="009B7494">
        <w:t>0</w:t>
      </w:r>
      <w:r w:rsidRPr="005F0F2F">
        <w:t xml:space="preserve"> Defining Coaching and Mentoring</w:t>
      </w:r>
      <w:bookmarkEnd w:id="2"/>
      <w:r w:rsidRPr="005F0F2F">
        <w:t xml:space="preserve"> </w:t>
      </w:r>
    </w:p>
    <w:p w14:paraId="44C2AE9A" w14:textId="5F4CD166" w:rsidR="008A5A98" w:rsidRDefault="008A5A98" w:rsidP="00A877AB">
      <w:pPr>
        <w:spacing w:line="360" w:lineRule="auto"/>
        <w:jc w:val="both"/>
      </w:pPr>
      <w:r w:rsidRPr="008A5A98">
        <w:t xml:space="preserve">Coaching and mentoring are well-known </w:t>
      </w:r>
      <w:r w:rsidR="007B4E90">
        <w:t>methods</w:t>
      </w:r>
      <w:r w:rsidRPr="008A5A98">
        <w:t xml:space="preserve"> that</w:t>
      </w:r>
      <w:r w:rsidR="007B4E90">
        <w:t xml:space="preserve"> is used within organisations to</w:t>
      </w:r>
      <w:r w:rsidRPr="008A5A98">
        <w:t xml:space="preserve"> help employees learn new skills and </w:t>
      </w:r>
      <w:r w:rsidR="00D47639">
        <w:t>grow</w:t>
      </w:r>
      <w:r w:rsidRPr="008A5A98">
        <w:t xml:space="preserve"> in their careers</w:t>
      </w:r>
      <w:r w:rsidR="00D47639">
        <w:t xml:space="preserve"> but</w:t>
      </w:r>
      <w:r w:rsidRPr="008A5A98">
        <w:t xml:space="preserve"> usually have different and structures. For example, coaching is goal-oriented and helps people improve their skills by making them think about what they did (Grant &amp; Hartley, 2023)</w:t>
      </w:r>
      <w:r w:rsidR="00D47639">
        <w:t>, where</w:t>
      </w:r>
      <w:r w:rsidRPr="008A5A98">
        <w:t xml:space="preserve"> mentoring is often seen as a long-term relationship in which a more experienced person gives advice (</w:t>
      </w:r>
      <w:proofErr w:type="spellStart"/>
      <w:r w:rsidRPr="008A5A98">
        <w:t>Kolontari</w:t>
      </w:r>
      <w:proofErr w:type="spellEnd"/>
      <w:r w:rsidRPr="008A5A98">
        <w:t xml:space="preserve"> </w:t>
      </w:r>
      <w:r w:rsidRPr="008A5A98">
        <w:rPr>
          <w:i/>
          <w:iCs/>
        </w:rPr>
        <w:t>et al</w:t>
      </w:r>
      <w:r w:rsidRPr="008A5A98">
        <w:t>., 2024). They work in different ways, even though they have the same end goal.</w:t>
      </w:r>
    </w:p>
    <w:p w14:paraId="522D5138" w14:textId="77777777" w:rsidR="00BD3846" w:rsidRPr="00BD3846" w:rsidRDefault="00BD3846" w:rsidP="00BD3846">
      <w:pPr>
        <w:pStyle w:val="Heading3"/>
      </w:pPr>
      <w:bookmarkStart w:id="3" w:name="_Toc224246964"/>
      <w:r w:rsidRPr="00BD3846">
        <w:lastRenderedPageBreak/>
        <w:t>2.1 Definitions and Differences</w:t>
      </w:r>
      <w:bookmarkEnd w:id="3"/>
    </w:p>
    <w:p w14:paraId="214AA937" w14:textId="77777777" w:rsidR="00897A3B" w:rsidRPr="00897A3B" w:rsidRDefault="00897A3B" w:rsidP="00897A3B">
      <w:pPr>
        <w:spacing w:line="360" w:lineRule="auto"/>
        <w:jc w:val="both"/>
      </w:pPr>
      <w:r w:rsidRPr="00897A3B">
        <w:t xml:space="preserve">Coaching and mentoring are similar in that both are developmental practices designed to support learning, confidence, and professional growth. Both involve communication, reflection, feedback, and guidance, and both can contribute to improved individual and organisational performance (Grant &amp; Hartley, 2023). In practice, both approaches may also overlap, particularly in workplace learning environments where support, instruction, and review occur together (CIPD, 2023; Garvey </w:t>
      </w:r>
      <w:r w:rsidRPr="00897A3B">
        <w:rPr>
          <w:i/>
          <w:iCs/>
        </w:rPr>
        <w:t>et al</w:t>
      </w:r>
      <w:r w:rsidRPr="00897A3B">
        <w:t>., 2018).</w:t>
      </w:r>
    </w:p>
    <w:p w14:paraId="484A5EC6" w14:textId="67C16A86" w:rsidR="00897A3B" w:rsidRPr="00897A3B" w:rsidRDefault="00897A3B" w:rsidP="00897A3B">
      <w:pPr>
        <w:spacing w:line="360" w:lineRule="auto"/>
        <w:jc w:val="both"/>
      </w:pPr>
      <w:r w:rsidRPr="00897A3B">
        <w:t xml:space="preserve">However, important differences remain. Coaching is generally understood as a focused, goal-oriented process aimed at improving specific skills, behaviours, or performance through structured dialogue and reflection (Park &amp; Lee, 2023; Irby &amp; </w:t>
      </w:r>
      <w:proofErr w:type="spellStart"/>
      <w:r w:rsidRPr="00897A3B">
        <w:t>Pashmforoosh</w:t>
      </w:r>
      <w:proofErr w:type="spellEnd"/>
      <w:r w:rsidRPr="00897A3B">
        <w:t xml:space="preserve">, 2024). </w:t>
      </w:r>
      <w:proofErr w:type="spellStart"/>
      <w:r w:rsidRPr="00897A3B">
        <w:t>Bobrownicki</w:t>
      </w:r>
      <w:proofErr w:type="spellEnd"/>
      <w:r w:rsidRPr="00897A3B">
        <w:t xml:space="preserve"> </w:t>
      </w:r>
      <w:r w:rsidRPr="008A63CF">
        <w:rPr>
          <w:i/>
          <w:iCs/>
        </w:rPr>
        <w:t>et al</w:t>
      </w:r>
      <w:r w:rsidRPr="00897A3B">
        <w:t xml:space="preserve">. (2022) similarly describe coaching as a process that supports reflection, learning, and behavioural change </w:t>
      </w:r>
      <w:r w:rsidR="008A63CF" w:rsidRPr="00897A3B">
        <w:t>to</w:t>
      </w:r>
      <w:r w:rsidRPr="00897A3B">
        <w:t xml:space="preserve"> improve decision-making and performance. This suggests that coaching is usually short-term and linked to a defined outcome.</w:t>
      </w:r>
    </w:p>
    <w:p w14:paraId="6822A9D2" w14:textId="77777777" w:rsidR="00897A3B" w:rsidRPr="00897A3B" w:rsidRDefault="00897A3B" w:rsidP="00897A3B">
      <w:pPr>
        <w:spacing w:line="360" w:lineRule="auto"/>
        <w:jc w:val="both"/>
      </w:pPr>
      <w:r w:rsidRPr="00897A3B">
        <w:t>Mentoring, by contrast, is more commonly understood as a longer-term developmental relationship in which a more experienced person provides guidance, support, and professional insight to a less experienced colleague (</w:t>
      </w:r>
      <w:proofErr w:type="spellStart"/>
      <w:r w:rsidRPr="00897A3B">
        <w:t>Kolontari</w:t>
      </w:r>
      <w:proofErr w:type="spellEnd"/>
      <w:r w:rsidRPr="00897A3B">
        <w:t xml:space="preserve"> </w:t>
      </w:r>
      <w:r w:rsidRPr="008A63CF">
        <w:rPr>
          <w:i/>
          <w:iCs/>
        </w:rPr>
        <w:t>et al.,</w:t>
      </w:r>
      <w:r w:rsidRPr="00897A3B">
        <w:t xml:space="preserve"> 2023; Luong </w:t>
      </w:r>
      <w:r w:rsidRPr="008A63CF">
        <w:rPr>
          <w:i/>
          <w:iCs/>
        </w:rPr>
        <w:t>et al.,</w:t>
      </w:r>
      <w:r w:rsidRPr="00897A3B">
        <w:t xml:space="preserve"> 2025). Rather than concentrating on one immediate performance issue, mentoring is more often associated with broader professional development, career progression, and the sharing of experience over time (CIPD, 2023; Nuis </w:t>
      </w:r>
      <w:r w:rsidRPr="008A63CF">
        <w:rPr>
          <w:i/>
          <w:iCs/>
        </w:rPr>
        <w:t>et al.,</w:t>
      </w:r>
      <w:r w:rsidRPr="00897A3B">
        <w:t xml:space="preserve"> 2023).</w:t>
      </w:r>
    </w:p>
    <w:p w14:paraId="14D9B99B" w14:textId="77777777" w:rsidR="00897A3B" w:rsidRDefault="00897A3B" w:rsidP="00897A3B">
      <w:pPr>
        <w:spacing w:line="360" w:lineRule="auto"/>
        <w:jc w:val="both"/>
      </w:pPr>
      <w:r w:rsidRPr="00897A3B">
        <w:t xml:space="preserve">A further distinction concerns expertise. Coaching does not always depend on the coach having extensive experience in the same field, whereas mentoring is more strongly connected to the mentor’s professional knowledge and experience (Jones &amp; Smith, 2022). Even so, these boundaries are not fixed. In organisational practice, particularly in specialist or small-scale training environments, coaching and mentoring may </w:t>
      </w:r>
      <w:proofErr w:type="gramStart"/>
      <w:r w:rsidRPr="00897A3B">
        <w:t>blend together</w:t>
      </w:r>
      <w:proofErr w:type="gramEnd"/>
      <w:r w:rsidRPr="00897A3B">
        <w:t>. The more important issue is whether the developmental approach matches the learner’s needs and the organisational context.</w:t>
      </w:r>
    </w:p>
    <w:p w14:paraId="611B1262" w14:textId="277BFEA6" w:rsidR="00510D04" w:rsidRPr="00921601" w:rsidRDefault="00510D04" w:rsidP="00921601">
      <w:pPr>
        <w:pStyle w:val="Heading3"/>
      </w:pPr>
      <w:bookmarkStart w:id="4" w:name="_Toc224246965"/>
      <w:r w:rsidRPr="00921601">
        <w:t>2.2 Why Coaching is the Chosen Focus in Aesthetic Education</w:t>
      </w:r>
      <w:bookmarkEnd w:id="4"/>
    </w:p>
    <w:p w14:paraId="669D1816" w14:textId="28E3DEA8" w:rsidR="00510D04" w:rsidRPr="00510D04" w:rsidRDefault="00510D04" w:rsidP="00510D04">
      <w:pPr>
        <w:spacing w:line="360" w:lineRule="auto"/>
        <w:jc w:val="both"/>
      </w:pPr>
      <w:r w:rsidRPr="00510D04">
        <w:t xml:space="preserve">Although both coaching and mentoring can support development in organisations, coaching is the more appropriate focus in aesthetic education. This is because much </w:t>
      </w:r>
      <w:r w:rsidRPr="00510D04">
        <w:lastRenderedPageBreak/>
        <w:t xml:space="preserve">aesthetic training is short, intensive, and performance based. Learners are often expected to develop consultation skills, theoretical understanding and practical competence within a limited </w:t>
      </w:r>
      <w:r w:rsidR="002A6B99" w:rsidRPr="00510D04">
        <w:t>period</w:t>
      </w:r>
      <w:r w:rsidRPr="00510D04">
        <w:t>. In this context, coaching offers a more suitable structure because it supports immediate improvement through demonstration, guided practice, and feedback.</w:t>
      </w:r>
    </w:p>
    <w:p w14:paraId="33B1DFB5" w14:textId="77777777" w:rsidR="00510D04" w:rsidRPr="00510D04" w:rsidRDefault="00510D04" w:rsidP="00510D04">
      <w:pPr>
        <w:spacing w:line="360" w:lineRule="auto"/>
        <w:jc w:val="both"/>
      </w:pPr>
      <w:r w:rsidRPr="00510D04">
        <w:t xml:space="preserve">Research suggests that workplace coaching can enhance performance, engagement, and learning when it combines structure with reflection on practice (Cannon-Bowers </w:t>
      </w:r>
      <w:r w:rsidRPr="002A6B99">
        <w:rPr>
          <w:i/>
          <w:iCs/>
        </w:rPr>
        <w:t>et al.</w:t>
      </w:r>
      <w:r w:rsidRPr="00510D04">
        <w:t xml:space="preserve">, 2023; Jagadeeswari </w:t>
      </w:r>
      <w:r w:rsidRPr="002A6B99">
        <w:rPr>
          <w:i/>
          <w:iCs/>
        </w:rPr>
        <w:t>et al</w:t>
      </w:r>
      <w:r w:rsidRPr="00510D04">
        <w:t xml:space="preserve">., 2025). This is particularly relevant in skill-based professions, where learners benefit from observation, structured practice, and reflective discussion (Ebrahimi, 2024; </w:t>
      </w:r>
      <w:proofErr w:type="spellStart"/>
      <w:r w:rsidRPr="00510D04">
        <w:t>Sipondo</w:t>
      </w:r>
      <w:proofErr w:type="spellEnd"/>
      <w:r w:rsidRPr="00510D04">
        <w:t xml:space="preserve"> &amp; Terblanche, 2024). In aesthetic education, these features are important because training must support not only technical ability, but also safe practice and professional confidence.</w:t>
      </w:r>
    </w:p>
    <w:p w14:paraId="1D4AF5F5" w14:textId="77777777" w:rsidR="00D57EAB" w:rsidRDefault="00510D04" w:rsidP="00D57EAB">
      <w:pPr>
        <w:spacing w:line="360" w:lineRule="auto"/>
        <w:jc w:val="both"/>
      </w:pPr>
      <w:r w:rsidRPr="00510D04">
        <w:t>Coaching also fits more closely with the trainer’s role in this setting. Aesthetic trainers often work with learners over a short timeframe and may also assess their performance during the course. This makes mentoring less applicable, as mentoring usually depends on a longer-term developmental relationship (</w:t>
      </w:r>
      <w:proofErr w:type="spellStart"/>
      <w:r w:rsidRPr="00510D04">
        <w:t>Sipondo</w:t>
      </w:r>
      <w:proofErr w:type="spellEnd"/>
      <w:r w:rsidRPr="00510D04">
        <w:t xml:space="preserve"> &amp; Terblanche, 2024). Coaching therefore provides a more practical and context-appropriate approach, allowing the trainer to support competence and confidence within the limits of the training programme (Dhar, 2025; Cannon-Bowers </w:t>
      </w:r>
      <w:r w:rsidRPr="002A6B99">
        <w:rPr>
          <w:i/>
          <w:iCs/>
        </w:rPr>
        <w:t>et al.,</w:t>
      </w:r>
      <w:r w:rsidRPr="00510D04">
        <w:t xml:space="preserve"> 2023). The report will therefore focus on coaching as the more relevant workplace development strategy in this context.</w:t>
      </w:r>
    </w:p>
    <w:p w14:paraId="2CF0802B" w14:textId="77777777" w:rsidR="00D57EAB" w:rsidRDefault="00B91756" w:rsidP="00D57EAB">
      <w:pPr>
        <w:pStyle w:val="Heading3"/>
      </w:pPr>
      <w:bookmarkStart w:id="5" w:name="_Toc224246966"/>
      <w:r w:rsidRPr="00B91756">
        <w:t>3.0 Knowledge, Skills, Attitudes and Behaviours of an Effective Workplace Coach</w:t>
      </w:r>
      <w:bookmarkEnd w:id="5"/>
    </w:p>
    <w:p w14:paraId="50E787CF" w14:textId="77777777" w:rsidR="00D57EAB" w:rsidRDefault="00B91756" w:rsidP="00D57EAB">
      <w:pPr>
        <w:spacing w:line="360" w:lineRule="auto"/>
        <w:jc w:val="both"/>
      </w:pPr>
      <w:r w:rsidRPr="00B91756">
        <w:t xml:space="preserve">Effective workplace coaching depends on more than the use of a particular model. It requires a combination of knowledge, practical skill, professional attitude and appropriate behaviour, all of which influence whether coaching supports meaningful development or becomes overly directive and ineffective. In organisational settings, coaching is often used to improve performance, support learning, and align individual development with wider organisational goals (CIPD, 2025). However, coaching should not be treated as automatically beneficial. Cannon-Bowers </w:t>
      </w:r>
      <w:r w:rsidRPr="00D57EAB">
        <w:rPr>
          <w:i/>
          <w:iCs/>
        </w:rPr>
        <w:t>et al.</w:t>
      </w:r>
      <w:r w:rsidRPr="00B91756">
        <w:t xml:space="preserve"> (2023) argue that its effectiveness depends on factors such as organisational culture, the competence of the coach, and the extent to which learning is transferred into practice. This is especially </w:t>
      </w:r>
      <w:r w:rsidRPr="00B91756">
        <w:lastRenderedPageBreak/>
        <w:t>relevant in short, skill-based workplace settings such as aesthetic education, where coaching must support both immediate competence and longer-term professional confidence.</w:t>
      </w:r>
      <w:r w:rsidR="00D57EAB">
        <w:t xml:space="preserve"> </w:t>
      </w:r>
    </w:p>
    <w:p w14:paraId="15402D8A" w14:textId="77777777" w:rsidR="00D57EAB" w:rsidRDefault="00B91756" w:rsidP="00D57EAB">
      <w:pPr>
        <w:pStyle w:val="Heading3"/>
      </w:pPr>
      <w:bookmarkStart w:id="6" w:name="_Toc224246967"/>
      <w:r w:rsidRPr="00B91756">
        <w:t>3.1 Purpose and Context of Workplace Coaching</w:t>
      </w:r>
      <w:bookmarkEnd w:id="6"/>
    </w:p>
    <w:p w14:paraId="01D81651" w14:textId="77777777" w:rsidR="00D57EAB" w:rsidRPr="00D57EAB" w:rsidRDefault="00B91756" w:rsidP="00D57EAB">
      <w:pPr>
        <w:spacing w:line="360" w:lineRule="auto"/>
        <w:jc w:val="both"/>
        <w:rPr>
          <w:rFonts w:eastAsiaTheme="majorEastAsia" w:cstheme="majorBidi"/>
        </w:rPr>
      </w:pPr>
      <w:r w:rsidRPr="00B91756">
        <w:rPr>
          <w:rFonts w:eastAsiaTheme="majorEastAsia" w:cstheme="majorBidi"/>
        </w:rPr>
        <w:t xml:space="preserve">One of the main purposes of workplace coaching is performance improvement. The CIPD (2025) notes that coaching can help individuals achieve work-related goals, while Cannon-Bowers </w:t>
      </w:r>
      <w:r w:rsidRPr="00B91756">
        <w:rPr>
          <w:rFonts w:eastAsiaTheme="majorEastAsia" w:cstheme="majorBidi"/>
          <w:i/>
          <w:iCs/>
        </w:rPr>
        <w:t>et al.</w:t>
      </w:r>
      <w:r w:rsidRPr="00B91756">
        <w:rPr>
          <w:rFonts w:eastAsiaTheme="majorEastAsia" w:cstheme="majorBidi"/>
        </w:rPr>
        <w:t xml:space="preserve"> (2023) found that coaching can contribute positively to organisational outcomes when it is structured and linked to clear developmental objectives. However, this relationship is not straightforward. Improved performance depends not only on the presence of coaching, but on the quality of the interaction and whether learning is applied in practice.</w:t>
      </w:r>
    </w:p>
    <w:p w14:paraId="1ABC0597" w14:textId="77777777" w:rsidR="00D03709" w:rsidRDefault="00B91756" w:rsidP="00D03709">
      <w:pPr>
        <w:spacing w:line="360" w:lineRule="auto"/>
        <w:jc w:val="both"/>
        <w:rPr>
          <w:rFonts w:eastAsiaTheme="majorEastAsia" w:cstheme="majorBidi"/>
        </w:rPr>
      </w:pPr>
      <w:r w:rsidRPr="00B91756">
        <w:rPr>
          <w:rFonts w:eastAsiaTheme="majorEastAsia" w:cstheme="majorBidi"/>
        </w:rPr>
        <w:t xml:space="preserve">Coaching may also support motivation, engagement, and self-efficacy. Tang </w:t>
      </w:r>
      <w:r w:rsidRPr="00B91756">
        <w:rPr>
          <w:rFonts w:eastAsiaTheme="majorEastAsia" w:cstheme="majorBidi"/>
          <w:i/>
          <w:iCs/>
        </w:rPr>
        <w:t xml:space="preserve">et al. </w:t>
      </w:r>
      <w:r w:rsidRPr="00B91756">
        <w:rPr>
          <w:rFonts w:eastAsiaTheme="majorEastAsia" w:cstheme="majorBidi"/>
        </w:rPr>
        <w:t xml:space="preserve">(2024) found that coaching leadership can improve work engagement, particularly where coaching encourages autonomy, reflection and learner involvement. This matters because learners who feel involved in the process are more likely to take ownership of their development. Similarly, </w:t>
      </w:r>
      <w:proofErr w:type="spellStart"/>
      <w:r w:rsidRPr="00B91756">
        <w:rPr>
          <w:rFonts w:eastAsiaTheme="majorEastAsia" w:cstheme="majorBidi"/>
        </w:rPr>
        <w:t>Sipondo</w:t>
      </w:r>
      <w:proofErr w:type="spellEnd"/>
      <w:r w:rsidRPr="00B91756">
        <w:rPr>
          <w:rFonts w:eastAsiaTheme="majorEastAsia" w:cstheme="majorBidi"/>
        </w:rPr>
        <w:t xml:space="preserve"> and Terblanche (2024) suggest that coaching can strengthen resilience, adaptive behaviour, and professional confidence through feedback and reflective learning. The British Dental Journal (2025) also identifies motivation and engagement as important outcomes of workplace development. Even so, these benefits should not be overstated. If learners experience coaching as judgement rather than support, or are not ready to engage reflectively, the impact of coaching may be reduced. This shows that effective coaching depends not only on structure, but also on the learner’s readiness to change and the quality of the developmental environment.</w:t>
      </w:r>
    </w:p>
    <w:p w14:paraId="3838ECC1" w14:textId="77777777" w:rsidR="00D03709" w:rsidRDefault="00B91756" w:rsidP="00D03709">
      <w:pPr>
        <w:spacing w:line="360" w:lineRule="auto"/>
        <w:jc w:val="both"/>
      </w:pPr>
      <w:r w:rsidRPr="00B91756">
        <w:t xml:space="preserve">In aesthetic education, these issues are particularly important because learners are expected to develop technical competence and professional confidence within a limited </w:t>
      </w:r>
      <w:r w:rsidR="00D03709" w:rsidRPr="00B91756">
        <w:t>period</w:t>
      </w:r>
      <w:r w:rsidRPr="00B91756">
        <w:t>. Coaching is therefore most useful when it is purposeful, responsive, and clearly connected to safe workplace performance.</w:t>
      </w:r>
    </w:p>
    <w:p w14:paraId="1376CAE7" w14:textId="77777777" w:rsidR="00D03709" w:rsidRDefault="00B91756" w:rsidP="00D03709">
      <w:pPr>
        <w:pStyle w:val="Heading3"/>
      </w:pPr>
      <w:bookmarkStart w:id="7" w:name="_Toc224246968"/>
      <w:r w:rsidRPr="00B91756">
        <w:t>3.2 Knowledge and Skills of an Effective Coach</w:t>
      </w:r>
      <w:bookmarkEnd w:id="7"/>
    </w:p>
    <w:p w14:paraId="37F07A4A" w14:textId="77777777" w:rsidR="00301F68" w:rsidRDefault="00B91756" w:rsidP="005B13D5">
      <w:pPr>
        <w:spacing w:line="360" w:lineRule="auto"/>
        <w:jc w:val="both"/>
        <w:rPr>
          <w:rFonts w:eastAsiaTheme="majorEastAsia" w:cstheme="majorBidi"/>
          <w:color w:val="0F4761" w:themeColor="accent1" w:themeShade="BF"/>
          <w:sz w:val="28"/>
          <w:szCs w:val="28"/>
        </w:rPr>
      </w:pPr>
      <w:r w:rsidRPr="00B91756">
        <w:rPr>
          <w:rFonts w:eastAsiaTheme="majorEastAsia" w:cstheme="majorBidi"/>
        </w:rPr>
        <w:t xml:space="preserve">An effective workplace coach requires relevant knowledge as well as interpersonal and developmental skills. At a basic level, the coach needs knowledge of the task, role, or </w:t>
      </w:r>
      <w:r w:rsidRPr="00B91756">
        <w:rPr>
          <w:rFonts w:eastAsiaTheme="majorEastAsia" w:cstheme="majorBidi"/>
        </w:rPr>
        <w:lastRenderedPageBreak/>
        <w:t>professional standard being developed. In workplace contexts such as aesthetic education, this includes knowledge of consultation, treatment procedures, patient safety, infection prevention, and legal or professional accountability. Without this foundation, coaching may become too generic to support meaningful improvement.</w:t>
      </w:r>
      <w:r w:rsidR="00301F68">
        <w:rPr>
          <w:rFonts w:eastAsiaTheme="majorEastAsia" w:cstheme="majorBidi"/>
        </w:rPr>
        <w:t xml:space="preserve"> </w:t>
      </w:r>
      <w:r w:rsidRPr="00B91756">
        <w:t xml:space="preserve">However, technical knowledge alone is not enough. Effective coaching also depends on communication skills, particularly active listening, questioning, and feedback. Colgate (2025) suggests that active listening helps build trust and understanding, while </w:t>
      </w:r>
      <w:proofErr w:type="spellStart"/>
      <w:r w:rsidRPr="00B91756">
        <w:t>Mbokota</w:t>
      </w:r>
      <w:proofErr w:type="spellEnd"/>
      <w:r w:rsidRPr="00B91756">
        <w:t xml:space="preserve"> </w:t>
      </w:r>
      <w:r w:rsidRPr="00B91756">
        <w:rPr>
          <w:i/>
          <w:iCs/>
        </w:rPr>
        <w:t>et al.</w:t>
      </w:r>
      <w:r w:rsidRPr="00B91756">
        <w:t xml:space="preserve"> (2024) argue that questioning can promote reflection and deeper learning. These skills are central because they move coaching beyond simple instruction and encourage learners to think critically about their own practice. At the same time, their effectiveness depends on how they are used. In short practical courses, reflective questioning may need to be balanced with more direct guidance, especially where clinical safety and legal accountability are involved (Department of Health and Social Care, 2025; Joint Council for Cosmetic Practitioners, 2025).</w:t>
      </w:r>
      <w:r w:rsidR="00301F68" w:rsidRPr="005B13D5">
        <w:t xml:space="preserve"> </w:t>
      </w:r>
      <w:r w:rsidRPr="00B91756">
        <w:t xml:space="preserve">Feedback is another essential skill. Constructive feedback allows learners to identify strengths, recognise areas for improvement, and apply learning in practice. </w:t>
      </w:r>
      <w:proofErr w:type="spellStart"/>
      <w:r w:rsidRPr="00B91756">
        <w:t>Mbokota</w:t>
      </w:r>
      <w:proofErr w:type="spellEnd"/>
      <w:r w:rsidRPr="00B91756">
        <w:t xml:space="preserve"> and Myres (2024) suggest that timely, specific, and development-focused feedback can support reflective learning and skill development. In aesthetic education, this is especially valuable because learners must quickly strengthen both technical performance and consultation skills. However, feedback is not neutral. Its impact depends not only on what is said, but on how it is delivered and how it is interpreted by the learner. Feedback that feels overly critical or vague may reduce confidence rather than promote improvement.</w:t>
      </w:r>
      <w:r w:rsidR="00301F68" w:rsidRPr="005B13D5">
        <w:t xml:space="preserve"> </w:t>
      </w:r>
      <w:r w:rsidRPr="00B91756">
        <w:t xml:space="preserve">Goal setting is also important in effective coaching. Clear goals can provide direction, make expectations explicit, and help learners monitor progress. Yet </w:t>
      </w:r>
      <w:r w:rsidR="00301F68" w:rsidRPr="005B13D5">
        <w:t>goal setting</w:t>
      </w:r>
      <w:r w:rsidRPr="00B91756">
        <w:t xml:space="preserve"> should not become overly rigid, particularly in practice-based learning where confidence, communication, and judgement may develop unevenly. This suggests that coaching skills should be understood not as isolated techniques, but as part of a wider professional capability that involves timing, judgement, and adaptation to context.</w:t>
      </w:r>
    </w:p>
    <w:p w14:paraId="4AB7CC4A" w14:textId="73561741" w:rsidR="00B91756" w:rsidRPr="00B91756" w:rsidRDefault="00B91756" w:rsidP="00E52D28">
      <w:pPr>
        <w:spacing w:line="360" w:lineRule="auto"/>
        <w:jc w:val="both"/>
      </w:pPr>
      <w:bookmarkStart w:id="8" w:name="_Toc224246969"/>
      <w:r w:rsidRPr="00B91756">
        <w:rPr>
          <w:rStyle w:val="Heading3Char"/>
        </w:rPr>
        <w:t>3.3 Attitudes, Behaviours and Professional Judgement in Coaching</w:t>
      </w:r>
      <w:bookmarkEnd w:id="8"/>
      <w:r w:rsidR="00301F68">
        <w:rPr>
          <w:b/>
          <w:bCs/>
        </w:rPr>
        <w:t xml:space="preserve"> </w:t>
      </w:r>
      <w:r w:rsidRPr="00B91756">
        <w:t xml:space="preserve">Alongside knowledge and skill, effective coaching depends on the coach’s attitudes and behaviours. A workplace coach needs to demonstrate openness, patience, respect, and </w:t>
      </w:r>
      <w:r w:rsidRPr="00B91756">
        <w:lastRenderedPageBreak/>
        <w:t xml:space="preserve">a genuine commitment to learner development. These attitudes influence whether coaching is experienced as supportive and developmental or as corrective and intimidating. Tang </w:t>
      </w:r>
      <w:r w:rsidRPr="00B91756">
        <w:rPr>
          <w:i/>
          <w:iCs/>
        </w:rPr>
        <w:t>et al</w:t>
      </w:r>
      <w:r w:rsidRPr="00B91756">
        <w:t>. (2024) found that supportive coaching relationships can strengthen engagement and learning, which suggests that attitude is not separate from effectiveness but central to it.</w:t>
      </w:r>
      <w:r w:rsidR="00165C3C">
        <w:t xml:space="preserve"> </w:t>
      </w:r>
      <w:r w:rsidRPr="00B91756">
        <w:t>In practice, these attitudes are expressed through behaviour. Effective coaching behaviour includes listening without interruption, asking purposeful questions, adapting support to the learner’s needs, and providing objective feedback focused on performance rather than personal judgement. In professional training settings, these behaviours help create psychological safety, which is important because learners are more likely to ask questions, acknowledge mistakes, and engage in reflection when they do not fear embarrassment or unfair criticism. This is particularly significant in aesthetic education, where learners may feel vulnerable when developing visible practical skills in front of others.</w:t>
      </w:r>
      <w:r w:rsidR="00165C3C" w:rsidRPr="00165C3C">
        <w:t xml:space="preserve"> </w:t>
      </w:r>
      <w:r w:rsidRPr="00B91756">
        <w:t xml:space="preserve">Self-awareness is also a key feature of effective coaching. Moos and </w:t>
      </w:r>
      <w:proofErr w:type="spellStart"/>
      <w:r w:rsidRPr="00B91756">
        <w:t>Spranz-Fogasy</w:t>
      </w:r>
      <w:proofErr w:type="spellEnd"/>
      <w:r w:rsidRPr="00B91756">
        <w:t xml:space="preserve"> (2024) argue that coaches need to recognise how their own assumptions, communication style, and expectations may influence the coaching relationship. London and Smither (2023) similarly suggest that self-awareness can be strengthened through feedback and reflection, helping individuals identify blind spots and understand how their behaviour affects others. This matters because coaching is not shaped only by what the coach intends, but also by how the learner experiences the interaction.</w:t>
      </w:r>
      <w:r w:rsidR="00165C3C" w:rsidRPr="00165C3C">
        <w:t xml:space="preserve"> </w:t>
      </w:r>
      <w:r w:rsidRPr="00B91756">
        <w:t xml:space="preserve">Bias and power are therefore important considerations. Adele and Ellinger (2024) and Stone </w:t>
      </w:r>
      <w:r w:rsidRPr="00B91756">
        <w:rPr>
          <w:i/>
          <w:iCs/>
        </w:rPr>
        <w:t>et al</w:t>
      </w:r>
      <w:r w:rsidRPr="00B91756">
        <w:t xml:space="preserve">. (2024) suggest that workplace coaching is shaped not only by coaching techniques, but also by beliefs, role expectations, and perceptions of support. In aesthetic education, this becomes especially relevant where the trainer may also act as assessor. In these circumstances, feedback may be perceived as evaluative rather than developmental, which can affect learner confidence and willingness to engage. </w:t>
      </w:r>
      <w:proofErr w:type="spellStart"/>
      <w:r w:rsidRPr="00B91756">
        <w:t>Woulfin</w:t>
      </w:r>
      <w:proofErr w:type="spellEnd"/>
      <w:r w:rsidRPr="00B91756">
        <w:t xml:space="preserve"> </w:t>
      </w:r>
      <w:r w:rsidRPr="00B91756">
        <w:rPr>
          <w:i/>
          <w:iCs/>
        </w:rPr>
        <w:t>et al</w:t>
      </w:r>
      <w:r w:rsidRPr="00B91756">
        <w:t>. (2023) highlight how power and assumptions within developmental relationships can influence engagement, while Steyn and Barnard (2024) suggest that clear, objective feedback focused on observable behaviours can reduce this risk.</w:t>
      </w:r>
      <w:r w:rsidR="00E52D28">
        <w:t xml:space="preserve"> </w:t>
      </w:r>
      <w:r w:rsidRPr="00B91756">
        <w:t xml:space="preserve">Boyatzis </w:t>
      </w:r>
      <w:r w:rsidRPr="00E52D28">
        <w:rPr>
          <w:i/>
          <w:iCs/>
        </w:rPr>
        <w:t>et al</w:t>
      </w:r>
      <w:r w:rsidRPr="00B91756">
        <w:t xml:space="preserve">. (2024) further emphasise the importance of empathy, self-awareness, and emotional control in positive coaching outcomes. This suggests that effective coaching is not simply a matter of using the right techniques, but of applying them with professional judgement. A coach may know how to question, listen and set goals, but still </w:t>
      </w:r>
      <w:r w:rsidRPr="00B91756">
        <w:lastRenderedPageBreak/>
        <w:t xml:space="preserve">coach poorly if they fail to recognise learner anxiety, rely too heavily on judgement, or do not adapt their approach to the situation. Cannon-Bowers </w:t>
      </w:r>
      <w:r w:rsidRPr="00082B22">
        <w:rPr>
          <w:i/>
          <w:iCs/>
        </w:rPr>
        <w:t>et al.</w:t>
      </w:r>
      <w:r w:rsidRPr="00B91756">
        <w:t xml:space="preserve"> (2023) similarly argue that structured coaching is most effective where it is adapted to the context and supported by clear developmental intent.</w:t>
      </w:r>
    </w:p>
    <w:p w14:paraId="08251F02" w14:textId="77777777" w:rsidR="00B91756" w:rsidRPr="00B91756" w:rsidRDefault="00B91756" w:rsidP="00E52D28">
      <w:pPr>
        <w:spacing w:line="360" w:lineRule="auto"/>
        <w:jc w:val="both"/>
      </w:pPr>
      <w:r w:rsidRPr="00B91756">
        <w:t>Overall, an effective workplace coach requires relevant knowledge, strong communication and feedback skills, supportive attitudes, and behaviours that promote reflection, trust, and professional growth. In aesthetic education, these qualities are particularly important because coaching must support safe practice, confidence, and competence within a short and demanding training environment. This also explains why the choice of coaching model matters, as the next section will assess which processes are most appropriate for formal coaching in this context.</w:t>
      </w:r>
    </w:p>
    <w:p w14:paraId="6937AA26" w14:textId="77777777" w:rsidR="00D75592" w:rsidRPr="00D75592" w:rsidRDefault="00D75592" w:rsidP="00515894">
      <w:pPr>
        <w:pStyle w:val="Heading2"/>
      </w:pPr>
      <w:bookmarkStart w:id="9" w:name="_Toc224246970"/>
      <w:r w:rsidRPr="00D75592">
        <w:t>4.0 Application of Coaching Models</w:t>
      </w:r>
      <w:bookmarkEnd w:id="9"/>
    </w:p>
    <w:p w14:paraId="17876074" w14:textId="77777777" w:rsidR="00D75592" w:rsidRPr="00D75592" w:rsidRDefault="00D75592" w:rsidP="00515894">
      <w:pPr>
        <w:spacing w:line="360" w:lineRule="auto"/>
        <w:jc w:val="both"/>
      </w:pPr>
      <w:r w:rsidRPr="00D75592">
        <w:t xml:space="preserve">Coaching models provide a framework for structuring learning conversations and supporting development in the workplace. However, not all models are equally suitable for every context. In aesthetic education, coaching takes place in short, skill-based training environments, so the most useful models are those that are structured, practical, and flexible enough to support both competence and confidence. This is consistent with the view that coaching is most effective when it is evidence-informed, adapted to context, and linked to clear developmental needs (CIPD, 2025; Cannon-Bowers </w:t>
      </w:r>
      <w:r w:rsidRPr="00515894">
        <w:rPr>
          <w:i/>
          <w:iCs/>
        </w:rPr>
        <w:t>et al.,</w:t>
      </w:r>
      <w:r w:rsidRPr="00D75592">
        <w:t xml:space="preserve"> 2023; Antoni &amp; Tatar, 2025).</w:t>
      </w:r>
    </w:p>
    <w:p w14:paraId="3F8C0427" w14:textId="77777777" w:rsidR="00D75592" w:rsidRPr="00D75592" w:rsidRDefault="00D75592" w:rsidP="00515894">
      <w:pPr>
        <w:pStyle w:val="Heading3"/>
      </w:pPr>
      <w:bookmarkStart w:id="10" w:name="_Toc224246971"/>
      <w:r w:rsidRPr="00D75592">
        <w:t>4.1 Application and Evaluation of Coaching Models in Aesthetic Education</w:t>
      </w:r>
      <w:bookmarkEnd w:id="10"/>
    </w:p>
    <w:p w14:paraId="798826FA" w14:textId="77777777" w:rsidR="00D75592" w:rsidRPr="00D75592" w:rsidRDefault="00D75592" w:rsidP="004B2258">
      <w:pPr>
        <w:spacing w:line="360" w:lineRule="auto"/>
        <w:jc w:val="both"/>
      </w:pPr>
      <w:r w:rsidRPr="00D75592">
        <w:t>Of the models considered, GROW appears to be the most applicable in aesthetic education because it provides a clear structure that fits well within short training sessions. Whitmore (2017) describes GROW as a framework based on Goal, Reality, Options and Will, and its main strength in workplace learning is that it helps make coaching purposeful and focused. This is particularly useful in aesthetic training, where learners are often expected to develop practical competence, consultation ability, and professional confidence within one day or a similarly limited period.</w:t>
      </w:r>
    </w:p>
    <w:p w14:paraId="774C4AB7" w14:textId="77777777" w:rsidR="00D75592" w:rsidRPr="00D75592" w:rsidRDefault="00D75592" w:rsidP="004B2258">
      <w:pPr>
        <w:spacing w:line="360" w:lineRule="auto"/>
        <w:jc w:val="both"/>
      </w:pPr>
      <w:r w:rsidRPr="00D75592">
        <w:t xml:space="preserve">For example, GROW could be applied when supporting a trainee who is technically capable of carrying out a treatment but lacks confidence in client consultation. The goal </w:t>
      </w:r>
      <w:r w:rsidRPr="00D75592">
        <w:lastRenderedPageBreak/>
        <w:t>may be to conduct a safe, clear, and professional consultation independently by the end of the session. The reality stage would explore the learner’s current position, such as uncertainty around explaining contraindications, managing client expectations, or discussing aftercare. The options stage could include observing an experienced practitioner, rehearsing key consultation points, or using a structured consultation checklist. The will stage would then turn this into a realistic action plan for the learner to apply in practice. This aligns with Antoni and Tatar’s (2025) argument that coaching is more effective when learning goals are made explicit and connected to action.</w:t>
      </w:r>
    </w:p>
    <w:p w14:paraId="44DB3F19" w14:textId="296B7A41" w:rsidR="00D75592" w:rsidRPr="00D75592" w:rsidRDefault="00D75592" w:rsidP="004B2258">
      <w:pPr>
        <w:spacing w:line="360" w:lineRule="auto"/>
        <w:jc w:val="both"/>
      </w:pPr>
      <w:r w:rsidRPr="00D75592">
        <w:t xml:space="preserve">A further strength of GROW is that it can work well alongside SMART </w:t>
      </w:r>
      <w:r w:rsidR="006A35A1" w:rsidRPr="00D75592">
        <w:t>goal setting</w:t>
      </w:r>
      <w:r w:rsidRPr="00D75592">
        <w:t>, particularly where expectations need to be clear and measurable. In short practical courses, this can help learners understand what they are working towards and how progress will be recognised. However, this should not be applied too rigidly, as overly narrow goals may reduce flexibility and limit reflection. In aesthetic education, some learners may need support not only with achieving a task, but with building confidence and adapting their communication style in response to clients.</w:t>
      </w:r>
    </w:p>
    <w:p w14:paraId="2A107C39" w14:textId="384A604A" w:rsidR="00D75592" w:rsidRPr="00D75592" w:rsidRDefault="00D75592" w:rsidP="004B2258">
      <w:pPr>
        <w:spacing w:line="360" w:lineRule="auto"/>
        <w:jc w:val="both"/>
      </w:pPr>
      <w:r w:rsidRPr="00D75592">
        <w:t xml:space="preserve">This highlights one limitation of GROW. Although it offers useful structure, it may be too linear for learners who are anxious, overwhelmed, or too inexperienced to identify realistic options independently. In these </w:t>
      </w:r>
      <w:r w:rsidR="008C07BE" w:rsidRPr="00D75592">
        <w:t>situations</w:t>
      </w:r>
      <w:r w:rsidRPr="00D75592">
        <w:t>, coaching may need to become more directive, especially where clinical safety, infection prevention, consent, and legal accountability are involved. This is particularly relevant in the current regulatory climate for non-surgical cosmetic procedures, where practitioner competence and public protection are receiving increased policy attention (Department of Health and Social Care, 2025; Joint Council for Cosmetic Practitioners, 2025). Ben-Hador (2024) also highlights that coaching in workplace settings is shaped by the wider employment relationship, suggesting that model choice alone is not enough if role expectations, support, and context are not considered.</w:t>
      </w:r>
    </w:p>
    <w:p w14:paraId="557A5DE3" w14:textId="77777777" w:rsidR="00D75592" w:rsidRPr="00D75592" w:rsidRDefault="00D75592" w:rsidP="004B2258">
      <w:pPr>
        <w:spacing w:line="360" w:lineRule="auto"/>
        <w:jc w:val="both"/>
      </w:pPr>
      <w:r w:rsidRPr="00D75592">
        <w:t>Overall, GROW appears to be a strong model for aesthetic education because it offers clarity, supports focused development, and fits short training environments well. However, its effectiveness depends on the learner’s readiness to reflect and on the coach’s ability to adapt the model in a supportive and professionally appropriate way.</w:t>
      </w:r>
    </w:p>
    <w:p w14:paraId="5270BCBC" w14:textId="77777777" w:rsidR="00D75592" w:rsidRPr="00D75592" w:rsidRDefault="00D75592" w:rsidP="006A35A1">
      <w:pPr>
        <w:pStyle w:val="Heading3"/>
      </w:pPr>
      <w:bookmarkStart w:id="11" w:name="_Toc224246972"/>
      <w:r w:rsidRPr="00D75592">
        <w:lastRenderedPageBreak/>
        <w:t>4.2 Comparison of GROW with Other Models</w:t>
      </w:r>
      <w:bookmarkEnd w:id="11"/>
    </w:p>
    <w:p w14:paraId="4A054805" w14:textId="77777777" w:rsidR="00D75592" w:rsidRPr="00D75592" w:rsidRDefault="00D75592" w:rsidP="00562DC5">
      <w:pPr>
        <w:spacing w:line="360" w:lineRule="auto"/>
        <w:jc w:val="both"/>
      </w:pPr>
      <w:r w:rsidRPr="00D75592">
        <w:t>Although GROW appears to be the most suitable primary model in this context, other models may also offer value. OSCAR may be particularly helpful for learners who feel anxious or overwhelmed, as its solution-focused approach directs attention towards strengths, progress, and achievable next steps. In aesthetic training, this may be useful where confidence is affecting practical performance or consultation skills. Compared with GROW, OSCAR may therefore be more supportive in confidence-building situations, whereas GROW may be stronger when the priority is to structure learning around a clear skill or performance objective.</w:t>
      </w:r>
    </w:p>
    <w:p w14:paraId="47A8CBD8" w14:textId="77777777" w:rsidR="00D75592" w:rsidRPr="00D75592" w:rsidRDefault="00D75592" w:rsidP="00562DC5">
      <w:pPr>
        <w:spacing w:line="360" w:lineRule="auto"/>
        <w:jc w:val="both"/>
      </w:pPr>
      <w:r w:rsidRPr="00D75592">
        <w:t>CIGAR also has some relevance because it encourages the learner to consider the gap between current and desired performance. However, in a one-day training course it may add complexity without offering a clear advantage over GROW. For this reason, it may be less practical in aesthetic education, where simplicity and time-efficiency are important.</w:t>
      </w:r>
    </w:p>
    <w:p w14:paraId="31A10A1E" w14:textId="77777777" w:rsidR="00D75592" w:rsidRPr="00D75592" w:rsidRDefault="00D75592" w:rsidP="00562DC5">
      <w:pPr>
        <w:spacing w:line="360" w:lineRule="auto"/>
        <w:jc w:val="both"/>
      </w:pPr>
      <w:r w:rsidRPr="00D75592">
        <w:t>NLP may be mentioned as an influence on communication and confidence-building, but it appears less convincing as a core coaching model in this context. The evidence base is more mixed, and in time-limited practical training the priority is usually to guide the learner through safe and competent performance rather than explore broader patterns of thinking or feeling in depth. For this reason, GROW and OSCAR appear more suitable for aesthetic education, as they provide a clearer and more structured basis for coaching within practical learning environments.</w:t>
      </w:r>
    </w:p>
    <w:p w14:paraId="0A0DE2EA" w14:textId="77777777" w:rsidR="00D75592" w:rsidRPr="00D75592" w:rsidRDefault="00D75592" w:rsidP="00562DC5">
      <w:pPr>
        <w:spacing w:line="360" w:lineRule="auto"/>
        <w:jc w:val="both"/>
      </w:pPr>
      <w:r w:rsidRPr="00D75592">
        <w:t>Reflecting on these models suggests that no single approach is sufficient in every situation. Some learners benefit from structured goal-focused coaching, while others respond better to solution-focused encouragement and confidence-building. This reinforces the importance of adapting coaching to the learner, the skill being developed, and the practical realities of the training environment. In aesthetic education, the most effective approach is therefore likely to be a flexible one in which GROW provides the main structure, while elements of OSCAR and more directive feedback are used where appropriate to support safe practice, learner confidence, and professional development.</w:t>
      </w:r>
    </w:p>
    <w:p w14:paraId="0B926D40" w14:textId="68E46517" w:rsidR="005F0F2F" w:rsidRPr="005F0F2F" w:rsidRDefault="005F0F2F" w:rsidP="00332641">
      <w:pPr>
        <w:pStyle w:val="Heading2"/>
        <w:jc w:val="both"/>
      </w:pPr>
      <w:bookmarkStart w:id="12" w:name="_Toc224246973"/>
      <w:r w:rsidRPr="005F0F2F">
        <w:lastRenderedPageBreak/>
        <w:t>5.</w:t>
      </w:r>
      <w:r w:rsidR="009B7494">
        <w:t>0</w:t>
      </w:r>
      <w:r w:rsidRPr="005F0F2F">
        <w:t xml:space="preserve"> Conclusion</w:t>
      </w:r>
      <w:bookmarkEnd w:id="12"/>
      <w:r w:rsidRPr="005F0F2F">
        <w:t xml:space="preserve"> </w:t>
      </w:r>
    </w:p>
    <w:p w14:paraId="08161561" w14:textId="5291A1A3" w:rsidR="008B518D" w:rsidRPr="008B518D" w:rsidRDefault="008B518D" w:rsidP="00C30B61">
      <w:pPr>
        <w:spacing w:line="360" w:lineRule="auto"/>
        <w:jc w:val="both"/>
      </w:pPr>
      <w:r w:rsidRPr="008B518D">
        <w:t>This report has explored the role of coaching and mentoring in organisational contexts, with a particular focus on coaching within aesthetic education. While coaching and mentoring share the aim of supporting professional development, coaching is typically more structured and short-term, focusing on improving specific skills and performance outcomes</w:t>
      </w:r>
      <w:r w:rsidR="00B03640">
        <w:t xml:space="preserve"> </w:t>
      </w:r>
      <w:r w:rsidRPr="008B518D">
        <w:t>(</w:t>
      </w:r>
      <w:proofErr w:type="spellStart"/>
      <w:r w:rsidRPr="008B518D">
        <w:t>Kolontari</w:t>
      </w:r>
      <w:proofErr w:type="spellEnd"/>
      <w:r w:rsidRPr="008B518D">
        <w:t xml:space="preserve"> </w:t>
      </w:r>
      <w:r w:rsidRPr="008C07BE">
        <w:rPr>
          <w:i/>
          <w:iCs/>
        </w:rPr>
        <w:t>et al</w:t>
      </w:r>
      <w:r w:rsidRPr="008B518D">
        <w:t>., 2023).</w:t>
      </w:r>
    </w:p>
    <w:p w14:paraId="523ED2D9" w14:textId="37F2D0A5" w:rsidR="008B518D" w:rsidRPr="008B518D" w:rsidRDefault="008B518D" w:rsidP="00C30B61">
      <w:pPr>
        <w:spacing w:line="360" w:lineRule="auto"/>
        <w:jc w:val="both"/>
      </w:pPr>
      <w:r w:rsidRPr="008B518D">
        <w:t>The analysis demonstrates that coaching can play an important role in workplace learning by supporting skill development, motivation, and learner engagement. Effective coaching relies on key competencies such as communication, emotional intelligence, feedback and self-awareness. These qualities help create supportive learning environments where individuals can reflect on their performance and develop professional confidence.</w:t>
      </w:r>
    </w:p>
    <w:p w14:paraId="4F2BB9E7" w14:textId="77777777" w:rsidR="008B518D" w:rsidRDefault="008B518D" w:rsidP="00C30B61">
      <w:pPr>
        <w:spacing w:line="360" w:lineRule="auto"/>
        <w:jc w:val="both"/>
      </w:pPr>
      <w:r w:rsidRPr="008B518D">
        <w:t>The evaluation of coaching models suggests that structured approaches such as the GROW model are particularly useful in skill-based training environments. Models like GROW provide clear stages that support goal setting, reflection, and practical improvement, which can be especially valuable in short training programmes. However, the effectiveness of coaching ultimately depends on the context in which it is delivered, including factors such as organisational culture, learner readiness, and the coach’s competence.</w:t>
      </w:r>
    </w:p>
    <w:p w14:paraId="2F14966D" w14:textId="64AA7E87" w:rsidR="00141F05" w:rsidRPr="008B518D" w:rsidRDefault="00141F05" w:rsidP="00C30B61">
      <w:pPr>
        <w:spacing w:line="360" w:lineRule="auto"/>
        <w:jc w:val="both"/>
      </w:pPr>
      <w:r w:rsidRPr="00141F05">
        <w:t>Overall, coaching is more defensible than mentoring in short-form aesthetic education because it aligns with immediate competence development, but its value depends on whether it remains developmental rather than merely evaluative. In this context, GROW is most effective when used flexibly and combined with supportive feedback, confidence-building, and directive intervention where safety requires it</w:t>
      </w:r>
    </w:p>
    <w:p w14:paraId="796D7662" w14:textId="50FD016E" w:rsidR="00C332DC" w:rsidRPr="00EB1B60" w:rsidRDefault="00C332DC" w:rsidP="00EB1B60">
      <w:pPr>
        <w:pStyle w:val="Heading2"/>
      </w:pPr>
      <w:bookmarkStart w:id="13" w:name="_Toc224246974"/>
      <w:r w:rsidRPr="00EB1B60">
        <w:t>References</w:t>
      </w:r>
      <w:bookmarkEnd w:id="13"/>
    </w:p>
    <w:p w14:paraId="5E7D65E4"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Antoni, C. H., &amp; Tatar, A. (2025). Learning processes as mediators of the impact of workplace coaching interventions on goal attainment. </w:t>
      </w:r>
      <w:r w:rsidRPr="00EB1B60">
        <w:rPr>
          <w:rFonts w:eastAsiaTheme="majorEastAsia" w:cstheme="majorBidi"/>
          <w:i/>
          <w:iCs/>
        </w:rPr>
        <w:t>Journal of Occupational and Organizational Psychology</w:t>
      </w:r>
      <w:r w:rsidRPr="00EB1B60">
        <w:rPr>
          <w:rFonts w:eastAsiaTheme="majorEastAsia" w:cstheme="majorBidi"/>
        </w:rPr>
        <w:t>, </w:t>
      </w:r>
      <w:r w:rsidRPr="00EB1B60">
        <w:rPr>
          <w:rFonts w:eastAsiaTheme="majorEastAsia" w:cstheme="majorBidi"/>
          <w:i/>
          <w:iCs/>
        </w:rPr>
        <w:t>98</w:t>
      </w:r>
      <w:r w:rsidRPr="00EB1B60">
        <w:rPr>
          <w:rFonts w:eastAsiaTheme="majorEastAsia" w:cstheme="majorBidi"/>
        </w:rPr>
        <w:t>(1). https://doi.org/10.1111/joop.70004</w:t>
      </w:r>
    </w:p>
    <w:p w14:paraId="0BBABBF7"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lastRenderedPageBreak/>
        <w:t>Ben</w:t>
      </w:r>
      <w:r w:rsidRPr="00EB1B60">
        <w:rPr>
          <w:rFonts w:ascii="Cambria Math" w:eastAsiaTheme="majorEastAsia" w:hAnsi="Cambria Math" w:cs="Cambria Math"/>
        </w:rPr>
        <w:t>‐</w:t>
      </w:r>
      <w:r w:rsidRPr="00EB1B60">
        <w:rPr>
          <w:rFonts w:eastAsiaTheme="majorEastAsia" w:cstheme="majorBidi"/>
        </w:rPr>
        <w:t>Hador, B. (2023). The practice of manager as coach ( MAC ): Unequal power relations and their effect on feelings toward the organization.</w:t>
      </w:r>
      <w:r w:rsidRPr="00EB1B60">
        <w:rPr>
          <w:rFonts w:eastAsiaTheme="majorEastAsia" w:cs="Aptos Display"/>
        </w:rPr>
        <w:t> </w:t>
      </w:r>
      <w:r w:rsidRPr="00EB1B60">
        <w:rPr>
          <w:rFonts w:eastAsiaTheme="majorEastAsia" w:cstheme="majorBidi"/>
          <w:i/>
          <w:iCs/>
        </w:rPr>
        <w:t>Human Resource Development Quarterly</w:t>
      </w:r>
      <w:r w:rsidRPr="00EB1B60">
        <w:rPr>
          <w:rFonts w:eastAsiaTheme="majorEastAsia" w:cstheme="majorBidi"/>
        </w:rPr>
        <w:t>. https://doi.org/10.1002/hrdq.21497</w:t>
      </w:r>
    </w:p>
    <w:p w14:paraId="15C9A7EF"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Bobrownicki, R., Carson, H. J., MacPherson, A. C., &amp; Collins, D. (2023). Constraints of the constraints-led approach in American football and comments on Yearby et al. (2002). </w:t>
      </w:r>
      <w:r w:rsidRPr="00EB1B60">
        <w:rPr>
          <w:rFonts w:eastAsiaTheme="majorEastAsia" w:cstheme="majorBidi"/>
          <w:i/>
          <w:iCs/>
        </w:rPr>
        <w:t>Sports Coaching Review</w:t>
      </w:r>
      <w:r w:rsidRPr="00EB1B60">
        <w:rPr>
          <w:rFonts w:eastAsiaTheme="majorEastAsia" w:cstheme="majorBidi"/>
        </w:rPr>
        <w:t>, 1–13. https://doi.org/10.1080/21640629.2022.2158579</w:t>
      </w:r>
    </w:p>
    <w:p w14:paraId="743C2DF3"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British Dental Journal. (2025). New award in coaching and mentoring. </w:t>
      </w:r>
      <w:r w:rsidRPr="00EB1B60">
        <w:rPr>
          <w:rFonts w:eastAsiaTheme="majorEastAsia" w:cstheme="majorBidi"/>
          <w:i/>
          <w:iCs/>
        </w:rPr>
        <w:t>British Dental Journal</w:t>
      </w:r>
      <w:r w:rsidRPr="00EB1B60">
        <w:rPr>
          <w:rFonts w:eastAsiaTheme="majorEastAsia" w:cstheme="majorBidi"/>
        </w:rPr>
        <w:t>, </w:t>
      </w:r>
      <w:r w:rsidRPr="00EB1B60">
        <w:rPr>
          <w:rFonts w:eastAsiaTheme="majorEastAsia" w:cstheme="majorBidi"/>
          <w:i/>
          <w:iCs/>
        </w:rPr>
        <w:t>239</w:t>
      </w:r>
      <w:r w:rsidRPr="00EB1B60">
        <w:rPr>
          <w:rFonts w:eastAsiaTheme="majorEastAsia" w:cstheme="majorBidi"/>
        </w:rPr>
        <w:t>(5), 352–352. https://doi.org/10.1038/s41415-025-9185-2</w:t>
      </w:r>
    </w:p>
    <w:p w14:paraId="7D67AC73"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Cannon</w:t>
      </w:r>
      <w:r w:rsidRPr="00EB1B60">
        <w:rPr>
          <w:rFonts w:ascii="Cambria Math" w:eastAsiaTheme="majorEastAsia" w:hAnsi="Cambria Math" w:cs="Cambria Math"/>
        </w:rPr>
        <w:t>‐</w:t>
      </w:r>
      <w:r w:rsidRPr="00EB1B60">
        <w:rPr>
          <w:rFonts w:eastAsiaTheme="majorEastAsia" w:cstheme="majorBidi"/>
        </w:rPr>
        <w:t>Bowers, J. A., Bowers, C. A., Carlson, C., Doherty, S., Evans, J., &amp; Hall, J. (2023). Workplace coaching: a meta-analysis and Recommendations for Advancing the Science of Coaching.</w:t>
      </w:r>
      <w:r w:rsidRPr="00EB1B60">
        <w:rPr>
          <w:rFonts w:eastAsiaTheme="majorEastAsia" w:cs="Aptos Display"/>
        </w:rPr>
        <w:t> </w:t>
      </w:r>
      <w:r w:rsidRPr="00EB1B60">
        <w:rPr>
          <w:rFonts w:eastAsiaTheme="majorEastAsia" w:cstheme="majorBidi"/>
          <w:i/>
          <w:iCs/>
        </w:rPr>
        <w:t>Frontiers in Psychology</w:t>
      </w:r>
      <w:r w:rsidRPr="00EB1B60">
        <w:rPr>
          <w:rFonts w:eastAsiaTheme="majorEastAsia" w:cstheme="majorBidi"/>
        </w:rPr>
        <w:t>, </w:t>
      </w:r>
      <w:r w:rsidRPr="00EB1B60">
        <w:rPr>
          <w:rFonts w:eastAsiaTheme="majorEastAsia" w:cstheme="majorBidi"/>
          <w:i/>
          <w:iCs/>
        </w:rPr>
        <w:t>14</w:t>
      </w:r>
      <w:r w:rsidRPr="00EB1B60">
        <w:rPr>
          <w:rFonts w:eastAsiaTheme="majorEastAsia" w:cstheme="majorBidi"/>
        </w:rPr>
        <w:t>(14). https://doi.org/10.3389/fpsyg.2023.1204166</w:t>
      </w:r>
    </w:p>
    <w:p w14:paraId="0D4FC2EC"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ChatGPT. (2025). </w:t>
      </w:r>
      <w:r w:rsidRPr="00EB1B60">
        <w:rPr>
          <w:rFonts w:eastAsiaTheme="majorEastAsia" w:cstheme="majorBidi"/>
          <w:i/>
          <w:iCs/>
        </w:rPr>
        <w:t>ChatGPT</w:t>
      </w:r>
      <w:r w:rsidRPr="00EB1B60">
        <w:rPr>
          <w:rFonts w:eastAsiaTheme="majorEastAsia" w:cstheme="majorBidi"/>
        </w:rPr>
        <w:t>. ChatGPT. https://chatgpt.com/c/6995f407-0ce4-8384-866e-f2416ed3a071</w:t>
      </w:r>
    </w:p>
    <w:p w14:paraId="47F5970C"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CIPD. (2021, August 3). </w:t>
      </w:r>
      <w:r w:rsidRPr="00EB1B60">
        <w:rPr>
          <w:rFonts w:eastAsiaTheme="majorEastAsia" w:cstheme="majorBidi"/>
          <w:i/>
          <w:iCs/>
        </w:rPr>
        <w:t>Coaching and Mentoring | Factsheets | CIPD</w:t>
      </w:r>
      <w:r w:rsidRPr="00EB1B60">
        <w:rPr>
          <w:rFonts w:eastAsiaTheme="majorEastAsia" w:cstheme="majorBidi"/>
        </w:rPr>
        <w:t>. CIPD. https://www.cipd.co.uk/knowledge/fundamentals/people/development/coaching-mentoring-factsheet</w:t>
      </w:r>
    </w:p>
    <w:p w14:paraId="33B093DB"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CIPD . (2023). </w:t>
      </w:r>
      <w:r w:rsidRPr="00EB1B60">
        <w:rPr>
          <w:rFonts w:eastAsiaTheme="majorEastAsia" w:cstheme="majorBidi"/>
          <w:i/>
          <w:iCs/>
        </w:rPr>
        <w:t>CIPD The Professional Body for Human Resources and People Development</w:t>
      </w:r>
      <w:r w:rsidRPr="00EB1B60">
        <w:rPr>
          <w:rFonts w:eastAsiaTheme="majorEastAsia" w:cstheme="majorBidi"/>
        </w:rPr>
        <w:t>. CIPD. https://www.cipd.co.uk</w:t>
      </w:r>
    </w:p>
    <w:p w14:paraId="18251300"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Coaching and mentoring</w:t>
      </w:r>
    </w:p>
    <w:p w14:paraId="6156A3B1"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i/>
          <w:iCs/>
        </w:rPr>
        <w:t>CIPD | Coaching and mentoring | Factsheets</w:t>
      </w:r>
      <w:r w:rsidRPr="00EB1B60">
        <w:rPr>
          <w:rFonts w:eastAsiaTheme="majorEastAsia" w:cstheme="majorBidi"/>
        </w:rPr>
        <w:t>. (2025, August 11). CIPD. https://www.cipd.org/en/knowledge/factsheets/coaching-mentoring-factsheet/?utm_source=chatgpt.com</w:t>
      </w:r>
    </w:p>
    <w:p w14:paraId="53D29C16"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department of health and social care. (2025). </w:t>
      </w:r>
      <w:r w:rsidRPr="00EB1B60">
        <w:rPr>
          <w:rFonts w:eastAsiaTheme="majorEastAsia" w:cstheme="majorBidi"/>
          <w:i/>
          <w:iCs/>
        </w:rPr>
        <w:t>The licensing of non-surgical cosmetic procedures in England: consultation response</w:t>
      </w:r>
      <w:r w:rsidRPr="00EB1B60">
        <w:rPr>
          <w:rFonts w:eastAsiaTheme="majorEastAsia" w:cstheme="majorBidi"/>
        </w:rPr>
        <w:t>. GOV.UK. https://www.gov.uk/government/consultations/licensing-of-non-surgical-</w:t>
      </w:r>
      <w:r w:rsidRPr="00EB1B60">
        <w:rPr>
          <w:rFonts w:eastAsiaTheme="majorEastAsia" w:cstheme="majorBidi"/>
        </w:rPr>
        <w:lastRenderedPageBreak/>
        <w:t>cosmetic-procedures/outcome/the-licensing-of-non-surgical-cosmetic-procedures-in-england-consultation-response</w:t>
      </w:r>
    </w:p>
    <w:p w14:paraId="51BAC937"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Dhar, U. (2024). A model of managerial coach learning and development. </w:t>
      </w:r>
      <w:r w:rsidRPr="00EB1B60">
        <w:rPr>
          <w:rFonts w:eastAsiaTheme="majorEastAsia" w:cstheme="majorBidi"/>
          <w:i/>
          <w:iCs/>
        </w:rPr>
        <w:t>Human Resource Management Review</w:t>
      </w:r>
      <w:r w:rsidRPr="00EB1B60">
        <w:rPr>
          <w:rFonts w:eastAsiaTheme="majorEastAsia" w:cstheme="majorBidi"/>
        </w:rPr>
        <w:t>, </w:t>
      </w:r>
      <w:r w:rsidRPr="00EB1B60">
        <w:rPr>
          <w:rFonts w:eastAsiaTheme="majorEastAsia" w:cstheme="majorBidi"/>
          <w:i/>
          <w:iCs/>
        </w:rPr>
        <w:t>35</w:t>
      </w:r>
      <w:r w:rsidRPr="00EB1B60">
        <w:rPr>
          <w:rFonts w:eastAsiaTheme="majorEastAsia" w:cstheme="majorBidi"/>
        </w:rPr>
        <w:t>(2), 101073–101073. https://doi.org/10.1016/j.hrmr.2024.101073</w:t>
      </w:r>
    </w:p>
    <w:p w14:paraId="05C618ED"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Ebrahimi, M. (2024). </w:t>
      </w:r>
      <w:r w:rsidRPr="00EB1B60">
        <w:rPr>
          <w:rFonts w:eastAsiaTheme="majorEastAsia" w:cstheme="majorBidi"/>
          <w:i/>
          <w:iCs/>
        </w:rPr>
        <w:t>SSRN Electronic Journal</w:t>
      </w:r>
      <w:r w:rsidRPr="00EB1B60">
        <w:rPr>
          <w:rFonts w:eastAsiaTheme="majorEastAsia" w:cstheme="majorBidi"/>
        </w:rPr>
        <w:t>. https://doi.org/10.2139/ssrn.5032419</w:t>
      </w:r>
    </w:p>
    <w:p w14:paraId="1BB6FCB0"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Garvey, B., Stokes, P., Megginson, D., &amp; Kullar, E. (2018). Coaching and Mentoring: Theory and Practice (3rd edition). </w:t>
      </w:r>
      <w:r w:rsidRPr="00EB1B60">
        <w:rPr>
          <w:rFonts w:eastAsiaTheme="majorEastAsia" w:cstheme="majorBidi"/>
          <w:i/>
          <w:iCs/>
        </w:rPr>
        <w:t>The Coaching Psychologist</w:t>
      </w:r>
      <w:r w:rsidRPr="00EB1B60">
        <w:rPr>
          <w:rFonts w:eastAsiaTheme="majorEastAsia" w:cstheme="majorBidi"/>
        </w:rPr>
        <w:t>, </w:t>
      </w:r>
      <w:r w:rsidRPr="00EB1B60">
        <w:rPr>
          <w:rFonts w:eastAsiaTheme="majorEastAsia" w:cstheme="majorBidi"/>
          <w:i/>
          <w:iCs/>
        </w:rPr>
        <w:t>14</w:t>
      </w:r>
      <w:r w:rsidRPr="00EB1B60">
        <w:rPr>
          <w:rFonts w:eastAsiaTheme="majorEastAsia" w:cstheme="majorBidi"/>
        </w:rPr>
        <w:t>(2), 124–125. https://doi.org/10.53841/bpstcp.2018.14.2.124</w:t>
      </w:r>
    </w:p>
    <w:p w14:paraId="5608B571"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Grant, A. M. (2014). The Efficacy of Executive Coaching in Times of Organisational Change. </w:t>
      </w:r>
      <w:r w:rsidRPr="00EB1B60">
        <w:rPr>
          <w:rFonts w:eastAsiaTheme="majorEastAsia" w:cstheme="majorBidi"/>
          <w:i/>
          <w:iCs/>
        </w:rPr>
        <w:t>Journal of Change Management</w:t>
      </w:r>
      <w:r w:rsidRPr="00EB1B60">
        <w:rPr>
          <w:rFonts w:eastAsiaTheme="majorEastAsia" w:cstheme="majorBidi"/>
        </w:rPr>
        <w:t>, </w:t>
      </w:r>
      <w:r w:rsidRPr="00EB1B60">
        <w:rPr>
          <w:rFonts w:eastAsiaTheme="majorEastAsia" w:cstheme="majorBidi"/>
          <w:i/>
          <w:iCs/>
        </w:rPr>
        <w:t>14</w:t>
      </w:r>
      <w:r w:rsidRPr="00EB1B60">
        <w:rPr>
          <w:rFonts w:eastAsiaTheme="majorEastAsia" w:cstheme="majorBidi"/>
        </w:rPr>
        <w:t>(2), 258–280. https://doi.org/10.1080/14697017.2013.805159</w:t>
      </w:r>
    </w:p>
    <w:p w14:paraId="27259129"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Grant, A. M., &amp; Hartley, M. (2013). Developing the leader as coach: insights, strategies and tips for embedding coaching skills in the workplace. </w:t>
      </w:r>
      <w:r w:rsidRPr="00EB1B60">
        <w:rPr>
          <w:rFonts w:eastAsiaTheme="majorEastAsia" w:cstheme="majorBidi"/>
          <w:i/>
          <w:iCs/>
        </w:rPr>
        <w:t>Coaching: An International Journal of Theory, Research and Practice</w:t>
      </w:r>
      <w:r w:rsidRPr="00EB1B60">
        <w:rPr>
          <w:rFonts w:eastAsiaTheme="majorEastAsia" w:cstheme="majorBidi"/>
        </w:rPr>
        <w:t>, </w:t>
      </w:r>
      <w:r w:rsidRPr="00EB1B60">
        <w:rPr>
          <w:rFonts w:eastAsiaTheme="majorEastAsia" w:cstheme="majorBidi"/>
          <w:i/>
          <w:iCs/>
        </w:rPr>
        <w:t>6</w:t>
      </w:r>
      <w:r w:rsidRPr="00EB1B60">
        <w:rPr>
          <w:rFonts w:eastAsiaTheme="majorEastAsia" w:cstheme="majorBidi"/>
        </w:rPr>
        <w:t>(2), 102–115. https://doi.org/10.1080/17521882.2013.824015</w:t>
      </w:r>
    </w:p>
    <w:p w14:paraId="673E94F4"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 xml:space="preserve">Irby, B. J., &amp; </w:t>
      </w:r>
      <w:proofErr w:type="spellStart"/>
      <w:r w:rsidRPr="00EB1B60">
        <w:rPr>
          <w:rFonts w:eastAsiaTheme="majorEastAsia" w:cstheme="majorBidi"/>
        </w:rPr>
        <w:t>Pashmforoosh</w:t>
      </w:r>
      <w:proofErr w:type="spellEnd"/>
      <w:r w:rsidRPr="00EB1B60">
        <w:rPr>
          <w:rFonts w:eastAsiaTheme="majorEastAsia" w:cstheme="majorBidi"/>
        </w:rPr>
        <w:t>, R. (2024). Editorial: Mentoring, coaching, and tutoring as an enterprise. </w:t>
      </w:r>
      <w:r w:rsidRPr="00EB1B60">
        <w:rPr>
          <w:rFonts w:eastAsiaTheme="majorEastAsia" w:cstheme="majorBidi"/>
          <w:i/>
          <w:iCs/>
        </w:rPr>
        <w:t>Frontiers in Education</w:t>
      </w:r>
      <w:r w:rsidRPr="00EB1B60">
        <w:rPr>
          <w:rFonts w:eastAsiaTheme="majorEastAsia" w:cstheme="majorBidi"/>
        </w:rPr>
        <w:t>, </w:t>
      </w:r>
      <w:r w:rsidRPr="00EB1B60">
        <w:rPr>
          <w:rFonts w:eastAsiaTheme="majorEastAsia" w:cstheme="majorBidi"/>
          <w:i/>
          <w:iCs/>
        </w:rPr>
        <w:t>9</w:t>
      </w:r>
      <w:r w:rsidRPr="00EB1B60">
        <w:rPr>
          <w:rFonts w:eastAsiaTheme="majorEastAsia" w:cstheme="majorBidi"/>
        </w:rPr>
        <w:t>(9). https://doi.org/10.3389/feduc.2024.1382129</w:t>
      </w:r>
    </w:p>
    <w:p w14:paraId="66E54448"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Jagadeeswari, I. U., Shukla, N., Toni, M., &amp; Mishra, K. (2025). A Systematic Literature Review and Bibliometric Analysis of Workplace Coaching. </w:t>
      </w:r>
      <w:r w:rsidRPr="00EB1B60">
        <w:rPr>
          <w:rFonts w:eastAsiaTheme="majorEastAsia" w:cstheme="majorBidi"/>
          <w:i/>
          <w:iCs/>
        </w:rPr>
        <w:t>F1000Research</w:t>
      </w:r>
      <w:r w:rsidRPr="00EB1B60">
        <w:rPr>
          <w:rFonts w:eastAsiaTheme="majorEastAsia" w:cstheme="majorBidi"/>
        </w:rPr>
        <w:t>, </w:t>
      </w:r>
      <w:r w:rsidRPr="00EB1B60">
        <w:rPr>
          <w:rFonts w:eastAsiaTheme="majorEastAsia" w:cstheme="majorBidi"/>
          <w:i/>
          <w:iCs/>
        </w:rPr>
        <w:t>14</w:t>
      </w:r>
      <w:r w:rsidRPr="00EB1B60">
        <w:rPr>
          <w:rFonts w:eastAsiaTheme="majorEastAsia" w:cstheme="majorBidi"/>
        </w:rPr>
        <w:t>, 1290. https://doi.org/10.12688/f1000research.171808.1</w:t>
      </w:r>
    </w:p>
    <w:p w14:paraId="047970BA"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Jones, J., &amp; Smith, H. A. (2022). A comparative study of formal coaching and mentoring programmes in higher education. </w:t>
      </w:r>
      <w:r w:rsidRPr="00EB1B60">
        <w:rPr>
          <w:rFonts w:eastAsiaTheme="majorEastAsia" w:cstheme="majorBidi"/>
          <w:i/>
          <w:iCs/>
        </w:rPr>
        <w:t>International Journal of Mentoring and Coaching in Education</w:t>
      </w:r>
      <w:r w:rsidRPr="00EB1B60">
        <w:rPr>
          <w:rFonts w:eastAsiaTheme="majorEastAsia" w:cstheme="majorBidi"/>
        </w:rPr>
        <w:t>, </w:t>
      </w:r>
      <w:r w:rsidRPr="00EB1B60">
        <w:rPr>
          <w:rFonts w:eastAsiaTheme="majorEastAsia" w:cstheme="majorBidi"/>
          <w:i/>
          <w:iCs/>
        </w:rPr>
        <w:t>ahead-of-print</w:t>
      </w:r>
      <w:r w:rsidRPr="00EB1B60">
        <w:rPr>
          <w:rFonts w:eastAsiaTheme="majorEastAsia" w:cstheme="majorBidi"/>
        </w:rPr>
        <w:t>(ahead-of-print). https://doi.org/10.1108/ijmce-03-2021-0054</w:t>
      </w:r>
    </w:p>
    <w:p w14:paraId="41E638A2" w14:textId="77777777" w:rsidR="00EB1B60" w:rsidRPr="00EB1B60" w:rsidRDefault="00EB1B60" w:rsidP="0020583E">
      <w:pPr>
        <w:spacing w:line="360" w:lineRule="auto"/>
        <w:ind w:left="720" w:hanging="720"/>
        <w:rPr>
          <w:rFonts w:eastAsiaTheme="majorEastAsia" w:cstheme="majorBidi"/>
        </w:rPr>
      </w:pPr>
      <w:proofErr w:type="spellStart"/>
      <w:r w:rsidRPr="00EB1B60">
        <w:rPr>
          <w:rFonts w:eastAsiaTheme="majorEastAsia" w:cstheme="majorBidi"/>
        </w:rPr>
        <w:t>Kolontari</w:t>
      </w:r>
      <w:proofErr w:type="spellEnd"/>
      <w:r w:rsidRPr="00EB1B60">
        <w:rPr>
          <w:rFonts w:eastAsiaTheme="majorEastAsia" w:cstheme="majorBidi"/>
        </w:rPr>
        <w:t xml:space="preserve">, F., Lawton, M., &amp; Rhodes, S. (2023). Using developmental mentoring and coaching approaches in academic and professional development to address </w:t>
      </w:r>
      <w:r w:rsidRPr="00EB1B60">
        <w:rPr>
          <w:rFonts w:eastAsiaTheme="majorEastAsia" w:cstheme="majorBidi"/>
        </w:rPr>
        <w:lastRenderedPageBreak/>
        <w:t>feelings of “imposter syndrome.” </w:t>
      </w:r>
      <w:r w:rsidRPr="00EB1B60">
        <w:rPr>
          <w:rFonts w:eastAsiaTheme="majorEastAsia" w:cstheme="majorBidi"/>
          <w:i/>
          <w:iCs/>
        </w:rPr>
        <w:t>Journal of Perspectives in Applied Academic Practice</w:t>
      </w:r>
      <w:r w:rsidRPr="00EB1B60">
        <w:rPr>
          <w:rFonts w:eastAsiaTheme="majorEastAsia" w:cstheme="majorBidi"/>
        </w:rPr>
        <w:t>, </w:t>
      </w:r>
      <w:r w:rsidRPr="00EB1B60">
        <w:rPr>
          <w:rFonts w:eastAsiaTheme="majorEastAsia" w:cstheme="majorBidi"/>
          <w:i/>
          <w:iCs/>
        </w:rPr>
        <w:t>11</w:t>
      </w:r>
      <w:r w:rsidRPr="00EB1B60">
        <w:rPr>
          <w:rFonts w:eastAsiaTheme="majorEastAsia" w:cstheme="majorBidi"/>
        </w:rPr>
        <w:t>(1), 34–41. https://doi.org/10.56433/jpaap.v11i1.537</w:t>
      </w:r>
    </w:p>
    <w:p w14:paraId="38176702"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London, M., &amp; Smither, J. W. (1999). Empowered self-development and continuous learning. </w:t>
      </w:r>
      <w:r w:rsidRPr="00EB1B60">
        <w:rPr>
          <w:rFonts w:eastAsiaTheme="majorEastAsia" w:cstheme="majorBidi"/>
          <w:i/>
          <w:iCs/>
        </w:rPr>
        <w:t>Human Resource Management</w:t>
      </w:r>
      <w:r w:rsidRPr="00EB1B60">
        <w:rPr>
          <w:rFonts w:eastAsiaTheme="majorEastAsia" w:cstheme="majorBidi"/>
        </w:rPr>
        <w:t>, </w:t>
      </w:r>
      <w:r w:rsidRPr="00EB1B60">
        <w:rPr>
          <w:rFonts w:eastAsiaTheme="majorEastAsia" w:cstheme="majorBidi"/>
          <w:i/>
          <w:iCs/>
        </w:rPr>
        <w:t>38</w:t>
      </w:r>
      <w:r w:rsidRPr="00EB1B60">
        <w:rPr>
          <w:rFonts w:eastAsiaTheme="majorEastAsia" w:cstheme="majorBidi"/>
        </w:rPr>
        <w:t>(1), 3–15.</w:t>
      </w:r>
    </w:p>
    <w:p w14:paraId="74D78E7E"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Luong, G.-Y. (2025). The effectiveness of mentoring, coaching, and induction practices for early career teachers: A scoping review. </w:t>
      </w:r>
      <w:r w:rsidRPr="00EB1B60">
        <w:rPr>
          <w:rFonts w:eastAsiaTheme="majorEastAsia" w:cstheme="majorBidi"/>
          <w:i/>
          <w:iCs/>
        </w:rPr>
        <w:t>Teaching and Teacher Education</w:t>
      </w:r>
      <w:r w:rsidRPr="00EB1B60">
        <w:rPr>
          <w:rFonts w:eastAsiaTheme="majorEastAsia" w:cstheme="majorBidi"/>
        </w:rPr>
        <w:t>, </w:t>
      </w:r>
      <w:r w:rsidRPr="00EB1B60">
        <w:rPr>
          <w:rFonts w:eastAsiaTheme="majorEastAsia" w:cstheme="majorBidi"/>
          <w:i/>
          <w:iCs/>
        </w:rPr>
        <w:t>163</w:t>
      </w:r>
      <w:r w:rsidRPr="00EB1B60">
        <w:rPr>
          <w:rFonts w:eastAsiaTheme="majorEastAsia" w:cstheme="majorBidi"/>
        </w:rPr>
        <w:t>, 105065. https://doi.org/10.1016/j.tate.2025.105065</w:t>
      </w:r>
    </w:p>
    <w:p w14:paraId="0C825EA7"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 xml:space="preserve">Moos, C., &amp; </w:t>
      </w:r>
      <w:proofErr w:type="spellStart"/>
      <w:r w:rsidRPr="00EB1B60">
        <w:rPr>
          <w:rFonts w:eastAsiaTheme="majorEastAsia" w:cstheme="majorBidi"/>
        </w:rPr>
        <w:t>Spranz-Fogasy</w:t>
      </w:r>
      <w:proofErr w:type="spellEnd"/>
      <w:r w:rsidRPr="00EB1B60">
        <w:rPr>
          <w:rFonts w:eastAsiaTheme="majorEastAsia" w:cstheme="majorBidi"/>
        </w:rPr>
        <w:t>, T. (2024). “Now once again this idea of yours (…) how does it sound when I say that?” - Changing the perspective: how coach’s questioning practices elicit self-reflecting processes in clients. </w:t>
      </w:r>
      <w:r w:rsidRPr="00EB1B60">
        <w:rPr>
          <w:rFonts w:eastAsiaTheme="majorEastAsia" w:cstheme="majorBidi"/>
          <w:i/>
          <w:iCs/>
        </w:rPr>
        <w:t>Frontiers in Psychology</w:t>
      </w:r>
      <w:r w:rsidRPr="00EB1B60">
        <w:rPr>
          <w:rFonts w:eastAsiaTheme="majorEastAsia" w:cstheme="majorBidi"/>
        </w:rPr>
        <w:t>, </w:t>
      </w:r>
      <w:r w:rsidRPr="00EB1B60">
        <w:rPr>
          <w:rFonts w:eastAsiaTheme="majorEastAsia" w:cstheme="majorBidi"/>
          <w:i/>
          <w:iCs/>
        </w:rPr>
        <w:t>15</w:t>
      </w:r>
      <w:r w:rsidRPr="00EB1B60">
        <w:rPr>
          <w:rFonts w:eastAsiaTheme="majorEastAsia" w:cstheme="majorBidi"/>
        </w:rPr>
        <w:t>, 1241489. https://doi.org/10.3389/fpsyg.2024.1241489</w:t>
      </w:r>
    </w:p>
    <w:p w14:paraId="0075EF49"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 xml:space="preserve">Nuis, W., Segers, M., &amp; </w:t>
      </w:r>
      <w:proofErr w:type="spellStart"/>
      <w:r w:rsidRPr="00EB1B60">
        <w:rPr>
          <w:rFonts w:eastAsiaTheme="majorEastAsia" w:cstheme="majorBidi"/>
        </w:rPr>
        <w:t>Beausaert</w:t>
      </w:r>
      <w:proofErr w:type="spellEnd"/>
      <w:r w:rsidRPr="00EB1B60">
        <w:rPr>
          <w:rFonts w:eastAsiaTheme="majorEastAsia" w:cstheme="majorBidi"/>
        </w:rPr>
        <w:t>, S. (2023). Conceptualizing mentoring in higher education: A systematic literature review. </w:t>
      </w:r>
      <w:r w:rsidRPr="00EB1B60">
        <w:rPr>
          <w:rFonts w:eastAsiaTheme="majorEastAsia" w:cstheme="majorBidi"/>
          <w:i/>
          <w:iCs/>
        </w:rPr>
        <w:t>Educational Research Review</w:t>
      </w:r>
      <w:r w:rsidRPr="00EB1B60">
        <w:rPr>
          <w:rFonts w:eastAsiaTheme="majorEastAsia" w:cstheme="majorBidi"/>
        </w:rPr>
        <w:t>, </w:t>
      </w:r>
      <w:r w:rsidRPr="00EB1B60">
        <w:rPr>
          <w:rFonts w:eastAsiaTheme="majorEastAsia" w:cstheme="majorBidi"/>
          <w:i/>
          <w:iCs/>
        </w:rPr>
        <w:t>41</w:t>
      </w:r>
      <w:r w:rsidRPr="00EB1B60">
        <w:rPr>
          <w:rFonts w:eastAsiaTheme="majorEastAsia" w:cstheme="majorBidi"/>
        </w:rPr>
        <w:t>(41), 100565–100565. https://doi.org/10.1016/j.edurev.2023.100565</w:t>
      </w:r>
    </w:p>
    <w:p w14:paraId="476962FD"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Park, S., &amp; Lee, H.-W. (2023). Emphasizing effort vs talent in personal trainers’ performance: consumption response of personal fitness training customers. </w:t>
      </w:r>
      <w:r w:rsidRPr="00EB1B60">
        <w:rPr>
          <w:rFonts w:eastAsiaTheme="majorEastAsia" w:cstheme="majorBidi"/>
          <w:i/>
          <w:iCs/>
        </w:rPr>
        <w:t>International Journal of Sports Marketing and Sponsorship</w:t>
      </w:r>
      <w:r w:rsidRPr="00EB1B60">
        <w:rPr>
          <w:rFonts w:eastAsiaTheme="majorEastAsia" w:cstheme="majorBidi"/>
        </w:rPr>
        <w:t>, </w:t>
      </w:r>
      <w:r w:rsidRPr="00EB1B60">
        <w:rPr>
          <w:rFonts w:eastAsiaTheme="majorEastAsia" w:cstheme="majorBidi"/>
          <w:i/>
          <w:iCs/>
        </w:rPr>
        <w:t>24</w:t>
      </w:r>
      <w:r w:rsidRPr="00EB1B60">
        <w:rPr>
          <w:rFonts w:eastAsiaTheme="majorEastAsia" w:cstheme="majorBidi"/>
        </w:rPr>
        <w:t>(2). https://doi.org/10.1108/ijsms-06-2022-0115</w:t>
      </w:r>
    </w:p>
    <w:p w14:paraId="310768D7" w14:textId="77777777" w:rsidR="00EB1B60" w:rsidRPr="00EB1B60" w:rsidRDefault="00EB1B60" w:rsidP="0020583E">
      <w:pPr>
        <w:spacing w:line="360" w:lineRule="auto"/>
        <w:ind w:left="720" w:hanging="720"/>
        <w:rPr>
          <w:rFonts w:eastAsiaTheme="majorEastAsia" w:cstheme="majorBidi"/>
        </w:rPr>
      </w:pPr>
      <w:proofErr w:type="spellStart"/>
      <w:r w:rsidRPr="00EB1B60">
        <w:rPr>
          <w:rFonts w:eastAsiaTheme="majorEastAsia" w:cstheme="majorBidi"/>
        </w:rPr>
        <w:t>Sipondo</w:t>
      </w:r>
      <w:proofErr w:type="spellEnd"/>
      <w:r w:rsidRPr="00EB1B60">
        <w:rPr>
          <w:rFonts w:eastAsiaTheme="majorEastAsia" w:cstheme="majorBidi"/>
        </w:rPr>
        <w:t>, A., &amp; Terblanche, N. (2024). Organisational coaching to improve workplace resilience: A scoping review and agenda for future research. </w:t>
      </w:r>
      <w:r w:rsidRPr="00EB1B60">
        <w:rPr>
          <w:rFonts w:eastAsiaTheme="majorEastAsia" w:cstheme="majorBidi"/>
          <w:i/>
          <w:iCs/>
        </w:rPr>
        <w:t>Frontiers in Psychology</w:t>
      </w:r>
      <w:r w:rsidRPr="00EB1B60">
        <w:rPr>
          <w:rFonts w:eastAsiaTheme="majorEastAsia" w:cstheme="majorBidi"/>
        </w:rPr>
        <w:t>, </w:t>
      </w:r>
      <w:r w:rsidRPr="00EB1B60">
        <w:rPr>
          <w:rFonts w:eastAsiaTheme="majorEastAsia" w:cstheme="majorBidi"/>
          <w:i/>
          <w:iCs/>
        </w:rPr>
        <w:t>15</w:t>
      </w:r>
      <w:r w:rsidRPr="00EB1B60">
        <w:rPr>
          <w:rFonts w:eastAsiaTheme="majorEastAsia" w:cstheme="majorBidi"/>
        </w:rPr>
        <w:t>. https://doi.org/10.3389/fpsyg.2024.1484222</w:t>
      </w:r>
    </w:p>
    <w:p w14:paraId="044DD8C0"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i/>
          <w:iCs/>
        </w:rPr>
        <w:t>SMART Goals</w:t>
      </w:r>
      <w:r w:rsidRPr="00EB1B60">
        <w:rPr>
          <w:rFonts w:eastAsiaTheme="majorEastAsia" w:cstheme="majorBidi"/>
        </w:rPr>
        <w:t>. (2025). Mindtools. https://www.mindtools.com/a4wo118/smart-goals/</w:t>
      </w:r>
    </w:p>
    <w:p w14:paraId="3980ECA8"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Steyn, L., &amp; Barnard, A. (2024). The coaching experience as identity work: Reflective metaphors. </w:t>
      </w:r>
      <w:r w:rsidRPr="00EB1B60">
        <w:rPr>
          <w:rFonts w:eastAsiaTheme="majorEastAsia" w:cstheme="majorBidi"/>
          <w:i/>
          <w:iCs/>
        </w:rPr>
        <w:t>SA Journal of Industrial Psychology</w:t>
      </w:r>
      <w:r w:rsidRPr="00EB1B60">
        <w:rPr>
          <w:rFonts w:eastAsiaTheme="majorEastAsia" w:cstheme="majorBidi"/>
        </w:rPr>
        <w:t>, </w:t>
      </w:r>
      <w:r w:rsidRPr="00EB1B60">
        <w:rPr>
          <w:rFonts w:eastAsiaTheme="majorEastAsia" w:cstheme="majorBidi"/>
          <w:i/>
          <w:iCs/>
        </w:rPr>
        <w:t>50</w:t>
      </w:r>
      <w:r w:rsidRPr="00EB1B60">
        <w:rPr>
          <w:rFonts w:eastAsiaTheme="majorEastAsia" w:cstheme="majorBidi"/>
        </w:rPr>
        <w:t>. https://doi.org/10.4102/sajip.v50i0.2132</w:t>
      </w:r>
    </w:p>
    <w:p w14:paraId="2203B7A2"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t>Stone, K., Nimon, K., &amp; Ellinger, A. D. (2024). Examining the predictive validity of a managerial coaching scale: a longitudinal study. </w:t>
      </w:r>
      <w:r w:rsidRPr="00EB1B60">
        <w:rPr>
          <w:rFonts w:eastAsiaTheme="majorEastAsia" w:cstheme="majorBidi"/>
          <w:i/>
          <w:iCs/>
        </w:rPr>
        <w:t>Frontiers in Psychology</w:t>
      </w:r>
      <w:r w:rsidRPr="00EB1B60">
        <w:rPr>
          <w:rFonts w:eastAsiaTheme="majorEastAsia" w:cstheme="majorBidi"/>
        </w:rPr>
        <w:t>, </w:t>
      </w:r>
      <w:r w:rsidRPr="00EB1B60">
        <w:rPr>
          <w:rFonts w:eastAsiaTheme="majorEastAsia" w:cstheme="majorBidi"/>
          <w:i/>
          <w:iCs/>
        </w:rPr>
        <w:t>15</w:t>
      </w:r>
      <w:r w:rsidRPr="00EB1B60">
        <w:rPr>
          <w:rFonts w:eastAsiaTheme="majorEastAsia" w:cstheme="majorBidi"/>
        </w:rPr>
        <w:t>. https://doi.org/10.3389/fpsyg.2024.1277422</w:t>
      </w:r>
    </w:p>
    <w:p w14:paraId="03A88A16"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rPr>
        <w:lastRenderedPageBreak/>
        <w:t>Tang, L., Shi, M., Liu, Y., Liu, Y., &amp; Yang, B. (2024). Building a committed workforce: the synergistic effects of coaching leadership, organizational self-esteem, and learning goal orientation. </w:t>
      </w:r>
      <w:r w:rsidRPr="00EB1B60">
        <w:rPr>
          <w:rFonts w:eastAsiaTheme="majorEastAsia" w:cstheme="majorBidi"/>
          <w:i/>
          <w:iCs/>
        </w:rPr>
        <w:t>Frontiers in Psychology</w:t>
      </w:r>
      <w:r w:rsidRPr="00EB1B60">
        <w:rPr>
          <w:rFonts w:eastAsiaTheme="majorEastAsia" w:cstheme="majorBidi"/>
        </w:rPr>
        <w:t>, </w:t>
      </w:r>
      <w:r w:rsidRPr="00EB1B60">
        <w:rPr>
          <w:rFonts w:eastAsiaTheme="majorEastAsia" w:cstheme="majorBidi"/>
          <w:i/>
          <w:iCs/>
        </w:rPr>
        <w:t>15</w:t>
      </w:r>
      <w:r w:rsidRPr="00EB1B60">
        <w:rPr>
          <w:rFonts w:eastAsiaTheme="majorEastAsia" w:cstheme="majorBidi"/>
        </w:rPr>
        <w:t>. https://doi.org/10.3389/fpsyg.2024.1423540</w:t>
      </w:r>
    </w:p>
    <w:p w14:paraId="73C6255D" w14:textId="77777777" w:rsidR="00EB1B60" w:rsidRPr="00EB1B60" w:rsidRDefault="00EB1B60" w:rsidP="0020583E">
      <w:pPr>
        <w:spacing w:line="360" w:lineRule="auto"/>
        <w:ind w:left="720" w:hanging="720"/>
        <w:rPr>
          <w:rFonts w:eastAsiaTheme="majorEastAsia" w:cstheme="majorBidi"/>
        </w:rPr>
      </w:pPr>
      <w:r w:rsidRPr="00EB1B60">
        <w:rPr>
          <w:rFonts w:eastAsiaTheme="majorEastAsia" w:cstheme="majorBidi"/>
          <w:i/>
          <w:iCs/>
        </w:rPr>
        <w:t>The GROW Model of Coaching and Mentoring</w:t>
      </w:r>
      <w:r w:rsidRPr="00EB1B60">
        <w:rPr>
          <w:rFonts w:eastAsiaTheme="majorEastAsia" w:cstheme="majorBidi"/>
        </w:rPr>
        <w:t>. (2025). Mindtools. https://www.mindtools.com/an0fzpz/the-grow-model-of-coaching-and-mentoring/</w:t>
      </w:r>
    </w:p>
    <w:p w14:paraId="1394438B" w14:textId="77777777" w:rsidR="00EB1B60" w:rsidRPr="00EB1B60" w:rsidRDefault="00EB1B60" w:rsidP="0020583E">
      <w:pPr>
        <w:spacing w:line="360" w:lineRule="auto"/>
        <w:ind w:left="720" w:hanging="720"/>
        <w:rPr>
          <w:rFonts w:eastAsiaTheme="majorEastAsia" w:cstheme="majorBidi"/>
        </w:rPr>
      </w:pPr>
      <w:proofErr w:type="spellStart"/>
      <w:r w:rsidRPr="00EB1B60">
        <w:rPr>
          <w:rFonts w:eastAsiaTheme="majorEastAsia" w:cstheme="majorBidi"/>
        </w:rPr>
        <w:t>Woulfin</w:t>
      </w:r>
      <w:proofErr w:type="spellEnd"/>
      <w:r w:rsidRPr="00EB1B60">
        <w:rPr>
          <w:rFonts w:eastAsiaTheme="majorEastAsia" w:cstheme="majorBidi"/>
        </w:rPr>
        <w:t>, S. L., Stevenson, I., &amp; Lord, K. (2023). </w:t>
      </w:r>
      <w:r w:rsidRPr="00EB1B60">
        <w:rPr>
          <w:rFonts w:eastAsiaTheme="majorEastAsia" w:cstheme="majorBidi"/>
          <w:i/>
          <w:iCs/>
        </w:rPr>
        <w:t>Making Coaching Matter</w:t>
      </w:r>
      <w:r w:rsidRPr="00EB1B60">
        <w:rPr>
          <w:rFonts w:eastAsiaTheme="majorEastAsia" w:cstheme="majorBidi"/>
        </w:rPr>
        <w:t>. Teachers College Press.</w:t>
      </w:r>
    </w:p>
    <w:p w14:paraId="6C9EBA04" w14:textId="17177197" w:rsidR="005F0F2F" w:rsidRDefault="005F0F2F" w:rsidP="0020583E">
      <w:pPr>
        <w:pStyle w:val="Heading2"/>
        <w:ind w:left="720" w:hanging="720"/>
      </w:pPr>
      <w:r w:rsidRPr="005F0F2F">
        <w:t xml:space="preserve"> </w:t>
      </w:r>
    </w:p>
    <w:sectPr w:rsidR="005F0F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80DC3"/>
    <w:multiLevelType w:val="multilevel"/>
    <w:tmpl w:val="452E5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B4612"/>
    <w:multiLevelType w:val="multilevel"/>
    <w:tmpl w:val="BE647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337DDD"/>
    <w:multiLevelType w:val="multilevel"/>
    <w:tmpl w:val="CB308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2133F6"/>
    <w:multiLevelType w:val="multilevel"/>
    <w:tmpl w:val="3C227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E811D7"/>
    <w:multiLevelType w:val="multilevel"/>
    <w:tmpl w:val="11E03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597355"/>
    <w:multiLevelType w:val="multilevel"/>
    <w:tmpl w:val="8D768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787314"/>
    <w:multiLevelType w:val="multilevel"/>
    <w:tmpl w:val="40EE5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051048"/>
    <w:multiLevelType w:val="multilevel"/>
    <w:tmpl w:val="9BA6C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D36497"/>
    <w:multiLevelType w:val="multilevel"/>
    <w:tmpl w:val="698A7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8B5B77"/>
    <w:multiLevelType w:val="multilevel"/>
    <w:tmpl w:val="65C48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8E164B"/>
    <w:multiLevelType w:val="multilevel"/>
    <w:tmpl w:val="E5BA9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8F14EB"/>
    <w:multiLevelType w:val="multilevel"/>
    <w:tmpl w:val="49E2D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8E2F29"/>
    <w:multiLevelType w:val="multilevel"/>
    <w:tmpl w:val="D4E4A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AA324D"/>
    <w:multiLevelType w:val="multilevel"/>
    <w:tmpl w:val="FA506C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3D17CE"/>
    <w:multiLevelType w:val="multilevel"/>
    <w:tmpl w:val="E9EA6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124FF9"/>
    <w:multiLevelType w:val="multilevel"/>
    <w:tmpl w:val="821C0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A70CB6"/>
    <w:multiLevelType w:val="multilevel"/>
    <w:tmpl w:val="AB429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C65346"/>
    <w:multiLevelType w:val="multilevel"/>
    <w:tmpl w:val="F53A5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EB41AF"/>
    <w:multiLevelType w:val="multilevel"/>
    <w:tmpl w:val="205A6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D6133D"/>
    <w:multiLevelType w:val="multilevel"/>
    <w:tmpl w:val="7FD6B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3B104E"/>
    <w:multiLevelType w:val="multilevel"/>
    <w:tmpl w:val="65561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4C3946"/>
    <w:multiLevelType w:val="multilevel"/>
    <w:tmpl w:val="F38E2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CB337B"/>
    <w:multiLevelType w:val="multilevel"/>
    <w:tmpl w:val="646AA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723961"/>
    <w:multiLevelType w:val="multilevel"/>
    <w:tmpl w:val="F2229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8C6B9B"/>
    <w:multiLevelType w:val="multilevel"/>
    <w:tmpl w:val="D0E44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D61366"/>
    <w:multiLevelType w:val="multilevel"/>
    <w:tmpl w:val="B33C8F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A973DE"/>
    <w:multiLevelType w:val="multilevel"/>
    <w:tmpl w:val="CCE4C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38517D"/>
    <w:multiLevelType w:val="multilevel"/>
    <w:tmpl w:val="F350C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D131BA"/>
    <w:multiLevelType w:val="multilevel"/>
    <w:tmpl w:val="E3C69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B15A1F"/>
    <w:multiLevelType w:val="multilevel"/>
    <w:tmpl w:val="25687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9D34A5"/>
    <w:multiLevelType w:val="multilevel"/>
    <w:tmpl w:val="DD7EB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563846"/>
    <w:multiLevelType w:val="multilevel"/>
    <w:tmpl w:val="2FFA1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A65704"/>
    <w:multiLevelType w:val="multilevel"/>
    <w:tmpl w:val="E7262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6D3F09"/>
    <w:multiLevelType w:val="multilevel"/>
    <w:tmpl w:val="09D8E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2D1940"/>
    <w:multiLevelType w:val="multilevel"/>
    <w:tmpl w:val="BBD8E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0C5868"/>
    <w:multiLevelType w:val="multilevel"/>
    <w:tmpl w:val="9C340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D1676F"/>
    <w:multiLevelType w:val="multilevel"/>
    <w:tmpl w:val="B2CEF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7304703">
    <w:abstractNumId w:val="25"/>
  </w:num>
  <w:num w:numId="2" w16cid:durableId="1386484575">
    <w:abstractNumId w:val="32"/>
  </w:num>
  <w:num w:numId="3" w16cid:durableId="835342356">
    <w:abstractNumId w:val="27"/>
  </w:num>
  <w:num w:numId="4" w16cid:durableId="580799806">
    <w:abstractNumId w:val="26"/>
  </w:num>
  <w:num w:numId="5" w16cid:durableId="723725100">
    <w:abstractNumId w:val="5"/>
  </w:num>
  <w:num w:numId="6" w16cid:durableId="1685667613">
    <w:abstractNumId w:val="20"/>
  </w:num>
  <w:num w:numId="7" w16cid:durableId="403382317">
    <w:abstractNumId w:val="3"/>
  </w:num>
  <w:num w:numId="8" w16cid:durableId="2065178766">
    <w:abstractNumId w:val="1"/>
  </w:num>
  <w:num w:numId="9" w16cid:durableId="1523520383">
    <w:abstractNumId w:val="4"/>
  </w:num>
  <w:num w:numId="10" w16cid:durableId="1466124247">
    <w:abstractNumId w:val="12"/>
  </w:num>
  <w:num w:numId="11" w16cid:durableId="34157758">
    <w:abstractNumId w:val="24"/>
  </w:num>
  <w:num w:numId="12" w16cid:durableId="51924833">
    <w:abstractNumId w:val="10"/>
  </w:num>
  <w:num w:numId="13" w16cid:durableId="914439750">
    <w:abstractNumId w:val="2"/>
  </w:num>
  <w:num w:numId="14" w16cid:durableId="321810659">
    <w:abstractNumId w:val="19"/>
  </w:num>
  <w:num w:numId="15" w16cid:durableId="439842699">
    <w:abstractNumId w:val="34"/>
  </w:num>
  <w:num w:numId="16" w16cid:durableId="257103030">
    <w:abstractNumId w:val="28"/>
  </w:num>
  <w:num w:numId="17" w16cid:durableId="563758284">
    <w:abstractNumId w:val="14"/>
  </w:num>
  <w:num w:numId="18" w16cid:durableId="317853093">
    <w:abstractNumId w:val="7"/>
  </w:num>
  <w:num w:numId="19" w16cid:durableId="928541803">
    <w:abstractNumId w:val="9"/>
  </w:num>
  <w:num w:numId="20" w16cid:durableId="1038358777">
    <w:abstractNumId w:val="8"/>
  </w:num>
  <w:num w:numId="21" w16cid:durableId="834298028">
    <w:abstractNumId w:val="15"/>
  </w:num>
  <w:num w:numId="22" w16cid:durableId="2015178887">
    <w:abstractNumId w:val="33"/>
  </w:num>
  <w:num w:numId="23" w16cid:durableId="555242301">
    <w:abstractNumId w:val="31"/>
  </w:num>
  <w:num w:numId="24" w16cid:durableId="1742288605">
    <w:abstractNumId w:val="0"/>
  </w:num>
  <w:num w:numId="25" w16cid:durableId="1079328875">
    <w:abstractNumId w:val="30"/>
  </w:num>
  <w:num w:numId="26" w16cid:durableId="1516843222">
    <w:abstractNumId w:val="35"/>
  </w:num>
  <w:num w:numId="27" w16cid:durableId="259292512">
    <w:abstractNumId w:val="22"/>
  </w:num>
  <w:num w:numId="28" w16cid:durableId="491262580">
    <w:abstractNumId w:val="13"/>
  </w:num>
  <w:num w:numId="29" w16cid:durableId="1907644376">
    <w:abstractNumId w:val="6"/>
  </w:num>
  <w:num w:numId="30" w16cid:durableId="1511487769">
    <w:abstractNumId w:val="23"/>
  </w:num>
  <w:num w:numId="31" w16cid:durableId="888538877">
    <w:abstractNumId w:val="36"/>
  </w:num>
  <w:num w:numId="32" w16cid:durableId="493374373">
    <w:abstractNumId w:val="16"/>
  </w:num>
  <w:num w:numId="33" w16cid:durableId="750733875">
    <w:abstractNumId w:val="21"/>
  </w:num>
  <w:num w:numId="34" w16cid:durableId="512500659">
    <w:abstractNumId w:val="18"/>
  </w:num>
  <w:num w:numId="35" w16cid:durableId="263651786">
    <w:abstractNumId w:val="17"/>
  </w:num>
  <w:num w:numId="36" w16cid:durableId="9644143">
    <w:abstractNumId w:val="11"/>
  </w:num>
  <w:num w:numId="37" w16cid:durableId="28661917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F2F"/>
    <w:rsid w:val="00020CE1"/>
    <w:rsid w:val="00046486"/>
    <w:rsid w:val="000515B5"/>
    <w:rsid w:val="000529CF"/>
    <w:rsid w:val="000539C0"/>
    <w:rsid w:val="00055BE8"/>
    <w:rsid w:val="00070E7B"/>
    <w:rsid w:val="00082B22"/>
    <w:rsid w:val="000839D6"/>
    <w:rsid w:val="000865D8"/>
    <w:rsid w:val="000939B1"/>
    <w:rsid w:val="000A6D5F"/>
    <w:rsid w:val="000A7A17"/>
    <w:rsid w:val="000C1FB2"/>
    <w:rsid w:val="000D3D78"/>
    <w:rsid w:val="000D4697"/>
    <w:rsid w:val="000D5191"/>
    <w:rsid w:val="000E5509"/>
    <w:rsid w:val="000E5B8D"/>
    <w:rsid w:val="000F427D"/>
    <w:rsid w:val="000F5D43"/>
    <w:rsid w:val="001022F0"/>
    <w:rsid w:val="00106DC0"/>
    <w:rsid w:val="00120C84"/>
    <w:rsid w:val="00123B75"/>
    <w:rsid w:val="00126EB2"/>
    <w:rsid w:val="00127BDD"/>
    <w:rsid w:val="00132B41"/>
    <w:rsid w:val="00132DDF"/>
    <w:rsid w:val="00134450"/>
    <w:rsid w:val="00141F05"/>
    <w:rsid w:val="0015198A"/>
    <w:rsid w:val="00154941"/>
    <w:rsid w:val="00154F3E"/>
    <w:rsid w:val="00155FE6"/>
    <w:rsid w:val="00162785"/>
    <w:rsid w:val="001629C8"/>
    <w:rsid w:val="0016312E"/>
    <w:rsid w:val="00165C3C"/>
    <w:rsid w:val="00184D14"/>
    <w:rsid w:val="00195ADE"/>
    <w:rsid w:val="001A08B1"/>
    <w:rsid w:val="001A1C66"/>
    <w:rsid w:val="001D1567"/>
    <w:rsid w:val="001D6DAF"/>
    <w:rsid w:val="001E50BA"/>
    <w:rsid w:val="001F19F5"/>
    <w:rsid w:val="001F1C79"/>
    <w:rsid w:val="0020583E"/>
    <w:rsid w:val="00217734"/>
    <w:rsid w:val="002229CD"/>
    <w:rsid w:val="00226D2F"/>
    <w:rsid w:val="00234DE7"/>
    <w:rsid w:val="00235F95"/>
    <w:rsid w:val="00237B69"/>
    <w:rsid w:val="00237B91"/>
    <w:rsid w:val="0026013C"/>
    <w:rsid w:val="0026401D"/>
    <w:rsid w:val="00273A4E"/>
    <w:rsid w:val="00296739"/>
    <w:rsid w:val="002A6B99"/>
    <w:rsid w:val="002B482A"/>
    <w:rsid w:val="002C1C1B"/>
    <w:rsid w:val="002C44AC"/>
    <w:rsid w:val="002D3E6F"/>
    <w:rsid w:val="002F3A71"/>
    <w:rsid w:val="00301F68"/>
    <w:rsid w:val="00307143"/>
    <w:rsid w:val="00307941"/>
    <w:rsid w:val="00320D6B"/>
    <w:rsid w:val="00325626"/>
    <w:rsid w:val="003266D7"/>
    <w:rsid w:val="00332641"/>
    <w:rsid w:val="00342EA9"/>
    <w:rsid w:val="00350328"/>
    <w:rsid w:val="00352E28"/>
    <w:rsid w:val="003542F5"/>
    <w:rsid w:val="00364E21"/>
    <w:rsid w:val="0037048F"/>
    <w:rsid w:val="00375ECB"/>
    <w:rsid w:val="00377F1A"/>
    <w:rsid w:val="00385A46"/>
    <w:rsid w:val="00393069"/>
    <w:rsid w:val="003A71FF"/>
    <w:rsid w:val="003B3E75"/>
    <w:rsid w:val="003C087D"/>
    <w:rsid w:val="003C3F4C"/>
    <w:rsid w:val="003D5556"/>
    <w:rsid w:val="003F13F7"/>
    <w:rsid w:val="00412D5A"/>
    <w:rsid w:val="00427E3C"/>
    <w:rsid w:val="00446E1C"/>
    <w:rsid w:val="00461C61"/>
    <w:rsid w:val="00463F43"/>
    <w:rsid w:val="00465AB3"/>
    <w:rsid w:val="00467EE9"/>
    <w:rsid w:val="00472EEE"/>
    <w:rsid w:val="00475805"/>
    <w:rsid w:val="00477138"/>
    <w:rsid w:val="00486EF3"/>
    <w:rsid w:val="0049273F"/>
    <w:rsid w:val="004979EC"/>
    <w:rsid w:val="004B2258"/>
    <w:rsid w:val="004C2414"/>
    <w:rsid w:val="004C2A1A"/>
    <w:rsid w:val="004C53DF"/>
    <w:rsid w:val="004D5FD9"/>
    <w:rsid w:val="004D6DDD"/>
    <w:rsid w:val="004D6DF5"/>
    <w:rsid w:val="004E2B41"/>
    <w:rsid w:val="004E31C7"/>
    <w:rsid w:val="004E4085"/>
    <w:rsid w:val="004E455B"/>
    <w:rsid w:val="004E5932"/>
    <w:rsid w:val="004E6672"/>
    <w:rsid w:val="004E7730"/>
    <w:rsid w:val="004E7D47"/>
    <w:rsid w:val="004F1099"/>
    <w:rsid w:val="00510D04"/>
    <w:rsid w:val="00514027"/>
    <w:rsid w:val="00515894"/>
    <w:rsid w:val="005162F2"/>
    <w:rsid w:val="0052105D"/>
    <w:rsid w:val="00521854"/>
    <w:rsid w:val="00555BBB"/>
    <w:rsid w:val="0055726E"/>
    <w:rsid w:val="00560B4D"/>
    <w:rsid w:val="00561B5C"/>
    <w:rsid w:val="00562DC5"/>
    <w:rsid w:val="005664B1"/>
    <w:rsid w:val="00590E43"/>
    <w:rsid w:val="00594F80"/>
    <w:rsid w:val="005A251F"/>
    <w:rsid w:val="005A2E4E"/>
    <w:rsid w:val="005A5D4C"/>
    <w:rsid w:val="005B13D5"/>
    <w:rsid w:val="005B228A"/>
    <w:rsid w:val="005C12DC"/>
    <w:rsid w:val="005C2E53"/>
    <w:rsid w:val="005C45A7"/>
    <w:rsid w:val="005D727D"/>
    <w:rsid w:val="005E75FA"/>
    <w:rsid w:val="005F0F2F"/>
    <w:rsid w:val="005F2D11"/>
    <w:rsid w:val="005F5A11"/>
    <w:rsid w:val="00642EFF"/>
    <w:rsid w:val="0065104E"/>
    <w:rsid w:val="00651ADF"/>
    <w:rsid w:val="00653FD2"/>
    <w:rsid w:val="0065505C"/>
    <w:rsid w:val="00681360"/>
    <w:rsid w:val="0068799C"/>
    <w:rsid w:val="00694778"/>
    <w:rsid w:val="006A35A1"/>
    <w:rsid w:val="006A55E7"/>
    <w:rsid w:val="006B3C20"/>
    <w:rsid w:val="006B4698"/>
    <w:rsid w:val="006B4804"/>
    <w:rsid w:val="006C0FAD"/>
    <w:rsid w:val="006C3F11"/>
    <w:rsid w:val="006C71F9"/>
    <w:rsid w:val="006F1A69"/>
    <w:rsid w:val="006F1AE0"/>
    <w:rsid w:val="006F4A12"/>
    <w:rsid w:val="006F5BE1"/>
    <w:rsid w:val="00701F01"/>
    <w:rsid w:val="00702A03"/>
    <w:rsid w:val="00704AAB"/>
    <w:rsid w:val="007126CC"/>
    <w:rsid w:val="007135A8"/>
    <w:rsid w:val="007166F6"/>
    <w:rsid w:val="00722653"/>
    <w:rsid w:val="00723F4D"/>
    <w:rsid w:val="00727DA0"/>
    <w:rsid w:val="0073653D"/>
    <w:rsid w:val="007520BF"/>
    <w:rsid w:val="00765496"/>
    <w:rsid w:val="00767C92"/>
    <w:rsid w:val="0077049F"/>
    <w:rsid w:val="00780D4A"/>
    <w:rsid w:val="00782974"/>
    <w:rsid w:val="007849F2"/>
    <w:rsid w:val="00790D4D"/>
    <w:rsid w:val="007A5F48"/>
    <w:rsid w:val="007A6B8B"/>
    <w:rsid w:val="007B0637"/>
    <w:rsid w:val="007B4E90"/>
    <w:rsid w:val="007B7D5A"/>
    <w:rsid w:val="007C05F5"/>
    <w:rsid w:val="007C18DE"/>
    <w:rsid w:val="007D427D"/>
    <w:rsid w:val="007E5A9E"/>
    <w:rsid w:val="007F3553"/>
    <w:rsid w:val="007F6026"/>
    <w:rsid w:val="00811683"/>
    <w:rsid w:val="008151E2"/>
    <w:rsid w:val="00817F1A"/>
    <w:rsid w:val="0082678C"/>
    <w:rsid w:val="00836ED5"/>
    <w:rsid w:val="00837C84"/>
    <w:rsid w:val="0084651B"/>
    <w:rsid w:val="00847A43"/>
    <w:rsid w:val="00862D76"/>
    <w:rsid w:val="0087299F"/>
    <w:rsid w:val="00875F2F"/>
    <w:rsid w:val="0088399B"/>
    <w:rsid w:val="00887BE3"/>
    <w:rsid w:val="00892133"/>
    <w:rsid w:val="0089324D"/>
    <w:rsid w:val="00897A3B"/>
    <w:rsid w:val="008A4C3E"/>
    <w:rsid w:val="008A5A98"/>
    <w:rsid w:val="008A63CF"/>
    <w:rsid w:val="008B3F4D"/>
    <w:rsid w:val="008B518D"/>
    <w:rsid w:val="008C07BE"/>
    <w:rsid w:val="008C633E"/>
    <w:rsid w:val="008E1A4B"/>
    <w:rsid w:val="008E4916"/>
    <w:rsid w:val="008E5280"/>
    <w:rsid w:val="008E6D98"/>
    <w:rsid w:val="008E7033"/>
    <w:rsid w:val="00921601"/>
    <w:rsid w:val="0092282B"/>
    <w:rsid w:val="009234C4"/>
    <w:rsid w:val="00935843"/>
    <w:rsid w:val="00945D3F"/>
    <w:rsid w:val="0094719A"/>
    <w:rsid w:val="0095455D"/>
    <w:rsid w:val="00954AF0"/>
    <w:rsid w:val="0096032B"/>
    <w:rsid w:val="0096149B"/>
    <w:rsid w:val="00961827"/>
    <w:rsid w:val="00963E38"/>
    <w:rsid w:val="0096563E"/>
    <w:rsid w:val="009711EF"/>
    <w:rsid w:val="00993567"/>
    <w:rsid w:val="009A0A4A"/>
    <w:rsid w:val="009A6CF7"/>
    <w:rsid w:val="009B12D8"/>
    <w:rsid w:val="009B44C8"/>
    <w:rsid w:val="009B7494"/>
    <w:rsid w:val="009C0BEB"/>
    <w:rsid w:val="009D5BA6"/>
    <w:rsid w:val="009E1115"/>
    <w:rsid w:val="009E534B"/>
    <w:rsid w:val="00A12276"/>
    <w:rsid w:val="00A1507E"/>
    <w:rsid w:val="00A34C8A"/>
    <w:rsid w:val="00A4189A"/>
    <w:rsid w:val="00A426B1"/>
    <w:rsid w:val="00A42CC6"/>
    <w:rsid w:val="00A44020"/>
    <w:rsid w:val="00A4430F"/>
    <w:rsid w:val="00A52B2C"/>
    <w:rsid w:val="00A562D5"/>
    <w:rsid w:val="00A60356"/>
    <w:rsid w:val="00A7198C"/>
    <w:rsid w:val="00A72410"/>
    <w:rsid w:val="00A80089"/>
    <w:rsid w:val="00A834A9"/>
    <w:rsid w:val="00A85512"/>
    <w:rsid w:val="00A877AB"/>
    <w:rsid w:val="00AC207D"/>
    <w:rsid w:val="00AD0FA1"/>
    <w:rsid w:val="00AD4922"/>
    <w:rsid w:val="00AE3F45"/>
    <w:rsid w:val="00AF1932"/>
    <w:rsid w:val="00AF6E0C"/>
    <w:rsid w:val="00B01F7C"/>
    <w:rsid w:val="00B02A92"/>
    <w:rsid w:val="00B03640"/>
    <w:rsid w:val="00B0706A"/>
    <w:rsid w:val="00B20E76"/>
    <w:rsid w:val="00B2120B"/>
    <w:rsid w:val="00B24163"/>
    <w:rsid w:val="00B351EC"/>
    <w:rsid w:val="00B37831"/>
    <w:rsid w:val="00B43A86"/>
    <w:rsid w:val="00B540AA"/>
    <w:rsid w:val="00B54F5D"/>
    <w:rsid w:val="00B62E37"/>
    <w:rsid w:val="00B64348"/>
    <w:rsid w:val="00B74E60"/>
    <w:rsid w:val="00B7729D"/>
    <w:rsid w:val="00B91756"/>
    <w:rsid w:val="00B95D88"/>
    <w:rsid w:val="00B973AF"/>
    <w:rsid w:val="00BA440B"/>
    <w:rsid w:val="00BA4DC3"/>
    <w:rsid w:val="00BB69E7"/>
    <w:rsid w:val="00BD3846"/>
    <w:rsid w:val="00BD530E"/>
    <w:rsid w:val="00BE564E"/>
    <w:rsid w:val="00BE592D"/>
    <w:rsid w:val="00BE6E8F"/>
    <w:rsid w:val="00C078D9"/>
    <w:rsid w:val="00C101E3"/>
    <w:rsid w:val="00C17165"/>
    <w:rsid w:val="00C210BB"/>
    <w:rsid w:val="00C26019"/>
    <w:rsid w:val="00C278C4"/>
    <w:rsid w:val="00C30B61"/>
    <w:rsid w:val="00C332DC"/>
    <w:rsid w:val="00C34265"/>
    <w:rsid w:val="00C50C22"/>
    <w:rsid w:val="00C51193"/>
    <w:rsid w:val="00C6289F"/>
    <w:rsid w:val="00C67ECC"/>
    <w:rsid w:val="00C77699"/>
    <w:rsid w:val="00C86D1D"/>
    <w:rsid w:val="00C964EB"/>
    <w:rsid w:val="00CB0D0E"/>
    <w:rsid w:val="00CB1D39"/>
    <w:rsid w:val="00CC0459"/>
    <w:rsid w:val="00CC0AAE"/>
    <w:rsid w:val="00CE0891"/>
    <w:rsid w:val="00CE7EBC"/>
    <w:rsid w:val="00CF6384"/>
    <w:rsid w:val="00CF684B"/>
    <w:rsid w:val="00D03709"/>
    <w:rsid w:val="00D1674A"/>
    <w:rsid w:val="00D27B4A"/>
    <w:rsid w:val="00D31E0D"/>
    <w:rsid w:val="00D36D37"/>
    <w:rsid w:val="00D430DC"/>
    <w:rsid w:val="00D45283"/>
    <w:rsid w:val="00D45574"/>
    <w:rsid w:val="00D47639"/>
    <w:rsid w:val="00D509AA"/>
    <w:rsid w:val="00D57EAB"/>
    <w:rsid w:val="00D64B60"/>
    <w:rsid w:val="00D66138"/>
    <w:rsid w:val="00D75592"/>
    <w:rsid w:val="00D77AEC"/>
    <w:rsid w:val="00D944B6"/>
    <w:rsid w:val="00DA1D1E"/>
    <w:rsid w:val="00DA588B"/>
    <w:rsid w:val="00DB107D"/>
    <w:rsid w:val="00DB5E6A"/>
    <w:rsid w:val="00DC10EC"/>
    <w:rsid w:val="00DC3DFC"/>
    <w:rsid w:val="00DC4B2D"/>
    <w:rsid w:val="00DD32D9"/>
    <w:rsid w:val="00DE0986"/>
    <w:rsid w:val="00DF1DDF"/>
    <w:rsid w:val="00E01A3D"/>
    <w:rsid w:val="00E03167"/>
    <w:rsid w:val="00E13DCF"/>
    <w:rsid w:val="00E1761E"/>
    <w:rsid w:val="00E2176B"/>
    <w:rsid w:val="00E2344E"/>
    <w:rsid w:val="00E25039"/>
    <w:rsid w:val="00E33B3F"/>
    <w:rsid w:val="00E34379"/>
    <w:rsid w:val="00E417FD"/>
    <w:rsid w:val="00E52D28"/>
    <w:rsid w:val="00E574A0"/>
    <w:rsid w:val="00E67AD8"/>
    <w:rsid w:val="00E844CC"/>
    <w:rsid w:val="00E8782E"/>
    <w:rsid w:val="00E97C3F"/>
    <w:rsid w:val="00EA4713"/>
    <w:rsid w:val="00EA5DC4"/>
    <w:rsid w:val="00EB1B60"/>
    <w:rsid w:val="00EB2F24"/>
    <w:rsid w:val="00EB6D49"/>
    <w:rsid w:val="00EC4C04"/>
    <w:rsid w:val="00EC71B4"/>
    <w:rsid w:val="00EE43CC"/>
    <w:rsid w:val="00EE7A5A"/>
    <w:rsid w:val="00EF3045"/>
    <w:rsid w:val="00F06C78"/>
    <w:rsid w:val="00F16497"/>
    <w:rsid w:val="00F24633"/>
    <w:rsid w:val="00F2607E"/>
    <w:rsid w:val="00F274E6"/>
    <w:rsid w:val="00F27B97"/>
    <w:rsid w:val="00F34C9E"/>
    <w:rsid w:val="00F40181"/>
    <w:rsid w:val="00F44894"/>
    <w:rsid w:val="00F479B2"/>
    <w:rsid w:val="00F51EC1"/>
    <w:rsid w:val="00F5626D"/>
    <w:rsid w:val="00F61B6E"/>
    <w:rsid w:val="00F624D6"/>
    <w:rsid w:val="00F74307"/>
    <w:rsid w:val="00F76F8B"/>
    <w:rsid w:val="00F90FD4"/>
    <w:rsid w:val="00F9318E"/>
    <w:rsid w:val="00F941AF"/>
    <w:rsid w:val="00FA2FDC"/>
    <w:rsid w:val="00FA4A0C"/>
    <w:rsid w:val="00FA66EE"/>
    <w:rsid w:val="00FB3C01"/>
    <w:rsid w:val="00FB45D6"/>
    <w:rsid w:val="00FC0C87"/>
    <w:rsid w:val="00FC1995"/>
    <w:rsid w:val="00FC31D0"/>
    <w:rsid w:val="00FD222E"/>
    <w:rsid w:val="00FD447E"/>
    <w:rsid w:val="00FE5C4D"/>
    <w:rsid w:val="00FF3046"/>
    <w:rsid w:val="00FF6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23F17"/>
  <w15:chartTrackingRefBased/>
  <w15:docId w15:val="{EC1512C1-EF02-40BE-8E84-74F90036E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F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0F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0F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0F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0F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0F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0F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0F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0F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F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0F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0F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0F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0F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0F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0F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0F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0F2F"/>
    <w:rPr>
      <w:rFonts w:eastAsiaTheme="majorEastAsia" w:cstheme="majorBidi"/>
      <w:color w:val="272727" w:themeColor="text1" w:themeTint="D8"/>
    </w:rPr>
  </w:style>
  <w:style w:type="paragraph" w:styleId="Title">
    <w:name w:val="Title"/>
    <w:basedOn w:val="Normal"/>
    <w:next w:val="Normal"/>
    <w:link w:val="TitleChar"/>
    <w:uiPriority w:val="10"/>
    <w:qFormat/>
    <w:rsid w:val="005F0F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0F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0F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0F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0F2F"/>
    <w:pPr>
      <w:spacing w:before="160"/>
      <w:jc w:val="center"/>
    </w:pPr>
    <w:rPr>
      <w:i/>
      <w:iCs/>
      <w:color w:val="404040" w:themeColor="text1" w:themeTint="BF"/>
    </w:rPr>
  </w:style>
  <w:style w:type="character" w:customStyle="1" w:styleId="QuoteChar">
    <w:name w:val="Quote Char"/>
    <w:basedOn w:val="DefaultParagraphFont"/>
    <w:link w:val="Quote"/>
    <w:uiPriority w:val="29"/>
    <w:rsid w:val="005F0F2F"/>
    <w:rPr>
      <w:i/>
      <w:iCs/>
      <w:color w:val="404040" w:themeColor="text1" w:themeTint="BF"/>
    </w:rPr>
  </w:style>
  <w:style w:type="paragraph" w:styleId="ListParagraph">
    <w:name w:val="List Paragraph"/>
    <w:basedOn w:val="Normal"/>
    <w:uiPriority w:val="34"/>
    <w:qFormat/>
    <w:rsid w:val="005F0F2F"/>
    <w:pPr>
      <w:ind w:left="720"/>
      <w:contextualSpacing/>
    </w:pPr>
  </w:style>
  <w:style w:type="character" w:styleId="IntenseEmphasis">
    <w:name w:val="Intense Emphasis"/>
    <w:basedOn w:val="DefaultParagraphFont"/>
    <w:uiPriority w:val="21"/>
    <w:qFormat/>
    <w:rsid w:val="005F0F2F"/>
    <w:rPr>
      <w:i/>
      <w:iCs/>
      <w:color w:val="0F4761" w:themeColor="accent1" w:themeShade="BF"/>
    </w:rPr>
  </w:style>
  <w:style w:type="paragraph" w:styleId="IntenseQuote">
    <w:name w:val="Intense Quote"/>
    <w:basedOn w:val="Normal"/>
    <w:next w:val="Normal"/>
    <w:link w:val="IntenseQuoteChar"/>
    <w:uiPriority w:val="30"/>
    <w:qFormat/>
    <w:rsid w:val="005F0F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0F2F"/>
    <w:rPr>
      <w:i/>
      <w:iCs/>
      <w:color w:val="0F4761" w:themeColor="accent1" w:themeShade="BF"/>
    </w:rPr>
  </w:style>
  <w:style w:type="character" w:styleId="IntenseReference">
    <w:name w:val="Intense Reference"/>
    <w:basedOn w:val="DefaultParagraphFont"/>
    <w:uiPriority w:val="32"/>
    <w:qFormat/>
    <w:rsid w:val="005F0F2F"/>
    <w:rPr>
      <w:b/>
      <w:bCs/>
      <w:smallCaps/>
      <w:color w:val="0F4761" w:themeColor="accent1" w:themeShade="BF"/>
      <w:spacing w:val="5"/>
    </w:rPr>
  </w:style>
  <w:style w:type="character" w:styleId="Hyperlink">
    <w:name w:val="Hyperlink"/>
    <w:basedOn w:val="DefaultParagraphFont"/>
    <w:uiPriority w:val="99"/>
    <w:unhideWhenUsed/>
    <w:rsid w:val="005F0F2F"/>
    <w:rPr>
      <w:color w:val="467886" w:themeColor="hyperlink"/>
      <w:u w:val="single"/>
    </w:rPr>
  </w:style>
  <w:style w:type="character" w:styleId="UnresolvedMention">
    <w:name w:val="Unresolved Mention"/>
    <w:basedOn w:val="DefaultParagraphFont"/>
    <w:uiPriority w:val="99"/>
    <w:semiHidden/>
    <w:unhideWhenUsed/>
    <w:rsid w:val="005F0F2F"/>
    <w:rPr>
      <w:color w:val="605E5C"/>
      <w:shd w:val="clear" w:color="auto" w:fill="E1DFDD"/>
    </w:rPr>
  </w:style>
  <w:style w:type="paragraph" w:styleId="TOCHeading">
    <w:name w:val="TOC Heading"/>
    <w:basedOn w:val="Heading1"/>
    <w:next w:val="Normal"/>
    <w:uiPriority w:val="39"/>
    <w:unhideWhenUsed/>
    <w:qFormat/>
    <w:rsid w:val="005F0F2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F0F2F"/>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5F0F2F"/>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5F0F2F"/>
    <w:pPr>
      <w:spacing w:after="100" w:line="259" w:lineRule="auto"/>
      <w:ind w:left="440"/>
    </w:pPr>
    <w:rPr>
      <w:rFonts w:eastAsiaTheme="minorEastAsia" w:cs="Times New Roman"/>
      <w:kern w:val="0"/>
      <w:sz w:val="22"/>
      <w:szCs w:val="22"/>
      <w:lang w:val="en-US"/>
      <w14:ligatures w14:val="none"/>
    </w:rPr>
  </w:style>
  <w:style w:type="paragraph" w:styleId="NormalWeb">
    <w:name w:val="Normal (Web)"/>
    <w:basedOn w:val="Normal"/>
    <w:uiPriority w:val="99"/>
    <w:semiHidden/>
    <w:unhideWhenUsed/>
    <w:rsid w:val="00837C84"/>
    <w:rPr>
      <w:rFonts w:ascii="Times New Roman" w:hAnsi="Times New Roman" w:cs="Times New Roman"/>
    </w:rPr>
  </w:style>
  <w:style w:type="table" w:styleId="TableGrid">
    <w:name w:val="Table Grid"/>
    <w:basedOn w:val="TableNormal"/>
    <w:uiPriority w:val="39"/>
    <w:rsid w:val="00790D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9622A31320B9544A6C628E4AE2498DB" ma:contentTypeVersion="6" ma:contentTypeDescription="Create a new document." ma:contentTypeScope="" ma:versionID="bb32212eae80a1fb3e29f834921ddfce">
  <xsd:schema xmlns:xsd="http://www.w3.org/2001/XMLSchema" xmlns:xs="http://www.w3.org/2001/XMLSchema" xmlns:p="http://schemas.microsoft.com/office/2006/metadata/properties" xmlns:ns3="b9b8939a-c332-4a81-98bf-6a848f0dd367" targetNamespace="http://schemas.microsoft.com/office/2006/metadata/properties" ma:root="true" ma:fieldsID="e5e0ced1588eb5f0cfab62d56f77c5f6" ns3:_="">
    <xsd:import namespace="b9b8939a-c332-4a81-98bf-6a848f0dd3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b8939a-c332-4a81-98bf-6a848f0dd3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9b8939a-c332-4a81-98bf-6a848f0dd36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D5D512-2598-4D9D-B110-5EC33FD940B4}">
  <ds:schemaRefs>
    <ds:schemaRef ds:uri="http://schemas.microsoft.com/sharepoint/v3/contenttype/forms"/>
  </ds:schemaRefs>
</ds:datastoreItem>
</file>

<file path=customXml/itemProps2.xml><?xml version="1.0" encoding="utf-8"?>
<ds:datastoreItem xmlns:ds="http://schemas.openxmlformats.org/officeDocument/2006/customXml" ds:itemID="{87211D13-BBDF-4AB2-88EE-A82ADBB271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b8939a-c332-4a81-98bf-6a848f0dd3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88579D-CA2B-46C5-9E45-8A4BB29BA886}">
  <ds:schemaRefs>
    <ds:schemaRef ds:uri="http://schemas.microsoft.com/office/2006/metadata/properties"/>
    <ds:schemaRef ds:uri="http://schemas.microsoft.com/office/infopath/2007/PartnerControls"/>
    <ds:schemaRef ds:uri="b9b8939a-c332-4a81-98bf-6a848f0dd367"/>
  </ds:schemaRefs>
</ds:datastoreItem>
</file>

<file path=customXml/itemProps4.xml><?xml version="1.0" encoding="utf-8"?>
<ds:datastoreItem xmlns:ds="http://schemas.openxmlformats.org/officeDocument/2006/customXml" ds:itemID="{C23473C4-DC86-4453-A86B-C9D7BC51F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4735</Words>
  <Characters>26996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Keefe (2318120)</dc:creator>
  <cp:keywords/>
  <dc:description/>
  <cp:lastModifiedBy>Kelly Keefe (2318120)</cp:lastModifiedBy>
  <cp:revision>2</cp:revision>
  <dcterms:created xsi:type="dcterms:W3CDTF">2026-03-12T22:30:00Z</dcterms:created>
  <dcterms:modified xsi:type="dcterms:W3CDTF">2026-03-12T22:30:00Z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0x010100D9622A31320B9544A6C628E4AE2498DB</vt:lpwstr>
  </property>
</Properties>
</file>