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38228610"/>
        <w:docPartObj>
          <w:docPartGallery w:val="Cover Pages"/>
          <w:docPartUnique/>
        </w:docPartObj>
      </w:sdtPr>
      <w:sdtEndPr>
        <w:rPr>
          <w:b/>
          <w:bCs/>
        </w:rPr>
      </w:sdtEndPr>
      <w:sdtContent>
        <w:p w14:paraId="5719C744" w14:textId="77777777" w:rsidR="00787CD0" w:rsidRDefault="00787CD0"/>
        <w:p w14:paraId="4651D70F" w14:textId="77777777" w:rsidR="00787CD0" w:rsidRDefault="00787CD0"/>
        <w:p w14:paraId="10274B4F" w14:textId="66CA6669" w:rsidR="00787CD0" w:rsidRDefault="00787CD0" w:rsidP="00197D9A">
          <w:pPr>
            <w:spacing w:line="240" w:lineRule="auto"/>
            <w:jc w:val="right"/>
          </w:pPr>
          <w:r>
            <w:rPr>
              <w:noProof/>
            </w:rPr>
            <mc:AlternateContent>
              <mc:Choice Requires="wpg">
                <w:drawing>
                  <wp:anchor distT="0" distB="0" distL="114300" distR="114300" simplePos="0" relativeHeight="251661824" behindDoc="0" locked="0" layoutInCell="1" allowOverlap="1" wp14:anchorId="4E80C3C8" wp14:editId="3CE39E55">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10B8F9" id="Group 157" o:spid="_x0000_s1026" style="position:absolute;margin-left:0;margin-top:0;width:8in;height:95.7pt;z-index:2516618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7" o:title="" recolor="t" rotate="t" type="frame"/>
                    </v:rect>
                    <w10:wrap anchorx="page" anchory="page"/>
                  </v:group>
                </w:pict>
              </mc:Fallback>
            </mc:AlternateContent>
          </w:r>
          <w:r w:rsidR="00FF6DE2">
            <w:t>L</w:t>
          </w:r>
          <w:r w:rsidR="005A7D25">
            <w:t>CBB</w:t>
          </w:r>
          <w:r w:rsidR="00BB04E3">
            <w:t>4016</w:t>
          </w:r>
        </w:p>
        <w:p w14:paraId="30301DE2" w14:textId="2111D631" w:rsidR="00BB04E3" w:rsidRDefault="00BB04E3" w:rsidP="00197D9A">
          <w:pPr>
            <w:spacing w:line="240" w:lineRule="auto"/>
            <w:jc w:val="right"/>
          </w:pPr>
          <w:r w:rsidRPr="00BB04E3">
            <w:t>Global Business Environment</w:t>
          </w:r>
        </w:p>
        <w:p w14:paraId="603953B8" w14:textId="4D04225B" w:rsidR="00BB04E3" w:rsidRDefault="00EF716B" w:rsidP="00197D9A">
          <w:pPr>
            <w:spacing w:line="240" w:lineRule="auto"/>
            <w:jc w:val="right"/>
          </w:pPr>
          <w:r w:rsidRPr="00EF716B">
            <w:t>Kareem Sani</w:t>
          </w:r>
        </w:p>
        <w:p w14:paraId="73D5D392" w14:textId="77777777" w:rsidR="00197D9A" w:rsidRDefault="00EF716B" w:rsidP="00197D9A">
          <w:pPr>
            <w:spacing w:line="240" w:lineRule="auto"/>
            <w:jc w:val="right"/>
          </w:pPr>
          <w:r>
            <w:t>Mohammed Imran</w:t>
          </w:r>
        </w:p>
        <w:p w14:paraId="43740584" w14:textId="7DC7C4CC" w:rsidR="00EF716B" w:rsidRDefault="00EF716B" w:rsidP="00197D9A">
          <w:pPr>
            <w:spacing w:line="240" w:lineRule="auto"/>
            <w:jc w:val="right"/>
          </w:pPr>
          <w:r>
            <w:t>2313646</w:t>
          </w:r>
        </w:p>
        <w:p w14:paraId="435F3AAD" w14:textId="0AD0AEE8" w:rsidR="00197D9A" w:rsidRDefault="0029549D" w:rsidP="00BB04E3">
          <w:pPr>
            <w:jc w:val="right"/>
            <w:rPr>
              <w:b/>
            </w:rPr>
          </w:pPr>
          <w:r w:rsidRPr="0029549D">
            <w:rPr>
              <w:b/>
            </w:rPr>
            <w:t>BA (Hons) Business Management</w:t>
          </w:r>
        </w:p>
        <w:p w14:paraId="21A0EA7D" w14:textId="3080802C" w:rsidR="00B2234B" w:rsidRDefault="00B2234B" w:rsidP="00BB04E3">
          <w:pPr>
            <w:jc w:val="right"/>
            <w:rPr>
              <w:b/>
            </w:rPr>
          </w:pPr>
          <w:r w:rsidRPr="00B2234B">
            <w:rPr>
              <w:b/>
            </w:rPr>
            <w:t>Global Business Environment</w:t>
          </w:r>
        </w:p>
        <w:p w14:paraId="0B77BF38" w14:textId="55883B98" w:rsidR="00B2234B" w:rsidRDefault="00B2234B" w:rsidP="00BB04E3">
          <w:pPr>
            <w:jc w:val="right"/>
            <w:rPr>
              <w:b/>
            </w:rPr>
          </w:pPr>
          <w:r>
            <w:rPr>
              <w:b/>
              <w:noProof/>
            </w:rPr>
            <w:drawing>
              <wp:inline distT="0" distB="0" distL="0" distR="0" wp14:anchorId="6663092A" wp14:editId="0E1B5419">
                <wp:extent cx="2781300" cy="1638300"/>
                <wp:effectExtent l="0" t="0" r="0" b="0"/>
                <wp:docPr id="341764971" name="Picture 2" descr="A white figure with w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764971" name="Picture 2" descr="A white figure with wings&#10;&#10;AI-generated content may be incorrect."/>
                        <pic:cNvPicPr/>
                      </pic:nvPicPr>
                      <pic:blipFill>
                        <a:blip r:embed="rId8"/>
                        <a:stretch>
                          <a:fillRect/>
                        </a:stretch>
                      </pic:blipFill>
                      <pic:spPr>
                        <a:xfrm>
                          <a:off x="0" y="0"/>
                          <a:ext cx="2781300" cy="1638300"/>
                        </a:xfrm>
                        <a:prstGeom prst="rect">
                          <a:avLst/>
                        </a:prstGeom>
                      </pic:spPr>
                    </pic:pic>
                  </a:graphicData>
                </a:graphic>
              </wp:inline>
            </w:drawing>
          </w:r>
        </w:p>
        <w:p w14:paraId="7E50100F" w14:textId="77777777" w:rsidR="00B2234B" w:rsidRDefault="00B2234B" w:rsidP="00BB04E3">
          <w:pPr>
            <w:jc w:val="right"/>
            <w:rPr>
              <w:b/>
            </w:rPr>
          </w:pPr>
        </w:p>
        <w:p w14:paraId="6EF56D5C" w14:textId="3355ECD5" w:rsidR="00B2234B" w:rsidRDefault="00B2234B" w:rsidP="00BB04E3">
          <w:pPr>
            <w:jc w:val="right"/>
            <w:rPr>
              <w:b/>
            </w:rPr>
          </w:pPr>
          <w:r>
            <w:rPr>
              <w:noProof/>
            </w:rPr>
            <w:drawing>
              <wp:inline distT="0" distB="0" distL="0" distR="0" wp14:anchorId="026B6619" wp14:editId="6D3881D4">
                <wp:extent cx="2582333" cy="1549400"/>
                <wp:effectExtent l="0" t="0" r="8890" b="0"/>
                <wp:docPr id="441265267" name="Picture 1" descr="A group of logos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265267" name="Picture 1" descr="A group of logos with a white background&#10;&#10;AI-generated content may be incorrect."/>
                        <pic:cNvPicPr/>
                      </pic:nvPicPr>
                      <pic:blipFill>
                        <a:blip r:embed="rId9"/>
                        <a:stretch>
                          <a:fillRect/>
                        </a:stretch>
                      </pic:blipFill>
                      <pic:spPr>
                        <a:xfrm>
                          <a:off x="0" y="0"/>
                          <a:ext cx="2583179" cy="1549908"/>
                        </a:xfrm>
                        <a:prstGeom prst="rect">
                          <a:avLst/>
                        </a:prstGeom>
                      </pic:spPr>
                    </pic:pic>
                  </a:graphicData>
                </a:graphic>
              </wp:inline>
            </w:drawing>
          </w:r>
        </w:p>
        <w:p w14:paraId="250B5AF6" w14:textId="1FFD1CF8" w:rsidR="0029549D" w:rsidRDefault="0029549D" w:rsidP="00BB04E3">
          <w:pPr>
            <w:jc w:val="right"/>
          </w:pPr>
        </w:p>
        <w:p w14:paraId="645FAC98" w14:textId="4C646B78" w:rsidR="00346DA0" w:rsidRDefault="00346DA0" w:rsidP="00346DA0">
          <w:pPr>
            <w:jc w:val="center"/>
          </w:pPr>
        </w:p>
        <w:p w14:paraId="3D199B14" w14:textId="4C3DB9CB" w:rsidR="00787CD0" w:rsidRDefault="00787CD0">
          <w:r>
            <w:rPr>
              <w:b/>
              <w:bCs/>
            </w:rPr>
            <w:br w:type="page"/>
          </w:r>
        </w:p>
      </w:sdtContent>
    </w:sdt>
    <w:p w14:paraId="513E2530" w14:textId="027AD3BD" w:rsidR="001C2284" w:rsidRPr="000D1F6A" w:rsidRDefault="00C57CC4">
      <w:pPr>
        <w:pStyle w:val="Heading1"/>
        <w:rPr>
          <w:color w:val="000000" w:themeColor="text1"/>
        </w:rPr>
      </w:pPr>
      <w:r w:rsidRPr="000D1F6A">
        <w:rPr>
          <w:color w:val="000000" w:themeColor="text1"/>
        </w:rPr>
        <w:lastRenderedPageBreak/>
        <w:t>The Impact of AI, Geopolitical Supply Chain Challenges, and Sustainability Regulations on Rolls-Royce plc (2024–2025)</w:t>
      </w:r>
    </w:p>
    <w:p w14:paraId="58257B00" w14:textId="77777777" w:rsidR="001C2284" w:rsidRPr="000D1F6A" w:rsidRDefault="00C57CC4">
      <w:pPr>
        <w:pStyle w:val="Heading2"/>
        <w:rPr>
          <w:color w:val="000000" w:themeColor="text1"/>
        </w:rPr>
      </w:pPr>
      <w:r w:rsidRPr="000D1F6A">
        <w:rPr>
          <w:color w:val="000000" w:themeColor="text1"/>
        </w:rPr>
        <w:t>Introduction</w:t>
      </w:r>
    </w:p>
    <w:p w14:paraId="307DBED7" w14:textId="0A8624D1" w:rsidR="00142ACE" w:rsidRPr="00142ACE" w:rsidRDefault="00142ACE" w:rsidP="00142ACE">
      <w:r w:rsidRPr="00142ACE">
        <w:t xml:space="preserve">Between 2024 and 2025, global businesses will navigate an increasingly intricate landscape shaped by the rapid adoption of artificial intelligence (AI), ongoing geopolitical tensions, and the rising influence of sustainability regulations. For UK-based multinational corporations such as Rolls-Royce plc, these developments are fundamentally altering international strategies and operational priorities. As a prominent player in aerospace, </w:t>
      </w:r>
      <w:r w:rsidR="005D7045">
        <w:t>defense</w:t>
      </w:r>
      <w:r w:rsidRPr="00142ACE">
        <w:t xml:space="preserve">, and power systems, Rolls-Royce's substantial engagement in global markets renders it particularly vulnerable to technological and geopolitical shifts. This essay critically </w:t>
      </w:r>
      <w:r w:rsidR="00DB34A7">
        <w:t>analyses</w:t>
      </w:r>
      <w:r w:rsidRPr="00142ACE">
        <w:t xml:space="preserve"> how AI, supply chain disruptions arising from the Red Sea crisis and China-Taiwan tensions, along with the European Union’s Corporate Sustainability Reporting Directive (CSRD), affect Rolls-Royce’s strategic direction and operations. The discussion </w:t>
      </w:r>
      <w:proofErr w:type="spellStart"/>
      <w:r w:rsidR="005D7045">
        <w:t>emphasises</w:t>
      </w:r>
      <w:proofErr w:type="spellEnd"/>
      <w:r w:rsidRPr="00142ACE">
        <w:t xml:space="preserve"> the dual nature of these forces, presenting both opportunities and strategic risks.</w:t>
      </w:r>
    </w:p>
    <w:p w14:paraId="014F837C" w14:textId="77777777" w:rsidR="001C2284" w:rsidRPr="000D1F6A" w:rsidRDefault="00C57CC4">
      <w:pPr>
        <w:pStyle w:val="Heading2"/>
        <w:rPr>
          <w:color w:val="000000" w:themeColor="text1"/>
        </w:rPr>
      </w:pPr>
      <w:r w:rsidRPr="000D1F6A">
        <w:rPr>
          <w:color w:val="000000" w:themeColor="text1"/>
        </w:rPr>
        <w:t>1. Artificial Intelligence and Digital Transformation</w:t>
      </w:r>
    </w:p>
    <w:p w14:paraId="6273CD8A" w14:textId="2B4E4464" w:rsidR="001C2284" w:rsidRDefault="00DB34A7">
      <w:r w:rsidRPr="00DB34A7">
        <w:t>AI stands as one of the most transformative forces in the ongoing evolution of Rolls-Royce. The company has made significant investments in digital capabilities, highlighted by its “Intelligent</w:t>
      </w:r>
      <w:r>
        <w:t xml:space="preserve"> </w:t>
      </w:r>
      <w:r w:rsidRPr="00DB34A7">
        <w:t xml:space="preserve">Engine” vision, which merges AI and data analytics into engine design, monitoring, and maintenance (Rolls-Royce, 2024a). In the years 2024 to 2025, the adoption of AI is set to accelerate across the firm’s divisions in civil aerospace, </w:t>
      </w:r>
      <w:proofErr w:type="spellStart"/>
      <w:r>
        <w:t>defence</w:t>
      </w:r>
      <w:proofErr w:type="spellEnd"/>
      <w:r w:rsidRPr="00DB34A7">
        <w:t>, and power systems.</w:t>
      </w:r>
    </w:p>
    <w:p w14:paraId="0FA10865" w14:textId="77777777" w:rsidR="001C2284" w:rsidRDefault="00C57CC4">
      <w:pPr>
        <w:pStyle w:val="ListBullet"/>
      </w:pPr>
      <w:r>
        <w:t>Opportunities:</w:t>
      </w:r>
    </w:p>
    <w:p w14:paraId="0EF4C31F" w14:textId="5742563E" w:rsidR="003468EB" w:rsidRDefault="009720A6" w:rsidP="003468EB">
      <w:pPr>
        <w:pStyle w:val="ListBullet"/>
        <w:numPr>
          <w:ilvl w:val="0"/>
          <w:numId w:val="0"/>
        </w:numPr>
        <w:ind w:left="360"/>
      </w:pPr>
      <w:r w:rsidRPr="009720A6">
        <w:t xml:space="preserve">AI enhances Rolls-Royce’s competitive advantage by facilitating predictive maintenance, real-time monitoring, and fuel efficiency </w:t>
      </w:r>
      <w:proofErr w:type="spellStart"/>
      <w:r w:rsidR="00BE386D">
        <w:t>optimisation</w:t>
      </w:r>
      <w:proofErr w:type="spellEnd"/>
      <w:r w:rsidRPr="009720A6">
        <w:t>. The company’s “</w:t>
      </w:r>
      <w:r w:rsidR="00BE386D" w:rsidRPr="009720A6">
        <w:t>Total Care</w:t>
      </w:r>
      <w:r w:rsidRPr="009720A6">
        <w:t xml:space="preserve">” service model—where airlines pay for engine uptime instead of ownership—depends on AI-driven analytics to forecast failures and </w:t>
      </w:r>
      <w:proofErr w:type="spellStart"/>
      <w:r w:rsidR="00BE386D">
        <w:t>minimise</w:t>
      </w:r>
      <w:proofErr w:type="spellEnd"/>
      <w:r w:rsidRPr="009720A6">
        <w:t xml:space="preserve"> downtime (Financial Times, 2024). This data-centric strategy not only strengthens customer relationships but also enhances profitability, aligning with Rolls-Royce’s ambition to become a digital-first engineering leader. Furthermore, AI drives innovation in sustainable aviation technologies, such as </w:t>
      </w:r>
      <w:proofErr w:type="spellStart"/>
      <w:r w:rsidR="00BE386D">
        <w:t>optimising</w:t>
      </w:r>
      <w:proofErr w:type="spellEnd"/>
      <w:r w:rsidRPr="009720A6">
        <w:t xml:space="preserve"> combustion efficiency and developing hybrid-electric propulsion systems. By leveraging generative design and machine learning, Rolls-Royce can accelerate research and development cycles, resulting in lower prototype costs and quicker time to market (PwC, 2023).</w:t>
      </w:r>
    </w:p>
    <w:p w14:paraId="1E9E3E26" w14:textId="77777777" w:rsidR="00BE386D" w:rsidRDefault="00BE386D" w:rsidP="003468EB">
      <w:pPr>
        <w:pStyle w:val="ListBullet"/>
        <w:numPr>
          <w:ilvl w:val="0"/>
          <w:numId w:val="0"/>
        </w:numPr>
        <w:ind w:left="360"/>
      </w:pPr>
    </w:p>
    <w:p w14:paraId="4F01F5B6" w14:textId="77777777" w:rsidR="00BE386D" w:rsidRDefault="00BE386D" w:rsidP="003468EB">
      <w:pPr>
        <w:pStyle w:val="ListBullet"/>
        <w:numPr>
          <w:ilvl w:val="0"/>
          <w:numId w:val="0"/>
        </w:numPr>
        <w:ind w:left="360"/>
      </w:pPr>
    </w:p>
    <w:p w14:paraId="33B1FE34" w14:textId="77777777" w:rsidR="00BE386D" w:rsidRDefault="00BE386D" w:rsidP="003468EB">
      <w:pPr>
        <w:pStyle w:val="ListBullet"/>
        <w:numPr>
          <w:ilvl w:val="0"/>
          <w:numId w:val="0"/>
        </w:numPr>
        <w:ind w:left="360"/>
      </w:pPr>
    </w:p>
    <w:p w14:paraId="010A5961" w14:textId="77777777" w:rsidR="00172E2B" w:rsidRDefault="00172E2B" w:rsidP="003468EB">
      <w:pPr>
        <w:pStyle w:val="ListBullet"/>
        <w:numPr>
          <w:ilvl w:val="0"/>
          <w:numId w:val="0"/>
        </w:numPr>
        <w:ind w:left="360"/>
      </w:pPr>
    </w:p>
    <w:p w14:paraId="36AFE4C4" w14:textId="77777777" w:rsidR="001C2284" w:rsidRDefault="00C57CC4">
      <w:pPr>
        <w:pStyle w:val="ListBullet"/>
      </w:pPr>
      <w:r>
        <w:t>Challenges:</w:t>
      </w:r>
    </w:p>
    <w:p w14:paraId="2D0B0BC6" w14:textId="77777777" w:rsidR="009E4E54" w:rsidRDefault="009E4E54" w:rsidP="009E4E54">
      <w:pPr>
        <w:pStyle w:val="ListBullet"/>
        <w:numPr>
          <w:ilvl w:val="0"/>
          <w:numId w:val="0"/>
        </w:numPr>
        <w:ind w:left="360"/>
      </w:pPr>
    </w:p>
    <w:p w14:paraId="32860DD6" w14:textId="44978561" w:rsidR="00096D63" w:rsidRDefault="009E4E54" w:rsidP="00096D63">
      <w:pPr>
        <w:pStyle w:val="ListBullet"/>
        <w:numPr>
          <w:ilvl w:val="0"/>
          <w:numId w:val="0"/>
        </w:numPr>
        <w:ind w:left="360"/>
      </w:pPr>
      <w:r w:rsidRPr="009E4E54">
        <w:lastRenderedPageBreak/>
        <w:t xml:space="preserve">However, AI also presents strategic risks for the company. The growing dependence on data and automation raises concerns regarding cybersecurity and intellectual property, particularly due to the company’s </w:t>
      </w:r>
      <w:proofErr w:type="spellStart"/>
      <w:r w:rsidRPr="009E4E54">
        <w:t>defence</w:t>
      </w:r>
      <w:proofErr w:type="spellEnd"/>
      <w:r w:rsidRPr="009E4E54">
        <w:t xml:space="preserve"> contracts (UK Ministry of </w:t>
      </w:r>
      <w:proofErr w:type="spellStart"/>
      <w:r w:rsidRPr="009E4E54">
        <w:t>Defence</w:t>
      </w:r>
      <w:proofErr w:type="spellEnd"/>
      <w:r w:rsidRPr="009E4E54">
        <w:t>, 2024). Rolls-Royce must navigate the ethical and regulatory discussions surrounding AI transparency and the implications for the workforce, as automation has the potential to displace skilled labor in engineering and maintenance. Additionally, the capital-intensive nature of AI infrastructure requires ongoing investment during a time of financial recovery from the pandemic and ongoing engine reliability challenges (BBC News, 2024). Furthermore, the aerospace sector is experiencing rapid digitalization, with competitors like General Electric (GE) and Safran also integrating AI into their operations. Consequently, while AI offers strategic differentiation, it is crucial for Rolls-Royce to maintain technological parity and robust data governance to ensure its long-term positioning.</w:t>
      </w:r>
    </w:p>
    <w:p w14:paraId="2699818A" w14:textId="77777777" w:rsidR="001C2284" w:rsidRPr="000D1F6A" w:rsidRDefault="00C57CC4">
      <w:pPr>
        <w:pStyle w:val="Heading2"/>
        <w:rPr>
          <w:color w:val="000000" w:themeColor="text1"/>
        </w:rPr>
      </w:pPr>
      <w:r w:rsidRPr="000D1F6A">
        <w:rPr>
          <w:color w:val="000000" w:themeColor="text1"/>
        </w:rPr>
        <w:t>2. Geopolitical Supply Chain Challenges</w:t>
      </w:r>
    </w:p>
    <w:p w14:paraId="11CB3E24" w14:textId="77777777" w:rsidR="00E134A4" w:rsidRDefault="00E134A4" w:rsidP="00E134A4">
      <w:r>
        <w:t>The second major pressure shaping Rolls-Royce’s operations in 2024–2025 is geopolitical instability, particularly the disruptions in Red Sea shipping and escalating tensions between China and Taiwan. Rolls-Royce operates complex global supply chains, sourcing precision components, rare materials, and electronic systems from various continents (Reuters, 2024a). Disruptions in these networks directly impact production continuity, cost control, and delivery schedules.</w:t>
      </w:r>
    </w:p>
    <w:p w14:paraId="3D1BAB4B" w14:textId="77777777" w:rsidR="00E134A4" w:rsidRDefault="00E134A4" w:rsidP="00E134A4"/>
    <w:p w14:paraId="69872945" w14:textId="4F1F3846" w:rsidR="00E134A4" w:rsidRDefault="00E134A4" w:rsidP="00E134A4">
      <w:r>
        <w:t>Challenges:</w:t>
      </w:r>
    </w:p>
    <w:p w14:paraId="014731C8" w14:textId="04E36B5B" w:rsidR="00E134A4" w:rsidRDefault="00E134A4" w:rsidP="00E134A4">
      <w:r>
        <w:t xml:space="preserve">The crisis in the Red Sea, fueled by regional conflicts and attacks on shipping routes, has led to increased transit times and insurance costs for critical aerospace components (The Guardian, 2024). Similarly, tensions surrounding Taiwan—home to a major semiconductor manufacturing hub—threaten the availability of high-performance chips essential for Rolls-Royce’s digital and AI systems (Bloomberg, 2024). These dependencies underscore the firm’s vulnerability to geopolitical fragmentation and the </w:t>
      </w:r>
      <w:proofErr w:type="spellStart"/>
      <w:r w:rsidR="001113B3">
        <w:t>weaponisation</w:t>
      </w:r>
      <w:proofErr w:type="spellEnd"/>
      <w:r>
        <w:t xml:space="preserve"> of trade. Additionally, export restrictions on </w:t>
      </w:r>
      <w:proofErr w:type="spellStart"/>
      <w:r w:rsidR="001113B3">
        <w:t>defence</w:t>
      </w:r>
      <w:proofErr w:type="spellEnd"/>
      <w:r w:rsidR="001113B3">
        <w:t>-related</w:t>
      </w:r>
      <w:r>
        <w:t xml:space="preserve"> technologies and raw materials have heightened compliance risks, particularly given Rolls-Royce’s dual role as both a civilian and </w:t>
      </w:r>
      <w:proofErr w:type="spellStart"/>
      <w:r w:rsidR="001113B3">
        <w:t>defence</w:t>
      </w:r>
      <w:proofErr w:type="spellEnd"/>
      <w:r>
        <w:t xml:space="preserve"> contractor (UK </w:t>
      </w:r>
      <w:proofErr w:type="spellStart"/>
      <w:r>
        <w:t>Defence</w:t>
      </w:r>
      <w:proofErr w:type="spellEnd"/>
      <w:r>
        <w:t xml:space="preserve"> Journal, 2024).</w:t>
      </w:r>
    </w:p>
    <w:p w14:paraId="234D86D9" w14:textId="77777777" w:rsidR="00E134A4" w:rsidRDefault="00E134A4" w:rsidP="00E134A4"/>
    <w:p w14:paraId="703AE75B" w14:textId="3A63294C" w:rsidR="00E134A4" w:rsidRDefault="00E134A4" w:rsidP="00E134A4">
      <w:r>
        <w:t>Strategic Responses and Opportunities:</w:t>
      </w:r>
    </w:p>
    <w:p w14:paraId="1ECA8010" w14:textId="18B390DD" w:rsidR="00E134A4" w:rsidRDefault="00E134A4" w:rsidP="00E134A4">
      <w:r>
        <w:t xml:space="preserve">To mitigate these challenges, Rolls-Royce is pursuing strategies for supply chain diversification and reshoring. The company has increased supplier </w:t>
      </w:r>
      <w:proofErr w:type="spellStart"/>
      <w:r w:rsidR="001113B3">
        <w:t>localisation</w:t>
      </w:r>
      <w:proofErr w:type="spellEnd"/>
      <w:r>
        <w:t xml:space="preserve"> in the UK and EU to reduce overreliance on East Asian manufacturing (Rolls-Royce, 2024b). It is also leveraging digital supply chain tools to enhance visibility and resilience, using AI-driven forecasting to identify bottlenecks and simulate disruption scenarios. Geopolitical </w:t>
      </w:r>
      <w:r>
        <w:lastRenderedPageBreak/>
        <w:t xml:space="preserve">uncertainty has reinforced Rolls-Royce’s value to governments seeking domestic capabilities in critical technologies, thereby strengthening its </w:t>
      </w:r>
      <w:proofErr w:type="spellStart"/>
      <w:r w:rsidR="001113B3">
        <w:t>defence</w:t>
      </w:r>
      <w:proofErr w:type="spellEnd"/>
      <w:r>
        <w:t xml:space="preserve"> business through procurement programs with the UK and NATO (Financial Times, 2025). While geopolitical instability presents significant operational risks, it also presents opportunities for Rolls-Royce to solidify its role as a trusted supplier within Western </w:t>
      </w:r>
      <w:proofErr w:type="spellStart"/>
      <w:r w:rsidR="001113B3">
        <w:t>defence</w:t>
      </w:r>
      <w:proofErr w:type="spellEnd"/>
      <w:r>
        <w:t xml:space="preserve"> alliances.</w:t>
      </w:r>
    </w:p>
    <w:p w14:paraId="599FBA8E" w14:textId="77777777" w:rsidR="00E134A4" w:rsidRDefault="00E134A4" w:rsidP="00E134A4"/>
    <w:p w14:paraId="5FC4C422" w14:textId="637743CC" w:rsidR="00E134A4" w:rsidRDefault="00E134A4" w:rsidP="00E134A4">
      <w:r>
        <w:t>3. Sustainability and the Corporate Sustainability Reporting Directive (CSRD)</w:t>
      </w:r>
    </w:p>
    <w:p w14:paraId="1AA5316F" w14:textId="77777777" w:rsidR="00E134A4" w:rsidRDefault="00E134A4" w:rsidP="00E134A4">
      <w:r>
        <w:t>The European Union’s Corporate Sustainability Reporting Directive (CSRD), effective from 2024, is redefining how multinational corporations disclose their environmental, social, and governance (ESG) performance. For Rolls-Royce—given its substantial operations and customer base within the EU—compliance with the CSRD’s requirements for double-materiality and value-chain transparency is a significant strategic concern (European Commission, 2023).</w:t>
      </w:r>
    </w:p>
    <w:p w14:paraId="4E662413" w14:textId="77777777" w:rsidR="00E134A4" w:rsidRDefault="00E134A4" w:rsidP="00E134A4"/>
    <w:p w14:paraId="3F82C1F2" w14:textId="0307A671" w:rsidR="00E134A4" w:rsidRDefault="00E134A4" w:rsidP="00E134A4">
      <w:r>
        <w:t>Opportunities:</w:t>
      </w:r>
    </w:p>
    <w:p w14:paraId="165740FA" w14:textId="6BDA1FB5" w:rsidR="00E134A4" w:rsidRDefault="00E134A4" w:rsidP="00E134A4">
      <w:r>
        <w:t xml:space="preserve">Sustainability is deeply embedded in Rolls-Royce’s corporate purpose of “pioneering the power that matters.” The CSRD’s emphasis on transparent, </w:t>
      </w:r>
      <w:proofErr w:type="spellStart"/>
      <w:r w:rsidR="001113B3">
        <w:t>standardised</w:t>
      </w:r>
      <w:proofErr w:type="spellEnd"/>
      <w:r>
        <w:t xml:space="preserve"> reporting supports Rolls-Royce’s ongoing decarbonization strategy. The company aims to achieve net-zero operations by 2030 and enable net-zero aviation by 2050, focusing on developing sustainable aviation fuels (SAFs), hybrid-electric propulsion, and hydrogen combustion technologies (Rolls-Royce, 2023). Enhanced ESG reporting can bolster investor confidence and customer trust, particularly as airlines and governments </w:t>
      </w:r>
      <w:proofErr w:type="spellStart"/>
      <w:r w:rsidR="001113B3">
        <w:t>prioritise</w:t>
      </w:r>
      <w:proofErr w:type="spellEnd"/>
      <w:r>
        <w:t xml:space="preserve"> low-carbon technologies. Rolls-Royce’s participation in initiatives such as the UN Race to Zero and its partnerships with SAF producers </w:t>
      </w:r>
      <w:proofErr w:type="gramStart"/>
      <w:r>
        <w:t>position it</w:t>
      </w:r>
      <w:proofErr w:type="gramEnd"/>
      <w:r>
        <w:t xml:space="preserve"> favorably in a market increasingly focused on environmental accountability (UNFCCC, 2024).</w:t>
      </w:r>
    </w:p>
    <w:p w14:paraId="2C64650D" w14:textId="77777777" w:rsidR="00E134A4" w:rsidRDefault="00E134A4" w:rsidP="00E134A4"/>
    <w:p w14:paraId="22858056" w14:textId="2CF86EB7" w:rsidR="00E134A4" w:rsidRDefault="00E134A4" w:rsidP="00E134A4">
      <w:r>
        <w:t>Challenges:</w:t>
      </w:r>
    </w:p>
    <w:p w14:paraId="6B68BDD5" w14:textId="77777777" w:rsidR="003345CC" w:rsidRDefault="00E134A4" w:rsidP="00E134A4">
      <w:r>
        <w:t xml:space="preserve">However, complying with the CSRD imposes administrative and financial burdens. The directive requires detailed emissions tracking across the value chain, including Scope 3 emissions from suppliers and product use (KPMG, 2024). Given the global complexity of Rolls-Royce’s operations, gathering </w:t>
      </w:r>
      <w:proofErr w:type="spellStart"/>
      <w:r w:rsidR="001113B3">
        <w:t>standardised</w:t>
      </w:r>
      <w:proofErr w:type="spellEnd"/>
      <w:r>
        <w:t xml:space="preserve"> data and aligning it with EU Taxonomy criteria is </w:t>
      </w:r>
      <w:proofErr w:type="gramStart"/>
      <w:r>
        <w:t>resource-intensive</w:t>
      </w:r>
      <w:proofErr w:type="gramEnd"/>
      <w:r>
        <w:t xml:space="preserve">. Additionally, the sustainability transformation necessitates significant R&amp;D investment, often required before </w:t>
      </w:r>
      <w:proofErr w:type="spellStart"/>
      <w:r w:rsidR="001113B3">
        <w:t>realising</w:t>
      </w:r>
      <w:proofErr w:type="spellEnd"/>
      <w:r>
        <w:t xml:space="preserve"> commercial returns. Balancing these commitments with shareholder expectations for profitability remains a delicate challenge. Furthermore, the global divergence of sustainability standards—with the UK’s own Sustainability Disclosure Standards and the U.S. SEC’s proposed climate rules—adds </w:t>
      </w:r>
    </w:p>
    <w:p w14:paraId="4FA63AB0" w14:textId="77777777" w:rsidR="003345CC" w:rsidRDefault="003345CC" w:rsidP="00E134A4"/>
    <w:p w14:paraId="53FC3A0A" w14:textId="7F9AB306" w:rsidR="003345CC" w:rsidRDefault="003345CC" w:rsidP="00E134A4">
      <w:r>
        <w:rPr>
          <w:noProof/>
        </w:rPr>
        <w:lastRenderedPageBreak/>
        <w:drawing>
          <wp:inline distT="0" distB="0" distL="0" distR="0" wp14:anchorId="69E49AD3" wp14:editId="1C7996CB">
            <wp:extent cx="2733675" cy="1676400"/>
            <wp:effectExtent l="0" t="0" r="9525" b="0"/>
            <wp:docPr id="20556675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3675" cy="1676400"/>
                    </a:xfrm>
                    <a:prstGeom prst="rect">
                      <a:avLst/>
                    </a:prstGeom>
                    <a:noFill/>
                  </pic:spPr>
                </pic:pic>
              </a:graphicData>
            </a:graphic>
          </wp:inline>
        </w:drawing>
      </w:r>
    </w:p>
    <w:p w14:paraId="01B6CC7B" w14:textId="77777777" w:rsidR="003345CC" w:rsidRDefault="003345CC" w:rsidP="00E134A4"/>
    <w:p w14:paraId="76992A32" w14:textId="0E4B8194" w:rsidR="00E134A4" w:rsidRDefault="00E134A4" w:rsidP="00E134A4">
      <w:r>
        <w:t>compliance complexity for a multinational with diverse regulatory exposures (Ernst &amp; Young, 2024).</w:t>
      </w:r>
    </w:p>
    <w:p w14:paraId="6CF4C0E3" w14:textId="77777777" w:rsidR="00E134A4" w:rsidRDefault="00E134A4" w:rsidP="00E134A4"/>
    <w:p w14:paraId="0498C712" w14:textId="43A933C2" w:rsidR="00E134A4" w:rsidRDefault="00E134A4" w:rsidP="00E134A4">
      <w:r>
        <w:t>4. Interactions Between the Three Forces</w:t>
      </w:r>
    </w:p>
    <w:p w14:paraId="7419A1BA" w14:textId="77777777" w:rsidR="00E134A4" w:rsidRDefault="00E134A4" w:rsidP="00E134A4">
      <w:r>
        <w:t>Importantly, the three forces—artificial intelligence (AI), geopolitics, and sustainability—interact in mutually reinforcing ways. AI is increasingly central to managing supply chain resilience as well as sustainability reporting, providing data-driven insights for carbon accounting and supplier risk assessments. Conversely, geopolitical disruptions can impede access to AI hardware and green technologies, hindering sustainability progress. The challenge for Rolls-Royce lies in integrating these strategic areas rather than treating them as isolated trends. Its ongoing digital transformation, when aligned with ESG and risk management objectives, could create unified capabilities for long-term resilience and innovation.</w:t>
      </w:r>
    </w:p>
    <w:p w14:paraId="165E5283" w14:textId="77777777" w:rsidR="00E134A4" w:rsidRDefault="00E134A4" w:rsidP="00E134A4"/>
    <w:p w14:paraId="3B901B78" w14:textId="7647A4A4" w:rsidR="00E134A4" w:rsidRDefault="00E134A4" w:rsidP="00E134A4">
      <w:r>
        <w:t>5. Strategic Outlook and Conclusion</w:t>
      </w:r>
    </w:p>
    <w:p w14:paraId="6A6D8538" w14:textId="2833B52C" w:rsidR="006D63B3" w:rsidRDefault="00E134A4" w:rsidP="00E134A4">
      <w:r>
        <w:t xml:space="preserve">In 2024–2025, Rolls-Royce stands at a pivotal juncture. The company must navigate these intertwined challenges and opportunities to solidify its position in the aerospace and </w:t>
      </w:r>
      <w:proofErr w:type="spellStart"/>
      <w:r>
        <w:t>defence</w:t>
      </w:r>
      <w:proofErr w:type="spellEnd"/>
      <w:r>
        <w:t xml:space="preserve"> sectors.</w:t>
      </w:r>
    </w:p>
    <w:p w14:paraId="406161E9" w14:textId="7D63EA38" w:rsidR="006D63B3" w:rsidRDefault="00973C71">
      <w:r>
        <w:rPr>
          <w:noProof/>
        </w:rPr>
        <w:lastRenderedPageBreak/>
        <w:drawing>
          <wp:inline distT="0" distB="0" distL="0" distR="0" wp14:anchorId="7D1D52D6" wp14:editId="7B93B0C7">
            <wp:extent cx="2857500" cy="2133600"/>
            <wp:effectExtent l="0" t="0" r="0" b="0"/>
            <wp:docPr id="730325057" name="Picture 4" descr="A diagram of a company's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325057" name="Picture 4" descr="A diagram of a company's strategy&#10;&#10;AI-generated content may be incorrect."/>
                    <pic:cNvPicPr/>
                  </pic:nvPicPr>
                  <pic:blipFill>
                    <a:blip r:embed="rId11"/>
                    <a:stretch>
                      <a:fillRect/>
                    </a:stretch>
                  </pic:blipFill>
                  <pic:spPr>
                    <a:xfrm>
                      <a:off x="0" y="0"/>
                      <a:ext cx="2857500" cy="2133600"/>
                    </a:xfrm>
                    <a:prstGeom prst="rect">
                      <a:avLst/>
                    </a:prstGeom>
                  </pic:spPr>
                </pic:pic>
              </a:graphicData>
            </a:graphic>
          </wp:inline>
        </w:drawing>
      </w:r>
    </w:p>
    <w:p w14:paraId="4F908E33" w14:textId="1FC149E2" w:rsidR="00973C71" w:rsidRDefault="00973C71">
      <w:r>
        <w:rPr>
          <w:noProof/>
        </w:rPr>
        <w:drawing>
          <wp:inline distT="0" distB="0" distL="0" distR="0" wp14:anchorId="553C251D" wp14:editId="3AEA5017">
            <wp:extent cx="2609850" cy="1752600"/>
            <wp:effectExtent l="0" t="0" r="0" b="0"/>
            <wp:docPr id="350718332" name="Picture 5" descr="A diagram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718332" name="Picture 5" descr="A diagram of a house&#10;&#10;AI-generated content may be incorrect."/>
                    <pic:cNvPicPr/>
                  </pic:nvPicPr>
                  <pic:blipFill>
                    <a:blip r:embed="rId12"/>
                    <a:stretch>
                      <a:fillRect/>
                    </a:stretch>
                  </pic:blipFill>
                  <pic:spPr>
                    <a:xfrm>
                      <a:off x="0" y="0"/>
                      <a:ext cx="2609850" cy="1752600"/>
                    </a:xfrm>
                    <a:prstGeom prst="rect">
                      <a:avLst/>
                    </a:prstGeom>
                  </pic:spPr>
                </pic:pic>
              </a:graphicData>
            </a:graphic>
          </wp:inline>
        </w:drawing>
      </w:r>
    </w:p>
    <w:p w14:paraId="5FBB4536" w14:textId="77777777" w:rsidR="006D63B3" w:rsidRDefault="006D63B3"/>
    <w:p w14:paraId="7925DE5F" w14:textId="77777777" w:rsidR="006D63B3" w:rsidRDefault="006D63B3"/>
    <w:p w14:paraId="36510450" w14:textId="77777777" w:rsidR="006D63B3" w:rsidRDefault="006D63B3"/>
    <w:p w14:paraId="12644A4B" w14:textId="77777777" w:rsidR="006D63B3" w:rsidRDefault="006D63B3"/>
    <w:p w14:paraId="34C35362" w14:textId="77777777" w:rsidR="006D63B3" w:rsidRDefault="006D63B3"/>
    <w:p w14:paraId="1A0C05BC" w14:textId="77777777" w:rsidR="006D63B3" w:rsidRDefault="006D63B3"/>
    <w:p w14:paraId="176C970C" w14:textId="77777777" w:rsidR="006D63B3" w:rsidRDefault="006D63B3"/>
    <w:p w14:paraId="4E0E80AA" w14:textId="77777777" w:rsidR="006D63B3" w:rsidRDefault="006D63B3"/>
    <w:p w14:paraId="282FF024" w14:textId="77777777" w:rsidR="006D63B3" w:rsidRDefault="006D63B3"/>
    <w:p w14:paraId="25A77843" w14:textId="77777777" w:rsidR="006D63B3" w:rsidRDefault="006D63B3"/>
    <w:p w14:paraId="2BF841CF" w14:textId="77777777" w:rsidR="006D63B3" w:rsidRDefault="006D63B3"/>
    <w:p w14:paraId="2ED0E495" w14:textId="77777777" w:rsidR="001C2284" w:rsidRPr="000D1F6A" w:rsidRDefault="00C57CC4">
      <w:pPr>
        <w:pStyle w:val="Heading2"/>
        <w:rPr>
          <w:color w:val="000000" w:themeColor="text1"/>
        </w:rPr>
      </w:pPr>
      <w:r w:rsidRPr="000D1F6A">
        <w:rPr>
          <w:color w:val="000000" w:themeColor="text1"/>
        </w:rPr>
        <w:lastRenderedPageBreak/>
        <w:t>References</w:t>
      </w:r>
    </w:p>
    <w:p w14:paraId="1EDDFD06" w14:textId="77777777" w:rsidR="001C2284" w:rsidRDefault="00C57CC4">
      <w:pPr>
        <w:pStyle w:val="ListBullet"/>
      </w:pPr>
      <w:r>
        <w:t>BBC News (2024) Rolls-Royce faces challenge balancing AI investment and costs. [Online]</w:t>
      </w:r>
    </w:p>
    <w:p w14:paraId="4540A14D" w14:textId="77777777" w:rsidR="001C2284" w:rsidRDefault="00C57CC4">
      <w:pPr>
        <w:pStyle w:val="ListBullet"/>
      </w:pPr>
      <w:r>
        <w:t>Bloomberg (2024) Chip supply threats rise amid China-Taiwan tensions. [Online]</w:t>
      </w:r>
    </w:p>
    <w:p w14:paraId="5B78E3CF" w14:textId="77777777" w:rsidR="001C2284" w:rsidRDefault="00C57CC4">
      <w:pPr>
        <w:pStyle w:val="ListBullet"/>
      </w:pPr>
      <w:r>
        <w:t>Ernst &amp; Young (2024) Global ESG reporting trends 2024. EY Global, London.</w:t>
      </w:r>
    </w:p>
    <w:p w14:paraId="47C85810" w14:textId="77777777" w:rsidR="001C2284" w:rsidRDefault="00C57CC4">
      <w:pPr>
        <w:pStyle w:val="ListBullet"/>
      </w:pPr>
      <w:r>
        <w:t>European Commission (2023) Corporate Sustainability Reporting Directive (CSRD): Overview and Requirements. Brussels: EU Publications.</w:t>
      </w:r>
    </w:p>
    <w:p w14:paraId="6BE72BCF" w14:textId="77777777" w:rsidR="001C2284" w:rsidRDefault="00C57CC4">
      <w:pPr>
        <w:pStyle w:val="ListBullet"/>
      </w:pPr>
      <w:r>
        <w:t>Financial Times (2024) Rolls-Royce accelerates digital overhaul with AI-driven TotalCare upgrades. [Online]</w:t>
      </w:r>
    </w:p>
    <w:p w14:paraId="1E88A7C7" w14:textId="77777777" w:rsidR="001C2284" w:rsidRDefault="00C57CC4">
      <w:pPr>
        <w:pStyle w:val="ListBullet"/>
      </w:pPr>
      <w:r>
        <w:t>Financial Times (2025) UK defence contractors benefit from supply chain realignment. [Online]</w:t>
      </w:r>
    </w:p>
    <w:p w14:paraId="7B992F44" w14:textId="77777777" w:rsidR="001C2284" w:rsidRDefault="00C57CC4">
      <w:pPr>
        <w:pStyle w:val="ListBullet"/>
      </w:pPr>
      <w:r>
        <w:t>KPMG (2024) CSRD implementation challenges for multinationals. London: KPMG Insights.</w:t>
      </w:r>
    </w:p>
    <w:p w14:paraId="3EB749D3" w14:textId="77777777" w:rsidR="001C2284" w:rsidRDefault="00C57CC4">
      <w:pPr>
        <w:pStyle w:val="ListBullet"/>
      </w:pPr>
      <w:r>
        <w:t>PwC (2023) Artificial Intelligence in Engineering and Manufacturing. PwC UK, London.</w:t>
      </w:r>
    </w:p>
    <w:p w14:paraId="189802E4" w14:textId="77777777" w:rsidR="001C2284" w:rsidRDefault="00C57CC4">
      <w:pPr>
        <w:pStyle w:val="ListBullet"/>
      </w:pPr>
      <w:r>
        <w:t>Reuters (2024a) Aerospace firms face Red Sea shipping delays. [Online]</w:t>
      </w:r>
    </w:p>
    <w:p w14:paraId="1AB39323" w14:textId="77777777" w:rsidR="001C2284" w:rsidRDefault="00C57CC4">
      <w:pPr>
        <w:pStyle w:val="ListBullet"/>
      </w:pPr>
      <w:r>
        <w:t>Rolls-Royce (2023) Annual Report 2023: Pioneering the Power that Matters. Rolls-Royce plc, London.</w:t>
      </w:r>
    </w:p>
    <w:p w14:paraId="762062EE" w14:textId="77777777" w:rsidR="001C2284" w:rsidRDefault="00C57CC4">
      <w:pPr>
        <w:pStyle w:val="ListBullet"/>
      </w:pPr>
      <w:r>
        <w:t>Rolls-Royce (2024a) IntelligentEngine: Harnessing AI and Data Analytics. [Online]</w:t>
      </w:r>
    </w:p>
    <w:p w14:paraId="53802DA9" w14:textId="77777777" w:rsidR="001C2284" w:rsidRDefault="00C57CC4">
      <w:pPr>
        <w:pStyle w:val="ListBullet"/>
      </w:pPr>
      <w:r>
        <w:t>Rolls-Royce (2024b) Building Resilient Supply Chains. [Online]</w:t>
      </w:r>
    </w:p>
    <w:p w14:paraId="77648721" w14:textId="77777777" w:rsidR="001C2284" w:rsidRDefault="00C57CC4">
      <w:pPr>
        <w:pStyle w:val="ListBullet"/>
      </w:pPr>
      <w:r>
        <w:t>The Guardian (2024) Red Sea disruptions hit global manufacturing supply chains. [Online]</w:t>
      </w:r>
    </w:p>
    <w:p w14:paraId="66A0FBEA" w14:textId="77777777" w:rsidR="001C2284" w:rsidRDefault="00C57CC4">
      <w:pPr>
        <w:pStyle w:val="ListBullet"/>
      </w:pPr>
      <w:r>
        <w:t>UK Defence Journal (2024) Rolls-Royce and UK MOD cooperation amid global tension. [Online]</w:t>
      </w:r>
    </w:p>
    <w:p w14:paraId="48ED34D2" w14:textId="77777777" w:rsidR="001C2284" w:rsidRDefault="00C57CC4">
      <w:pPr>
        <w:pStyle w:val="ListBullet"/>
      </w:pPr>
      <w:r>
        <w:t>UK Ministry of Defence (2024) Cybersecurity and AI in Defence Procurement. London: MOD Publications.</w:t>
      </w:r>
    </w:p>
    <w:p w14:paraId="4F103CF2" w14:textId="77777777" w:rsidR="001C2284" w:rsidRDefault="00C57CC4">
      <w:pPr>
        <w:pStyle w:val="ListBullet"/>
      </w:pPr>
      <w:r>
        <w:t>UNFCCC (2024) Race to Zero: Partner initiatives in aviation. [Online]</w:t>
      </w:r>
    </w:p>
    <w:sectPr w:rsidR="001C2284" w:rsidSect="00787CD0">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FF5E3E7A"/>
    <w:lvl w:ilvl="0">
      <w:start w:val="1"/>
      <w:numFmt w:val="bullet"/>
      <w:pStyle w:val="ListBullet"/>
      <w:lvlText w:val=""/>
      <w:lvlJc w:val="left"/>
      <w:pPr>
        <w:tabs>
          <w:tab w:val="num" w:pos="360"/>
        </w:tabs>
        <w:ind w:left="360" w:hanging="360"/>
      </w:pPr>
      <w:rPr>
        <w:rFonts w:ascii="Symbol" w:hAnsi="Symbol" w:hint="default"/>
      </w:rPr>
    </w:lvl>
  </w:abstractNum>
  <w:num w:numId="1" w16cid:durableId="418018653">
    <w:abstractNumId w:val="8"/>
  </w:num>
  <w:num w:numId="2" w16cid:durableId="101194436">
    <w:abstractNumId w:val="6"/>
  </w:num>
  <w:num w:numId="3" w16cid:durableId="749355055">
    <w:abstractNumId w:val="5"/>
  </w:num>
  <w:num w:numId="4" w16cid:durableId="1863473432">
    <w:abstractNumId w:val="4"/>
  </w:num>
  <w:num w:numId="5" w16cid:durableId="1695226779">
    <w:abstractNumId w:val="7"/>
  </w:num>
  <w:num w:numId="6" w16cid:durableId="1790010663">
    <w:abstractNumId w:val="3"/>
  </w:num>
  <w:num w:numId="7" w16cid:durableId="368340619">
    <w:abstractNumId w:val="2"/>
  </w:num>
  <w:num w:numId="8" w16cid:durableId="410661607">
    <w:abstractNumId w:val="1"/>
  </w:num>
  <w:num w:numId="9" w16cid:durableId="862091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96D63"/>
    <w:rsid w:val="000D1F6A"/>
    <w:rsid w:val="001113B3"/>
    <w:rsid w:val="00142ACE"/>
    <w:rsid w:val="0015074B"/>
    <w:rsid w:val="00172E2B"/>
    <w:rsid w:val="00197D9A"/>
    <w:rsid w:val="001C2284"/>
    <w:rsid w:val="0029549D"/>
    <w:rsid w:val="0029639D"/>
    <w:rsid w:val="00326F90"/>
    <w:rsid w:val="003345CC"/>
    <w:rsid w:val="003468EB"/>
    <w:rsid w:val="00346DA0"/>
    <w:rsid w:val="003F0758"/>
    <w:rsid w:val="004F48FC"/>
    <w:rsid w:val="00525E10"/>
    <w:rsid w:val="005A7D25"/>
    <w:rsid w:val="005D7045"/>
    <w:rsid w:val="006D63B3"/>
    <w:rsid w:val="00787CD0"/>
    <w:rsid w:val="00853802"/>
    <w:rsid w:val="009720A6"/>
    <w:rsid w:val="00973C71"/>
    <w:rsid w:val="009A32B9"/>
    <w:rsid w:val="009E4E54"/>
    <w:rsid w:val="00AA1D8D"/>
    <w:rsid w:val="00B2234B"/>
    <w:rsid w:val="00B47730"/>
    <w:rsid w:val="00BB04E3"/>
    <w:rsid w:val="00BE386D"/>
    <w:rsid w:val="00C5313A"/>
    <w:rsid w:val="00C57CC4"/>
    <w:rsid w:val="00CB0664"/>
    <w:rsid w:val="00DB34A7"/>
    <w:rsid w:val="00E134A4"/>
    <w:rsid w:val="00EF716B"/>
    <w:rsid w:val="00FC693F"/>
    <w:rsid w:val="00FF1D25"/>
    <w:rsid w:val="00FF6DE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24062061"/>
  <w14:defaultImageDpi w14:val="300"/>
  <w15:docId w15:val="{795D5C38-D30F-4EAC-B7E7-3AA5C4CFF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787C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7</Pages>
  <Words>1356</Words>
  <Characters>9263</Characters>
  <Application>Microsoft Office Word</Application>
  <DocSecurity>0</DocSecurity>
  <Lines>192</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10562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mohammed imran</cp:lastModifiedBy>
  <cp:revision>32</cp:revision>
  <dcterms:created xsi:type="dcterms:W3CDTF">2013-12-23T23:15:00Z</dcterms:created>
  <dcterms:modified xsi:type="dcterms:W3CDTF">2025-11-20T22:34:00Z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2adfba04-0006-4fd6-b385-b73e695115e2</vt:lpwstr>
  </property>
</Properties>
</file>