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527507" w14:textId="77777777" w:rsidR="002A1785" w:rsidRDefault="002A1785" w:rsidP="002A1785">
      <w:pPr>
        <w:jc w:val="center"/>
        <w:rPr>
          <w:rFonts w:ascii="Times New Roman" w:hAnsi="Times New Roman" w:cs="Times New Roman"/>
          <w:b/>
          <w:bCs/>
          <w:i/>
          <w:iCs/>
          <w:sz w:val="48"/>
          <w:szCs w:val="48"/>
        </w:rPr>
      </w:pPr>
      <w:r>
        <w:rPr>
          <w:rFonts w:ascii="Times New Roman" w:hAnsi="Times New Roman" w:cs="Times New Roman"/>
          <w:b/>
          <w:bCs/>
          <w:i/>
          <w:iCs/>
          <w:sz w:val="48"/>
          <w:szCs w:val="48"/>
        </w:rPr>
        <w:t>UNIVERSITY OF WALES</w:t>
      </w:r>
    </w:p>
    <w:p w14:paraId="77608C52" w14:textId="77777777" w:rsidR="002A1785" w:rsidRDefault="002A1785" w:rsidP="002A1785">
      <w:pPr>
        <w:jc w:val="center"/>
        <w:rPr>
          <w:rFonts w:ascii="Times New Roman" w:hAnsi="Times New Roman" w:cs="Times New Roman"/>
          <w:b/>
          <w:bCs/>
          <w:i/>
          <w:iCs/>
          <w:sz w:val="48"/>
          <w:szCs w:val="48"/>
        </w:rPr>
      </w:pPr>
      <w:r>
        <w:rPr>
          <w:rFonts w:ascii="Times New Roman" w:hAnsi="Times New Roman" w:cs="Times New Roman"/>
          <w:b/>
          <w:bCs/>
          <w:i/>
          <w:iCs/>
          <w:sz w:val="48"/>
          <w:szCs w:val="48"/>
        </w:rPr>
        <w:t>TRINITY SAINT DAVID LONDON</w:t>
      </w:r>
    </w:p>
    <w:p w14:paraId="4DF40C84" w14:textId="77777777" w:rsidR="002A1785" w:rsidRDefault="002A1785" w:rsidP="002A1785">
      <w:pPr>
        <w:jc w:val="center"/>
        <w:rPr>
          <w:rFonts w:ascii="Times New Roman" w:hAnsi="Times New Roman" w:cs="Times New Roman"/>
          <w:b/>
          <w:bCs/>
          <w:i/>
          <w:iCs/>
          <w:sz w:val="48"/>
          <w:szCs w:val="48"/>
        </w:rPr>
      </w:pPr>
    </w:p>
    <w:p w14:paraId="2690FEFE" w14:textId="77777777" w:rsidR="002A1785" w:rsidRDefault="002A1785" w:rsidP="002A1785">
      <w:pPr>
        <w:jc w:val="center"/>
        <w:rPr>
          <w:rFonts w:ascii="Times New Roman" w:hAnsi="Times New Roman" w:cs="Times New Roman"/>
          <w:b/>
          <w:bCs/>
          <w:i/>
          <w:iCs/>
          <w:sz w:val="48"/>
          <w:szCs w:val="48"/>
        </w:rPr>
      </w:pPr>
    </w:p>
    <w:p w14:paraId="2393245A" w14:textId="77777777" w:rsidR="002A1785" w:rsidRDefault="002A1785" w:rsidP="002A1785">
      <w:pPr>
        <w:jc w:val="center"/>
        <w:rPr>
          <w:rFonts w:ascii="Times New Roman" w:hAnsi="Times New Roman" w:cs="Times New Roman"/>
          <w:b/>
          <w:bCs/>
          <w:i/>
          <w:iCs/>
          <w:sz w:val="48"/>
          <w:szCs w:val="48"/>
        </w:rPr>
      </w:pPr>
    </w:p>
    <w:p w14:paraId="5EE64E82" w14:textId="77777777" w:rsidR="002A1785" w:rsidRDefault="002A1785" w:rsidP="002A1785">
      <w:pPr>
        <w:jc w:val="center"/>
        <w:rPr>
          <w:rFonts w:ascii="Times New Roman" w:hAnsi="Times New Roman" w:cs="Times New Roman"/>
          <w:b/>
          <w:bCs/>
          <w:i/>
          <w:iCs/>
          <w:sz w:val="48"/>
          <w:szCs w:val="48"/>
        </w:rPr>
      </w:pPr>
    </w:p>
    <w:p w14:paraId="445ECBCF" w14:textId="77777777" w:rsidR="002A1785" w:rsidRDefault="002A1785" w:rsidP="002A1785">
      <w:pPr>
        <w:jc w:val="center"/>
        <w:rPr>
          <w:rFonts w:ascii="Times New Roman" w:hAnsi="Times New Roman" w:cs="Times New Roman"/>
          <w:b/>
          <w:bCs/>
          <w:sz w:val="48"/>
          <w:szCs w:val="48"/>
        </w:rPr>
      </w:pPr>
      <w:r>
        <w:rPr>
          <w:rFonts w:ascii="Times New Roman" w:hAnsi="Times New Roman" w:cs="Times New Roman"/>
          <w:b/>
          <w:bCs/>
          <w:sz w:val="48"/>
          <w:szCs w:val="48"/>
        </w:rPr>
        <w:t>Accounting Fundamentals</w:t>
      </w:r>
    </w:p>
    <w:p w14:paraId="03BDA456" w14:textId="0EA6FF4B" w:rsidR="002A1785" w:rsidRDefault="002A1785" w:rsidP="002A1785">
      <w:pPr>
        <w:jc w:val="center"/>
        <w:rPr>
          <w:rFonts w:ascii="Times New Roman" w:hAnsi="Times New Roman" w:cs="Times New Roman"/>
          <w:b/>
          <w:bCs/>
          <w:sz w:val="48"/>
          <w:szCs w:val="48"/>
        </w:rPr>
      </w:pPr>
      <w:r>
        <w:rPr>
          <w:rFonts w:ascii="Times New Roman" w:hAnsi="Times New Roman" w:cs="Times New Roman"/>
          <w:b/>
          <w:bCs/>
          <w:sz w:val="48"/>
          <w:szCs w:val="48"/>
        </w:rPr>
        <w:t>Assessment 2</w:t>
      </w:r>
    </w:p>
    <w:p w14:paraId="1D562C72" w14:textId="77777777" w:rsidR="002A1785" w:rsidRDefault="002A1785" w:rsidP="002A1785">
      <w:pPr>
        <w:jc w:val="center"/>
        <w:rPr>
          <w:rFonts w:ascii="Times New Roman" w:hAnsi="Times New Roman" w:cs="Times New Roman"/>
          <w:b/>
          <w:bCs/>
          <w:sz w:val="48"/>
          <w:szCs w:val="48"/>
        </w:rPr>
      </w:pPr>
      <w:r>
        <w:rPr>
          <w:rFonts w:ascii="Times New Roman" w:hAnsi="Times New Roman" w:cs="Times New Roman"/>
          <w:b/>
          <w:bCs/>
          <w:sz w:val="48"/>
          <w:szCs w:val="48"/>
        </w:rPr>
        <w:t>(LCBB4001)</w:t>
      </w:r>
    </w:p>
    <w:p w14:paraId="0DF3C38B" w14:textId="77777777" w:rsidR="002A1785" w:rsidRDefault="002A1785" w:rsidP="002A1785">
      <w:pPr>
        <w:jc w:val="center"/>
        <w:rPr>
          <w:rFonts w:ascii="Times New Roman" w:hAnsi="Times New Roman" w:cs="Times New Roman"/>
          <w:b/>
          <w:bCs/>
          <w:sz w:val="48"/>
          <w:szCs w:val="48"/>
        </w:rPr>
      </w:pPr>
    </w:p>
    <w:p w14:paraId="5BA172D4" w14:textId="77777777" w:rsidR="002A1785" w:rsidRDefault="002A1785" w:rsidP="002A1785">
      <w:pPr>
        <w:jc w:val="center"/>
        <w:rPr>
          <w:rFonts w:ascii="Times New Roman" w:hAnsi="Times New Roman" w:cs="Times New Roman"/>
          <w:b/>
          <w:bCs/>
          <w:sz w:val="48"/>
          <w:szCs w:val="48"/>
        </w:rPr>
      </w:pPr>
    </w:p>
    <w:p w14:paraId="5BBF05DB" w14:textId="77777777" w:rsidR="002A1785" w:rsidRDefault="002A1785" w:rsidP="002A1785">
      <w:pPr>
        <w:jc w:val="center"/>
        <w:rPr>
          <w:rFonts w:ascii="Times New Roman" w:hAnsi="Times New Roman" w:cs="Times New Roman"/>
          <w:b/>
          <w:bCs/>
          <w:sz w:val="48"/>
          <w:szCs w:val="48"/>
        </w:rPr>
      </w:pPr>
    </w:p>
    <w:p w14:paraId="4A509067" w14:textId="77777777" w:rsidR="002A1785" w:rsidRDefault="002A1785" w:rsidP="002A1785">
      <w:pPr>
        <w:jc w:val="center"/>
        <w:rPr>
          <w:rFonts w:ascii="Times New Roman" w:hAnsi="Times New Roman" w:cs="Times New Roman"/>
          <w:b/>
          <w:bCs/>
          <w:sz w:val="48"/>
          <w:szCs w:val="48"/>
        </w:rPr>
      </w:pPr>
    </w:p>
    <w:p w14:paraId="0FC0A433" w14:textId="77777777" w:rsidR="002A1785" w:rsidRDefault="002A1785" w:rsidP="002A1785">
      <w:pPr>
        <w:rPr>
          <w:rFonts w:ascii="Times New Roman" w:hAnsi="Times New Roman" w:cs="Times New Roman"/>
          <w:sz w:val="36"/>
          <w:szCs w:val="36"/>
        </w:rPr>
      </w:pPr>
      <w:r>
        <w:rPr>
          <w:rFonts w:ascii="Times New Roman" w:hAnsi="Times New Roman" w:cs="Times New Roman"/>
          <w:sz w:val="36"/>
          <w:szCs w:val="36"/>
        </w:rPr>
        <w:t xml:space="preserve">Submitted to:                                                        Submitted by: </w:t>
      </w:r>
    </w:p>
    <w:p w14:paraId="6C67F7C4" w14:textId="77777777" w:rsidR="002A1785" w:rsidRDefault="002A1785" w:rsidP="002A1785">
      <w:pPr>
        <w:rPr>
          <w:rFonts w:ascii="Times New Roman" w:hAnsi="Times New Roman" w:cs="Times New Roman"/>
          <w:sz w:val="36"/>
          <w:szCs w:val="36"/>
        </w:rPr>
      </w:pPr>
      <w:r>
        <w:rPr>
          <w:rFonts w:ascii="Times New Roman" w:hAnsi="Times New Roman" w:cs="Times New Roman"/>
          <w:sz w:val="36"/>
          <w:szCs w:val="36"/>
        </w:rPr>
        <w:t>Emad Elkhashen                                              Grigor Zarankov</w:t>
      </w:r>
    </w:p>
    <w:p w14:paraId="57ACADB2" w14:textId="19FAF63B" w:rsidR="003B5A30" w:rsidRDefault="002A1785" w:rsidP="002A1785">
      <w:pPr>
        <w:jc w:val="right"/>
        <w:rPr>
          <w:rFonts w:ascii="Times New Roman" w:hAnsi="Times New Roman" w:cs="Times New Roman"/>
          <w:sz w:val="36"/>
          <w:szCs w:val="36"/>
        </w:rPr>
      </w:pPr>
      <w:r>
        <w:rPr>
          <w:rFonts w:ascii="Times New Roman" w:hAnsi="Times New Roman" w:cs="Times New Roman"/>
          <w:sz w:val="36"/>
          <w:szCs w:val="36"/>
        </w:rPr>
        <w:t>1914055</w:t>
      </w:r>
    </w:p>
    <w:p w14:paraId="4BC4E23E" w14:textId="5B282FD3" w:rsidR="00632AB0" w:rsidRDefault="00632AB0">
      <w:pPr>
        <w:rPr>
          <w:rFonts w:ascii="Times New Roman" w:hAnsi="Times New Roman" w:cs="Times New Roman"/>
          <w:sz w:val="36"/>
          <w:szCs w:val="36"/>
        </w:rPr>
      </w:pPr>
      <w:r>
        <w:rPr>
          <w:rFonts w:ascii="Times New Roman" w:hAnsi="Times New Roman" w:cs="Times New Roman"/>
          <w:sz w:val="36"/>
          <w:szCs w:val="36"/>
        </w:rPr>
        <w:br w:type="page"/>
      </w:r>
    </w:p>
    <w:p w14:paraId="0B311838" w14:textId="77777777" w:rsidR="0051117A" w:rsidRPr="005E7CF8" w:rsidRDefault="0051117A" w:rsidP="0051117A">
      <w:pPr>
        <w:pStyle w:val="Default"/>
        <w:rPr>
          <w:rFonts w:ascii="Times New Roman" w:hAnsi="Times New Roman" w:cs="Times New Roman"/>
          <w:sz w:val="28"/>
          <w:szCs w:val="28"/>
        </w:rPr>
      </w:pPr>
      <w:r w:rsidRPr="005E7CF8">
        <w:rPr>
          <w:rFonts w:ascii="Times New Roman" w:hAnsi="Times New Roman" w:cs="Times New Roman"/>
          <w:sz w:val="28"/>
          <w:szCs w:val="28"/>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6320429F" w14:textId="7750C790" w:rsidR="0051117A" w:rsidRDefault="0051117A">
      <w:pPr>
        <w:rPr>
          <w:rFonts w:ascii="Times New Roman" w:hAnsi="Times New Roman" w:cs="Times New Roman"/>
          <w:sz w:val="28"/>
          <w:szCs w:val="28"/>
          <w:u w:val="thick"/>
        </w:rPr>
      </w:pPr>
      <w:r>
        <w:rPr>
          <w:rFonts w:ascii="Times New Roman" w:hAnsi="Times New Roman" w:cs="Times New Roman"/>
          <w:sz w:val="28"/>
          <w:szCs w:val="28"/>
          <w:u w:val="thick"/>
        </w:rPr>
        <w:br w:type="page"/>
      </w:r>
    </w:p>
    <w:p w14:paraId="753CF19D" w14:textId="42C6A263" w:rsidR="0051117A" w:rsidRPr="0051117A" w:rsidRDefault="0051117A" w:rsidP="0051117A">
      <w:pPr>
        <w:jc w:val="both"/>
        <w:rPr>
          <w:rFonts w:ascii="Times New Roman" w:hAnsi="Times New Roman" w:cs="Times New Roman"/>
          <w:sz w:val="28"/>
          <w:szCs w:val="28"/>
          <w:u w:val="single"/>
        </w:rPr>
      </w:pPr>
      <w:r>
        <w:rPr>
          <w:rFonts w:ascii="Times New Roman" w:hAnsi="Times New Roman" w:cs="Times New Roman"/>
          <w:sz w:val="28"/>
          <w:szCs w:val="28"/>
          <w:u w:val="single"/>
        </w:rPr>
        <w:lastRenderedPageBreak/>
        <w:t>Question 1:</w:t>
      </w:r>
    </w:p>
    <w:tbl>
      <w:tblPr>
        <w:tblStyle w:val="TableGrid"/>
        <w:tblW w:w="9390" w:type="dxa"/>
        <w:tblLook w:val="04A0" w:firstRow="1" w:lastRow="0" w:firstColumn="1" w:lastColumn="0" w:noHBand="0" w:noVBand="1"/>
      </w:tblPr>
      <w:tblGrid>
        <w:gridCol w:w="4695"/>
        <w:gridCol w:w="4695"/>
      </w:tblGrid>
      <w:tr w:rsidR="0051117A" w14:paraId="6FF96DEC" w14:textId="77777777" w:rsidTr="000063C9">
        <w:trPr>
          <w:trHeight w:val="546"/>
        </w:trPr>
        <w:tc>
          <w:tcPr>
            <w:tcW w:w="4695" w:type="dxa"/>
          </w:tcPr>
          <w:p w14:paraId="3E0E04E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Sales price</w:t>
            </w:r>
          </w:p>
        </w:tc>
        <w:tc>
          <w:tcPr>
            <w:tcW w:w="4695" w:type="dxa"/>
          </w:tcPr>
          <w:p w14:paraId="3ADDF47F"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5.75</w:t>
            </w:r>
          </w:p>
        </w:tc>
      </w:tr>
      <w:tr w:rsidR="0051117A" w14:paraId="79187843" w14:textId="77777777" w:rsidTr="000063C9">
        <w:trPr>
          <w:trHeight w:val="546"/>
        </w:trPr>
        <w:tc>
          <w:tcPr>
            <w:tcW w:w="4695" w:type="dxa"/>
          </w:tcPr>
          <w:p w14:paraId="4EFAE30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Variable costs</w:t>
            </w:r>
          </w:p>
        </w:tc>
        <w:tc>
          <w:tcPr>
            <w:tcW w:w="4695" w:type="dxa"/>
          </w:tcPr>
          <w:p w14:paraId="09E38957" w14:textId="77777777" w:rsidR="0051117A" w:rsidRPr="005E7CF8" w:rsidRDefault="0051117A" w:rsidP="000063C9">
            <w:pPr>
              <w:jc w:val="center"/>
              <w:rPr>
                <w:rFonts w:ascii="Times New Roman" w:hAnsi="Times New Roman" w:cs="Times New Roman"/>
                <w:sz w:val="24"/>
                <w:szCs w:val="24"/>
                <w:u w:val="single"/>
              </w:rPr>
            </w:pPr>
            <w:r>
              <w:rPr>
                <w:rFonts w:ascii="Times New Roman" w:hAnsi="Times New Roman" w:cs="Times New Roman"/>
                <w:sz w:val="24"/>
                <w:szCs w:val="24"/>
              </w:rPr>
              <w:t>(</w:t>
            </w:r>
            <w:r>
              <w:rPr>
                <w:rFonts w:ascii="Times New Roman" w:hAnsi="Times New Roman" w:cs="Times New Roman"/>
                <w:sz w:val="24"/>
                <w:szCs w:val="24"/>
                <w:u w:val="single"/>
              </w:rPr>
              <w:t>3.5)</w:t>
            </w:r>
          </w:p>
        </w:tc>
      </w:tr>
      <w:tr w:rsidR="0051117A" w14:paraId="5C8D0351" w14:textId="77777777" w:rsidTr="000063C9">
        <w:trPr>
          <w:trHeight w:val="546"/>
        </w:trPr>
        <w:tc>
          <w:tcPr>
            <w:tcW w:w="4695" w:type="dxa"/>
          </w:tcPr>
          <w:p w14:paraId="3ACAA23E"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Contribution</w:t>
            </w:r>
          </w:p>
        </w:tc>
        <w:tc>
          <w:tcPr>
            <w:tcW w:w="4695" w:type="dxa"/>
          </w:tcPr>
          <w:p w14:paraId="0ABF00C4" w14:textId="77777777" w:rsidR="0051117A" w:rsidRPr="005E7CF8" w:rsidRDefault="0051117A" w:rsidP="000063C9">
            <w:pPr>
              <w:jc w:val="center"/>
              <w:rPr>
                <w:rFonts w:ascii="Times New Roman" w:hAnsi="Times New Roman" w:cs="Times New Roman"/>
                <w:sz w:val="24"/>
                <w:szCs w:val="24"/>
                <w:u w:val="double"/>
              </w:rPr>
            </w:pPr>
            <w:r>
              <w:rPr>
                <w:rFonts w:ascii="Times New Roman" w:hAnsi="Times New Roman" w:cs="Times New Roman"/>
                <w:sz w:val="24"/>
                <w:szCs w:val="24"/>
                <w:u w:val="double"/>
              </w:rPr>
              <w:t>2.25</w:t>
            </w:r>
          </w:p>
        </w:tc>
      </w:tr>
    </w:tbl>
    <w:p w14:paraId="28C52965" w14:textId="77777777" w:rsidR="0051117A" w:rsidRDefault="0051117A" w:rsidP="0051117A">
      <w:pPr>
        <w:jc w:val="both"/>
        <w:rPr>
          <w:rFonts w:ascii="Times New Roman" w:hAnsi="Times New Roman" w:cs="Times New Roman"/>
          <w:sz w:val="24"/>
          <w:szCs w:val="24"/>
        </w:rPr>
      </w:pPr>
    </w:p>
    <w:p w14:paraId="2ED1E1E8"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Workings:</w:t>
      </w:r>
    </w:p>
    <w:p w14:paraId="44D44F6E"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Variable cost: 1.35+1.75+0.40 = 3.5</w:t>
      </w:r>
    </w:p>
    <w:p w14:paraId="1FF81A1C"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a)</w:t>
      </w:r>
    </w:p>
    <w:p w14:paraId="218F5B94" w14:textId="044FF828"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Break-even point in units:</w:t>
      </w:r>
      <w:r>
        <w:rPr>
          <w:rFonts w:ascii="Times New Roman" w:hAnsi="Times New Roman" w:cs="Times New Roman"/>
          <w:sz w:val="24"/>
          <w:szCs w:val="24"/>
        </w:rPr>
        <w:t xml:space="preserve"> </w:t>
      </w:r>
      <w:r>
        <w:rPr>
          <w:rFonts w:ascii="Times New Roman" w:hAnsi="Times New Roman" w:cs="Times New Roman"/>
          <w:sz w:val="24"/>
          <w:szCs w:val="24"/>
        </w:rPr>
        <w:t>180,000/2.25 = 80,000</w:t>
      </w:r>
    </w:p>
    <w:p w14:paraId="13B8EE72" w14:textId="77777777" w:rsidR="0051117A" w:rsidRDefault="0051117A" w:rsidP="0051117A">
      <w:pPr>
        <w:jc w:val="both"/>
        <w:rPr>
          <w:rFonts w:ascii="Times New Roman" w:hAnsi="Times New Roman" w:cs="Times New Roman"/>
          <w:sz w:val="24"/>
          <w:szCs w:val="24"/>
        </w:rPr>
      </w:pPr>
    </w:p>
    <w:p w14:paraId="38A04F4D"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Break-even point in revenue</w:t>
      </w:r>
    </w:p>
    <w:p w14:paraId="790F062D"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180,000/0.0025 = 72,000,000</w:t>
      </w:r>
    </w:p>
    <w:p w14:paraId="506CD7F2"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Workings:</w:t>
      </w:r>
    </w:p>
    <w:p w14:paraId="7AA53275"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2.25/90,000 x 100 = 0.0025</w:t>
      </w:r>
    </w:p>
    <w:p w14:paraId="2E8DA0A6"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b)</w:t>
      </w:r>
    </w:p>
    <w:tbl>
      <w:tblPr>
        <w:tblStyle w:val="TableGrid"/>
        <w:tblW w:w="9210" w:type="dxa"/>
        <w:tblLook w:val="04A0" w:firstRow="1" w:lastRow="0" w:firstColumn="1" w:lastColumn="0" w:noHBand="0" w:noVBand="1"/>
      </w:tblPr>
      <w:tblGrid>
        <w:gridCol w:w="4605"/>
        <w:gridCol w:w="4605"/>
      </w:tblGrid>
      <w:tr w:rsidR="0051117A" w14:paraId="7B73740C" w14:textId="77777777" w:rsidTr="000063C9">
        <w:trPr>
          <w:trHeight w:val="403"/>
        </w:trPr>
        <w:tc>
          <w:tcPr>
            <w:tcW w:w="4605" w:type="dxa"/>
          </w:tcPr>
          <w:p w14:paraId="0A58DABF"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Revenue (90,000x5.75)</w:t>
            </w:r>
          </w:p>
        </w:tc>
        <w:tc>
          <w:tcPr>
            <w:tcW w:w="4605" w:type="dxa"/>
          </w:tcPr>
          <w:p w14:paraId="0DCC8E15"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517,500</w:t>
            </w:r>
          </w:p>
        </w:tc>
      </w:tr>
      <w:tr w:rsidR="0051117A" w14:paraId="1F292C83" w14:textId="77777777" w:rsidTr="000063C9">
        <w:trPr>
          <w:trHeight w:val="403"/>
        </w:trPr>
        <w:tc>
          <w:tcPr>
            <w:tcW w:w="4605" w:type="dxa"/>
          </w:tcPr>
          <w:p w14:paraId="1737E7F3"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Variable costs (90,000 x 3.5)</w:t>
            </w:r>
          </w:p>
        </w:tc>
        <w:tc>
          <w:tcPr>
            <w:tcW w:w="4605" w:type="dxa"/>
          </w:tcPr>
          <w:p w14:paraId="56CA04DB" w14:textId="77777777" w:rsidR="0051117A" w:rsidRPr="005E7CF8" w:rsidRDefault="0051117A" w:rsidP="000063C9">
            <w:pPr>
              <w:jc w:val="center"/>
              <w:rPr>
                <w:rFonts w:ascii="Times New Roman" w:hAnsi="Times New Roman" w:cs="Times New Roman"/>
                <w:sz w:val="24"/>
                <w:szCs w:val="24"/>
                <w:u w:val="single"/>
              </w:rPr>
            </w:pPr>
            <w:r w:rsidRPr="005E7CF8">
              <w:rPr>
                <w:rFonts w:ascii="Times New Roman" w:hAnsi="Times New Roman" w:cs="Times New Roman"/>
                <w:sz w:val="24"/>
                <w:szCs w:val="24"/>
                <w:u w:val="single"/>
              </w:rPr>
              <w:t>315,000</w:t>
            </w:r>
          </w:p>
        </w:tc>
      </w:tr>
      <w:tr w:rsidR="0051117A" w14:paraId="7CBF5C13" w14:textId="77777777" w:rsidTr="000063C9">
        <w:trPr>
          <w:trHeight w:val="403"/>
        </w:trPr>
        <w:tc>
          <w:tcPr>
            <w:tcW w:w="4605" w:type="dxa"/>
          </w:tcPr>
          <w:p w14:paraId="099D6719"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Contribution</w:t>
            </w:r>
          </w:p>
        </w:tc>
        <w:tc>
          <w:tcPr>
            <w:tcW w:w="4605" w:type="dxa"/>
          </w:tcPr>
          <w:p w14:paraId="7688E4D3"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202,500</w:t>
            </w:r>
          </w:p>
        </w:tc>
      </w:tr>
      <w:tr w:rsidR="0051117A" w14:paraId="49D09DFF" w14:textId="77777777" w:rsidTr="000063C9">
        <w:trPr>
          <w:trHeight w:val="403"/>
        </w:trPr>
        <w:tc>
          <w:tcPr>
            <w:tcW w:w="4605" w:type="dxa"/>
          </w:tcPr>
          <w:p w14:paraId="543C349F"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Fixed costs</w:t>
            </w:r>
          </w:p>
        </w:tc>
        <w:tc>
          <w:tcPr>
            <w:tcW w:w="4605" w:type="dxa"/>
          </w:tcPr>
          <w:p w14:paraId="24BB8B02" w14:textId="77777777" w:rsidR="0051117A" w:rsidRPr="005E7CF8" w:rsidRDefault="0051117A" w:rsidP="000063C9">
            <w:pPr>
              <w:jc w:val="center"/>
              <w:rPr>
                <w:rFonts w:ascii="Times New Roman" w:hAnsi="Times New Roman" w:cs="Times New Roman"/>
                <w:sz w:val="24"/>
                <w:szCs w:val="24"/>
                <w:u w:val="single"/>
              </w:rPr>
            </w:pPr>
            <w:r w:rsidRPr="005E7CF8">
              <w:rPr>
                <w:rFonts w:ascii="Times New Roman" w:hAnsi="Times New Roman" w:cs="Times New Roman"/>
                <w:sz w:val="24"/>
                <w:szCs w:val="24"/>
                <w:u w:val="single"/>
              </w:rPr>
              <w:t>180,000</w:t>
            </w:r>
          </w:p>
        </w:tc>
      </w:tr>
      <w:tr w:rsidR="0051117A" w14:paraId="3E011AF4" w14:textId="77777777" w:rsidTr="000063C9">
        <w:trPr>
          <w:trHeight w:val="403"/>
        </w:trPr>
        <w:tc>
          <w:tcPr>
            <w:tcW w:w="4605" w:type="dxa"/>
          </w:tcPr>
          <w:p w14:paraId="634A2A68"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Operating profit/(loss)</w:t>
            </w:r>
          </w:p>
        </w:tc>
        <w:tc>
          <w:tcPr>
            <w:tcW w:w="4605" w:type="dxa"/>
          </w:tcPr>
          <w:p w14:paraId="2F49D1C4"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22,500</w:t>
            </w:r>
          </w:p>
        </w:tc>
      </w:tr>
    </w:tbl>
    <w:p w14:paraId="4B73D8CF" w14:textId="77777777" w:rsidR="0051117A" w:rsidRDefault="0051117A" w:rsidP="0051117A">
      <w:pPr>
        <w:jc w:val="both"/>
        <w:rPr>
          <w:rFonts w:ascii="Times New Roman" w:hAnsi="Times New Roman" w:cs="Times New Roman"/>
          <w:sz w:val="24"/>
          <w:szCs w:val="24"/>
        </w:rPr>
      </w:pPr>
    </w:p>
    <w:p w14:paraId="365152B1"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c)</w:t>
      </w:r>
    </w:p>
    <w:tbl>
      <w:tblPr>
        <w:tblStyle w:val="TableGrid"/>
        <w:tblW w:w="9256" w:type="dxa"/>
        <w:tblLook w:val="04A0" w:firstRow="1" w:lastRow="0" w:firstColumn="1" w:lastColumn="0" w:noHBand="0" w:noVBand="1"/>
      </w:tblPr>
      <w:tblGrid>
        <w:gridCol w:w="4628"/>
        <w:gridCol w:w="4628"/>
      </w:tblGrid>
      <w:tr w:rsidR="0051117A" w14:paraId="67B79308" w14:textId="77777777" w:rsidTr="000063C9">
        <w:trPr>
          <w:trHeight w:val="516"/>
        </w:trPr>
        <w:tc>
          <w:tcPr>
            <w:tcW w:w="4628" w:type="dxa"/>
          </w:tcPr>
          <w:p w14:paraId="68DE33CE"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Direct Labour</w:t>
            </w:r>
          </w:p>
        </w:tc>
        <w:tc>
          <w:tcPr>
            <w:tcW w:w="4628" w:type="dxa"/>
          </w:tcPr>
          <w:p w14:paraId="2F76481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1.35+0.05 = 1.40</w:t>
            </w:r>
          </w:p>
        </w:tc>
      </w:tr>
      <w:tr w:rsidR="0051117A" w14:paraId="5DFB1F43" w14:textId="77777777" w:rsidTr="000063C9">
        <w:trPr>
          <w:trHeight w:val="516"/>
        </w:trPr>
        <w:tc>
          <w:tcPr>
            <w:tcW w:w="4628" w:type="dxa"/>
          </w:tcPr>
          <w:p w14:paraId="08909877"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Direct Materials</w:t>
            </w:r>
          </w:p>
        </w:tc>
        <w:tc>
          <w:tcPr>
            <w:tcW w:w="4628" w:type="dxa"/>
          </w:tcPr>
          <w:p w14:paraId="2E35B8B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1.75+0.15 = 1.90</w:t>
            </w:r>
          </w:p>
        </w:tc>
      </w:tr>
      <w:tr w:rsidR="0051117A" w14:paraId="1EA570FD" w14:textId="77777777" w:rsidTr="000063C9">
        <w:trPr>
          <w:trHeight w:val="516"/>
        </w:trPr>
        <w:tc>
          <w:tcPr>
            <w:tcW w:w="4628" w:type="dxa"/>
          </w:tcPr>
          <w:p w14:paraId="05EB39B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Other Direct costs</w:t>
            </w:r>
          </w:p>
        </w:tc>
        <w:tc>
          <w:tcPr>
            <w:tcW w:w="4628" w:type="dxa"/>
          </w:tcPr>
          <w:p w14:paraId="2C10E17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0.40</w:t>
            </w:r>
          </w:p>
        </w:tc>
      </w:tr>
    </w:tbl>
    <w:p w14:paraId="4BEC5195" w14:textId="77777777" w:rsidR="0051117A" w:rsidRDefault="0051117A" w:rsidP="0051117A">
      <w:pPr>
        <w:jc w:val="center"/>
        <w:rPr>
          <w:rFonts w:ascii="Times New Roman" w:hAnsi="Times New Roman" w:cs="Times New Roman"/>
          <w:sz w:val="24"/>
          <w:szCs w:val="24"/>
        </w:rPr>
      </w:pPr>
    </w:p>
    <w:p w14:paraId="44029965"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90,000 x 5% = 4,500</w:t>
      </w:r>
    </w:p>
    <w:p w14:paraId="32C3907C"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90,000 + 4,500 = 94,500 units (Sales)</w:t>
      </w:r>
    </w:p>
    <w:p w14:paraId="29DDFAA7"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 xml:space="preserve">Selling price: </w:t>
      </w:r>
    </w:p>
    <w:p w14:paraId="138AA1E4" w14:textId="0AEFBACD"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5.75+0.25 = £6</w:t>
      </w:r>
    </w:p>
    <w:p w14:paraId="5CD0247A"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Variable cost: </w:t>
      </w:r>
    </w:p>
    <w:p w14:paraId="48716E30" w14:textId="3814406D"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1.40+1.90+0.40 = 3.70</w:t>
      </w:r>
    </w:p>
    <w:p w14:paraId="7BF862D8" w14:textId="77777777" w:rsidR="0051117A" w:rsidRDefault="0051117A" w:rsidP="0051117A">
      <w:pPr>
        <w:jc w:val="both"/>
        <w:rPr>
          <w:rFonts w:ascii="Times New Roman" w:hAnsi="Times New Roman" w:cs="Times New Roman"/>
          <w:sz w:val="24"/>
          <w:szCs w:val="24"/>
        </w:rPr>
      </w:pPr>
    </w:p>
    <w:tbl>
      <w:tblPr>
        <w:tblStyle w:val="TableGrid"/>
        <w:tblW w:w="9346" w:type="dxa"/>
        <w:tblLook w:val="04A0" w:firstRow="1" w:lastRow="0" w:firstColumn="1" w:lastColumn="0" w:noHBand="0" w:noVBand="1"/>
      </w:tblPr>
      <w:tblGrid>
        <w:gridCol w:w="4673"/>
        <w:gridCol w:w="4673"/>
      </w:tblGrid>
      <w:tr w:rsidR="0051117A" w14:paraId="7821E738" w14:textId="77777777" w:rsidTr="000063C9">
        <w:trPr>
          <w:trHeight w:val="474"/>
        </w:trPr>
        <w:tc>
          <w:tcPr>
            <w:tcW w:w="4673" w:type="dxa"/>
          </w:tcPr>
          <w:p w14:paraId="429CF06B"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Revenue (94,500x6)</w:t>
            </w:r>
          </w:p>
        </w:tc>
        <w:tc>
          <w:tcPr>
            <w:tcW w:w="4673" w:type="dxa"/>
          </w:tcPr>
          <w:p w14:paraId="19C00F9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567,000</w:t>
            </w:r>
          </w:p>
        </w:tc>
      </w:tr>
      <w:tr w:rsidR="0051117A" w14:paraId="190A59A9" w14:textId="77777777" w:rsidTr="000063C9">
        <w:trPr>
          <w:trHeight w:val="474"/>
        </w:trPr>
        <w:tc>
          <w:tcPr>
            <w:tcW w:w="4673" w:type="dxa"/>
          </w:tcPr>
          <w:p w14:paraId="47B03C5D"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Variable costs (94,500x3.70)</w:t>
            </w:r>
          </w:p>
        </w:tc>
        <w:tc>
          <w:tcPr>
            <w:tcW w:w="4673" w:type="dxa"/>
          </w:tcPr>
          <w:p w14:paraId="4F08A0B7" w14:textId="77777777" w:rsidR="0051117A" w:rsidRPr="00526AF1" w:rsidRDefault="0051117A" w:rsidP="000063C9">
            <w:pPr>
              <w:jc w:val="center"/>
              <w:rPr>
                <w:rFonts w:ascii="Times New Roman" w:hAnsi="Times New Roman" w:cs="Times New Roman"/>
                <w:sz w:val="24"/>
                <w:szCs w:val="24"/>
                <w:u w:val="single"/>
              </w:rPr>
            </w:pPr>
            <w:r w:rsidRPr="00526AF1">
              <w:rPr>
                <w:rFonts w:ascii="Times New Roman" w:hAnsi="Times New Roman" w:cs="Times New Roman"/>
                <w:sz w:val="24"/>
                <w:szCs w:val="24"/>
                <w:u w:val="single"/>
              </w:rPr>
              <w:t>349,650</w:t>
            </w:r>
          </w:p>
        </w:tc>
      </w:tr>
      <w:tr w:rsidR="0051117A" w14:paraId="738658EE" w14:textId="77777777" w:rsidTr="000063C9">
        <w:trPr>
          <w:trHeight w:val="474"/>
        </w:trPr>
        <w:tc>
          <w:tcPr>
            <w:tcW w:w="4673" w:type="dxa"/>
          </w:tcPr>
          <w:p w14:paraId="3D1E5F5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Contribution</w:t>
            </w:r>
          </w:p>
        </w:tc>
        <w:tc>
          <w:tcPr>
            <w:tcW w:w="4673" w:type="dxa"/>
          </w:tcPr>
          <w:p w14:paraId="513B85BC"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217,350</w:t>
            </w:r>
          </w:p>
        </w:tc>
      </w:tr>
      <w:tr w:rsidR="0051117A" w14:paraId="50E68BE4" w14:textId="77777777" w:rsidTr="000063C9">
        <w:trPr>
          <w:trHeight w:val="474"/>
        </w:trPr>
        <w:tc>
          <w:tcPr>
            <w:tcW w:w="4673" w:type="dxa"/>
          </w:tcPr>
          <w:p w14:paraId="040EA849"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Fixed costs</w:t>
            </w:r>
          </w:p>
        </w:tc>
        <w:tc>
          <w:tcPr>
            <w:tcW w:w="4673" w:type="dxa"/>
          </w:tcPr>
          <w:p w14:paraId="415ABBE1" w14:textId="77777777" w:rsidR="0051117A" w:rsidRPr="00526AF1" w:rsidRDefault="0051117A" w:rsidP="000063C9">
            <w:pPr>
              <w:jc w:val="center"/>
              <w:rPr>
                <w:rFonts w:ascii="Times New Roman" w:hAnsi="Times New Roman" w:cs="Times New Roman"/>
                <w:sz w:val="24"/>
                <w:szCs w:val="24"/>
                <w:u w:val="single"/>
              </w:rPr>
            </w:pPr>
            <w:r w:rsidRPr="00526AF1">
              <w:rPr>
                <w:rFonts w:ascii="Times New Roman" w:hAnsi="Times New Roman" w:cs="Times New Roman"/>
                <w:sz w:val="24"/>
                <w:szCs w:val="24"/>
                <w:u w:val="single"/>
              </w:rPr>
              <w:t>192,500</w:t>
            </w:r>
          </w:p>
        </w:tc>
      </w:tr>
      <w:tr w:rsidR="0051117A" w14:paraId="5B20AD1B" w14:textId="77777777" w:rsidTr="000063C9">
        <w:trPr>
          <w:trHeight w:val="474"/>
        </w:trPr>
        <w:tc>
          <w:tcPr>
            <w:tcW w:w="4673" w:type="dxa"/>
          </w:tcPr>
          <w:p w14:paraId="37918BE9"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Operating profit/(loss)</w:t>
            </w:r>
          </w:p>
        </w:tc>
        <w:tc>
          <w:tcPr>
            <w:tcW w:w="4673" w:type="dxa"/>
          </w:tcPr>
          <w:p w14:paraId="65B13A91" w14:textId="77777777" w:rsidR="0051117A" w:rsidRDefault="0051117A" w:rsidP="000063C9">
            <w:pPr>
              <w:jc w:val="center"/>
              <w:rPr>
                <w:rFonts w:ascii="Times New Roman" w:hAnsi="Times New Roman" w:cs="Times New Roman"/>
                <w:sz w:val="24"/>
                <w:szCs w:val="24"/>
              </w:rPr>
            </w:pPr>
            <w:r>
              <w:rPr>
                <w:rFonts w:ascii="Times New Roman" w:hAnsi="Times New Roman" w:cs="Times New Roman"/>
                <w:sz w:val="24"/>
                <w:szCs w:val="24"/>
              </w:rPr>
              <w:t>24,850</w:t>
            </w:r>
          </w:p>
        </w:tc>
      </w:tr>
    </w:tbl>
    <w:p w14:paraId="0F9DDC3F" w14:textId="77777777" w:rsidR="0051117A" w:rsidRDefault="0051117A" w:rsidP="0051117A">
      <w:pPr>
        <w:jc w:val="center"/>
        <w:rPr>
          <w:rFonts w:ascii="Times New Roman" w:hAnsi="Times New Roman" w:cs="Times New Roman"/>
          <w:sz w:val="24"/>
          <w:szCs w:val="24"/>
        </w:rPr>
      </w:pPr>
    </w:p>
    <w:p w14:paraId="361724E5"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Workings:</w:t>
      </w:r>
    </w:p>
    <w:p w14:paraId="0C843E55" w14:textId="7777777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 xml:space="preserve">Fixed costs: </w:t>
      </w:r>
    </w:p>
    <w:p w14:paraId="30EF2E06" w14:textId="02F50317" w:rsidR="0051117A" w:rsidRDefault="0051117A" w:rsidP="0051117A">
      <w:pPr>
        <w:jc w:val="both"/>
        <w:rPr>
          <w:rFonts w:ascii="Times New Roman" w:hAnsi="Times New Roman" w:cs="Times New Roman"/>
          <w:sz w:val="24"/>
          <w:szCs w:val="24"/>
        </w:rPr>
      </w:pPr>
      <w:r>
        <w:rPr>
          <w:rFonts w:ascii="Times New Roman" w:hAnsi="Times New Roman" w:cs="Times New Roman"/>
          <w:sz w:val="24"/>
          <w:szCs w:val="24"/>
        </w:rPr>
        <w:t>180,000+12,500 = 192,500</w:t>
      </w:r>
    </w:p>
    <w:p w14:paraId="73FCEDEB" w14:textId="77777777" w:rsidR="0051117A" w:rsidRDefault="0051117A" w:rsidP="00632AB0">
      <w:pPr>
        <w:jc w:val="both"/>
        <w:rPr>
          <w:rFonts w:ascii="Times New Roman" w:hAnsi="Times New Roman" w:cs="Times New Roman"/>
          <w:sz w:val="24"/>
          <w:szCs w:val="24"/>
        </w:rPr>
      </w:pPr>
      <w:r>
        <w:rPr>
          <w:rFonts w:ascii="Times New Roman" w:hAnsi="Times New Roman" w:cs="Times New Roman"/>
          <w:sz w:val="24"/>
          <w:szCs w:val="24"/>
        </w:rPr>
        <w:t xml:space="preserve">Contribution: </w:t>
      </w:r>
    </w:p>
    <w:p w14:paraId="2784C051" w14:textId="4940341A" w:rsidR="0051117A" w:rsidRDefault="0051117A" w:rsidP="00632AB0">
      <w:pPr>
        <w:jc w:val="both"/>
        <w:rPr>
          <w:rFonts w:ascii="Times New Roman" w:hAnsi="Times New Roman" w:cs="Times New Roman"/>
          <w:sz w:val="24"/>
          <w:szCs w:val="24"/>
        </w:rPr>
      </w:pPr>
      <w:r>
        <w:rPr>
          <w:rFonts w:ascii="Times New Roman" w:hAnsi="Times New Roman" w:cs="Times New Roman"/>
          <w:sz w:val="24"/>
          <w:szCs w:val="24"/>
        </w:rPr>
        <w:t>6 – (1.90+1.40+0.40) = 6 – 3.7 = 2.3</w:t>
      </w:r>
    </w:p>
    <w:p w14:paraId="196437D8" w14:textId="77777777" w:rsidR="0051117A" w:rsidRDefault="0051117A" w:rsidP="00632AB0">
      <w:pPr>
        <w:jc w:val="both"/>
        <w:rPr>
          <w:rFonts w:ascii="Times New Roman" w:hAnsi="Times New Roman" w:cs="Times New Roman"/>
          <w:sz w:val="24"/>
          <w:szCs w:val="24"/>
        </w:rPr>
      </w:pPr>
    </w:p>
    <w:p w14:paraId="3F1B9A4B" w14:textId="2A8A5ED1" w:rsidR="0051117A" w:rsidRPr="0051117A" w:rsidRDefault="0051117A" w:rsidP="00632AB0">
      <w:pPr>
        <w:jc w:val="both"/>
        <w:rPr>
          <w:rFonts w:ascii="Times New Roman" w:hAnsi="Times New Roman" w:cs="Times New Roman"/>
          <w:sz w:val="24"/>
          <w:szCs w:val="24"/>
        </w:rPr>
      </w:pPr>
      <w:r w:rsidRPr="0051117A">
        <w:rPr>
          <w:rFonts w:ascii="Times New Roman" w:hAnsi="Times New Roman" w:cs="Times New Roman"/>
          <w:sz w:val="24"/>
          <w:szCs w:val="24"/>
        </w:rPr>
        <w:t>d)</w:t>
      </w:r>
    </w:p>
    <w:p w14:paraId="0ED20805" w14:textId="3B687E6F" w:rsidR="0051117A" w:rsidRDefault="0051117A" w:rsidP="00632AB0">
      <w:pPr>
        <w:jc w:val="both"/>
        <w:rPr>
          <w:rFonts w:ascii="Times New Roman" w:hAnsi="Times New Roman" w:cs="Times New Roman"/>
          <w:sz w:val="24"/>
          <w:szCs w:val="24"/>
          <w:lang w:val="en-US"/>
        </w:rPr>
      </w:pPr>
      <w:r w:rsidRPr="0051117A">
        <w:rPr>
          <w:rFonts w:ascii="Times New Roman" w:hAnsi="Times New Roman" w:cs="Times New Roman"/>
          <w:sz w:val="24"/>
          <w:szCs w:val="24"/>
          <w:lang w:val="en-US"/>
        </w:rPr>
        <w:t xml:space="preserve">There are many limitations of breakeven analysis. The first is that there are unrealistic assumptions been made as the products are not sold at the same price if the output level is differentiating. Sales are unlikely as the output as there is always going to be something which gets lost or destroyed in the process </w:t>
      </w:r>
      <w:r w:rsidRPr="0051117A">
        <w:rPr>
          <w:rFonts w:ascii="Times New Roman" w:hAnsi="Times New Roman" w:cs="Times New Roman"/>
          <w:sz w:val="24"/>
          <w:szCs w:val="24"/>
        </w:rPr>
        <w:t>(Garrison et al., 2009)</w:t>
      </w:r>
      <w:r w:rsidRPr="0051117A">
        <w:rPr>
          <w:rFonts w:ascii="Times New Roman" w:hAnsi="Times New Roman" w:cs="Times New Roman"/>
          <w:sz w:val="24"/>
          <w:szCs w:val="24"/>
          <w:lang w:val="en-US"/>
        </w:rPr>
        <w:t xml:space="preserve">. Variable costs vary by time and they do not remain the same with time. As we know that most businesses usually do not sell just one product this is why it is hard to get the breakeven for more than one </w:t>
      </w:r>
      <w:r w:rsidRPr="0051117A">
        <w:rPr>
          <w:rFonts w:ascii="Times New Roman" w:hAnsi="Times New Roman" w:cs="Times New Roman"/>
          <w:sz w:val="24"/>
          <w:szCs w:val="24"/>
          <w:lang w:val="en-US"/>
        </w:rPr>
        <w:t>product</w:t>
      </w:r>
      <w:r w:rsidRPr="0051117A">
        <w:rPr>
          <w:rFonts w:ascii="Times New Roman" w:hAnsi="Times New Roman" w:cs="Times New Roman"/>
          <w:sz w:val="24"/>
          <w:szCs w:val="24"/>
          <w:lang w:val="en-US"/>
        </w:rPr>
        <w:t>. This is why it should be considered a planning tool rather than a decision making one.</w:t>
      </w:r>
    </w:p>
    <w:p w14:paraId="32C74C94" w14:textId="77777777" w:rsidR="0051117A" w:rsidRDefault="0051117A" w:rsidP="00632AB0">
      <w:pPr>
        <w:jc w:val="both"/>
        <w:rPr>
          <w:rFonts w:ascii="Times New Roman" w:hAnsi="Times New Roman" w:cs="Times New Roman"/>
          <w:sz w:val="24"/>
          <w:szCs w:val="24"/>
          <w:lang w:val="en-US"/>
        </w:rPr>
      </w:pPr>
    </w:p>
    <w:p w14:paraId="0C841A2A" w14:textId="764D8571" w:rsidR="0051117A" w:rsidRDefault="0051117A" w:rsidP="00632AB0">
      <w:pPr>
        <w:jc w:val="both"/>
        <w:rPr>
          <w:rFonts w:ascii="Times New Roman" w:hAnsi="Times New Roman" w:cs="Times New Roman"/>
          <w:sz w:val="24"/>
          <w:szCs w:val="24"/>
          <w:u w:val="single"/>
          <w:lang w:val="en-US"/>
        </w:rPr>
      </w:pPr>
      <w:r w:rsidRPr="0051117A">
        <w:rPr>
          <w:rFonts w:ascii="Times New Roman" w:hAnsi="Times New Roman" w:cs="Times New Roman"/>
          <w:sz w:val="28"/>
          <w:szCs w:val="28"/>
          <w:u w:val="single"/>
          <w:lang w:val="en-US"/>
        </w:rPr>
        <w:t>Question 2</w:t>
      </w:r>
      <w:r>
        <w:rPr>
          <w:rFonts w:ascii="Times New Roman" w:hAnsi="Times New Roman" w:cs="Times New Roman"/>
          <w:sz w:val="24"/>
          <w:szCs w:val="24"/>
          <w:u w:val="single"/>
          <w:lang w:val="en-US"/>
        </w:rPr>
        <w:t>:</w:t>
      </w:r>
    </w:p>
    <w:p w14:paraId="170524FB" w14:textId="3320F3D1" w:rsidR="0051117A" w:rsidRDefault="0051117A" w:rsidP="00632AB0">
      <w:pPr>
        <w:jc w:val="both"/>
        <w:rPr>
          <w:rFonts w:ascii="Times New Roman" w:hAnsi="Times New Roman" w:cs="Times New Roman"/>
          <w:sz w:val="24"/>
          <w:szCs w:val="24"/>
          <w:lang w:val="en-US"/>
        </w:rPr>
      </w:pPr>
      <w:r>
        <w:rPr>
          <w:rFonts w:ascii="Times New Roman" w:hAnsi="Times New Roman" w:cs="Times New Roman"/>
          <w:sz w:val="24"/>
          <w:szCs w:val="24"/>
          <w:lang w:val="en-US"/>
        </w:rPr>
        <w:t>a)</w:t>
      </w:r>
    </w:p>
    <w:p w14:paraId="4E3996BC" w14:textId="3C0E1AEA" w:rsidR="0051117A" w:rsidRDefault="0051117A" w:rsidP="0051117A">
      <w:pPr>
        <w:spacing w:line="360" w:lineRule="auto"/>
        <w:jc w:val="both"/>
        <w:rPr>
          <w:lang w:val="en-US"/>
        </w:rPr>
      </w:pPr>
      <w:r>
        <w:rPr>
          <w:lang w:val="en-US"/>
        </w:rPr>
        <w:t xml:space="preserve">Management accounting plays a vital role in the financial growth of any business. It helps in analyzing the results with comparative to the busted results </w:t>
      </w:r>
      <w:r>
        <w:rPr>
          <w:rFonts w:cs="Times New Roman"/>
          <w:bCs/>
          <w:szCs w:val="24"/>
        </w:rPr>
        <w:t>(</w:t>
      </w:r>
      <w:r w:rsidRPr="00FE44AE">
        <w:rPr>
          <w:rFonts w:cs="Times New Roman"/>
          <w:bCs/>
          <w:szCs w:val="24"/>
        </w:rPr>
        <w:t>Horngren</w:t>
      </w:r>
      <w:r>
        <w:rPr>
          <w:rFonts w:cs="Times New Roman"/>
          <w:bCs/>
          <w:szCs w:val="24"/>
        </w:rPr>
        <w:t xml:space="preserve"> et al.</w:t>
      </w:r>
      <w:r w:rsidRPr="00FE44AE">
        <w:rPr>
          <w:rFonts w:cs="Times New Roman"/>
          <w:bCs/>
          <w:szCs w:val="24"/>
        </w:rPr>
        <w:t>, 2013)</w:t>
      </w:r>
      <w:r>
        <w:rPr>
          <w:lang w:val="en-US"/>
        </w:rPr>
        <w:t xml:space="preserve">. Budgeting is the process which helps the business to project for the expenses and cash inflows and cash outflows of the business for a specific time period. It also helps in the </w:t>
      </w:r>
      <w:r>
        <w:rPr>
          <w:lang w:val="en-US"/>
        </w:rPr>
        <w:t>decision-making</w:t>
      </w:r>
      <w:r>
        <w:rPr>
          <w:lang w:val="en-US"/>
        </w:rPr>
        <w:t xml:space="preserve"> process for a specific project. </w:t>
      </w:r>
    </w:p>
    <w:p w14:paraId="1236752A" w14:textId="042B5B6D" w:rsidR="0051117A" w:rsidRDefault="0051117A" w:rsidP="0051117A">
      <w:pPr>
        <w:spacing w:line="360" w:lineRule="auto"/>
        <w:jc w:val="both"/>
        <w:rPr>
          <w:lang w:val="en-US"/>
        </w:rPr>
      </w:pPr>
      <w:r>
        <w:rPr>
          <w:lang w:val="en-US"/>
        </w:rPr>
        <w:t xml:space="preserve">Financial accounting is necessary as per the law for any business but management accounting plays an important role in the profitability of a business and helps to analyses the performance of a business </w:t>
      </w:r>
      <w:r>
        <w:rPr>
          <w:lang w:val="en-US"/>
        </w:rPr>
        <w:lastRenderedPageBreak/>
        <w:t xml:space="preserve">over period of time </w:t>
      </w:r>
      <w:r>
        <w:rPr>
          <w:rFonts w:cs="Times New Roman"/>
          <w:bCs/>
          <w:szCs w:val="24"/>
        </w:rPr>
        <w:t>(</w:t>
      </w:r>
      <w:r w:rsidRPr="00FE44AE">
        <w:rPr>
          <w:rFonts w:cs="Times New Roman"/>
          <w:bCs/>
          <w:szCs w:val="24"/>
        </w:rPr>
        <w:t>Larry and Christopher, 2009)</w:t>
      </w:r>
      <w:r>
        <w:rPr>
          <w:lang w:val="en-US"/>
        </w:rPr>
        <w:t>. Finally, it could be stated the both, financial accounting and management accounting are necessary for the management of a business.</w:t>
      </w:r>
    </w:p>
    <w:p w14:paraId="0E5F24F7" w14:textId="5BC66EEC" w:rsidR="0051117A" w:rsidRDefault="0051117A" w:rsidP="0051117A">
      <w:pPr>
        <w:spacing w:line="360" w:lineRule="auto"/>
        <w:jc w:val="both"/>
        <w:rPr>
          <w:lang w:val="en-US"/>
        </w:rPr>
      </w:pPr>
      <w:r>
        <w:rPr>
          <w:lang w:val="en-US"/>
        </w:rPr>
        <w:t>b)</w:t>
      </w:r>
    </w:p>
    <w:p w14:paraId="69D40A1B" w14:textId="77777777" w:rsidR="0051117A" w:rsidRDefault="0051117A" w:rsidP="0051117A">
      <w:pPr>
        <w:spacing w:line="360" w:lineRule="auto"/>
        <w:jc w:val="both"/>
        <w:rPr>
          <w:lang w:val="en-US"/>
        </w:rPr>
      </w:pPr>
      <w:r>
        <w:rPr>
          <w:lang w:val="en-US"/>
        </w:rPr>
        <w:t xml:space="preserve">There are several techniques which could be followed by the management accountants to achieve the respective objectives for the business. Variance analysis is one of the major techniques to analyze the difference among actual and budgeted results which could help the business to take steps for improvements in future </w:t>
      </w:r>
      <w:r>
        <w:rPr>
          <w:rFonts w:cs="Times New Roman"/>
          <w:bCs/>
          <w:szCs w:val="24"/>
        </w:rPr>
        <w:t>(</w:t>
      </w:r>
      <w:r w:rsidRPr="00FE44AE">
        <w:rPr>
          <w:rFonts w:cs="Times New Roman"/>
          <w:bCs/>
          <w:szCs w:val="24"/>
        </w:rPr>
        <w:t>Lucey, 2003)</w:t>
      </w:r>
      <w:r>
        <w:rPr>
          <w:lang w:val="en-US"/>
        </w:rPr>
        <w:t xml:space="preserve">. </w:t>
      </w:r>
    </w:p>
    <w:p w14:paraId="669A2E8C" w14:textId="1BC56399" w:rsidR="0051117A" w:rsidRDefault="0051117A" w:rsidP="0051117A">
      <w:pPr>
        <w:spacing w:line="360" w:lineRule="auto"/>
        <w:jc w:val="both"/>
        <w:rPr>
          <w:lang w:val="en-US"/>
        </w:rPr>
      </w:pPr>
      <w:r>
        <w:rPr>
          <w:lang w:val="en-US"/>
        </w:rPr>
        <w:t xml:space="preserve">Second major technique which could be used by the management accountant is capital budgeting. Capital budgeting always plays a vital role in analyzing a specific project and to make decision for it. Inventory valuation is also a major technique for the management accountants for the valuation of stock and makes decisions accordingly </w:t>
      </w:r>
      <w:r>
        <w:rPr>
          <w:rFonts w:cs="Times New Roman"/>
          <w:bCs/>
          <w:szCs w:val="24"/>
        </w:rPr>
        <w:t>(</w:t>
      </w:r>
      <w:r w:rsidRPr="00FE44AE">
        <w:rPr>
          <w:rFonts w:cs="Times New Roman"/>
          <w:bCs/>
          <w:szCs w:val="24"/>
        </w:rPr>
        <w:t>Larry and Christopher, 2009)</w:t>
      </w:r>
      <w:r>
        <w:rPr>
          <w:lang w:val="en-US"/>
        </w:rPr>
        <w:t xml:space="preserve">. It also assists in financial management of the business. </w:t>
      </w:r>
      <w:r>
        <w:rPr>
          <w:lang w:val="en-US"/>
        </w:rPr>
        <w:t>Finally,</w:t>
      </w:r>
      <w:r>
        <w:rPr>
          <w:lang w:val="en-US"/>
        </w:rPr>
        <w:t xml:space="preserve"> it could be stated the management accounting is playing a major role for the growth and sustainability of a business. </w:t>
      </w:r>
    </w:p>
    <w:p w14:paraId="7E8A9D4D" w14:textId="26C18012" w:rsidR="0051117A" w:rsidRDefault="0051117A">
      <w:pPr>
        <w:rPr>
          <w:lang w:val="en-US"/>
        </w:rPr>
      </w:pPr>
      <w:r>
        <w:rPr>
          <w:lang w:val="en-US"/>
        </w:rPr>
        <w:br w:type="page"/>
      </w:r>
    </w:p>
    <w:p w14:paraId="0977C3B5" w14:textId="6648D396" w:rsidR="0051117A" w:rsidRPr="0051117A" w:rsidRDefault="0051117A" w:rsidP="0051117A">
      <w:pPr>
        <w:spacing w:line="360" w:lineRule="auto"/>
        <w:jc w:val="both"/>
        <w:rPr>
          <w:rFonts w:ascii="Times New Roman" w:hAnsi="Times New Roman" w:cs="Times New Roman"/>
          <w:sz w:val="24"/>
          <w:szCs w:val="24"/>
          <w:lang w:val="en-US"/>
        </w:rPr>
      </w:pPr>
      <w:r w:rsidRPr="0051117A">
        <w:rPr>
          <w:rFonts w:ascii="Times New Roman" w:hAnsi="Times New Roman" w:cs="Times New Roman"/>
          <w:sz w:val="24"/>
          <w:szCs w:val="24"/>
          <w:lang w:val="en-US"/>
        </w:rPr>
        <w:lastRenderedPageBreak/>
        <w:t>References:</w:t>
      </w:r>
    </w:p>
    <w:p w14:paraId="4AF46DE9" w14:textId="24B4157B" w:rsidR="0051117A" w:rsidRDefault="0051117A" w:rsidP="00632AB0">
      <w:pPr>
        <w:jc w:val="both"/>
        <w:rPr>
          <w:rFonts w:ascii="Times New Roman" w:hAnsi="Times New Roman" w:cs="Times New Roman"/>
          <w:sz w:val="24"/>
          <w:szCs w:val="24"/>
        </w:rPr>
      </w:pPr>
      <w:r>
        <w:rPr>
          <w:rFonts w:ascii="Times New Roman" w:hAnsi="Times New Roman" w:cs="Times New Roman"/>
          <w:sz w:val="24"/>
          <w:szCs w:val="24"/>
        </w:rPr>
        <w:t xml:space="preserve">Garrison, R., Noreen, E., and Brewer, P. (2009) </w:t>
      </w:r>
      <w:r>
        <w:rPr>
          <w:rFonts w:ascii="Times New Roman" w:hAnsi="Times New Roman" w:cs="Times New Roman"/>
          <w:i/>
          <w:iCs/>
          <w:sz w:val="24"/>
          <w:szCs w:val="24"/>
        </w:rPr>
        <w:t>Managerial Accounting, 13</w:t>
      </w:r>
      <w:r>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Edition, </w:t>
      </w:r>
      <w:r>
        <w:rPr>
          <w:rFonts w:ascii="Times New Roman" w:hAnsi="Times New Roman" w:cs="Times New Roman"/>
          <w:sz w:val="24"/>
          <w:szCs w:val="24"/>
        </w:rPr>
        <w:t>McGraw-Hill/Irwin Hardcover.</w:t>
      </w:r>
    </w:p>
    <w:p w14:paraId="2BA8D345" w14:textId="17B3C165" w:rsidR="0051117A" w:rsidRDefault="0051117A" w:rsidP="00632AB0">
      <w:pPr>
        <w:jc w:val="both"/>
        <w:rPr>
          <w:rFonts w:ascii="Times New Roman" w:hAnsi="Times New Roman" w:cs="Times New Roman"/>
          <w:sz w:val="24"/>
          <w:szCs w:val="24"/>
        </w:rPr>
      </w:pPr>
      <w:r>
        <w:rPr>
          <w:rFonts w:ascii="Times New Roman" w:hAnsi="Times New Roman" w:cs="Times New Roman"/>
          <w:sz w:val="24"/>
          <w:szCs w:val="24"/>
        </w:rPr>
        <w:t xml:space="preserve">Horngren, C., Sundem, G., Stratton, W., Burgstahler, D., and Schatzberg, J. (2013) </w:t>
      </w:r>
      <w:r>
        <w:rPr>
          <w:rFonts w:ascii="Times New Roman" w:hAnsi="Times New Roman" w:cs="Times New Roman"/>
          <w:i/>
          <w:iCs/>
          <w:sz w:val="24"/>
          <w:szCs w:val="24"/>
        </w:rPr>
        <w:t>Introduction to management accounting, 16</w:t>
      </w:r>
      <w:r>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ed.,</w:t>
      </w:r>
      <w:r>
        <w:rPr>
          <w:rFonts w:ascii="Times New Roman" w:hAnsi="Times New Roman" w:cs="Times New Roman"/>
          <w:sz w:val="24"/>
          <w:szCs w:val="24"/>
        </w:rPr>
        <w:t xml:space="preserve"> Pearson education.</w:t>
      </w:r>
    </w:p>
    <w:p w14:paraId="660F0CA4" w14:textId="3FCC6941" w:rsidR="0051117A" w:rsidRDefault="0051117A" w:rsidP="00632AB0">
      <w:pPr>
        <w:jc w:val="both"/>
        <w:rPr>
          <w:rFonts w:ascii="Times New Roman" w:hAnsi="Times New Roman" w:cs="Times New Roman"/>
          <w:sz w:val="24"/>
          <w:szCs w:val="24"/>
        </w:rPr>
      </w:pPr>
      <w:r>
        <w:rPr>
          <w:rFonts w:ascii="Times New Roman" w:hAnsi="Times New Roman" w:cs="Times New Roman"/>
          <w:sz w:val="24"/>
          <w:szCs w:val="24"/>
        </w:rPr>
        <w:t xml:space="preserve">Larry, M. W., and Christopher, J. S. (2009) </w:t>
      </w:r>
      <w:r>
        <w:rPr>
          <w:rFonts w:ascii="Times New Roman" w:hAnsi="Times New Roman" w:cs="Times New Roman"/>
          <w:i/>
          <w:iCs/>
          <w:sz w:val="24"/>
          <w:szCs w:val="24"/>
        </w:rPr>
        <w:t xml:space="preserve">Managerial and Cost Accounting, </w:t>
      </w:r>
      <w:r>
        <w:rPr>
          <w:rFonts w:ascii="Times New Roman" w:hAnsi="Times New Roman" w:cs="Times New Roman"/>
          <w:sz w:val="24"/>
          <w:szCs w:val="24"/>
        </w:rPr>
        <w:t>Ventus publishing Aps.</w:t>
      </w:r>
    </w:p>
    <w:p w14:paraId="1FEEC2C0" w14:textId="1075BE58" w:rsidR="0051117A" w:rsidRPr="0051117A" w:rsidRDefault="0051117A" w:rsidP="00632AB0">
      <w:pPr>
        <w:jc w:val="both"/>
        <w:rPr>
          <w:rFonts w:ascii="Times New Roman" w:hAnsi="Times New Roman" w:cs="Times New Roman"/>
          <w:sz w:val="24"/>
          <w:szCs w:val="24"/>
        </w:rPr>
      </w:pPr>
      <w:r>
        <w:rPr>
          <w:rFonts w:ascii="Times New Roman" w:hAnsi="Times New Roman" w:cs="Times New Roman"/>
          <w:sz w:val="24"/>
          <w:szCs w:val="24"/>
        </w:rPr>
        <w:t xml:space="preserve">Lucey, T. (2003) </w:t>
      </w:r>
      <w:r>
        <w:rPr>
          <w:rFonts w:ascii="Times New Roman" w:hAnsi="Times New Roman" w:cs="Times New Roman"/>
          <w:i/>
          <w:iCs/>
          <w:sz w:val="24"/>
          <w:szCs w:val="24"/>
        </w:rPr>
        <w:t>Management accounting</w:t>
      </w:r>
      <w:r>
        <w:rPr>
          <w:rFonts w:ascii="Times New Roman" w:hAnsi="Times New Roman" w:cs="Times New Roman"/>
          <w:sz w:val="24"/>
          <w:szCs w:val="24"/>
        </w:rPr>
        <w:t>, Cengage Learning.</w:t>
      </w:r>
    </w:p>
    <w:sectPr w:rsidR="0051117A" w:rsidRPr="0051117A" w:rsidSect="00632AB0">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04BDC4" w14:textId="77777777" w:rsidR="006F7F2D" w:rsidRDefault="006F7F2D" w:rsidP="00632AB0">
      <w:pPr>
        <w:spacing w:after="0" w:line="240" w:lineRule="auto"/>
      </w:pPr>
      <w:r>
        <w:separator/>
      </w:r>
    </w:p>
  </w:endnote>
  <w:endnote w:type="continuationSeparator" w:id="0">
    <w:p w14:paraId="37F3FC76" w14:textId="77777777" w:rsidR="006F7F2D" w:rsidRDefault="006F7F2D" w:rsidP="00632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6562703"/>
      <w:docPartObj>
        <w:docPartGallery w:val="Page Numbers (Bottom of Page)"/>
        <w:docPartUnique/>
      </w:docPartObj>
    </w:sdtPr>
    <w:sdtEndPr>
      <w:rPr>
        <w:noProof/>
      </w:rPr>
    </w:sdtEndPr>
    <w:sdtContent>
      <w:p w14:paraId="70D1E74D" w14:textId="7D7409D9" w:rsidR="00632AB0" w:rsidRDefault="00632A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C8DF1" w14:textId="77777777" w:rsidR="00632AB0" w:rsidRDefault="00632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4D6619" w14:textId="77777777" w:rsidR="006F7F2D" w:rsidRDefault="006F7F2D" w:rsidP="00632AB0">
      <w:pPr>
        <w:spacing w:after="0" w:line="240" w:lineRule="auto"/>
      </w:pPr>
      <w:r>
        <w:separator/>
      </w:r>
    </w:p>
  </w:footnote>
  <w:footnote w:type="continuationSeparator" w:id="0">
    <w:p w14:paraId="470E9219" w14:textId="77777777" w:rsidR="006F7F2D" w:rsidRDefault="006F7F2D" w:rsidP="00632A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C55"/>
    <w:rsid w:val="00066E0C"/>
    <w:rsid w:val="002A1785"/>
    <w:rsid w:val="003B5A30"/>
    <w:rsid w:val="0051117A"/>
    <w:rsid w:val="00577B47"/>
    <w:rsid w:val="00632AB0"/>
    <w:rsid w:val="006F7F2D"/>
    <w:rsid w:val="00903C55"/>
    <w:rsid w:val="00B04740"/>
    <w:rsid w:val="00FB2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617B8"/>
  <w15:chartTrackingRefBased/>
  <w15:docId w15:val="{21605F66-9ED6-41DD-9470-8C3220EB3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7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AB0"/>
  </w:style>
  <w:style w:type="paragraph" w:styleId="Footer">
    <w:name w:val="footer"/>
    <w:basedOn w:val="Normal"/>
    <w:link w:val="FooterChar"/>
    <w:uiPriority w:val="99"/>
    <w:unhideWhenUsed/>
    <w:rsid w:val="00632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AB0"/>
  </w:style>
  <w:style w:type="paragraph" w:customStyle="1" w:styleId="Default">
    <w:name w:val="Default"/>
    <w:rsid w:val="0051117A"/>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5111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656</Words>
  <Characters>3740</Characters>
  <Application>Microsoft Office Word</Application>
  <DocSecurity>0</DocSecurity>
  <Lines>31</Lines>
  <Paragraphs>8</Paragraphs>
  <ScaleCrop>false</ScaleCrop>
  <Company/>
  <LinksUpToDate>false</LinksUpToDate>
  <CharactersWithSpaces>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6</cp:revision>
  <dcterms:created xsi:type="dcterms:W3CDTF">2020-09-06T12:33:00Z</dcterms:created>
  <dcterms:modified xsi:type="dcterms:W3CDTF">2020-09-06T14:40:00Z</dcterms:modified>
</cp:coreProperties>
</file>