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FC28D" w14:textId="77777777" w:rsidR="007026FF" w:rsidRDefault="007026FF" w:rsidP="007026FF">
      <w:pPr>
        <w:spacing w:line="360" w:lineRule="auto"/>
        <w:rPr>
          <w:rFonts w:ascii="Arial" w:hAnsi="Arial" w:cs="Arial"/>
          <w:b/>
          <w:bCs/>
          <w:sz w:val="32"/>
          <w:szCs w:val="32"/>
        </w:rPr>
      </w:pPr>
      <w:r w:rsidRPr="0092580F">
        <w:rPr>
          <w:rFonts w:ascii="Arial" w:hAnsi="Arial" w:cs="Arial"/>
          <w:b/>
          <w:bCs/>
          <w:sz w:val="32"/>
          <w:szCs w:val="32"/>
        </w:rPr>
        <w:t>Component 2</w:t>
      </w:r>
      <w:r>
        <w:rPr>
          <w:rFonts w:ascii="Arial" w:hAnsi="Arial" w:cs="Arial"/>
          <w:b/>
          <w:bCs/>
          <w:sz w:val="32"/>
          <w:szCs w:val="32"/>
        </w:rPr>
        <w:t>:</w:t>
      </w:r>
    </w:p>
    <w:p w14:paraId="19B77ECE" w14:textId="77777777" w:rsidR="007026FF" w:rsidRDefault="007026FF" w:rsidP="007026FF">
      <w:pPr>
        <w:spacing w:line="360" w:lineRule="auto"/>
        <w:rPr>
          <w:rFonts w:ascii="Arial" w:hAnsi="Arial" w:cs="Arial"/>
          <w:b/>
          <w:bCs/>
          <w:sz w:val="28"/>
          <w:szCs w:val="28"/>
        </w:rPr>
      </w:pPr>
      <w:r>
        <w:rPr>
          <w:rFonts w:ascii="Arial" w:hAnsi="Arial" w:cs="Arial"/>
          <w:b/>
          <w:bCs/>
          <w:sz w:val="28"/>
          <w:szCs w:val="28"/>
        </w:rPr>
        <w:t>Reflection</w:t>
      </w:r>
    </w:p>
    <w:p w14:paraId="2F8867AC" w14:textId="77777777" w:rsidR="007026FF" w:rsidRDefault="007026FF" w:rsidP="007026FF">
      <w:pPr>
        <w:spacing w:line="360" w:lineRule="auto"/>
        <w:rPr>
          <w:rFonts w:ascii="Arial" w:hAnsi="Arial" w:cs="Arial"/>
        </w:rPr>
      </w:pPr>
      <w:r>
        <w:rPr>
          <w:rFonts w:ascii="Arial" w:hAnsi="Arial" w:cs="Arial"/>
        </w:rPr>
        <w:t>For this reflection I will be using the Gibbs’ Reflective Cycle.</w:t>
      </w:r>
    </w:p>
    <w:p w14:paraId="1EFE0C3A" w14:textId="77777777" w:rsidR="007026FF" w:rsidRDefault="007026FF" w:rsidP="007026FF">
      <w:pPr>
        <w:spacing w:line="360" w:lineRule="auto"/>
        <w:rPr>
          <w:rFonts w:ascii="Arial" w:hAnsi="Arial" w:cs="Arial"/>
        </w:rPr>
      </w:pPr>
      <w:r>
        <w:rPr>
          <w:rFonts w:ascii="Arial" w:hAnsi="Arial" w:cs="Arial"/>
        </w:rPr>
        <w:t>The Gibbs Reflective Cycle follows a six-phase approach to guide original thought. The six phases include a description of experience, feelings, an evaluation, an analysis to make sense of the experience by consulting relevant literature, a conclusion, and the development of an action plan to implement potential improvements going forward. (Koch 2026)</w:t>
      </w:r>
    </w:p>
    <w:p w14:paraId="1327BF46" w14:textId="77777777" w:rsidR="007026FF" w:rsidRDefault="007026FF" w:rsidP="007026FF">
      <w:pPr>
        <w:spacing w:line="360" w:lineRule="auto"/>
        <w:rPr>
          <w:rFonts w:ascii="Arial" w:hAnsi="Arial" w:cs="Arial"/>
        </w:rPr>
      </w:pPr>
      <w:r>
        <w:rPr>
          <w:rFonts w:ascii="Arial" w:hAnsi="Arial" w:cs="Arial"/>
        </w:rPr>
        <w:t>The model called Gibbs’ cycle provides as a standard model 6 reflection steps identified as: description, feelings, evaluation, analysis, conclusion, and action plan. (Galli 2022)</w:t>
      </w:r>
    </w:p>
    <w:p w14:paraId="76E1AEBA" w14:textId="77777777" w:rsidR="007026FF" w:rsidRDefault="007026FF" w:rsidP="007026FF">
      <w:pPr>
        <w:spacing w:line="360" w:lineRule="auto"/>
        <w:rPr>
          <w:rFonts w:ascii="Arial" w:hAnsi="Arial" w:cs="Arial"/>
        </w:rPr>
      </w:pPr>
      <w:r>
        <w:rPr>
          <w:rFonts w:ascii="Arial" w:hAnsi="Arial" w:cs="Arial"/>
        </w:rPr>
        <w:t>“Reflection involves a set of strategies to help students develop reflective analysis and evaluation of interpretations or explanations, including what to decide, what to believe, and what to do”. (Trimasse 2025)</w:t>
      </w:r>
    </w:p>
    <w:p w14:paraId="4AF90EA7" w14:textId="77777777" w:rsidR="007026FF" w:rsidRPr="00703CF2" w:rsidRDefault="007026FF" w:rsidP="007026FF">
      <w:pPr>
        <w:spacing w:line="360" w:lineRule="auto"/>
        <w:rPr>
          <w:rFonts w:ascii="Arial" w:hAnsi="Arial" w:cs="Arial"/>
          <w:b/>
          <w:bCs/>
          <w:sz w:val="28"/>
          <w:szCs w:val="28"/>
        </w:rPr>
      </w:pPr>
      <w:r>
        <w:rPr>
          <w:rFonts w:ascii="Arial" w:hAnsi="Arial" w:cs="Arial"/>
          <w:b/>
          <w:bCs/>
          <w:sz w:val="28"/>
          <w:szCs w:val="28"/>
        </w:rPr>
        <w:t xml:space="preserve">Description: </w:t>
      </w:r>
      <w:r>
        <w:rPr>
          <w:rFonts w:ascii="Arial" w:hAnsi="Arial" w:cs="Arial"/>
        </w:rPr>
        <w:t>For my dissertation, I had to come up with a relevant, and current business problem, and I had to do a 9000-word report about it. My business problem was ‘Decarbonising the Automotive Industry Following the Paris Climate Agreement”, I have worked in this industry before, so I know a little about it. I believe that this is a vital worldwide issue that needs to be addressed. There are 5 chapters in my report, the first chapter was an introduction, where I set out the problem, the research aim, the research objectives, and the research questions. The second chapter was a literature review in which I studied and researched all the relevant literature that was needed for the report. The third chapter of my report was the methodology chapter, in which a systematic literature review was undertaken. I used the PICO and PRISMA frameworks for the systematic literature review. There were several elements included in the systematic literature review, including the search strategy, the search terms, the inclusion and exclusion criteria, the search results, and any ethical considerations. The fourth chapter was the findings and discussion chapter where all the relevant findings were outlined and discussed. Chapter 5 is the final chapter, and this is the recommendations, research gaps, and conclusion. All relevant recommendations for automotive companies were outlined, and any research gaps were outlined, and a conclusion of the report was done.</w:t>
      </w:r>
    </w:p>
    <w:p w14:paraId="4FB40AE3" w14:textId="77777777" w:rsidR="007026FF" w:rsidRPr="00703CF2" w:rsidRDefault="007026FF" w:rsidP="007026FF">
      <w:pPr>
        <w:spacing w:line="360" w:lineRule="auto"/>
        <w:rPr>
          <w:rFonts w:ascii="Arial" w:hAnsi="Arial" w:cs="Arial"/>
          <w:b/>
          <w:bCs/>
          <w:sz w:val="28"/>
          <w:szCs w:val="28"/>
        </w:rPr>
      </w:pPr>
      <w:r>
        <w:rPr>
          <w:rFonts w:ascii="Arial" w:hAnsi="Arial" w:cs="Arial"/>
          <w:b/>
          <w:bCs/>
          <w:sz w:val="28"/>
          <w:szCs w:val="28"/>
        </w:rPr>
        <w:t>Feelings:</w:t>
      </w:r>
      <w:r>
        <w:rPr>
          <w:rFonts w:ascii="Arial" w:hAnsi="Arial" w:cs="Arial"/>
        </w:rPr>
        <w:t xml:space="preserve"> I started this report with a feeling of confidence because I believe that I’ve done well, up until now, and this is the final stage of my degree. I was apprehensive about the literature review and the systematic literature review. I had to do a literature review for my </w:t>
      </w:r>
      <w:r>
        <w:rPr>
          <w:rFonts w:ascii="Arial" w:hAnsi="Arial" w:cs="Arial"/>
        </w:rPr>
        <w:lastRenderedPageBreak/>
        <w:t xml:space="preserve">last module, but it was a lot smaller than this one. I was confident that I could find all the relevant literature because my problem has a big scope in which to search for. I was </w:t>
      </w:r>
      <w:proofErr w:type="gramStart"/>
      <w:r>
        <w:rPr>
          <w:rFonts w:ascii="Arial" w:hAnsi="Arial" w:cs="Arial"/>
        </w:rPr>
        <w:t>really apprehensive</w:t>
      </w:r>
      <w:proofErr w:type="gramEnd"/>
      <w:r>
        <w:rPr>
          <w:rFonts w:ascii="Arial" w:hAnsi="Arial" w:cs="Arial"/>
        </w:rPr>
        <w:t xml:space="preserve"> about the systematic literature review because I had never done one before. I found it to be o.k and I believe that I’ve been successful in completing it. Overall, I have a profound feeling of joy that I’m this close to passing my degree.</w:t>
      </w:r>
    </w:p>
    <w:p w14:paraId="491287B9" w14:textId="77777777" w:rsidR="007026FF" w:rsidRPr="00606EA8" w:rsidRDefault="007026FF" w:rsidP="007026FF">
      <w:pPr>
        <w:spacing w:line="360" w:lineRule="auto"/>
        <w:rPr>
          <w:rFonts w:ascii="Arial" w:hAnsi="Arial" w:cs="Arial"/>
          <w:b/>
          <w:bCs/>
          <w:sz w:val="28"/>
          <w:szCs w:val="28"/>
        </w:rPr>
      </w:pPr>
      <w:r>
        <w:rPr>
          <w:rFonts w:ascii="Arial" w:hAnsi="Arial" w:cs="Arial"/>
          <w:b/>
          <w:bCs/>
          <w:sz w:val="28"/>
          <w:szCs w:val="28"/>
        </w:rPr>
        <w:t>Evaluation:</w:t>
      </w:r>
      <w:r>
        <w:rPr>
          <w:rFonts w:ascii="Arial" w:hAnsi="Arial" w:cs="Arial"/>
        </w:rPr>
        <w:t xml:space="preserve"> The most positive aspect for me was learning about all the different decarbonisation efforts by automotive companies, and their processes. It was good for me to study so many journals and books about all the different practices and strategies that the automotive sector has adopted over the years.</w:t>
      </w:r>
    </w:p>
    <w:p w14:paraId="66ED9534" w14:textId="77777777" w:rsidR="007026FF" w:rsidRDefault="007026FF" w:rsidP="007026FF">
      <w:pPr>
        <w:spacing w:line="360" w:lineRule="auto"/>
        <w:rPr>
          <w:rFonts w:ascii="Arial" w:hAnsi="Arial" w:cs="Arial"/>
        </w:rPr>
      </w:pPr>
      <w:r>
        <w:rPr>
          <w:rFonts w:ascii="Arial" w:hAnsi="Arial" w:cs="Arial"/>
        </w:rPr>
        <w:t>Students with a strong sense of ‘connection’ with people, the environment, and the subject they are learning about, are more likely to feel like they belong. (Meehan 2019)</w:t>
      </w:r>
    </w:p>
    <w:p w14:paraId="4381D34B" w14:textId="77777777" w:rsidR="007026FF" w:rsidRPr="00606EA8" w:rsidRDefault="007026FF" w:rsidP="007026FF">
      <w:pPr>
        <w:spacing w:line="360" w:lineRule="auto"/>
        <w:rPr>
          <w:rFonts w:ascii="Arial" w:hAnsi="Arial" w:cs="Arial"/>
          <w:b/>
          <w:bCs/>
          <w:sz w:val="28"/>
          <w:szCs w:val="28"/>
        </w:rPr>
      </w:pPr>
      <w:r>
        <w:rPr>
          <w:rFonts w:ascii="Arial" w:hAnsi="Arial" w:cs="Arial"/>
          <w:b/>
          <w:bCs/>
          <w:sz w:val="28"/>
          <w:szCs w:val="28"/>
        </w:rPr>
        <w:t xml:space="preserve">Analysis: </w:t>
      </w:r>
      <w:r>
        <w:rPr>
          <w:rFonts w:ascii="Arial" w:hAnsi="Arial" w:cs="Arial"/>
        </w:rPr>
        <w:t>The process of the literature review and the systematic literature review has given me a better understanding on how to undertake these, and I would be able to do these again in the future. I’ve learned about the different processes that automotive manufacturers adhere to, and this has given me a better understanding of the automotive industry, and this will help me in the future.</w:t>
      </w:r>
    </w:p>
    <w:p w14:paraId="6693B132" w14:textId="77777777" w:rsidR="007026FF" w:rsidRPr="00606EA8" w:rsidRDefault="007026FF" w:rsidP="007026FF">
      <w:pPr>
        <w:spacing w:line="360" w:lineRule="auto"/>
        <w:rPr>
          <w:rFonts w:ascii="Arial" w:hAnsi="Arial" w:cs="Arial"/>
          <w:b/>
          <w:bCs/>
          <w:sz w:val="28"/>
          <w:szCs w:val="28"/>
        </w:rPr>
      </w:pPr>
      <w:r>
        <w:rPr>
          <w:rFonts w:ascii="Arial" w:hAnsi="Arial" w:cs="Arial"/>
          <w:b/>
          <w:bCs/>
          <w:sz w:val="28"/>
          <w:szCs w:val="28"/>
        </w:rPr>
        <w:t xml:space="preserve">Conclusion: </w:t>
      </w:r>
      <w:r>
        <w:rPr>
          <w:rFonts w:ascii="Arial" w:hAnsi="Arial" w:cs="Arial"/>
        </w:rPr>
        <w:t>Overall, this process has given me a better understanding of how to do a literature review, and a systematic literature review. It has also given me a better understanding of the automotive industry. I’ve learned how to analyse data, and put that data into text, and this will help me in the future.</w:t>
      </w:r>
    </w:p>
    <w:p w14:paraId="4B01B9E8" w14:textId="77777777" w:rsidR="007026FF" w:rsidRDefault="007026FF" w:rsidP="007026FF">
      <w:pPr>
        <w:spacing w:line="360" w:lineRule="auto"/>
        <w:rPr>
          <w:rFonts w:ascii="Arial" w:hAnsi="Arial" w:cs="Arial"/>
        </w:rPr>
      </w:pPr>
      <w:r>
        <w:rPr>
          <w:rFonts w:ascii="Arial" w:hAnsi="Arial" w:cs="Arial"/>
          <w:b/>
          <w:bCs/>
          <w:sz w:val="28"/>
          <w:szCs w:val="28"/>
        </w:rPr>
        <w:t xml:space="preserve">Action Plan: </w:t>
      </w:r>
      <w:r>
        <w:rPr>
          <w:rFonts w:ascii="Arial" w:hAnsi="Arial" w:cs="Arial"/>
        </w:rPr>
        <w:t>For future reports, I now understand how to do a report with a large word count and be able to structure it correctly. In terms of future employment, this will give me more confidence to gain employment in the automotive industry. My plan is to work in this field in the future, and the extra knowledge that I’ve learned along the way will almost certainly help me.</w:t>
      </w:r>
    </w:p>
    <w:p w14:paraId="1C45E4F5" w14:textId="77777777" w:rsidR="007026FF" w:rsidRDefault="007026FF" w:rsidP="007026FF">
      <w:pPr>
        <w:spacing w:line="360" w:lineRule="auto"/>
        <w:rPr>
          <w:rFonts w:ascii="Arial" w:hAnsi="Arial" w:cs="Arial"/>
        </w:rPr>
      </w:pPr>
      <w:r>
        <w:rPr>
          <w:rFonts w:ascii="Arial" w:hAnsi="Arial" w:cs="Arial"/>
        </w:rPr>
        <w:t>When used effectively, reflective writing tasks can deepen learners understanding of key concepts, help them critically appraise their developing professional identity, and build qualities for lifelong learning. (Shum 2016)</w:t>
      </w:r>
    </w:p>
    <w:p w14:paraId="406D3F28" w14:textId="77777777" w:rsidR="007026FF" w:rsidRDefault="007026FF" w:rsidP="007026FF">
      <w:pPr>
        <w:spacing w:line="360" w:lineRule="auto"/>
        <w:rPr>
          <w:rFonts w:ascii="Arial" w:hAnsi="Arial" w:cs="Arial"/>
        </w:rPr>
      </w:pPr>
    </w:p>
    <w:p w14:paraId="058C50B8" w14:textId="77777777" w:rsidR="00827806" w:rsidRDefault="00827806"/>
    <w:p w14:paraId="1F21A347" w14:textId="77777777" w:rsidR="007026FF" w:rsidRDefault="007026FF"/>
    <w:p w14:paraId="4F412775" w14:textId="77777777" w:rsidR="007026FF" w:rsidRDefault="007026FF"/>
    <w:p w14:paraId="47DF1CD6" w14:textId="77777777" w:rsidR="007026FF" w:rsidRDefault="007026FF" w:rsidP="007026FF">
      <w:pPr>
        <w:spacing w:line="360" w:lineRule="auto"/>
        <w:jc w:val="center"/>
        <w:rPr>
          <w:rFonts w:ascii="Arial" w:hAnsi="Arial" w:cs="Arial"/>
          <w:b/>
          <w:bCs/>
          <w:sz w:val="32"/>
          <w:szCs w:val="32"/>
        </w:rPr>
      </w:pPr>
      <w:r>
        <w:rPr>
          <w:rFonts w:ascii="Arial" w:hAnsi="Arial" w:cs="Arial"/>
          <w:b/>
          <w:bCs/>
          <w:sz w:val="32"/>
          <w:szCs w:val="32"/>
        </w:rPr>
        <w:lastRenderedPageBreak/>
        <w:t>Reference List</w:t>
      </w:r>
    </w:p>
    <w:p w14:paraId="5562097E" w14:textId="77777777" w:rsidR="007026FF" w:rsidRDefault="007026FF" w:rsidP="007026FF">
      <w:pPr>
        <w:pStyle w:val="ListParagraph"/>
        <w:numPr>
          <w:ilvl w:val="0"/>
          <w:numId w:val="1"/>
        </w:numPr>
        <w:spacing w:line="360" w:lineRule="auto"/>
        <w:rPr>
          <w:rFonts w:ascii="Arial" w:hAnsi="Arial" w:cs="Arial"/>
          <w:sz w:val="18"/>
          <w:szCs w:val="18"/>
        </w:rPr>
      </w:pPr>
      <w:r w:rsidRPr="00AF2A80">
        <w:rPr>
          <w:rFonts w:ascii="Arial" w:hAnsi="Arial" w:cs="Arial"/>
          <w:sz w:val="18"/>
          <w:szCs w:val="18"/>
        </w:rPr>
        <w:t xml:space="preserve">Alkhamaiesh, S. (2026). “Electric Vehicle Infrastructure Development in the Mid-Atlantic Region: Comparative Evolution of NEVI Implementation from 2022 to 2026”. </w:t>
      </w:r>
      <w:r>
        <w:rPr>
          <w:rFonts w:ascii="Arial" w:hAnsi="Arial" w:cs="Arial"/>
          <w:i/>
          <w:iCs/>
          <w:sz w:val="18"/>
          <w:szCs w:val="18"/>
        </w:rPr>
        <w:t>World Electric Vehicle Journal</w:t>
      </w:r>
      <w:r>
        <w:rPr>
          <w:rFonts w:ascii="Arial" w:hAnsi="Arial" w:cs="Arial"/>
          <w:sz w:val="18"/>
          <w:szCs w:val="18"/>
        </w:rPr>
        <w:t>. 17. (7). P- 344.</w:t>
      </w:r>
    </w:p>
    <w:p w14:paraId="2D13191E"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Amer, Y. Soufali, A. Zaghwan, A. (2026). “A Digital Twin-Based Framework for Predictive Quality Assurance and Supply Chain Resilience in the Automotive Industry”. </w:t>
      </w:r>
      <w:r>
        <w:rPr>
          <w:rFonts w:ascii="Arial" w:hAnsi="Arial" w:cs="Arial"/>
          <w:i/>
          <w:iCs/>
          <w:sz w:val="18"/>
          <w:szCs w:val="18"/>
        </w:rPr>
        <w:t>Advanced Engineering Informatics</w:t>
      </w:r>
      <w:r>
        <w:rPr>
          <w:rFonts w:ascii="Arial" w:hAnsi="Arial" w:cs="Arial"/>
          <w:sz w:val="18"/>
          <w:szCs w:val="18"/>
        </w:rPr>
        <w:t>. 69. P- 103969.</w:t>
      </w:r>
    </w:p>
    <w:p w14:paraId="50B74E6B"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Barathi, A. et al. (2026). “Toward Sustainable Industry: Integrating Industrial Symbosis, Biorefineries, and Circular Economy for SDG Alignment”. </w:t>
      </w:r>
      <w:r>
        <w:rPr>
          <w:rFonts w:ascii="Arial" w:hAnsi="Arial" w:cs="Arial"/>
          <w:i/>
          <w:iCs/>
          <w:sz w:val="18"/>
          <w:szCs w:val="18"/>
        </w:rPr>
        <w:t>Sustainable Energy &amp; Fuels</w:t>
      </w:r>
      <w:r>
        <w:rPr>
          <w:rFonts w:ascii="Arial" w:hAnsi="Arial" w:cs="Arial"/>
          <w:sz w:val="18"/>
          <w:szCs w:val="18"/>
        </w:rPr>
        <w:t>. 10. (8). P- 1816-1844.</w:t>
      </w:r>
    </w:p>
    <w:p w14:paraId="23483364"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Bare, F. Colgan, J. (2024). “Has the Paris Agreement Changed Corporate Behaviour?”. </w:t>
      </w:r>
    </w:p>
    <w:p w14:paraId="23E858F9"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Bare, F. Colgan, J. D. Gard-Murray, A. S. (2026) “Driving Decarbonization? Corporate Responses to the Paris Climate Agreement in the Global Automotive Sector”. </w:t>
      </w:r>
      <w:r>
        <w:rPr>
          <w:rFonts w:ascii="Arial" w:hAnsi="Arial" w:cs="Arial"/>
          <w:i/>
          <w:iCs/>
          <w:sz w:val="18"/>
          <w:szCs w:val="18"/>
        </w:rPr>
        <w:t>Energy Research &amp; Social Science</w:t>
      </w:r>
      <w:r>
        <w:rPr>
          <w:rFonts w:ascii="Arial" w:hAnsi="Arial" w:cs="Arial"/>
          <w:sz w:val="18"/>
          <w:szCs w:val="18"/>
        </w:rPr>
        <w:t>. 132. P- 104549.</w:t>
      </w:r>
    </w:p>
    <w:p w14:paraId="23AA138A"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Csutora, M. Mozner, Z. F. (2025). “Carbon Management Strategies of the Automotive Sector Responding to the European Fleet-Wide CO2 Emission Targets”. </w:t>
      </w:r>
      <w:r>
        <w:rPr>
          <w:rFonts w:ascii="Arial" w:hAnsi="Arial" w:cs="Arial"/>
          <w:i/>
          <w:iCs/>
          <w:sz w:val="18"/>
          <w:szCs w:val="18"/>
        </w:rPr>
        <w:t>Discover Sustainability</w:t>
      </w:r>
      <w:r>
        <w:rPr>
          <w:rFonts w:ascii="Arial" w:hAnsi="Arial" w:cs="Arial"/>
          <w:sz w:val="18"/>
          <w:szCs w:val="18"/>
        </w:rPr>
        <w:t>. 6. (1). P- 346.</w:t>
      </w:r>
    </w:p>
    <w:p w14:paraId="4EBC48C2"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Ding, J. Zailani, S. H. M. Chong, W. (2026). “Lean and Green Manufacturing Synergy in the Automotive Industry: A Systematic Review from 2010 to 2026”. </w:t>
      </w:r>
      <w:r>
        <w:rPr>
          <w:rFonts w:ascii="Arial" w:hAnsi="Arial" w:cs="Arial"/>
          <w:i/>
          <w:iCs/>
          <w:sz w:val="18"/>
          <w:szCs w:val="18"/>
        </w:rPr>
        <w:t>Research Square</w:t>
      </w:r>
      <w:r>
        <w:rPr>
          <w:rFonts w:ascii="Arial" w:hAnsi="Arial" w:cs="Arial"/>
          <w:sz w:val="18"/>
          <w:szCs w:val="18"/>
        </w:rPr>
        <w:t xml:space="preserve">. </w:t>
      </w:r>
    </w:p>
    <w:p w14:paraId="28401A16"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Downes, S. (2025). “BMW: Producing Sustainability from A US $104 Billion Annual Spend”. </w:t>
      </w:r>
      <w:r>
        <w:rPr>
          <w:rFonts w:ascii="Arial" w:hAnsi="Arial" w:cs="Arial"/>
          <w:i/>
          <w:iCs/>
          <w:sz w:val="18"/>
          <w:szCs w:val="18"/>
        </w:rPr>
        <w:t>Supply Chain Sustainability</w:t>
      </w:r>
      <w:r>
        <w:rPr>
          <w:rFonts w:ascii="Arial" w:hAnsi="Arial" w:cs="Arial"/>
          <w:sz w:val="18"/>
          <w:szCs w:val="18"/>
        </w:rPr>
        <w:t>.</w:t>
      </w:r>
    </w:p>
    <w:p w14:paraId="3E358F24"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Eslava-Bautista, J. Cottrill, C. D. Beecroft, M. (2024). “Impacts of Decarbonization on the Automotive After Sales Sector: A Review of Evidence”. </w:t>
      </w:r>
      <w:r>
        <w:rPr>
          <w:rFonts w:ascii="Arial" w:hAnsi="Arial" w:cs="Arial"/>
          <w:i/>
          <w:iCs/>
          <w:sz w:val="18"/>
          <w:szCs w:val="18"/>
        </w:rPr>
        <w:t>Proceedings of the Institution of Mechanical Engineers</w:t>
      </w:r>
      <w:r>
        <w:rPr>
          <w:rFonts w:ascii="Arial" w:hAnsi="Arial" w:cs="Arial"/>
          <w:sz w:val="18"/>
          <w:szCs w:val="18"/>
        </w:rPr>
        <w:t>. 235. (6). P- 1516-1526.</w:t>
      </w:r>
    </w:p>
    <w:p w14:paraId="27C1270E"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Esmaeilzadeh, M. (2026). “Prioritizing and Analysing Supplier Development Activities in the Automotive Industry”. </w:t>
      </w:r>
      <w:r>
        <w:rPr>
          <w:rFonts w:ascii="Arial" w:hAnsi="Arial" w:cs="Arial"/>
          <w:i/>
          <w:iCs/>
          <w:sz w:val="18"/>
          <w:szCs w:val="18"/>
        </w:rPr>
        <w:t>Research in Production and Operations Management</w:t>
      </w:r>
      <w:r>
        <w:rPr>
          <w:rFonts w:ascii="Arial" w:hAnsi="Arial" w:cs="Arial"/>
          <w:sz w:val="18"/>
          <w:szCs w:val="18"/>
        </w:rPr>
        <w:t>. 16. (4). P- 41-64.</w:t>
      </w:r>
    </w:p>
    <w:p w14:paraId="380408CC"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Etukudoh, E. A. et al. (2024). “Mechanical Engineering in Automotive Innovation: A Review of Electric Vehicles and Future Trends”. </w:t>
      </w:r>
      <w:r>
        <w:rPr>
          <w:rFonts w:ascii="Arial" w:hAnsi="Arial" w:cs="Arial"/>
          <w:i/>
          <w:iCs/>
          <w:sz w:val="18"/>
          <w:szCs w:val="18"/>
        </w:rPr>
        <w:t>International Journal of Science and Research Archive</w:t>
      </w:r>
      <w:r>
        <w:rPr>
          <w:rFonts w:ascii="Arial" w:hAnsi="Arial" w:cs="Arial"/>
          <w:sz w:val="18"/>
          <w:szCs w:val="18"/>
        </w:rPr>
        <w:t>. 11. (1). P- 579-589.</w:t>
      </w:r>
    </w:p>
    <w:p w14:paraId="0DD2433E"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Fendt, D. Schuster, T. Hamper, A. (2026). “Towards A Smart Circular Ecosystem in the Automotive Industry: The Role of Data and Digital Technologies”. </w:t>
      </w:r>
      <w:r>
        <w:rPr>
          <w:rFonts w:ascii="Arial" w:hAnsi="Arial" w:cs="Arial"/>
          <w:i/>
          <w:iCs/>
          <w:sz w:val="18"/>
          <w:szCs w:val="18"/>
        </w:rPr>
        <w:t>Journal of Circular Economy</w:t>
      </w:r>
      <w:r>
        <w:rPr>
          <w:rFonts w:ascii="Arial" w:hAnsi="Arial" w:cs="Arial"/>
          <w:sz w:val="18"/>
          <w:szCs w:val="18"/>
        </w:rPr>
        <w:t>. 3. (5). P- 70-99.</w:t>
      </w:r>
    </w:p>
    <w:p w14:paraId="566A5FCA"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Fu, Y. et al. (2026). “Research and Analysis of Automotive Half Shaft Remanufacturing Assessment and Carbon Footprint Accounting”. </w:t>
      </w:r>
      <w:r>
        <w:rPr>
          <w:rFonts w:ascii="Arial" w:hAnsi="Arial" w:cs="Arial"/>
          <w:i/>
          <w:iCs/>
          <w:sz w:val="18"/>
          <w:szCs w:val="18"/>
        </w:rPr>
        <w:t>Environmental Progress &amp; Sustainable Energy</w:t>
      </w:r>
      <w:r>
        <w:rPr>
          <w:rFonts w:ascii="Arial" w:hAnsi="Arial" w:cs="Arial"/>
          <w:sz w:val="18"/>
          <w:szCs w:val="18"/>
        </w:rPr>
        <w:t>. P- 70289.</w:t>
      </w:r>
    </w:p>
    <w:p w14:paraId="49E9A00C"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Fuhr, P. et al. (2026). “Sustainable Supply Chain Management”. </w:t>
      </w:r>
      <w:r>
        <w:rPr>
          <w:rFonts w:ascii="Arial" w:hAnsi="Arial" w:cs="Arial"/>
          <w:i/>
          <w:iCs/>
          <w:sz w:val="18"/>
          <w:szCs w:val="18"/>
        </w:rPr>
        <w:t>Sustainability Management</w:t>
      </w:r>
      <w:r>
        <w:rPr>
          <w:rFonts w:ascii="Arial" w:hAnsi="Arial" w:cs="Arial"/>
          <w:sz w:val="18"/>
          <w:szCs w:val="18"/>
        </w:rPr>
        <w:t>.</w:t>
      </w:r>
    </w:p>
    <w:p w14:paraId="22ADDA22"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Galli, F. New, K. J. (2022). “Gibbs’ Cycle Review-Emotions as Part of the Cycle”. </w:t>
      </w:r>
      <w:r>
        <w:rPr>
          <w:rFonts w:ascii="Arial" w:hAnsi="Arial" w:cs="Arial"/>
          <w:i/>
          <w:iCs/>
          <w:sz w:val="18"/>
          <w:szCs w:val="18"/>
        </w:rPr>
        <w:t>Revista de Education</w:t>
      </w:r>
      <w:r>
        <w:rPr>
          <w:rFonts w:ascii="Arial" w:hAnsi="Arial" w:cs="Arial"/>
          <w:sz w:val="18"/>
          <w:szCs w:val="18"/>
        </w:rPr>
        <w:t>.</w:t>
      </w:r>
    </w:p>
    <w:p w14:paraId="029601CD"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Gong, Y. et al. (2024). “Examining Strategies Developed by Insurance Companies for Addressing Carbon Emissions in the Automotive Supply Chain in the UK”. </w:t>
      </w:r>
      <w:r>
        <w:rPr>
          <w:rFonts w:ascii="Arial" w:hAnsi="Arial" w:cs="Arial"/>
          <w:i/>
          <w:iCs/>
          <w:sz w:val="18"/>
          <w:szCs w:val="18"/>
        </w:rPr>
        <w:t>Sustainability</w:t>
      </w:r>
      <w:r>
        <w:rPr>
          <w:rFonts w:ascii="Arial" w:hAnsi="Arial" w:cs="Arial"/>
          <w:sz w:val="18"/>
          <w:szCs w:val="18"/>
        </w:rPr>
        <w:t>. 16. (22). P- 9895.</w:t>
      </w:r>
    </w:p>
    <w:p w14:paraId="4FCFD8D5"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Heidari, M. et al. (2026). “Circular Economy Pathways for Decarbonizing Aluminium and Steel Automotive Body Sheet Components in the United States”. </w:t>
      </w:r>
      <w:r>
        <w:rPr>
          <w:rFonts w:ascii="Arial" w:hAnsi="Arial" w:cs="Arial"/>
          <w:i/>
          <w:iCs/>
          <w:sz w:val="18"/>
          <w:szCs w:val="18"/>
        </w:rPr>
        <w:t>Resources, Conservation and Recycling</w:t>
      </w:r>
      <w:r>
        <w:rPr>
          <w:rFonts w:ascii="Arial" w:hAnsi="Arial" w:cs="Arial"/>
          <w:sz w:val="18"/>
          <w:szCs w:val="18"/>
        </w:rPr>
        <w:t>. 226.</w:t>
      </w:r>
    </w:p>
    <w:p w14:paraId="73BE4888"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Hmamed, H. et al. (2025). “Barriers to Low-Carbon Technology Adoption: Insights from the Automotive Manufacturing Sector in Emerging Economies”. </w:t>
      </w:r>
      <w:r>
        <w:rPr>
          <w:rFonts w:ascii="Arial" w:hAnsi="Arial" w:cs="Arial"/>
          <w:i/>
          <w:iCs/>
          <w:sz w:val="18"/>
          <w:szCs w:val="18"/>
        </w:rPr>
        <w:t>Business Strategy and the Environment</w:t>
      </w:r>
      <w:r>
        <w:rPr>
          <w:rFonts w:ascii="Arial" w:hAnsi="Arial" w:cs="Arial"/>
          <w:sz w:val="18"/>
          <w:szCs w:val="18"/>
        </w:rPr>
        <w:t>. 35. (3). P- 4422-4443.</w:t>
      </w:r>
    </w:p>
    <w:p w14:paraId="65F1827D"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Hosseini, M. S. et al. (2024). “Formulating Research Questions for Evidence-Based Studies”.</w:t>
      </w:r>
      <w:r>
        <w:rPr>
          <w:rFonts w:ascii="Arial" w:hAnsi="Arial" w:cs="Arial"/>
          <w:i/>
          <w:iCs/>
          <w:sz w:val="18"/>
          <w:szCs w:val="18"/>
        </w:rPr>
        <w:t xml:space="preserve"> Journal of Medicine, Surgery, and Public Health</w:t>
      </w:r>
      <w:r>
        <w:rPr>
          <w:rFonts w:ascii="Arial" w:hAnsi="Arial" w:cs="Arial"/>
          <w:sz w:val="18"/>
          <w:szCs w:val="18"/>
        </w:rPr>
        <w:t>. 2. P- 100046.</w:t>
      </w:r>
    </w:p>
    <w:p w14:paraId="7D27E3A0"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lastRenderedPageBreak/>
        <w:t xml:space="preserve">Kang, A. et al. (2026). “The Globalized Automotive Industries Have Failed to Improve the Overall Carbon Productivity but Exhibit a Polarized Distribution”. </w:t>
      </w:r>
      <w:r>
        <w:rPr>
          <w:rFonts w:ascii="Arial" w:hAnsi="Arial" w:cs="Arial"/>
          <w:i/>
          <w:iCs/>
          <w:sz w:val="18"/>
          <w:szCs w:val="18"/>
        </w:rPr>
        <w:t>Environmental Science &amp; Technology</w:t>
      </w:r>
      <w:r>
        <w:rPr>
          <w:rFonts w:ascii="Arial" w:hAnsi="Arial" w:cs="Arial"/>
          <w:sz w:val="18"/>
          <w:szCs w:val="18"/>
        </w:rPr>
        <w:t>. 60. (6).</w:t>
      </w:r>
    </w:p>
    <w:p w14:paraId="7E5478BE"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Kashung, N. Singh, A. K. (2026). “Polymer Composites in the Automotive Industry”. </w:t>
      </w:r>
      <w:r>
        <w:rPr>
          <w:rFonts w:ascii="Arial" w:hAnsi="Arial" w:cs="Arial"/>
          <w:i/>
          <w:iCs/>
          <w:sz w:val="18"/>
          <w:szCs w:val="18"/>
        </w:rPr>
        <w:t>Recent Advances in Industrial Engineering</w:t>
      </w:r>
      <w:r>
        <w:rPr>
          <w:rFonts w:ascii="Arial" w:hAnsi="Arial" w:cs="Arial"/>
          <w:sz w:val="18"/>
          <w:szCs w:val="18"/>
        </w:rPr>
        <w:t>. P- 373.</w:t>
      </w:r>
    </w:p>
    <w:p w14:paraId="09A9088A"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Koch, G. G. V. et al. (2026). “Learning Through Play: Educators and Students Reflect on A Gamified C</w:t>
      </w:r>
    </w:p>
    <w:p w14:paraId="34B93ED2"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Koroma, M. S. Alwosheel, A. (2026). “Aligning Vehicle Electrification with Power Sector Transitions: Life Cycle Insights Across Diverse Grids”. </w:t>
      </w:r>
      <w:r>
        <w:rPr>
          <w:rFonts w:ascii="Arial" w:hAnsi="Arial" w:cs="Arial"/>
          <w:i/>
          <w:iCs/>
          <w:sz w:val="18"/>
          <w:szCs w:val="18"/>
        </w:rPr>
        <w:t>Sustainable Mobility and Transport</w:t>
      </w:r>
      <w:r>
        <w:rPr>
          <w:rFonts w:ascii="Arial" w:hAnsi="Arial" w:cs="Arial"/>
          <w:sz w:val="18"/>
          <w:szCs w:val="18"/>
        </w:rPr>
        <w:t>. 3. (1). P- 9.</w:t>
      </w:r>
    </w:p>
    <w:p w14:paraId="41ABC9F8"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Kotilainen, J. M. (2026). “Multilevel Governance Under Urgency: Developing Battery Industry in the EU”. </w:t>
      </w:r>
      <w:r>
        <w:rPr>
          <w:rFonts w:ascii="Arial" w:hAnsi="Arial" w:cs="Arial"/>
          <w:i/>
          <w:iCs/>
          <w:sz w:val="18"/>
          <w:szCs w:val="18"/>
        </w:rPr>
        <w:t>Resource Policy</w:t>
      </w:r>
      <w:r>
        <w:rPr>
          <w:rFonts w:ascii="Arial" w:hAnsi="Arial" w:cs="Arial"/>
          <w:sz w:val="18"/>
          <w:szCs w:val="18"/>
        </w:rPr>
        <w:t xml:space="preserve">. </w:t>
      </w:r>
    </w:p>
    <w:p w14:paraId="766FF41A"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Lame, G. (2019). “Systematic Literature Reviews: An Introduction”. </w:t>
      </w:r>
      <w:r>
        <w:rPr>
          <w:rFonts w:ascii="Arial" w:hAnsi="Arial" w:cs="Arial"/>
          <w:i/>
          <w:iCs/>
          <w:sz w:val="18"/>
          <w:szCs w:val="18"/>
        </w:rPr>
        <w:t>Proceedings of the Design Society: International Conference on Engineering Design</w:t>
      </w:r>
      <w:r>
        <w:rPr>
          <w:rFonts w:ascii="Arial" w:hAnsi="Arial" w:cs="Arial"/>
          <w:sz w:val="18"/>
          <w:szCs w:val="18"/>
        </w:rPr>
        <w:t>. 1. (1). P- 1633-1642.</w:t>
      </w:r>
    </w:p>
    <w:p w14:paraId="3FF46E73"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Liu, J. et al. (2026). “Decarbonizing China’s Private Passenger Vehicles: A Dynamic Material Flow Assessment of Metal Demands and Embodied Emissions”. </w:t>
      </w:r>
      <w:r>
        <w:rPr>
          <w:rFonts w:ascii="Arial" w:hAnsi="Arial" w:cs="Arial"/>
          <w:i/>
          <w:iCs/>
          <w:sz w:val="18"/>
          <w:szCs w:val="18"/>
        </w:rPr>
        <w:t>Applied Energy</w:t>
      </w:r>
      <w:r>
        <w:rPr>
          <w:rFonts w:ascii="Arial" w:hAnsi="Arial" w:cs="Arial"/>
          <w:sz w:val="18"/>
          <w:szCs w:val="18"/>
        </w:rPr>
        <w:t>. 415. P- 127923.</w:t>
      </w:r>
    </w:p>
    <w:p w14:paraId="1F3E05ED"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Meehan, C. Howells, K. (2019). “In Search of the Feeling of Belonging in Higher Education: Undergraduates Students Transition into Higher Education” </w:t>
      </w:r>
      <w:r>
        <w:rPr>
          <w:rFonts w:ascii="Arial" w:hAnsi="Arial" w:cs="Arial"/>
          <w:i/>
          <w:iCs/>
          <w:sz w:val="18"/>
          <w:szCs w:val="18"/>
        </w:rPr>
        <w:t>Journal of Further and Higher Education</w:t>
      </w:r>
      <w:r>
        <w:rPr>
          <w:rFonts w:ascii="Arial" w:hAnsi="Arial" w:cs="Arial"/>
          <w:sz w:val="18"/>
          <w:szCs w:val="18"/>
        </w:rPr>
        <w:t>. 43. (10). P- 1376-1390.</w:t>
      </w:r>
    </w:p>
    <w:p w14:paraId="297607E7"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Niu, J. et al. (2026). “Economic and Management Evaluation of Vehicle-Mounted Photovoltaic-Battery Systems in Electric Vehicles Under Urban Operating Conditions”. </w:t>
      </w:r>
      <w:r>
        <w:rPr>
          <w:rFonts w:ascii="Arial" w:hAnsi="Arial" w:cs="Arial"/>
          <w:i/>
          <w:iCs/>
          <w:sz w:val="18"/>
          <w:szCs w:val="18"/>
        </w:rPr>
        <w:t>Energy Conversion and Management</w:t>
      </w:r>
      <w:r>
        <w:rPr>
          <w:rFonts w:ascii="Arial" w:hAnsi="Arial" w:cs="Arial"/>
          <w:sz w:val="18"/>
          <w:szCs w:val="18"/>
        </w:rPr>
        <w:t>. 30. P- 101628.</w:t>
      </w:r>
    </w:p>
    <w:p w14:paraId="3019E23D"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Pan, S. et al. (2026). “Future Changes in CO2 Emissions in the Shift to Electric Mobility in Countries with Varied Levels of Zero-Emission Vehicle Policies”. </w:t>
      </w:r>
      <w:r>
        <w:rPr>
          <w:rFonts w:ascii="Arial" w:hAnsi="Arial" w:cs="Arial"/>
          <w:i/>
          <w:iCs/>
          <w:sz w:val="18"/>
          <w:szCs w:val="18"/>
        </w:rPr>
        <w:t>Resources, Environment and Sustainability</w:t>
      </w:r>
      <w:r>
        <w:rPr>
          <w:rFonts w:ascii="Arial" w:hAnsi="Arial" w:cs="Arial"/>
          <w:sz w:val="18"/>
          <w:szCs w:val="18"/>
        </w:rPr>
        <w:t>. 1. P- 100316.</w:t>
      </w:r>
    </w:p>
    <w:p w14:paraId="6C091646"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Perez-Canto, S. Ramos-Garcia, A. De Las Heras-Rosas, C. (2026). “A Strategic Action Plan to Advance Circular Economy Practices in the Automotive Industry Based on Sector Insights to Support Sustainable Development”. </w:t>
      </w:r>
      <w:r>
        <w:rPr>
          <w:rFonts w:ascii="Arial" w:hAnsi="Arial" w:cs="Arial"/>
          <w:i/>
          <w:iCs/>
          <w:sz w:val="18"/>
          <w:szCs w:val="18"/>
        </w:rPr>
        <w:t>Corporate Social Responsibility and Environmental Management</w:t>
      </w:r>
      <w:r>
        <w:rPr>
          <w:rFonts w:ascii="Arial" w:hAnsi="Arial" w:cs="Arial"/>
          <w:sz w:val="18"/>
          <w:szCs w:val="18"/>
        </w:rPr>
        <w:t>. P- 1-25.</w:t>
      </w:r>
    </w:p>
    <w:p w14:paraId="33A86CA6"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Perossa, D. Rosa, P. Terzi, S. (2026). “Corporate Raw Materials Criticality Assessment: A Novel Tool for Car Electronics Value Chains Developed with Design Science Research Methodology” </w:t>
      </w:r>
      <w:r>
        <w:rPr>
          <w:rFonts w:ascii="Arial" w:hAnsi="Arial" w:cs="Arial"/>
          <w:i/>
          <w:iCs/>
          <w:sz w:val="18"/>
          <w:szCs w:val="18"/>
        </w:rPr>
        <w:t>Journal of Environmental Management</w:t>
      </w:r>
      <w:r>
        <w:rPr>
          <w:rFonts w:ascii="Arial" w:hAnsi="Arial" w:cs="Arial"/>
          <w:sz w:val="18"/>
          <w:szCs w:val="18"/>
        </w:rPr>
        <w:t>. 398. P- 128555.</w:t>
      </w:r>
    </w:p>
    <w:p w14:paraId="5F5CE176"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Rambe, J. Iryadana, M. R. Priadana, M. S. (2026). “Leadership, Motivation, and Work Ethic Effects on Employee Performance in the Automotive Industry” </w:t>
      </w:r>
      <w:r>
        <w:rPr>
          <w:rFonts w:ascii="Arial" w:hAnsi="Arial" w:cs="Arial"/>
          <w:i/>
          <w:iCs/>
          <w:sz w:val="18"/>
          <w:szCs w:val="18"/>
        </w:rPr>
        <w:t>Jurnal Ilmiah Manajemen Kesatuan</w:t>
      </w:r>
      <w:r>
        <w:rPr>
          <w:rFonts w:ascii="Arial" w:hAnsi="Arial" w:cs="Arial"/>
          <w:sz w:val="18"/>
          <w:szCs w:val="18"/>
        </w:rPr>
        <w:t>. 14. (1).</w:t>
      </w:r>
    </w:p>
    <w:p w14:paraId="09425ED0"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Sauer, P. C. Seuring, S. (2023). “How to Conduct Systematic Literature Reviews in Management Research: A Guide in 6 Steps and 14 Decisions”. </w:t>
      </w:r>
      <w:r>
        <w:rPr>
          <w:rFonts w:ascii="Arial" w:hAnsi="Arial" w:cs="Arial"/>
          <w:i/>
          <w:iCs/>
          <w:sz w:val="18"/>
          <w:szCs w:val="18"/>
        </w:rPr>
        <w:t>Review of Managerial Science</w:t>
      </w:r>
      <w:r>
        <w:rPr>
          <w:rFonts w:ascii="Arial" w:hAnsi="Arial" w:cs="Arial"/>
          <w:sz w:val="18"/>
          <w:szCs w:val="18"/>
        </w:rPr>
        <w:t>. 17. (5). P- 1899-1933.</w:t>
      </w:r>
    </w:p>
    <w:p w14:paraId="523BF71A"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Shad, M. Kumar, R. (2026). “Carbon Neutrality Through Industry”. </w:t>
      </w:r>
      <w:r>
        <w:rPr>
          <w:rFonts w:ascii="Arial" w:hAnsi="Arial" w:cs="Arial"/>
          <w:i/>
          <w:iCs/>
          <w:sz w:val="18"/>
          <w:szCs w:val="18"/>
        </w:rPr>
        <w:t>Recent Advance in Industrial Engineering</w:t>
      </w:r>
      <w:r>
        <w:rPr>
          <w:rFonts w:ascii="Arial" w:hAnsi="Arial" w:cs="Arial"/>
          <w:sz w:val="18"/>
          <w:szCs w:val="18"/>
        </w:rPr>
        <w:t>. P- 95.</w:t>
      </w:r>
    </w:p>
    <w:p w14:paraId="61837A5C"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Sharma, A. et al. (2023). “Equity Implications of Electric Vehicles: A Systematic Review on the Spatial Distribution of Emissions, Air Pollution and Health Impacts”. </w:t>
      </w:r>
      <w:r>
        <w:rPr>
          <w:rFonts w:ascii="Arial" w:hAnsi="Arial" w:cs="Arial"/>
          <w:i/>
          <w:iCs/>
          <w:sz w:val="18"/>
          <w:szCs w:val="18"/>
        </w:rPr>
        <w:t>Environmental Research Letters</w:t>
      </w:r>
      <w:r>
        <w:rPr>
          <w:rFonts w:ascii="Arial" w:hAnsi="Arial" w:cs="Arial"/>
          <w:sz w:val="18"/>
          <w:szCs w:val="18"/>
        </w:rPr>
        <w:t>. 18. (5). P- 053001.</w:t>
      </w:r>
    </w:p>
    <w:p w14:paraId="0BF9F411"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Shum, S. B. (2016). “Reflecting on Reflective Writing Analytics: Assessment Challenges and Iterative Evaluation of a Prototype Tool”. </w:t>
      </w:r>
      <w:r>
        <w:rPr>
          <w:rFonts w:ascii="Arial" w:hAnsi="Arial" w:cs="Arial"/>
          <w:i/>
          <w:iCs/>
          <w:sz w:val="18"/>
          <w:szCs w:val="18"/>
        </w:rPr>
        <w:t>Proceedings of the Sixth International Conference on Learning Analytics &amp; Knowledge</w:t>
      </w:r>
      <w:r>
        <w:rPr>
          <w:rFonts w:ascii="Arial" w:hAnsi="Arial" w:cs="Arial"/>
          <w:sz w:val="18"/>
          <w:szCs w:val="18"/>
        </w:rPr>
        <w:t>. P- 213-222.</w:t>
      </w:r>
    </w:p>
    <w:p w14:paraId="0F14DF16"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Singh, G. Pandey, A. (2024). “Environmental Sustainability Integrated Supplier Selection in Electric Vehicle Supply Chains: A Grey Rational Analysis Approach”. </w:t>
      </w:r>
      <w:r>
        <w:rPr>
          <w:rFonts w:ascii="Arial" w:hAnsi="Arial" w:cs="Arial"/>
          <w:i/>
          <w:iCs/>
          <w:sz w:val="18"/>
          <w:szCs w:val="18"/>
        </w:rPr>
        <w:t>Environmental, Development and Sustainability</w:t>
      </w:r>
      <w:r>
        <w:rPr>
          <w:rFonts w:ascii="Arial" w:hAnsi="Arial" w:cs="Arial"/>
          <w:sz w:val="18"/>
          <w:szCs w:val="18"/>
        </w:rPr>
        <w:t>. 28. P- 7861-7889.</w:t>
      </w:r>
    </w:p>
    <w:p w14:paraId="2EBEF73B" w14:textId="77777777" w:rsidR="007026FF" w:rsidRDefault="007026FF" w:rsidP="007026FF">
      <w:pPr>
        <w:pStyle w:val="ListParagraph"/>
        <w:spacing w:line="360" w:lineRule="auto"/>
        <w:rPr>
          <w:rFonts w:ascii="Arial" w:hAnsi="Arial" w:cs="Arial"/>
          <w:sz w:val="18"/>
          <w:szCs w:val="18"/>
        </w:rPr>
      </w:pPr>
    </w:p>
    <w:p w14:paraId="6F1F5AA9"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lastRenderedPageBreak/>
        <w:t xml:space="preserve">Stein, A. et al. (2026). “Scenario-Based Analysis of the Future Technological Trends in the Automotive Sector in Southeast Lower-Saxony”. </w:t>
      </w:r>
      <w:r>
        <w:rPr>
          <w:rFonts w:ascii="Arial" w:hAnsi="Arial" w:cs="Arial"/>
          <w:i/>
          <w:iCs/>
          <w:sz w:val="18"/>
          <w:szCs w:val="18"/>
        </w:rPr>
        <w:t>Applied System Innovation</w:t>
      </w:r>
      <w:r>
        <w:rPr>
          <w:rFonts w:ascii="Arial" w:hAnsi="Arial" w:cs="Arial"/>
          <w:sz w:val="18"/>
          <w:szCs w:val="18"/>
        </w:rPr>
        <w:t>. 9. (2). P- 28.</w:t>
      </w:r>
    </w:p>
    <w:p w14:paraId="20E6097F"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Teske, S. et al. (2022). “Net Zero: The Remaining Global Market Volume for Internal Combustion Engines in Light-Duty Vehicles Under a 1.5C Carbon Budget Trajectory”. </w:t>
      </w:r>
      <w:r>
        <w:rPr>
          <w:rFonts w:ascii="Arial" w:hAnsi="Arial" w:cs="Arial"/>
          <w:i/>
          <w:iCs/>
          <w:sz w:val="18"/>
          <w:szCs w:val="18"/>
        </w:rPr>
        <w:t>Energies</w:t>
      </w:r>
      <w:r>
        <w:rPr>
          <w:rFonts w:ascii="Arial" w:hAnsi="Arial" w:cs="Arial"/>
          <w:sz w:val="18"/>
          <w:szCs w:val="18"/>
        </w:rPr>
        <w:t>. 15. (21). P- 8037.</w:t>
      </w:r>
    </w:p>
    <w:p w14:paraId="3407099B"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Travnickova, H. Ostin, V. Mazurchenko, A. (2024). “Driving Success: Unveiling Key Trends in Employee Training and Competency Development Within the Automotive Industry”. </w:t>
      </w:r>
      <w:r>
        <w:rPr>
          <w:rFonts w:ascii="Arial" w:hAnsi="Arial" w:cs="Arial"/>
          <w:i/>
          <w:iCs/>
          <w:sz w:val="18"/>
          <w:szCs w:val="18"/>
        </w:rPr>
        <w:t>Central European Business Review</w:t>
      </w:r>
      <w:r>
        <w:rPr>
          <w:rFonts w:ascii="Arial" w:hAnsi="Arial" w:cs="Arial"/>
          <w:sz w:val="18"/>
          <w:szCs w:val="18"/>
        </w:rPr>
        <w:t>. 13. (4) P- 59-82.</w:t>
      </w:r>
    </w:p>
    <w:p w14:paraId="0D084931"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Trimasse, N. (2025). “The Use of Reflective Reports in Higher Education”. </w:t>
      </w:r>
      <w:r>
        <w:rPr>
          <w:rFonts w:ascii="Arial" w:hAnsi="Arial" w:cs="Arial"/>
          <w:i/>
          <w:iCs/>
          <w:sz w:val="18"/>
          <w:szCs w:val="18"/>
        </w:rPr>
        <w:t>Reflective Practice</w:t>
      </w:r>
      <w:r>
        <w:rPr>
          <w:rFonts w:ascii="Arial" w:hAnsi="Arial" w:cs="Arial"/>
          <w:sz w:val="18"/>
          <w:szCs w:val="18"/>
        </w:rPr>
        <w:t>. 26. (1). P- 154-171.</w:t>
      </w:r>
    </w:p>
    <w:p w14:paraId="11EC9407"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Usman, M. Akbar, A. Hedvicakova, M. (2026). “The Economic Impact of Decarbonization”. </w:t>
      </w:r>
      <w:r>
        <w:rPr>
          <w:rFonts w:ascii="Arial" w:hAnsi="Arial" w:cs="Arial"/>
          <w:i/>
          <w:iCs/>
          <w:sz w:val="18"/>
          <w:szCs w:val="18"/>
        </w:rPr>
        <w:t>Discover Sustainability</w:t>
      </w:r>
      <w:r>
        <w:rPr>
          <w:rFonts w:ascii="Arial" w:hAnsi="Arial" w:cs="Arial"/>
          <w:sz w:val="18"/>
          <w:szCs w:val="18"/>
        </w:rPr>
        <w:t>. 7.</w:t>
      </w:r>
    </w:p>
    <w:p w14:paraId="3BF77F00"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Wallrapp, T. et al. (2026). “Life Cycle Assessment of Material Substitution in Manufacturing Equipment by Wood-Based Structures in the Automotive Industry”. </w:t>
      </w:r>
      <w:r>
        <w:rPr>
          <w:rFonts w:ascii="Arial" w:hAnsi="Arial" w:cs="Arial"/>
          <w:i/>
          <w:iCs/>
          <w:sz w:val="18"/>
          <w:szCs w:val="18"/>
        </w:rPr>
        <w:t>Cleaner Production Letters</w:t>
      </w:r>
      <w:r>
        <w:rPr>
          <w:rFonts w:ascii="Arial" w:hAnsi="Arial" w:cs="Arial"/>
          <w:sz w:val="18"/>
          <w:szCs w:val="18"/>
        </w:rPr>
        <w:t>. 10. P- 100130.</w:t>
      </w:r>
    </w:p>
    <w:p w14:paraId="20CFEE28"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Wang, P. et al. (2026). “Differentiated Pathways for Enhancing Green Innovation Quality in the Automotive Industry Guided by ESG Frameworks and Energy Policies”. </w:t>
      </w:r>
      <w:r>
        <w:rPr>
          <w:rFonts w:ascii="Arial" w:hAnsi="Arial" w:cs="Arial"/>
          <w:i/>
          <w:iCs/>
          <w:sz w:val="18"/>
          <w:szCs w:val="18"/>
        </w:rPr>
        <w:t>Sustainable Futures</w:t>
      </w:r>
      <w:r>
        <w:rPr>
          <w:rFonts w:ascii="Arial" w:hAnsi="Arial" w:cs="Arial"/>
          <w:sz w:val="18"/>
          <w:szCs w:val="18"/>
        </w:rPr>
        <w:t>. 11. P- 101784.</w:t>
      </w:r>
    </w:p>
    <w:p w14:paraId="63F02F20"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Wang, P. et al. (2026). “Securing Low-Carbon Rare Earth Supply for the Renewable Energy Sector: Demand, Circularity, and Carbon Mitigation of Neodymium and Dysprosium”. </w:t>
      </w:r>
      <w:r>
        <w:rPr>
          <w:rFonts w:ascii="Arial" w:hAnsi="Arial" w:cs="Arial"/>
          <w:i/>
          <w:iCs/>
          <w:sz w:val="18"/>
          <w:szCs w:val="18"/>
        </w:rPr>
        <w:t>Resources, Conservation and Recycling</w:t>
      </w:r>
      <w:r>
        <w:rPr>
          <w:rFonts w:ascii="Arial" w:hAnsi="Arial" w:cs="Arial"/>
          <w:sz w:val="18"/>
          <w:szCs w:val="18"/>
        </w:rPr>
        <w:t>. 228. P- 108784.</w:t>
      </w:r>
    </w:p>
    <w:p w14:paraId="104CBA1E"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Wang, Z. et al. (2026). “Landscape of Research on Accounting Scope 3 Emissions: A Review of Methodologies and Data”. </w:t>
      </w:r>
      <w:r>
        <w:rPr>
          <w:rFonts w:ascii="Arial" w:hAnsi="Arial" w:cs="Arial"/>
          <w:i/>
          <w:iCs/>
          <w:sz w:val="18"/>
          <w:szCs w:val="18"/>
        </w:rPr>
        <w:t>Corporate Social Responsibility and Environmental Management</w:t>
      </w:r>
      <w:r>
        <w:rPr>
          <w:rFonts w:ascii="Arial" w:hAnsi="Arial" w:cs="Arial"/>
          <w:sz w:val="18"/>
          <w:szCs w:val="18"/>
        </w:rPr>
        <w:t xml:space="preserve">. </w:t>
      </w:r>
    </w:p>
    <w:p w14:paraId="6A8CBC0E"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Wellbrock, W. et al. (2020). “Sustainability in the Automotive Industry, Importance of and Impact on Automobile Interior-Insights from an Empirical Study”. </w:t>
      </w:r>
      <w:r>
        <w:rPr>
          <w:rFonts w:ascii="Arial" w:hAnsi="Arial" w:cs="Arial"/>
          <w:i/>
          <w:iCs/>
          <w:sz w:val="18"/>
          <w:szCs w:val="18"/>
        </w:rPr>
        <w:t>International Journal of Corporate Social Responsibility</w:t>
      </w:r>
      <w:r>
        <w:rPr>
          <w:rFonts w:ascii="Arial" w:hAnsi="Arial" w:cs="Arial"/>
          <w:sz w:val="18"/>
          <w:szCs w:val="18"/>
        </w:rPr>
        <w:t>. 5. (1). P- 1-12.</w:t>
      </w:r>
    </w:p>
    <w:p w14:paraId="341756E7"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Wu, W. et al. “The Nitty Gritty of Carbon Accounting: Enablers, Barriers, Reporting, and Strategies”. </w:t>
      </w:r>
      <w:r>
        <w:rPr>
          <w:rFonts w:ascii="Arial" w:hAnsi="Arial" w:cs="Arial"/>
          <w:i/>
          <w:iCs/>
          <w:sz w:val="18"/>
          <w:szCs w:val="18"/>
        </w:rPr>
        <w:t>Business Strategy and the Environment</w:t>
      </w:r>
      <w:r>
        <w:rPr>
          <w:rFonts w:ascii="Arial" w:hAnsi="Arial" w:cs="Arial"/>
          <w:sz w:val="18"/>
          <w:szCs w:val="18"/>
        </w:rPr>
        <w:t>.</w:t>
      </w:r>
    </w:p>
    <w:p w14:paraId="7E6DB262"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Yazgan, H. R. Akyol, D. E. Altintas, G. (2026) “A Novel Optimization Model for Sustainable Life Cycle Design: Circular Economy Case Study in the Automotive Industry”. </w:t>
      </w:r>
      <w:r>
        <w:rPr>
          <w:rFonts w:ascii="Arial" w:hAnsi="Arial" w:cs="Arial"/>
          <w:i/>
          <w:iCs/>
          <w:sz w:val="18"/>
          <w:szCs w:val="18"/>
        </w:rPr>
        <w:t>Data-Driven Waste Revolution</w:t>
      </w:r>
      <w:r>
        <w:rPr>
          <w:rFonts w:ascii="Arial" w:hAnsi="Arial" w:cs="Arial"/>
          <w:sz w:val="18"/>
          <w:szCs w:val="18"/>
        </w:rPr>
        <w:t>. P- 23-52.</w:t>
      </w:r>
    </w:p>
    <w:p w14:paraId="51614AF8" w14:textId="77777777" w:rsidR="007026FF" w:rsidRDefault="007026FF" w:rsidP="007026FF">
      <w:pPr>
        <w:pStyle w:val="ListParagraph"/>
        <w:numPr>
          <w:ilvl w:val="0"/>
          <w:numId w:val="1"/>
        </w:numPr>
        <w:spacing w:line="360" w:lineRule="auto"/>
        <w:rPr>
          <w:rFonts w:ascii="Arial" w:hAnsi="Arial" w:cs="Arial"/>
          <w:sz w:val="18"/>
          <w:szCs w:val="18"/>
        </w:rPr>
      </w:pPr>
      <w:r>
        <w:rPr>
          <w:rFonts w:ascii="Arial" w:hAnsi="Arial" w:cs="Arial"/>
          <w:sz w:val="18"/>
          <w:szCs w:val="18"/>
        </w:rPr>
        <w:t xml:space="preserve">Zhang, W. et al. (2026) “Realizing Latent Use Contexts: Innovation Ecosystems Strategies to Drive Growth and Sustainability”. </w:t>
      </w:r>
      <w:r>
        <w:rPr>
          <w:rFonts w:ascii="Arial" w:hAnsi="Arial" w:cs="Arial"/>
          <w:i/>
          <w:iCs/>
          <w:sz w:val="18"/>
          <w:szCs w:val="18"/>
        </w:rPr>
        <w:t>Journal of Product Innovation Management</w:t>
      </w:r>
      <w:r>
        <w:rPr>
          <w:rFonts w:ascii="Arial" w:hAnsi="Arial" w:cs="Arial"/>
          <w:sz w:val="18"/>
          <w:szCs w:val="18"/>
        </w:rPr>
        <w:t>.</w:t>
      </w:r>
    </w:p>
    <w:p w14:paraId="68624F72" w14:textId="77777777" w:rsidR="007026FF" w:rsidRDefault="007026FF"/>
    <w:sectPr w:rsidR="007026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782BD2"/>
    <w:multiLevelType w:val="hybridMultilevel"/>
    <w:tmpl w:val="A83A6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022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6FF"/>
    <w:rsid w:val="00024961"/>
    <w:rsid w:val="007026FF"/>
    <w:rsid w:val="00740798"/>
    <w:rsid w:val="00827806"/>
    <w:rsid w:val="00882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B70FE"/>
  <w15:chartTrackingRefBased/>
  <w15:docId w15:val="{0A2338C8-1ED0-4093-AFD6-A32AFFF46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6FF"/>
  </w:style>
  <w:style w:type="paragraph" w:styleId="Heading1">
    <w:name w:val="heading 1"/>
    <w:basedOn w:val="Normal"/>
    <w:next w:val="Normal"/>
    <w:link w:val="Heading1Char"/>
    <w:uiPriority w:val="9"/>
    <w:qFormat/>
    <w:rsid w:val="007026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26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26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26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26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26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26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26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26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26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26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26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26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26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26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26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26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26FF"/>
    <w:rPr>
      <w:rFonts w:eastAsiaTheme="majorEastAsia" w:cstheme="majorBidi"/>
      <w:color w:val="272727" w:themeColor="text1" w:themeTint="D8"/>
    </w:rPr>
  </w:style>
  <w:style w:type="paragraph" w:styleId="Title">
    <w:name w:val="Title"/>
    <w:basedOn w:val="Normal"/>
    <w:next w:val="Normal"/>
    <w:link w:val="TitleChar"/>
    <w:uiPriority w:val="10"/>
    <w:qFormat/>
    <w:rsid w:val="007026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26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26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26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26FF"/>
    <w:pPr>
      <w:spacing w:before="160"/>
      <w:jc w:val="center"/>
    </w:pPr>
    <w:rPr>
      <w:i/>
      <w:iCs/>
      <w:color w:val="404040" w:themeColor="text1" w:themeTint="BF"/>
    </w:rPr>
  </w:style>
  <w:style w:type="character" w:customStyle="1" w:styleId="QuoteChar">
    <w:name w:val="Quote Char"/>
    <w:basedOn w:val="DefaultParagraphFont"/>
    <w:link w:val="Quote"/>
    <w:uiPriority w:val="29"/>
    <w:rsid w:val="007026FF"/>
    <w:rPr>
      <w:i/>
      <w:iCs/>
      <w:color w:val="404040" w:themeColor="text1" w:themeTint="BF"/>
    </w:rPr>
  </w:style>
  <w:style w:type="paragraph" w:styleId="ListParagraph">
    <w:name w:val="List Paragraph"/>
    <w:basedOn w:val="Normal"/>
    <w:uiPriority w:val="34"/>
    <w:qFormat/>
    <w:rsid w:val="007026FF"/>
    <w:pPr>
      <w:ind w:left="720"/>
      <w:contextualSpacing/>
    </w:pPr>
  </w:style>
  <w:style w:type="character" w:styleId="IntenseEmphasis">
    <w:name w:val="Intense Emphasis"/>
    <w:basedOn w:val="DefaultParagraphFont"/>
    <w:uiPriority w:val="21"/>
    <w:qFormat/>
    <w:rsid w:val="007026FF"/>
    <w:rPr>
      <w:i/>
      <w:iCs/>
      <w:color w:val="0F4761" w:themeColor="accent1" w:themeShade="BF"/>
    </w:rPr>
  </w:style>
  <w:style w:type="paragraph" w:styleId="IntenseQuote">
    <w:name w:val="Intense Quote"/>
    <w:basedOn w:val="Normal"/>
    <w:next w:val="Normal"/>
    <w:link w:val="IntenseQuoteChar"/>
    <w:uiPriority w:val="30"/>
    <w:qFormat/>
    <w:rsid w:val="007026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26FF"/>
    <w:rPr>
      <w:i/>
      <w:iCs/>
      <w:color w:val="0F4761" w:themeColor="accent1" w:themeShade="BF"/>
    </w:rPr>
  </w:style>
  <w:style w:type="character" w:styleId="IntenseReference">
    <w:name w:val="Intense Reference"/>
    <w:basedOn w:val="DefaultParagraphFont"/>
    <w:uiPriority w:val="32"/>
    <w:qFormat/>
    <w:rsid w:val="007026F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2087</Words>
  <Characters>11900</Characters>
  <Application>Microsoft Office Word</Application>
  <DocSecurity>0</DocSecurity>
  <Lines>99</Lines>
  <Paragraphs>27</Paragraphs>
  <ScaleCrop>false</ScaleCrop>
  <Company/>
  <LinksUpToDate>false</LinksUpToDate>
  <CharactersWithSpaces>13960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Ashton (2313229)</dc:creator>
  <cp:keywords/>
  <dc:description/>
  <cp:lastModifiedBy>James Ashton (2313229)</cp:lastModifiedBy>
  <cp:revision>2</cp:revision>
  <dcterms:created xsi:type="dcterms:W3CDTF">2026-07-26T18:04:00Z</dcterms:created>
  <dcterms:modified xsi:type="dcterms:W3CDTF">2026-07-26T18:04:00Z</dcterms:modified>
</cp:coreProperties>
</file>